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0"/>
          <w:szCs w:val="10"/>
        </w:rPr>
      </w:pPr>
    </w:p>
    <w:p>
      <w:pPr>
        <w:spacing w:line="1116" w:lineRule="exact"/>
        <w:ind w:left="207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drawing>
          <wp:inline distT="0" distB="0" distL="0" distR="0">
            <wp:extent cx="2828267" cy="70865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828267" cy="708659"/>
                    </a:xfrm>
                    <a:prstGeom prst="rect">
                      <a:avLst/>
                    </a:prstGeom>
                  </pic:spPr>
                </pic:pic>
              </a:graphicData>
            </a:graphic>
          </wp:inline>
        </w:drawing>
      </w:r>
      <w:r>
        <w:rPr>
          <w:rFonts w:ascii="Times New Roman" w:hAnsi="Times New Roman" w:cs="Times New Roman" w:eastAsia="Times New Roman" w:hint="default"/>
          <w:position w:val="-21"/>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16"/>
        <w:ind w:left="278" w:right="329" w:firstLine="0"/>
        <w:jc w:val="center"/>
        <w:rPr>
          <w:rFonts w:ascii="宋体" w:hAnsi="宋体" w:cs="宋体" w:eastAsia="宋体" w:hint="default"/>
          <w:sz w:val="52"/>
          <w:szCs w:val="52"/>
        </w:rPr>
      </w:pPr>
      <w:r>
        <w:rPr>
          <w:rFonts w:ascii="宋体" w:hAnsi="宋体" w:cs="宋体" w:eastAsia="宋体" w:hint="default"/>
          <w:b/>
          <w:bCs/>
          <w:spacing w:val="45"/>
          <w:sz w:val="52"/>
          <w:szCs w:val="52"/>
        </w:rPr>
        <w:t>上海汉得信息技术股份有限公司</w:t>
      </w:r>
      <w:r>
        <w:rPr>
          <w:rFonts w:ascii="宋体" w:hAnsi="宋体" w:cs="宋体" w:eastAsia="宋体" w:hint="default"/>
          <w:spacing w:val="45"/>
          <w:sz w:val="52"/>
          <w:szCs w:val="52"/>
        </w:rPr>
      </w:r>
    </w:p>
    <w:p>
      <w:pPr>
        <w:pStyle w:val="Heading2"/>
        <w:spacing w:line="240" w:lineRule="auto" w:before="416"/>
        <w:ind w:right="278" w:firstLine="0"/>
        <w:jc w:val="center"/>
        <w:rPr>
          <w:b w:val="0"/>
          <w:bCs w:val="0"/>
        </w:rPr>
      </w:pPr>
      <w:r>
        <w:rPr/>
        <w:t>Hand Enterprise Solutions Co.,</w:t>
      </w:r>
      <w:r>
        <w:rPr>
          <w:spacing w:val="-5"/>
        </w:rPr>
        <w:t> </w:t>
      </w:r>
      <w:r>
        <w:rPr/>
        <w:t>Ltd.</w:t>
      </w:r>
      <w:r>
        <w:rPr>
          <w:b w:val="0"/>
        </w:rPr>
      </w:r>
    </w:p>
    <w:p>
      <w:pPr>
        <w:spacing w:line="240" w:lineRule="auto" w:before="0"/>
        <w:rPr>
          <w:rFonts w:ascii="Times New Roman" w:hAnsi="Times New Roman" w:cs="Times New Roman" w:eastAsia="Times New Roman" w:hint="default"/>
          <w:b/>
          <w:bCs/>
          <w:sz w:val="32"/>
          <w:szCs w:val="32"/>
        </w:rPr>
      </w:pPr>
    </w:p>
    <w:p>
      <w:pPr>
        <w:spacing w:line="240" w:lineRule="auto" w:before="6"/>
        <w:rPr>
          <w:rFonts w:ascii="Times New Roman" w:hAnsi="Times New Roman" w:cs="Times New Roman" w:eastAsia="Times New Roman" w:hint="default"/>
          <w:b/>
          <w:bCs/>
          <w:sz w:val="36"/>
          <w:szCs w:val="36"/>
        </w:rPr>
      </w:pPr>
    </w:p>
    <w:p>
      <w:pPr>
        <w:spacing w:before="0"/>
        <w:ind w:left="278" w:right="277" w:firstLine="0"/>
        <w:jc w:val="center"/>
        <w:rPr>
          <w:rFonts w:ascii="宋体" w:hAnsi="宋体" w:cs="宋体" w:eastAsia="宋体" w:hint="default"/>
          <w:sz w:val="52"/>
          <w:szCs w:val="52"/>
        </w:rPr>
      </w:pPr>
      <w:r>
        <w:rPr>
          <w:rFonts w:ascii="Times New Roman" w:hAnsi="Times New Roman" w:cs="Times New Roman" w:eastAsia="Times New Roman" w:hint="default"/>
          <w:b/>
          <w:bCs/>
          <w:sz w:val="52"/>
          <w:szCs w:val="52"/>
        </w:rPr>
        <w:t>2011</w:t>
      </w:r>
      <w:r>
        <w:rPr>
          <w:rFonts w:ascii="宋体" w:hAnsi="宋体" w:cs="宋体" w:eastAsia="宋体" w:hint="default"/>
          <w:b/>
          <w:bCs/>
          <w:sz w:val="52"/>
          <w:szCs w:val="52"/>
        </w:rPr>
        <w:t>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pStyle w:val="Heading5"/>
        <w:spacing w:line="348" w:lineRule="auto" w:before="441"/>
        <w:ind w:left="2910" w:right="2906" w:hanging="1"/>
        <w:jc w:val="center"/>
        <w:rPr>
          <w:b w:val="0"/>
          <w:bCs w:val="0"/>
        </w:rPr>
      </w:pPr>
      <w:r>
        <w:rPr/>
        <w:t>股票代码：</w:t>
      </w:r>
      <w:r>
        <w:rPr>
          <w:rFonts w:ascii="Times New Roman" w:hAnsi="Times New Roman" w:cs="Times New Roman" w:eastAsia="Times New Roman" w:hint="default"/>
        </w:rPr>
        <w:t>300170 </w:t>
      </w:r>
      <w:r>
        <w:rPr/>
        <w:t>股票简称：汉得信息</w:t>
      </w:r>
      <w:r>
        <w:rPr>
          <w:w w:val="99"/>
        </w:rPr>
        <w:t> </w:t>
      </w:r>
      <w:r>
        <w:rPr>
          <w:w w:val="95"/>
        </w:rPr>
        <w:t>披露日期：</w:t>
      </w:r>
      <w:r>
        <w:rPr>
          <w:rFonts w:ascii="Times New Roman" w:hAnsi="Times New Roman" w:cs="Times New Roman" w:eastAsia="Times New Roman" w:hint="default"/>
          <w:w w:val="95"/>
        </w:rPr>
        <w:t>2012</w:t>
      </w:r>
      <w:r>
        <w:rPr>
          <w:w w:val="95"/>
        </w:rPr>
        <w:t>年</w:t>
      </w:r>
      <w:r>
        <w:rPr>
          <w:rFonts w:ascii="Times New Roman" w:hAnsi="Times New Roman" w:cs="Times New Roman" w:eastAsia="Times New Roman" w:hint="default"/>
          <w:w w:val="95"/>
        </w:rPr>
        <w:t>4</w:t>
      </w:r>
      <w:r>
        <w:rPr>
          <w:w w:val="95"/>
        </w:rPr>
        <w:t>月</w:t>
      </w:r>
      <w:r>
        <w:rPr>
          <w:rFonts w:ascii="Times New Roman" w:hAnsi="Times New Roman" w:cs="Times New Roman" w:eastAsia="Times New Roman" w:hint="default"/>
          <w:w w:val="95"/>
        </w:rPr>
        <w:t>20</w:t>
      </w:r>
      <w:r>
        <w:rPr>
          <w:w w:val="95"/>
        </w:rPr>
        <w:t>日</w:t>
      </w:r>
      <w:r>
        <w:rPr>
          <w:b w:val="0"/>
          <w:bCs w:val="0"/>
        </w:rPr>
      </w:r>
    </w:p>
    <w:p>
      <w:pPr>
        <w:spacing w:after="0" w:line="348" w:lineRule="auto"/>
        <w:jc w:val="center"/>
        <w:sectPr>
          <w:headerReference w:type="default" r:id="rId5"/>
          <w:type w:val="continuous"/>
          <w:pgSz w:w="11910" w:h="16840"/>
          <w:pgMar w:header="884" w:top="1080" w:bottom="280" w:left="1660" w:right="1660"/>
        </w:sectPr>
      </w:pPr>
    </w:p>
    <w:p>
      <w:pPr>
        <w:spacing w:line="240" w:lineRule="auto" w:before="9"/>
        <w:rPr>
          <w:rFonts w:ascii="宋体" w:hAnsi="宋体" w:cs="宋体" w:eastAsia="宋体" w:hint="default"/>
          <w:b/>
          <w:bCs/>
          <w:sz w:val="17"/>
          <w:szCs w:val="17"/>
        </w:rPr>
      </w:pPr>
    </w:p>
    <w:p>
      <w:pPr>
        <w:spacing w:line="460" w:lineRule="exact" w:before="0"/>
        <w:ind w:left="278" w:right="278" w:firstLine="0"/>
        <w:jc w:val="center"/>
        <w:rPr>
          <w:rFonts w:ascii="宋体" w:hAnsi="宋体" w:cs="宋体" w:eastAsia="宋体" w:hint="default"/>
          <w:sz w:val="36"/>
          <w:szCs w:val="36"/>
        </w:rPr>
      </w:pPr>
      <w:r>
        <w:rPr>
          <w:rFonts w:ascii="宋体" w:hAnsi="宋体" w:cs="宋体" w:eastAsia="宋体" w:hint="default"/>
          <w:b/>
          <w:bCs/>
          <w:sz w:val="36"/>
          <w:szCs w:val="36"/>
        </w:rPr>
        <w:t>重要提示</w:t>
      </w:r>
      <w:r>
        <w:rPr>
          <w:rFonts w:ascii="宋体" w:hAnsi="宋体" w:cs="宋体" w:eastAsia="宋体" w:hint="default"/>
          <w:sz w:val="36"/>
          <w:szCs w:val="36"/>
        </w:rPr>
      </w:r>
    </w:p>
    <w:p>
      <w:pPr>
        <w:spacing w:line="240" w:lineRule="auto" w:before="13"/>
        <w:rPr>
          <w:rFonts w:ascii="宋体" w:hAnsi="宋体" w:cs="宋体" w:eastAsia="宋体" w:hint="default"/>
          <w:b/>
          <w:bCs/>
          <w:sz w:val="42"/>
          <w:szCs w:val="42"/>
        </w:rPr>
      </w:pPr>
    </w:p>
    <w:p>
      <w:pPr>
        <w:pStyle w:val="BodyText"/>
        <w:spacing w:line="352" w:lineRule="auto" w:before="0"/>
        <w:ind w:right="247" w:firstLine="477"/>
        <w:jc w:val="both"/>
      </w:pPr>
      <w:r>
        <w:rPr>
          <w:rFonts w:ascii="Times New Roman" w:hAnsi="Times New Roman" w:cs="Times New Roman" w:eastAsia="Times New Roman" w:hint="default"/>
          <w:spacing w:val="-3"/>
        </w:rPr>
        <w:t>1</w:t>
      </w:r>
      <w:r>
        <w:rPr>
          <w:spacing w:val="-3"/>
        </w:rPr>
        <w:t>、本公司董事会、监事会及董事、监事、高级管理人员保证本报告所载资</w:t>
      </w:r>
      <w:r>
        <w:rPr/>
        <w:t> 料不存在任何虚假记载、误导性陈述或重大遗漏，并对其内容的真实性、准确</w:t>
      </w:r>
      <w:r>
        <w:rPr>
          <w:spacing w:val="-89"/>
        </w:rPr>
        <w:t> </w:t>
      </w:r>
      <w:r>
        <w:rPr>
          <w:spacing w:val="-89"/>
        </w:rPr>
      </w:r>
      <w:r>
        <w:rPr/>
        <w:t>性、完整性承担个别及连带的法律责任。本年度报告摘要摘自年度报告全文，</w:t>
      </w:r>
      <w:r>
        <w:rPr>
          <w:spacing w:val="-89"/>
        </w:rPr>
        <w:t> </w:t>
      </w:r>
      <w:r>
        <w:rPr>
          <w:spacing w:val="-89"/>
        </w:rPr>
      </w:r>
      <w:r>
        <w:rPr/>
        <w:t>报告全文同时刊载于证监会指定网站和公司网站。为了全面了解本公司生产经</w:t>
      </w:r>
      <w:r>
        <w:rPr>
          <w:spacing w:val="-87"/>
        </w:rPr>
        <w:t> </w:t>
      </w:r>
      <w:r>
        <w:rPr>
          <w:spacing w:val="-87"/>
        </w:rPr>
      </w:r>
      <w:r>
        <w:rPr/>
        <w:t>营状况和财务成果及公司的未来发展规划，投资者应到指定网站仔细阅读年度</w:t>
      </w:r>
      <w:r>
        <w:rPr>
          <w:spacing w:val="-91"/>
        </w:rPr>
        <w:t> </w:t>
      </w:r>
      <w:r>
        <w:rPr>
          <w:spacing w:val="-91"/>
        </w:rPr>
      </w:r>
      <w:r>
        <w:rPr/>
        <w:t>报告全文。</w:t>
      </w:r>
    </w:p>
    <w:p>
      <w:pPr>
        <w:pStyle w:val="BodyText"/>
        <w:spacing w:line="338" w:lineRule="auto" w:before="41"/>
        <w:ind w:right="249" w:firstLine="477"/>
        <w:jc w:val="both"/>
      </w:pPr>
      <w:r>
        <w:rPr>
          <w:rFonts w:ascii="Times New Roman" w:hAnsi="Times New Roman" w:cs="Times New Roman" w:eastAsia="Times New Roman" w:hint="default"/>
          <w:spacing w:val="-3"/>
        </w:rPr>
        <w:t>2</w:t>
      </w:r>
      <w:r>
        <w:rPr>
          <w:spacing w:val="-3"/>
        </w:rPr>
        <w:t>、没有董事、监事、高级管理人员声明对年度报告内容的真实性、准确性</w:t>
      </w:r>
      <w:r>
        <w:rPr/>
        <w:t> 和完整性无法保证或存在异议。</w:t>
      </w:r>
    </w:p>
    <w:p>
      <w:pPr>
        <w:pStyle w:val="BodyText"/>
        <w:spacing w:line="240" w:lineRule="auto" w:before="48"/>
        <w:ind w:left="567" w:right="0"/>
        <w:jc w:val="left"/>
      </w:pPr>
      <w:r>
        <w:rPr>
          <w:rFonts w:ascii="Times New Roman" w:hAnsi="Times New Roman" w:cs="Times New Roman" w:eastAsia="Times New Roman" w:hint="default"/>
        </w:rPr>
        <w:t>3</w:t>
      </w:r>
      <w:r>
        <w:rPr/>
        <w:t>、公司全体董事出席了审议本次年报的董事会会议。</w:t>
      </w:r>
    </w:p>
    <w:p>
      <w:pPr>
        <w:pStyle w:val="BodyText"/>
        <w:spacing w:line="333" w:lineRule="auto" w:before="126"/>
        <w:ind w:right="256" w:firstLine="427"/>
        <w:jc w:val="both"/>
      </w:pPr>
      <w:r>
        <w:rPr>
          <w:rFonts w:ascii="Times New Roman" w:hAnsi="Times New Roman" w:cs="Times New Roman" w:eastAsia="Times New Roman" w:hint="default"/>
          <w:spacing w:val="-2"/>
        </w:rPr>
        <w:t>4</w:t>
      </w:r>
      <w:r>
        <w:rPr>
          <w:spacing w:val="-2"/>
        </w:rPr>
        <w:t>、公司年度财务报告已经立信会计师事务所（特殊普通合伙）（以下简称</w:t>
      </w:r>
      <w:r>
        <w:rPr/>
        <w:t> “立信会计师事务所”）审计并出具了标准无保留意见的审计报告。</w:t>
      </w:r>
    </w:p>
    <w:p>
      <w:pPr>
        <w:pStyle w:val="BodyText"/>
        <w:spacing w:line="350" w:lineRule="auto" w:before="53"/>
        <w:ind w:right="253" w:firstLine="427"/>
        <w:jc w:val="both"/>
      </w:pPr>
      <w:r>
        <w:rPr>
          <w:spacing w:val="2"/>
        </w:rPr>
        <w:t>公司负责人范建震、主管会计工作负责人及会计机构负责人黄良之声明： </w:t>
      </w:r>
      <w:r>
        <w:rPr/>
        <w:t>保证年度报告中财务报告的真实、完整。</w:t>
      </w:r>
    </w:p>
    <w:p>
      <w:pPr>
        <w:spacing w:after="0" w:line="350" w:lineRule="auto"/>
        <w:jc w:val="both"/>
        <w:sectPr>
          <w:footerReference w:type="default" r:id="rId7"/>
          <w:pgSz w:w="11910" w:h="16840"/>
          <w:pgMar w:footer="980" w:header="884" w:top="1140" w:bottom="1160" w:left="1660" w:right="1660"/>
          <w:pgNumType w:start="2"/>
        </w:sectPr>
      </w:pPr>
    </w:p>
    <w:p>
      <w:pPr>
        <w:spacing w:line="240" w:lineRule="auto" w:before="3"/>
        <w:rPr>
          <w:rFonts w:ascii="宋体" w:hAnsi="宋体" w:cs="宋体" w:eastAsia="宋体" w:hint="default"/>
          <w:sz w:val="19"/>
          <w:szCs w:val="19"/>
        </w:rPr>
      </w:pPr>
    </w:p>
    <w:p>
      <w:pPr>
        <w:tabs>
          <w:tab w:pos="1355" w:val="left" w:leader="none"/>
        </w:tabs>
        <w:spacing w:line="621" w:lineRule="exact" w:before="0"/>
        <w:ind w:left="309" w:right="0" w:firstLine="0"/>
        <w:jc w:val="center"/>
        <w:rPr>
          <w:rFonts w:ascii="宋体" w:hAnsi="宋体" w:cs="宋体" w:eastAsia="宋体" w:hint="default"/>
          <w:sz w:val="52"/>
          <w:szCs w:val="52"/>
        </w:rPr>
      </w:pPr>
      <w:r>
        <w:rPr>
          <w:rFonts w:ascii="宋体" w:hAnsi="宋体" w:cs="宋体" w:eastAsia="宋体" w:hint="default"/>
          <w:b/>
          <w:bCs/>
          <w:w w:val="95"/>
          <w:sz w:val="52"/>
          <w:szCs w:val="52"/>
        </w:rPr>
        <w:t>目</w:t>
        <w:tab/>
      </w:r>
      <w:r>
        <w:rPr>
          <w:rFonts w:ascii="宋体" w:hAnsi="宋体" w:cs="宋体" w:eastAsia="宋体" w:hint="default"/>
          <w:b/>
          <w:bCs/>
          <w:sz w:val="52"/>
          <w:szCs w:val="52"/>
        </w:rPr>
        <w:t>录</w:t>
      </w:r>
      <w:r>
        <w:rPr>
          <w:rFonts w:ascii="宋体" w:hAnsi="宋体" w:cs="宋体" w:eastAsia="宋体" w:hint="default"/>
          <w:sz w:val="52"/>
          <w:szCs w:val="52"/>
        </w:rPr>
      </w:r>
    </w:p>
    <w:p>
      <w:pPr>
        <w:spacing w:line="240" w:lineRule="auto" w:before="0"/>
        <w:rPr>
          <w:rFonts w:ascii="宋体" w:hAnsi="宋体" w:cs="宋体" w:eastAsia="宋体" w:hint="default"/>
          <w:b/>
          <w:bCs/>
          <w:sz w:val="52"/>
          <w:szCs w:val="52"/>
        </w:rPr>
      </w:pPr>
    </w:p>
    <w:p>
      <w:pPr>
        <w:spacing w:line="240" w:lineRule="auto" w:before="5"/>
        <w:rPr>
          <w:rFonts w:ascii="宋体" w:hAnsi="宋体" w:cs="宋体" w:eastAsia="宋体" w:hint="default"/>
          <w:b/>
          <w:bCs/>
          <w:sz w:val="46"/>
          <w:szCs w:val="46"/>
        </w:rPr>
      </w:pPr>
    </w:p>
    <w:sdt>
      <w:sdtPr>
        <w:docPartObj>
          <w:docPartGallery w:val="Table of Contents"/>
          <w:docPartUnique/>
        </w:docPartObj>
      </w:sdtPr>
      <w:sdtEndPr/>
      <w:sdtContent>
        <w:p>
          <w:pPr>
            <w:pStyle w:val="TOC1"/>
            <w:tabs>
              <w:tab w:pos="8439"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30"/>
              </w:rPr>
              <w:t> </w:t>
            </w:r>
            <w:r>
              <w:rPr/>
              <w:t>公司基本情况简介</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8439"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30"/>
              </w:rPr>
              <w:t> </w:t>
            </w:r>
            <w:r>
              <w:rPr/>
              <w:t>会计数据和业务数据摘要</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844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29"/>
              </w:rPr>
              <w:t> </w:t>
            </w:r>
            <w:r>
              <w:rPr/>
              <w:t>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8441" w:val="right" w:leader="dot"/>
            </w:tabs>
            <w:spacing w:line="240" w:lineRule="auto" w:before="513"/>
            <w:ind w:right="0"/>
            <w:jc w:val="left"/>
            <w:rPr>
              <w:rFonts w:ascii="Times New Roman" w:hAnsi="Times New Roman" w:cs="Times New Roman" w:eastAsia="Times New Roman" w:hint="default"/>
              <w:b w:val="0"/>
              <w:bCs w:val="0"/>
            </w:rPr>
          </w:pPr>
          <w:hyperlink w:history="true" w:anchor="_bookmark3">
            <w:r>
              <w:rPr/>
              <w:t>第四节</w:t>
            </w:r>
            <w:r>
              <w:rPr>
                <w:spacing w:val="-29"/>
              </w:rPr>
              <w:t> </w:t>
            </w:r>
            <w:r>
              <w:rPr/>
              <w:t>重要事项</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844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29"/>
              </w:rPr>
              <w:t> </w:t>
            </w:r>
            <w:r>
              <w:rPr/>
              <w:t>股份变动及股东情况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844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29"/>
              </w:rPr>
              <w:t> </w:t>
            </w:r>
            <w:r>
              <w:rPr/>
              <w:t>董事、监事和高级管理人员和员工情况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844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29"/>
              </w:rPr>
              <w:t> </w:t>
            </w:r>
            <w:r>
              <w:rPr/>
              <w:t>公司治理</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8441" w:val="right" w:leader="dot"/>
            </w:tabs>
            <w:spacing w:line="240" w:lineRule="auto" w:before="513"/>
            <w:ind w:right="0"/>
            <w:jc w:val="left"/>
            <w:rPr>
              <w:rFonts w:ascii="Times New Roman" w:hAnsi="Times New Roman" w:cs="Times New Roman" w:eastAsia="Times New Roman" w:hint="default"/>
              <w:b w:val="0"/>
              <w:bCs w:val="0"/>
            </w:rPr>
          </w:pPr>
          <w:hyperlink w:history="true" w:anchor="_bookmark7">
            <w:r>
              <w:rPr/>
              <w:t>第八节</w:t>
            </w:r>
            <w:r>
              <w:rPr>
                <w:spacing w:val="-29"/>
              </w:rPr>
              <w:t> </w:t>
            </w:r>
            <w:r>
              <w:rPr/>
              <w:t>监事会报告</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844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29"/>
              </w:rPr>
              <w:t> </w:t>
            </w:r>
            <w:r>
              <w:rPr/>
              <w:t>财务报告</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8439"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30"/>
              </w:rPr>
              <w:t> </w:t>
            </w:r>
            <w:r>
              <w:rPr/>
              <w:t>备查文件目录</w:t>
            </w:r>
            <w:r>
              <w:rPr>
                <w:rFonts w:ascii="Times New Roman" w:hAnsi="Times New Roman" w:cs="Times New Roman" w:eastAsia="Times New Roman" w:hint="default"/>
              </w:rPr>
              <w:tab/>
              <w:t>151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4" w:footer="980" w:top="1140" w:bottom="1160" w:left="1660" w:right="1660"/>
        </w:sectPr>
      </w:pPr>
    </w:p>
    <w:p>
      <w:pPr>
        <w:spacing w:line="240" w:lineRule="auto" w:before="1"/>
        <w:rPr>
          <w:rFonts w:ascii="Times New Roman" w:hAnsi="Times New Roman" w:cs="Times New Roman" w:eastAsia="Times New Roman" w:hint="default"/>
          <w:b/>
          <w:bCs/>
          <w:sz w:val="30"/>
          <w:szCs w:val="30"/>
        </w:rPr>
      </w:pPr>
    </w:p>
    <w:p>
      <w:pPr>
        <w:pStyle w:val="Heading1"/>
        <w:spacing w:line="240" w:lineRule="auto"/>
        <w:ind w:left="2213" w:right="159"/>
        <w:jc w:val="left"/>
        <w:rPr>
          <w:b w:val="0"/>
          <w:bCs w:val="0"/>
        </w:rPr>
      </w:pPr>
      <w:bookmarkStart w:name="_bookmark0" w:id="1"/>
      <w:bookmarkEnd w:id="1"/>
      <w:r>
        <w:rPr>
          <w:b w:val="0"/>
          <w:bCs w:val="0"/>
        </w:rPr>
      </w:r>
      <w:r>
        <w:rPr/>
        <w:t>第一节</w:t>
      </w:r>
      <w:r>
        <w:rPr>
          <w:spacing w:val="-2"/>
        </w:rPr>
        <w:t> </w:t>
      </w:r>
      <w:r>
        <w:rPr/>
        <w:t>公司基本情况简介</w:t>
      </w:r>
      <w:r>
        <w:rPr>
          <w:b w:val="0"/>
          <w:bCs w:val="0"/>
        </w:rPr>
      </w:r>
    </w:p>
    <w:p>
      <w:pPr>
        <w:spacing w:line="240" w:lineRule="auto" w:before="6"/>
        <w:rPr>
          <w:rFonts w:ascii="宋体" w:hAnsi="宋体" w:cs="宋体" w:eastAsia="宋体" w:hint="default"/>
          <w:b/>
          <w:bCs/>
          <w:sz w:val="46"/>
          <w:szCs w:val="46"/>
        </w:rPr>
      </w:pPr>
    </w:p>
    <w:p>
      <w:pPr>
        <w:pStyle w:val="BodyText"/>
        <w:tabs>
          <w:tab w:pos="980" w:val="left" w:leader="none"/>
        </w:tabs>
        <w:spacing w:line="477" w:lineRule="auto" w:before="0"/>
        <w:ind w:left="620" w:right="2136" w:hanging="480"/>
        <w:jc w:val="left"/>
        <w:rPr>
          <w:rFonts w:ascii="Times New Roman" w:hAnsi="Times New Roman" w:cs="Times New Roman" w:eastAsia="Times New Roman" w:hint="default"/>
        </w:rPr>
      </w:pPr>
      <w:r>
        <w:rPr/>
        <w:t>一、</w:t>
        <w:tab/>
        <w:t>公司法定名称 中文名称：上海汉得信息技术股份有限公司 英文名称：</w:t>
      </w:r>
      <w:r>
        <w:rPr>
          <w:rFonts w:ascii="Times New Roman" w:hAnsi="Times New Roman" w:cs="Times New Roman" w:eastAsia="Times New Roman" w:hint="default"/>
        </w:rPr>
        <w:t>HAND ENTERPRISE SOLUTIONS CO.,</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7"/>
        </w:rPr>
        <w:t>LTD.</w:t>
      </w:r>
    </w:p>
    <w:p>
      <w:pPr>
        <w:pStyle w:val="BodyText"/>
        <w:spacing w:line="477" w:lineRule="auto" w:before="28"/>
        <w:ind w:left="620" w:right="5806"/>
        <w:jc w:val="left"/>
        <w:rPr>
          <w:rFonts w:ascii="Times New Roman" w:hAnsi="Times New Roman" w:cs="Times New Roman" w:eastAsia="Times New Roman" w:hint="default"/>
        </w:rPr>
      </w:pPr>
      <w:r>
        <w:rPr/>
        <w:t>公司简称：汉得信息 英文简称：</w:t>
      </w:r>
      <w:r>
        <w:rPr>
          <w:rFonts w:ascii="Times New Roman" w:hAnsi="Times New Roman" w:cs="Times New Roman" w:eastAsia="Times New Roman" w:hint="default"/>
        </w:rPr>
        <w:t>HAND</w:t>
      </w:r>
    </w:p>
    <w:p>
      <w:pPr>
        <w:pStyle w:val="BodyText"/>
        <w:tabs>
          <w:tab w:pos="980" w:val="left" w:leader="none"/>
        </w:tabs>
        <w:spacing w:line="477" w:lineRule="auto" w:before="29"/>
        <w:ind w:right="4984"/>
        <w:jc w:val="left"/>
      </w:pPr>
      <w:r>
        <w:rPr/>
        <w:t>二、</w:t>
        <w:tab/>
        <w:t>公司法定代表人：范建震 三、</w:t>
        <w:tab/>
        <w:t>公司联系人和联系方式</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577"/>
        <w:gridCol w:w="3395"/>
        <w:gridCol w:w="3394"/>
      </w:tblGrid>
      <w:tr>
        <w:trPr>
          <w:trHeight w:val="322" w:hRule="exact"/>
        </w:trPr>
        <w:tc>
          <w:tcPr>
            <w:tcW w:w="1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联系人</w:t>
            </w:r>
          </w:p>
        </w:tc>
        <w:tc>
          <w:tcPr>
            <w:tcW w:w="33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3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22" w:hRule="exact"/>
        </w:trPr>
        <w:tc>
          <w:tcPr>
            <w:tcW w:w="1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395" w:type="dxa"/>
            <w:tcBorders>
              <w:top w:val="single" w:sz="4" w:space="0" w:color="000000"/>
              <w:left w:val="single" w:sz="13" w:space="0" w:color="DCDCDC"/>
              <w:bottom w:val="single" w:sz="4" w:space="0" w:color="000000"/>
              <w:right w:val="single" w:sz="4" w:space="0" w:color="000000"/>
            </w:tcBorders>
          </w:tcPr>
          <w:p>
            <w:pPr>
              <w:pStyle w:val="TableParagraph"/>
              <w:spacing w:line="262" w:lineRule="exact"/>
              <w:ind w:right="9"/>
              <w:jc w:val="center"/>
              <w:rPr>
                <w:rFonts w:ascii="宋体" w:hAnsi="宋体" w:cs="宋体" w:eastAsia="宋体" w:hint="default"/>
                <w:sz w:val="21"/>
                <w:szCs w:val="21"/>
              </w:rPr>
            </w:pPr>
            <w:r>
              <w:rPr>
                <w:rFonts w:ascii="宋体" w:hAnsi="宋体" w:cs="宋体" w:eastAsia="宋体" w:hint="default"/>
                <w:sz w:val="21"/>
                <w:szCs w:val="21"/>
              </w:rPr>
              <w:t>张伟锋</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舒笑</w:t>
            </w:r>
          </w:p>
        </w:tc>
      </w:tr>
      <w:tr>
        <w:trPr>
          <w:trHeight w:val="163" w:hRule="exact"/>
        </w:trPr>
        <w:tc>
          <w:tcPr>
            <w:tcW w:w="1577" w:type="dxa"/>
            <w:tcBorders>
              <w:top w:val="single" w:sz="4" w:space="0" w:color="000000"/>
              <w:left w:val="single" w:sz="4" w:space="0" w:color="000000"/>
              <w:bottom w:val="nil" w:sz="6" w:space="0" w:color="auto"/>
              <w:right w:val="single" w:sz="4" w:space="0" w:color="000000"/>
            </w:tcBorders>
            <w:shd w:val="clear" w:color="auto" w:fill="DCDCDC"/>
          </w:tcPr>
          <w:p>
            <w:pPr/>
          </w:p>
        </w:tc>
        <w:tc>
          <w:tcPr>
            <w:tcW w:w="3395" w:type="dxa"/>
            <w:vMerge w:val="restart"/>
            <w:tcBorders>
              <w:top w:val="single" w:sz="4" w:space="0" w:color="000000"/>
              <w:left w:val="single" w:sz="10" w:space="0" w:color="DCDCDC"/>
              <w:right w:val="single" w:sz="4" w:space="0" w:color="000000"/>
            </w:tcBorders>
          </w:tcPr>
          <w:p>
            <w:pPr>
              <w:pStyle w:val="TableParagraph"/>
              <w:spacing w:line="281" w:lineRule="exact"/>
              <w:ind w:right="0"/>
              <w:jc w:val="center"/>
              <w:rPr>
                <w:rFonts w:ascii="宋体" w:hAnsi="宋体" w:cs="宋体" w:eastAsia="宋体" w:hint="default"/>
                <w:sz w:val="21"/>
                <w:szCs w:val="21"/>
              </w:rPr>
            </w:pPr>
            <w:r>
              <w:rPr>
                <w:rFonts w:ascii="宋体" w:hAnsi="宋体" w:cs="宋体" w:eastAsia="宋体" w:hint="default"/>
                <w:sz w:val="21"/>
                <w:szCs w:val="21"/>
              </w:rPr>
              <w:t>上海市张江高科技园区科苑路</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151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号</w:t>
            </w:r>
          </w:p>
          <w:p>
            <w:pPr>
              <w:pStyle w:val="TableParagraph"/>
              <w:spacing w:line="240" w:lineRule="auto" w:before="21"/>
              <w:ind w:right="6"/>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楼</w:t>
            </w:r>
          </w:p>
        </w:tc>
        <w:tc>
          <w:tcPr>
            <w:tcW w:w="3394" w:type="dxa"/>
            <w:vMerge w:val="restart"/>
            <w:tcBorders>
              <w:top w:val="single" w:sz="4" w:space="0" w:color="000000"/>
              <w:left w:val="single" w:sz="4" w:space="0" w:color="000000"/>
              <w:right w:val="single" w:sz="4" w:space="0" w:color="000000"/>
            </w:tcBorders>
          </w:tcPr>
          <w:p>
            <w:pPr>
              <w:pStyle w:val="TableParagraph"/>
              <w:spacing w:line="281" w:lineRule="exact"/>
              <w:ind w:right="0"/>
              <w:jc w:val="center"/>
              <w:rPr>
                <w:rFonts w:ascii="宋体" w:hAnsi="宋体" w:cs="宋体" w:eastAsia="宋体" w:hint="default"/>
                <w:sz w:val="21"/>
                <w:szCs w:val="21"/>
              </w:rPr>
            </w:pPr>
            <w:r>
              <w:rPr>
                <w:rFonts w:ascii="宋体" w:hAnsi="宋体" w:cs="宋体" w:eastAsia="宋体" w:hint="default"/>
                <w:sz w:val="21"/>
                <w:szCs w:val="21"/>
              </w:rPr>
              <w:t>上海市张江高科技园区科苑路</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151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号</w:t>
            </w:r>
          </w:p>
          <w:p>
            <w:pPr>
              <w:pStyle w:val="TableParagraph"/>
              <w:spacing w:line="240" w:lineRule="auto" w:before="21"/>
              <w:ind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楼</w:t>
            </w:r>
          </w:p>
        </w:tc>
      </w:tr>
      <w:tr>
        <w:trPr>
          <w:trHeight w:val="312" w:hRule="exact"/>
        </w:trPr>
        <w:tc>
          <w:tcPr>
            <w:tcW w:w="157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395" w:type="dxa"/>
            <w:vMerge/>
            <w:tcBorders>
              <w:left w:val="single" w:sz="10" w:space="0" w:color="DCDCDC"/>
              <w:right w:val="single" w:sz="4" w:space="0" w:color="000000"/>
            </w:tcBorders>
          </w:tcPr>
          <w:p>
            <w:pPr/>
          </w:p>
        </w:tc>
        <w:tc>
          <w:tcPr>
            <w:tcW w:w="3394" w:type="dxa"/>
            <w:vMerge/>
            <w:tcBorders>
              <w:left w:val="single" w:sz="4" w:space="0" w:color="000000"/>
              <w:right w:val="single" w:sz="4" w:space="0" w:color="000000"/>
            </w:tcBorders>
          </w:tcPr>
          <w:p>
            <w:pPr/>
          </w:p>
        </w:tc>
      </w:tr>
      <w:tr>
        <w:trPr>
          <w:trHeight w:val="161" w:hRule="exact"/>
        </w:trPr>
        <w:tc>
          <w:tcPr>
            <w:tcW w:w="1577" w:type="dxa"/>
            <w:tcBorders>
              <w:top w:val="nil" w:sz="6" w:space="0" w:color="auto"/>
              <w:left w:val="single" w:sz="4" w:space="0" w:color="000000"/>
              <w:bottom w:val="single" w:sz="4" w:space="0" w:color="000000"/>
              <w:right w:val="single" w:sz="4" w:space="0" w:color="000000"/>
            </w:tcBorders>
            <w:shd w:val="clear" w:color="auto" w:fill="DCDCDC"/>
          </w:tcPr>
          <w:p>
            <w:pPr/>
          </w:p>
        </w:tc>
        <w:tc>
          <w:tcPr>
            <w:tcW w:w="3395" w:type="dxa"/>
            <w:vMerge/>
            <w:tcBorders>
              <w:left w:val="single" w:sz="10" w:space="0" w:color="DCDCDC"/>
              <w:bottom w:val="single" w:sz="4" w:space="0" w:color="000000"/>
              <w:right w:val="single" w:sz="4" w:space="0" w:color="000000"/>
            </w:tcBorders>
          </w:tcPr>
          <w:p>
            <w:pPr/>
          </w:p>
        </w:tc>
        <w:tc>
          <w:tcPr>
            <w:tcW w:w="3394" w:type="dxa"/>
            <w:vMerge/>
            <w:tcBorders>
              <w:left w:val="single" w:sz="4" w:space="0" w:color="000000"/>
              <w:bottom w:val="single" w:sz="4" w:space="0" w:color="000000"/>
              <w:right w:val="single" w:sz="4" w:space="0" w:color="000000"/>
            </w:tcBorders>
          </w:tcPr>
          <w:p>
            <w:pPr/>
          </w:p>
        </w:tc>
      </w:tr>
      <w:tr>
        <w:trPr>
          <w:trHeight w:val="322" w:hRule="exact"/>
        </w:trPr>
        <w:tc>
          <w:tcPr>
            <w:tcW w:w="1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电话</w:t>
            </w:r>
          </w:p>
        </w:tc>
        <w:tc>
          <w:tcPr>
            <w:tcW w:w="339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7"/>
              <w:jc w:val="center"/>
              <w:rPr>
                <w:rFonts w:ascii="Times New Roman" w:hAnsi="Times New Roman" w:cs="Times New Roman" w:eastAsia="Times New Roman" w:hint="default"/>
                <w:sz w:val="21"/>
                <w:szCs w:val="21"/>
              </w:rPr>
            </w:pPr>
            <w:r>
              <w:rPr>
                <w:rFonts w:ascii="Times New Roman"/>
                <w:sz w:val="21"/>
              </w:rPr>
              <w:t>021-50274885</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021-50274885</w:t>
            </w:r>
          </w:p>
        </w:tc>
      </w:tr>
      <w:tr>
        <w:trPr>
          <w:trHeight w:val="322" w:hRule="exact"/>
        </w:trPr>
        <w:tc>
          <w:tcPr>
            <w:tcW w:w="1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传真</w:t>
            </w:r>
          </w:p>
        </w:tc>
        <w:tc>
          <w:tcPr>
            <w:tcW w:w="339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7"/>
              <w:jc w:val="center"/>
              <w:rPr>
                <w:rFonts w:ascii="Times New Roman" w:hAnsi="Times New Roman" w:cs="Times New Roman" w:eastAsia="Times New Roman" w:hint="default"/>
                <w:sz w:val="21"/>
                <w:szCs w:val="21"/>
              </w:rPr>
            </w:pPr>
            <w:r>
              <w:rPr>
                <w:rFonts w:ascii="Times New Roman"/>
                <w:sz w:val="21"/>
              </w:rPr>
              <w:t>021-50802934</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021-50802934</w:t>
            </w:r>
          </w:p>
        </w:tc>
      </w:tr>
      <w:tr>
        <w:trPr>
          <w:trHeight w:val="322" w:hRule="exact"/>
        </w:trPr>
        <w:tc>
          <w:tcPr>
            <w:tcW w:w="1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39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11"/>
              <w:jc w:val="center"/>
              <w:rPr>
                <w:rFonts w:ascii="Times New Roman" w:hAnsi="Times New Roman" w:cs="Times New Roman" w:eastAsia="Times New Roman" w:hint="default"/>
                <w:sz w:val="21"/>
                <w:szCs w:val="21"/>
              </w:rPr>
            </w:pPr>
            <w:hyperlink r:id="rId8">
              <w:r>
                <w:rPr>
                  <w:rFonts w:ascii="Times New Roman"/>
                  <w:sz w:val="21"/>
                </w:rPr>
                <w:t>mars.zhang@hand-china.com</w:t>
              </w:r>
            </w:hyperlink>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center"/>
              <w:rPr>
                <w:rFonts w:ascii="Times New Roman" w:hAnsi="Times New Roman" w:cs="Times New Roman" w:eastAsia="Times New Roman" w:hint="default"/>
                <w:sz w:val="21"/>
                <w:szCs w:val="21"/>
              </w:rPr>
            </w:pPr>
            <w:hyperlink r:id="rId9">
              <w:r>
                <w:rPr>
                  <w:rFonts w:ascii="Times New Roman"/>
                  <w:sz w:val="21"/>
                </w:rPr>
                <w:t>investors@vip.hand-china.com</w:t>
              </w:r>
            </w:hyperlink>
          </w:p>
        </w:tc>
      </w:tr>
    </w:tbl>
    <w:p>
      <w:pPr>
        <w:pStyle w:val="BodyText"/>
        <w:tabs>
          <w:tab w:pos="980" w:val="left" w:leader="none"/>
        </w:tabs>
        <w:spacing w:line="292" w:lineRule="exact" w:before="0"/>
        <w:ind w:right="159"/>
        <w:jc w:val="left"/>
      </w:pPr>
      <w:r>
        <w:rPr/>
        <w:t>四、</w:t>
        <w:tab/>
        <w:t>公司注册地址：上海市青浦工业园区外青松公路</w:t>
      </w:r>
      <w:r>
        <w:rPr>
          <w:spacing w:val="-60"/>
        </w:rPr>
        <w:t> </w:t>
      </w:r>
      <w:r>
        <w:rPr>
          <w:rFonts w:ascii="Times New Roman" w:hAnsi="Times New Roman" w:cs="Times New Roman" w:eastAsia="Times New Roman" w:hint="default"/>
        </w:rPr>
        <w:t>5500 </w:t>
      </w:r>
      <w:r>
        <w:rPr/>
        <w:t>号</w:t>
      </w:r>
      <w:r>
        <w:rPr>
          <w:spacing w:val="-60"/>
        </w:rPr>
        <w:t> </w:t>
      </w:r>
      <w:r>
        <w:rPr>
          <w:rFonts w:ascii="Times New Roman" w:hAnsi="Times New Roman" w:cs="Times New Roman" w:eastAsia="Times New Roman" w:hint="default"/>
        </w:rPr>
        <w:t>303 </w:t>
      </w:r>
      <w:r>
        <w:rPr/>
        <w:t>室</w:t>
      </w:r>
    </w:p>
    <w:p>
      <w:pPr>
        <w:pStyle w:val="BodyText"/>
        <w:spacing w:line="240" w:lineRule="auto" w:before="136"/>
        <w:ind w:left="620" w:right="159"/>
        <w:jc w:val="left"/>
        <w:rPr>
          <w:rFonts w:ascii="Times New Roman" w:hAnsi="Times New Roman" w:cs="Times New Roman" w:eastAsia="Times New Roman" w:hint="default"/>
        </w:rPr>
      </w:pPr>
      <w:r>
        <w:rPr/>
        <w:t>注册地邮政编码： </w:t>
      </w:r>
      <w:r>
        <w:rPr>
          <w:rFonts w:ascii="Times New Roman" w:hAnsi="Times New Roman" w:cs="Times New Roman" w:eastAsia="Times New Roman" w:hint="default"/>
        </w:rPr>
        <w:t>201700</w:t>
      </w:r>
    </w:p>
    <w:p>
      <w:pPr>
        <w:pStyle w:val="BodyText"/>
        <w:spacing w:line="338" w:lineRule="auto" w:before="133"/>
        <w:ind w:left="620" w:right="1783"/>
        <w:jc w:val="left"/>
        <w:rPr>
          <w:rFonts w:ascii="Times New Roman" w:hAnsi="Times New Roman" w:cs="Times New Roman" w:eastAsia="Times New Roman" w:hint="default"/>
        </w:rPr>
      </w:pPr>
      <w:r>
        <w:rPr/>
        <w:t>公司办公地址：上海市张江高科技园区科苑路</w:t>
      </w:r>
      <w:r>
        <w:rPr>
          <w:spacing w:val="-60"/>
        </w:rPr>
        <w:t> </w:t>
      </w:r>
      <w:r>
        <w:rPr>
          <w:rFonts w:ascii="Times New Roman" w:hAnsi="Times New Roman" w:cs="Times New Roman" w:eastAsia="Times New Roman" w:hint="default"/>
        </w:rPr>
        <w:t>151</w:t>
      </w:r>
      <w:r>
        <w:rPr>
          <w:rFonts w:ascii="Times New Roman" w:hAnsi="Times New Roman" w:cs="Times New Roman" w:eastAsia="Times New Roman" w:hint="default"/>
          <w:spacing w:val="-1"/>
        </w:rPr>
        <w:t> </w:t>
      </w:r>
      <w:r>
        <w:rPr/>
        <w:t>号</w:t>
      </w:r>
      <w:r>
        <w:rPr>
          <w:spacing w:val="-61"/>
        </w:rPr>
        <w:t> </w:t>
      </w:r>
      <w:r>
        <w:rPr>
          <w:rFonts w:ascii="Times New Roman" w:hAnsi="Times New Roman" w:cs="Times New Roman" w:eastAsia="Times New Roman" w:hint="default"/>
        </w:rPr>
        <w:t>3-4</w:t>
      </w:r>
      <w:r>
        <w:rPr>
          <w:rFonts w:ascii="Times New Roman" w:hAnsi="Times New Roman" w:cs="Times New Roman" w:eastAsia="Times New Roman" w:hint="default"/>
          <w:spacing w:val="-1"/>
        </w:rPr>
        <w:t> </w:t>
      </w:r>
      <w:r>
        <w:rPr/>
        <w:t>楼 办公地址邮政编码：</w:t>
      </w:r>
      <w:r>
        <w:rPr>
          <w:rFonts w:ascii="Times New Roman" w:hAnsi="Times New Roman" w:cs="Times New Roman" w:eastAsia="Times New Roman" w:hint="default"/>
        </w:rPr>
        <w:t>201203 </w:t>
      </w:r>
      <w:r>
        <w:rPr/>
        <w:t>公司国际互联网地址：</w:t>
      </w:r>
      <w:r>
        <w:rPr>
          <w:rFonts w:ascii="Times New Roman" w:hAnsi="Times New Roman" w:cs="Times New Roman" w:eastAsia="Times New Roman" w:hint="default"/>
          <w:color w:val="0000FF"/>
        </w:rPr>
      </w:r>
      <w:hyperlink r:id="rId10">
        <w:r>
          <w:rPr>
            <w:rFonts w:ascii="Times New Roman" w:hAnsi="Times New Roman" w:cs="Times New Roman" w:eastAsia="Times New Roman" w:hint="default"/>
            <w:color w:val="0000FF"/>
            <w:u w:val="single" w:color="0000FF"/>
          </w:rPr>
          <w:t>www.hand-china.com</w:t>
        </w:r>
        <w:r>
          <w:rPr>
            <w:rFonts w:ascii="Times New Roman" w:hAnsi="Times New Roman" w:cs="Times New Roman" w:eastAsia="Times New Roman" w:hint="default"/>
            <w:color w:val="0000FF"/>
            <w:w w:val="99"/>
          </w:rPr>
        </w:r>
      </w:hyperlink>
      <w:r>
        <w:rPr>
          <w:rFonts w:ascii="Times New Roman" w:hAnsi="Times New Roman" w:cs="Times New Roman" w:eastAsia="Times New Roman" w:hint="default"/>
          <w:color w:val="0000FF"/>
          <w:w w:val="99"/>
        </w:rPr>
        <w:t> </w:t>
      </w:r>
      <w:r>
        <w:rPr/>
        <w:t>电子邮箱：</w:t>
      </w:r>
      <w:hyperlink r:id="rId9">
        <w:r>
          <w:rPr>
            <w:rFonts w:ascii="Times New Roman" w:hAnsi="Times New Roman" w:cs="Times New Roman" w:eastAsia="Times New Roman" w:hint="default"/>
            <w:color w:val="0000FF"/>
          </w:rPr>
        </w:r>
        <w:r>
          <w:rPr>
            <w:rFonts w:ascii="Times New Roman" w:hAnsi="Times New Roman" w:cs="Times New Roman" w:eastAsia="Times New Roman" w:hint="default"/>
            <w:color w:val="0000FF"/>
            <w:u w:val="single" w:color="0000FF"/>
          </w:rPr>
          <w:t>investors@vip.hand-china.com</w:t>
        </w:r>
        <w:r>
          <w:rPr>
            <w:rFonts w:ascii="Times New Roman" w:hAnsi="Times New Roman" w:cs="Times New Roman" w:eastAsia="Times New Roman" w:hint="default"/>
            <w:color w:val="0000FF"/>
          </w:rPr>
        </w:r>
        <w:r>
          <w:rPr>
            <w:rFonts w:ascii="Times New Roman" w:hAnsi="Times New Roman" w:cs="Times New Roman" w:eastAsia="Times New Roman" w:hint="default"/>
          </w:rPr>
        </w:r>
      </w:hyperlink>
    </w:p>
    <w:p>
      <w:pPr>
        <w:pStyle w:val="BodyText"/>
        <w:tabs>
          <w:tab w:pos="980" w:val="left" w:leader="none"/>
        </w:tabs>
        <w:spacing w:line="348" w:lineRule="auto" w:before="24"/>
        <w:ind w:left="620" w:right="159" w:hanging="480"/>
        <w:jc w:val="left"/>
      </w:pPr>
      <w:r>
        <w:rPr/>
        <w:t>五、</w:t>
        <w:tab/>
        <w:t>公司选定的信息披露报纸：《证券时报》 登载年度报告的网站地址：</w:t>
      </w:r>
      <w:r>
        <w:rPr>
          <w:rFonts w:ascii="Times New Roman" w:hAnsi="Times New Roman" w:cs="Times New Roman" w:eastAsia="Times New Roman" w:hint="default"/>
          <w:color w:val="0000FF"/>
        </w:rPr>
      </w:r>
      <w:hyperlink r:id="rId11">
        <w:r>
          <w:rPr>
            <w:rFonts w:ascii="Times New Roman" w:hAnsi="Times New Roman" w:cs="Times New Roman" w:eastAsia="Times New Roman" w:hint="default"/>
            <w:color w:val="0000FF"/>
            <w:u w:val="single" w:color="0000FF"/>
          </w:rPr>
          <w:t>www.cninfo.com.cn</w:t>
        </w:r>
        <w:r>
          <w:rPr>
            <w:rFonts w:ascii="Times New Roman" w:hAnsi="Times New Roman" w:cs="Times New Roman" w:eastAsia="Times New Roman" w:hint="default"/>
            <w:color w:val="0000FF"/>
            <w:w w:val="99"/>
          </w:rPr>
        </w:r>
      </w:hyperlink>
      <w:r>
        <w:rPr>
          <w:rFonts w:ascii="Times New Roman" w:hAnsi="Times New Roman" w:cs="Times New Roman" w:eastAsia="Times New Roman" w:hint="default"/>
          <w:color w:val="0000FF"/>
          <w:w w:val="99"/>
        </w:rPr>
        <w:t> </w:t>
      </w:r>
      <w:r>
        <w:rPr/>
        <w:t>公司年度报告置备地点：上海市张江高科技园区科苑路</w:t>
      </w:r>
      <w:r>
        <w:rPr>
          <w:spacing w:val="-72"/>
        </w:rPr>
        <w:t> </w:t>
      </w:r>
      <w:r>
        <w:rPr>
          <w:rFonts w:ascii="Times New Roman" w:hAnsi="Times New Roman" w:cs="Times New Roman" w:eastAsia="Times New Roman" w:hint="default"/>
        </w:rPr>
        <w:t>151</w:t>
      </w:r>
      <w:r>
        <w:rPr>
          <w:rFonts w:ascii="Times New Roman" w:hAnsi="Times New Roman" w:cs="Times New Roman" w:eastAsia="Times New Roman" w:hint="default"/>
          <w:spacing w:val="-12"/>
        </w:rPr>
        <w:t> </w:t>
      </w:r>
      <w:r>
        <w:rPr/>
        <w:t>号</w:t>
      </w:r>
      <w:r>
        <w:rPr>
          <w:spacing w:val="-72"/>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spacing w:val="-10"/>
        </w:rPr>
        <w:t>楼（上海汉</w:t>
      </w:r>
    </w:p>
    <w:p>
      <w:pPr>
        <w:pStyle w:val="BodyText"/>
        <w:spacing w:line="240" w:lineRule="auto" w:before="14"/>
        <w:ind w:right="159"/>
        <w:jc w:val="left"/>
      </w:pPr>
      <w:r>
        <w:rPr/>
        <w:t>得信息技术股份有限公司证券部）</w:t>
      </w:r>
    </w:p>
    <w:p>
      <w:pPr>
        <w:pStyle w:val="BodyText"/>
        <w:tabs>
          <w:tab w:pos="980" w:val="left" w:leader="none"/>
        </w:tabs>
        <w:spacing w:line="355" w:lineRule="auto"/>
        <w:ind w:left="620" w:right="3545" w:hanging="480"/>
        <w:jc w:val="left"/>
      </w:pPr>
      <w:r>
        <w:rPr/>
        <w:t>六、</w:t>
        <w:tab/>
        <w:t>公司股票上市交易所：深圳证券交易所 股票简称：汉得信息</w:t>
      </w:r>
    </w:p>
    <w:p>
      <w:pPr>
        <w:pStyle w:val="BodyText"/>
        <w:spacing w:line="240" w:lineRule="auto" w:before="38"/>
        <w:ind w:left="620" w:right="159"/>
        <w:jc w:val="left"/>
        <w:rPr>
          <w:rFonts w:ascii="Times New Roman" w:hAnsi="Times New Roman" w:cs="Times New Roman" w:eastAsia="Times New Roman" w:hint="default"/>
        </w:rPr>
      </w:pPr>
      <w:r>
        <w:rPr/>
        <w:t>股票代码：</w:t>
      </w:r>
      <w:r>
        <w:rPr>
          <w:rFonts w:ascii="Times New Roman" w:hAnsi="Times New Roman" w:cs="Times New Roman" w:eastAsia="Times New Roman" w:hint="default"/>
        </w:rPr>
        <w:t>300170</w:t>
      </w:r>
    </w:p>
    <w:p>
      <w:pPr>
        <w:spacing w:after="0" w:line="240" w:lineRule="auto"/>
        <w:jc w:val="left"/>
        <w:rPr>
          <w:rFonts w:ascii="Times New Roman" w:hAnsi="Times New Roman" w:cs="Times New Roman" w:eastAsia="Times New Roman" w:hint="default"/>
        </w:rPr>
        <w:sectPr>
          <w:pgSz w:w="11910" w:h="16840"/>
          <w:pgMar w:header="884" w:footer="980" w:top="1140" w:bottom="1160" w:left="1660" w:right="1640"/>
        </w:sectPr>
      </w:pPr>
    </w:p>
    <w:p>
      <w:pPr>
        <w:spacing w:line="240" w:lineRule="auto" w:before="8"/>
        <w:rPr>
          <w:rFonts w:ascii="Times New Roman" w:hAnsi="Times New Roman" w:cs="Times New Roman" w:eastAsia="Times New Roman" w:hint="default"/>
          <w:sz w:val="18"/>
          <w:szCs w:val="18"/>
        </w:rPr>
      </w:pPr>
    </w:p>
    <w:p>
      <w:pPr>
        <w:pStyle w:val="BodyText"/>
        <w:tabs>
          <w:tab w:pos="980" w:val="left" w:leader="none"/>
        </w:tabs>
        <w:spacing w:line="357" w:lineRule="auto" w:before="26"/>
        <w:ind w:left="620" w:right="3443" w:hanging="480"/>
        <w:jc w:val="left"/>
      </w:pPr>
      <w:r>
        <w:rPr/>
        <w:t>七、</w:t>
        <w:tab/>
        <w:t>其他有关资料： 公司首次注册登记日期：</w:t>
      </w:r>
      <w:r>
        <w:rPr>
          <w:rFonts w:ascii="Times New Roman" w:hAnsi="Times New Roman" w:cs="Times New Roman" w:eastAsia="Times New Roman" w:hint="default"/>
        </w:rPr>
        <w:t>2002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15  </w:t>
      </w:r>
      <w:r>
        <w:rPr/>
        <w:t>日</w:t>
      </w:r>
    </w:p>
    <w:p>
      <w:pPr>
        <w:pStyle w:val="BodyText"/>
        <w:spacing w:line="424" w:lineRule="auto" w:before="3"/>
        <w:ind w:left="620" w:right="863"/>
        <w:jc w:val="left"/>
      </w:pPr>
      <w:r>
        <w:rPr/>
        <w:t>公司最新注册登记日期：</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27 </w:t>
      </w:r>
      <w:r>
        <w:rPr/>
        <w:t>日 公司企业法人营业执照注册号：</w:t>
      </w:r>
      <w:r>
        <w:rPr>
          <w:rFonts w:ascii="Times New Roman" w:hAnsi="Times New Roman" w:cs="Times New Roman" w:eastAsia="Times New Roman" w:hint="default"/>
        </w:rPr>
        <w:t>310000400308460</w:t>
      </w:r>
      <w:r>
        <w:rPr/>
        <w:t>（市局） 公司组织机构代码证：</w:t>
      </w:r>
      <w:r>
        <w:rPr>
          <w:rFonts w:ascii="Times New Roman" w:hAnsi="Times New Roman" w:cs="Times New Roman" w:eastAsia="Times New Roman" w:hint="default"/>
        </w:rPr>
        <w:t>74027295-X</w:t>
      </w:r>
      <w:r>
        <w:rPr>
          <w:rFonts w:ascii="Times New Roman" w:hAnsi="Times New Roman" w:cs="Times New Roman" w:eastAsia="Times New Roman" w:hint="default"/>
          <w:w w:val="99"/>
        </w:rPr>
        <w:t> </w:t>
      </w:r>
      <w:r>
        <w:rPr/>
        <w:t>公司税务登记号码：</w:t>
      </w:r>
      <w:r>
        <w:rPr>
          <w:rFonts w:ascii="Times New Roman" w:hAnsi="Times New Roman" w:cs="Times New Roman" w:eastAsia="Times New Roman" w:hint="default"/>
        </w:rPr>
        <w:t>31022974027295X</w:t>
      </w:r>
      <w:r>
        <w:rPr>
          <w:rFonts w:ascii="Times New Roman" w:hAnsi="Times New Roman" w:cs="Times New Roman" w:eastAsia="Times New Roman" w:hint="default"/>
          <w:w w:val="99"/>
        </w:rPr>
        <w:t> </w:t>
      </w:r>
      <w:r>
        <w:rPr/>
        <w:t>公司聘请的会计师事务所名称：立信会计师事务所（特殊普通合伙）</w:t>
      </w:r>
    </w:p>
    <w:p>
      <w:pPr>
        <w:pStyle w:val="BodyText"/>
        <w:tabs>
          <w:tab w:pos="980" w:val="left" w:leader="none"/>
        </w:tabs>
        <w:spacing w:line="336" w:lineRule="auto" w:before="89"/>
        <w:ind w:right="1343" w:firstLine="479"/>
        <w:jc w:val="left"/>
      </w:pPr>
      <w:r>
        <w:rPr/>
        <w:t>公司聘请的会计师事务所办公地点：上海市南京东路</w:t>
      </w:r>
      <w:r>
        <w:rPr>
          <w:spacing w:val="-60"/>
        </w:rPr>
        <w:t> </w:t>
      </w:r>
      <w:r>
        <w:rPr>
          <w:rFonts w:ascii="Times New Roman" w:hAnsi="Times New Roman" w:cs="Times New Roman" w:eastAsia="Times New Roman" w:hint="default"/>
        </w:rPr>
        <w:t>61 </w:t>
      </w:r>
      <w:r>
        <w:rPr/>
        <w:t>号</w:t>
      </w:r>
      <w:r>
        <w:rPr>
          <w:spacing w:val="-60"/>
        </w:rPr>
        <w:t> </w:t>
      </w:r>
      <w:r>
        <w:rPr>
          <w:rFonts w:ascii="Times New Roman" w:hAnsi="Times New Roman" w:cs="Times New Roman" w:eastAsia="Times New Roman" w:hint="default"/>
        </w:rPr>
        <w:t>4 </w:t>
      </w:r>
      <w:r>
        <w:rPr/>
        <w:t>楼 八、</w:t>
        <w:tab/>
        <w:t>公司历史沿革</w:t>
      </w:r>
    </w:p>
    <w:p>
      <w:pPr>
        <w:pStyle w:val="BodyText"/>
        <w:spacing w:line="348" w:lineRule="auto" w:before="58"/>
        <w:ind w:left="1040" w:right="229" w:hanging="420"/>
        <w:jc w:val="both"/>
      </w:pPr>
      <w:r>
        <w:rPr>
          <w:rFonts w:ascii="宋体" w:hAnsi="宋体" w:cs="宋体" w:eastAsia="宋体" w:hint="default"/>
        </w:rPr>
        <w:t>(</w:t>
      </w:r>
      <w:r>
        <w:rPr/>
        <w:t>一</w:t>
      </w:r>
      <w:r>
        <w:rPr>
          <w:rFonts w:ascii="宋体" w:hAnsi="宋体" w:cs="宋体" w:eastAsia="宋体" w:hint="default"/>
        </w:rPr>
        <w:t>) </w:t>
      </w:r>
      <w:r>
        <w:rPr/>
        <w:t>经中国证券监督管理委员会以证监许可</w:t>
      </w:r>
      <w:r>
        <w:rPr>
          <w:rFonts w:ascii="Times New Roman" w:hAnsi="Times New Roman" w:cs="Times New Roman" w:eastAsia="Times New Roman" w:hint="default"/>
        </w:rPr>
        <w:t>[2010]1835</w:t>
      </w:r>
      <w:r>
        <w:rPr>
          <w:rFonts w:ascii="Times New Roman" w:hAnsi="Times New Roman" w:cs="Times New Roman" w:eastAsia="Times New Roman" w:hint="default"/>
          <w:spacing w:val="42"/>
        </w:rPr>
        <w:t> </w:t>
      </w:r>
      <w:r>
        <w:rPr/>
        <w:t>号文《关于核准</w:t>
      </w:r>
      <w:r>
        <w:rPr>
          <w:spacing w:val="2"/>
        </w:rPr>
        <w:t> </w:t>
      </w:r>
      <w:r>
        <w:rPr>
          <w:spacing w:val="7"/>
        </w:rPr>
        <w:t>上海汉得信息技术股份有限公司首次公开发行股票并在创业板上市的</w:t>
      </w:r>
      <w:r>
        <w:rPr>
          <w:spacing w:val="7"/>
        </w:rPr>
        <w:t> </w:t>
      </w:r>
      <w:r>
        <w:rPr/>
        <w:t>批复》核准，向社会公开发行</w:t>
      </w:r>
      <w:r>
        <w:rPr>
          <w:spacing w:val="-55"/>
        </w:rPr>
        <w:t> </w:t>
      </w:r>
      <w:r>
        <w:rPr>
          <w:rFonts w:ascii="Times New Roman" w:hAnsi="Times New Roman" w:cs="Times New Roman" w:eastAsia="Times New Roman" w:hint="default"/>
        </w:rPr>
        <w:t>30,000,000.00</w:t>
      </w:r>
      <w:r>
        <w:rPr>
          <w:rFonts w:ascii="Times New Roman" w:hAnsi="Times New Roman" w:cs="Times New Roman" w:eastAsia="Times New Roman" w:hint="default"/>
          <w:spacing w:val="5"/>
        </w:rPr>
        <w:t> </w:t>
      </w:r>
      <w:r>
        <w:rPr/>
        <w:t>股新股，并于</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p>
    <w:p>
      <w:pPr>
        <w:pStyle w:val="BodyText"/>
        <w:spacing w:line="240" w:lineRule="auto" w:before="13"/>
        <w:ind w:left="1040" w:right="0"/>
        <w:jc w:val="left"/>
        <w:rPr>
          <w:rFonts w:ascii="Times New Roman" w:hAnsi="Times New Roman" w:cs="Times New Roman" w:eastAsia="Times New Roman" w:hint="default"/>
        </w:rPr>
      </w:pPr>
      <w:r>
        <w:rPr>
          <w:rFonts w:ascii="Times New Roman" w:hAnsi="Times New Roman" w:cs="Times New Roman" w:eastAsia="Times New Roman" w:hint="default"/>
        </w:rPr>
        <w:t>1 </w:t>
      </w:r>
      <w:r>
        <w:rPr>
          <w:spacing w:val="-4"/>
        </w:rPr>
        <w:t>日在深圳证券交易所创业板上市交易，注册资本增加为</w:t>
      </w:r>
      <w:r>
        <w:rPr>
          <w:spacing w:val="-57"/>
        </w:rPr>
        <w:t> </w:t>
      </w:r>
      <w:r>
        <w:rPr>
          <w:rFonts w:ascii="Times New Roman" w:hAnsi="Times New Roman" w:cs="Times New Roman" w:eastAsia="Times New Roman" w:hint="default"/>
        </w:rPr>
        <w:t>115,724,482.00</w:t>
      </w:r>
    </w:p>
    <w:p>
      <w:pPr>
        <w:pStyle w:val="BodyText"/>
        <w:spacing w:line="336" w:lineRule="auto" w:before="135"/>
        <w:ind w:left="1040" w:right="221"/>
        <w:jc w:val="left"/>
      </w:pPr>
      <w:r>
        <w:rPr/>
        <w:t>元。公司于</w:t>
      </w:r>
      <w:r>
        <w:rPr>
          <w:spacing w:val="-4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5"/>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月</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t>日取得上海市工商行政管理局换发的《企业 法人营业执照》。</w:t>
      </w:r>
    </w:p>
    <w:p>
      <w:pPr>
        <w:pStyle w:val="BodyText"/>
        <w:tabs>
          <w:tab w:pos="1400" w:val="left" w:leader="none"/>
        </w:tabs>
        <w:spacing w:line="240" w:lineRule="auto" w:before="58"/>
        <w:ind w:left="620" w:right="0"/>
        <w:jc w:val="left"/>
      </w:pPr>
      <w:r>
        <w:rPr>
          <w:rFonts w:ascii="宋体" w:hAnsi="宋体" w:cs="宋体" w:eastAsia="宋体" w:hint="default"/>
        </w:rPr>
        <w:t>(</w:t>
      </w:r>
      <w:r>
        <w:rPr/>
        <w:t>二</w:t>
      </w:r>
      <w:r>
        <w:rPr>
          <w:rFonts w:ascii="宋体" w:hAnsi="宋体" w:cs="宋体" w:eastAsia="宋体" w:hint="default"/>
        </w:rPr>
        <w:t>)</w:t>
        <w:tab/>
      </w:r>
      <w:r>
        <w:rPr/>
        <w:t>根据公司</w:t>
      </w:r>
      <w:r>
        <w:rPr>
          <w:spacing w:val="-4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日股东大会决议，以首次公开发行股票后</w:t>
      </w:r>
    </w:p>
    <w:p>
      <w:pPr>
        <w:pStyle w:val="BodyText"/>
        <w:spacing w:line="240" w:lineRule="auto" w:before="136"/>
        <w:ind w:left="1040" w:right="0"/>
        <w:jc w:val="left"/>
        <w:rPr>
          <w:rFonts w:ascii="Times New Roman" w:hAnsi="Times New Roman" w:cs="Times New Roman" w:eastAsia="Times New Roman" w:hint="default"/>
        </w:rPr>
      </w:pPr>
      <w:r>
        <w:rPr/>
        <w:t>的总股本 </w:t>
      </w:r>
      <w:r>
        <w:rPr>
          <w:rFonts w:ascii="Times New Roman" w:hAnsi="Times New Roman" w:cs="Times New Roman" w:eastAsia="Times New Roman" w:hint="default"/>
        </w:rPr>
        <w:t>115,724,482  </w:t>
      </w:r>
      <w:r>
        <w:rPr/>
        <w:t>股为基数，向全体股东以每 </w:t>
      </w:r>
      <w:r>
        <w:rPr>
          <w:rFonts w:ascii="Times New Roman" w:hAnsi="Times New Roman" w:cs="Times New Roman" w:eastAsia="Times New Roman" w:hint="default"/>
        </w:rPr>
        <w:t>10  </w:t>
      </w:r>
      <w:r>
        <w:rPr/>
        <w:t>股派发人民币</w:t>
      </w:r>
      <w:r>
        <w:rPr>
          <w:spacing w:val="-34"/>
        </w:rPr>
        <w:t> </w:t>
      </w:r>
      <w:r>
        <w:rPr>
          <w:rFonts w:ascii="Times New Roman" w:hAnsi="Times New Roman" w:cs="Times New Roman" w:eastAsia="Times New Roman" w:hint="default"/>
        </w:rPr>
        <w:t>3</w:t>
      </w:r>
    </w:p>
    <w:p>
      <w:pPr>
        <w:pStyle w:val="BodyText"/>
        <w:spacing w:line="240" w:lineRule="auto" w:before="133"/>
        <w:ind w:left="1040" w:right="0"/>
        <w:jc w:val="left"/>
      </w:pPr>
      <w:r>
        <w:rPr/>
        <w:t>元现金（含税）的股利分红，合计派发现金红利人民币 </w:t>
      </w:r>
      <w:r>
        <w:rPr>
          <w:rFonts w:ascii="Times New Roman" w:hAnsi="Times New Roman" w:cs="Times New Roman" w:eastAsia="Times New Roman" w:hint="default"/>
        </w:rPr>
        <w:t>34,717,345</w:t>
      </w:r>
      <w:r>
        <w:rPr>
          <w:rFonts w:ascii="Times New Roman" w:hAnsi="Times New Roman" w:cs="Times New Roman" w:eastAsia="Times New Roman" w:hint="default"/>
          <w:spacing w:val="27"/>
        </w:rPr>
        <w:t> </w:t>
      </w:r>
      <w:r>
        <w:rPr/>
        <w:t>元。</w:t>
      </w:r>
    </w:p>
    <w:p>
      <w:pPr>
        <w:pStyle w:val="BodyText"/>
        <w:spacing w:line="240" w:lineRule="auto" w:before="135"/>
        <w:ind w:left="1040" w:right="0"/>
        <w:jc w:val="left"/>
      </w:pPr>
      <w:r>
        <w:rPr/>
        <w:t>同时，以首次公开发行股票后的总股本 </w:t>
      </w:r>
      <w:r>
        <w:rPr>
          <w:rFonts w:ascii="Times New Roman" w:hAnsi="Times New Roman" w:cs="Times New Roman" w:eastAsia="Times New Roman" w:hint="default"/>
        </w:rPr>
        <w:t>115,724,482</w:t>
      </w:r>
      <w:r>
        <w:rPr>
          <w:rFonts w:ascii="Times New Roman" w:hAnsi="Times New Roman" w:cs="Times New Roman" w:eastAsia="Times New Roman" w:hint="default"/>
          <w:spacing w:val="27"/>
        </w:rPr>
        <w:t> </w:t>
      </w:r>
      <w:r>
        <w:rPr/>
        <w:t>股为基数，以资本</w:t>
      </w:r>
    </w:p>
    <w:p>
      <w:pPr>
        <w:pStyle w:val="BodyText"/>
        <w:spacing w:line="240" w:lineRule="auto" w:before="133"/>
        <w:ind w:left="1040" w:right="0"/>
        <w:jc w:val="left"/>
      </w:pPr>
      <w:r>
        <w:rPr/>
        <w:t>公积金向全体股东每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4 </w:t>
      </w:r>
      <w:r>
        <w:rPr>
          <w:spacing w:val="-12"/>
        </w:rPr>
        <w:t>股，共计 </w:t>
      </w:r>
      <w:r>
        <w:rPr>
          <w:rFonts w:ascii="Times New Roman" w:hAnsi="Times New Roman" w:cs="Times New Roman" w:eastAsia="Times New Roman" w:hint="default"/>
        </w:rPr>
        <w:t>46,289,792</w:t>
      </w:r>
      <w:r>
        <w:rPr>
          <w:rFonts w:ascii="Times New Roman" w:hAnsi="Times New Roman" w:cs="Times New Roman" w:eastAsia="Times New Roman" w:hint="default"/>
          <w:spacing w:val="13"/>
        </w:rPr>
        <w:t> </w:t>
      </w:r>
      <w:r>
        <w:rPr>
          <w:spacing w:val="-7"/>
        </w:rPr>
        <w:t>股，转增后注册</w:t>
      </w:r>
    </w:p>
    <w:p>
      <w:pPr>
        <w:pStyle w:val="BodyText"/>
        <w:spacing w:line="336" w:lineRule="auto" w:before="135"/>
        <w:ind w:left="1040" w:right="229"/>
        <w:jc w:val="left"/>
      </w:pPr>
      <w:r>
        <w:rPr/>
        <w:t>资本为人民币</w:t>
      </w:r>
      <w:r>
        <w:rPr>
          <w:spacing w:val="-57"/>
        </w:rPr>
        <w:t> </w:t>
      </w:r>
      <w:r>
        <w:rPr>
          <w:rFonts w:ascii="Times New Roman" w:hAnsi="Times New Roman" w:cs="Times New Roman" w:eastAsia="Times New Roman" w:hint="default"/>
        </w:rPr>
        <w:t>162,014,274.00</w:t>
      </w:r>
      <w:r>
        <w:rPr>
          <w:rFonts w:ascii="Times New Roman" w:hAnsi="Times New Roman" w:cs="Times New Roman" w:eastAsia="Times New Roman" w:hint="default"/>
          <w:spacing w:val="2"/>
        </w:rPr>
        <w:t> </w:t>
      </w:r>
      <w:r>
        <w:rPr/>
        <w:t>元。公司于</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日取得上海市 工商行政管理局换发的《企业法人营业执照》。</w:t>
      </w:r>
    </w:p>
    <w:p>
      <w:pPr>
        <w:pStyle w:val="BodyText"/>
        <w:spacing w:line="350" w:lineRule="auto" w:before="58"/>
        <w:ind w:left="1040" w:right="236" w:hanging="420"/>
        <w:jc w:val="both"/>
        <w:rPr>
          <w:rFonts w:ascii="Times New Roman" w:hAnsi="Times New Roman" w:cs="Times New Roman" w:eastAsia="Times New Roman" w:hint="default"/>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44"/>
        </w:rPr>
        <w:t> </w:t>
      </w:r>
      <w:r>
        <w:rPr/>
        <w:t>根据公司</w:t>
      </w:r>
      <w:r>
        <w:rPr>
          <w:spacing w:val="-6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日的第一次临时股东大会的决议、第一届董 </w:t>
      </w:r>
      <w:r>
        <w:rPr>
          <w:spacing w:val="-2"/>
        </w:rPr>
        <w:t>事会第十四次（临时）会议关于授予限制性股票的决议、第一届董事会</w:t>
      </w:r>
      <w:r>
        <w:rPr/>
        <w:t> </w:t>
      </w:r>
      <w:r>
        <w:rPr>
          <w:spacing w:val="-2"/>
        </w:rPr>
        <w:t>第十七次（临时）会议对授予股数和人数的调整以及《上海汉得信息技</w:t>
      </w:r>
      <w:r>
        <w:rPr/>
        <w:t> </w:t>
      </w:r>
      <w:r>
        <w:rPr>
          <w:spacing w:val="2"/>
        </w:rPr>
        <w:t>术股份有限公司限制性股票激励计划（草案修订稿）》，公司于</w:t>
      </w:r>
      <w:r>
        <w:rPr>
          <w:spacing w:val="23"/>
        </w:rPr>
        <w:t> </w:t>
      </w:r>
      <w:r>
        <w:rPr>
          <w:rFonts w:ascii="Times New Roman" w:hAnsi="Times New Roman" w:cs="Times New Roman" w:eastAsia="Times New Roman" w:hint="default"/>
        </w:rPr>
        <w:t>2011</w:t>
      </w:r>
    </w:p>
    <w:p>
      <w:pPr>
        <w:pStyle w:val="BodyText"/>
        <w:spacing w:line="240" w:lineRule="auto" w:before="13"/>
        <w:ind w:left="1040" w:right="0"/>
        <w:jc w:val="left"/>
      </w:pP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日向共计</w:t>
      </w:r>
      <w:r>
        <w:rPr>
          <w:spacing w:val="-50"/>
        </w:rPr>
        <w:t> </w:t>
      </w:r>
      <w:r>
        <w:rPr>
          <w:rFonts w:ascii="Times New Roman" w:hAnsi="Times New Roman" w:cs="Times New Roman" w:eastAsia="Times New Roman" w:hint="default"/>
        </w:rPr>
        <w:t>314</w:t>
      </w:r>
      <w:r>
        <w:rPr>
          <w:rFonts w:ascii="Times New Roman" w:hAnsi="Times New Roman" w:cs="Times New Roman" w:eastAsia="Times New Roman" w:hint="default"/>
          <w:spacing w:val="9"/>
        </w:rPr>
        <w:t> </w:t>
      </w:r>
      <w:r>
        <w:rPr/>
        <w:t>名激励对象定向发行</w:t>
      </w:r>
      <w:r>
        <w:rPr>
          <w:spacing w:val="-48"/>
        </w:rPr>
        <w:t> </w:t>
      </w:r>
      <w:r>
        <w:rPr>
          <w:rFonts w:ascii="Times New Roman" w:hAnsi="Times New Roman" w:cs="Times New Roman" w:eastAsia="Times New Roman" w:hint="default"/>
        </w:rPr>
        <w:t>5,993,500</w:t>
      </w:r>
      <w:r>
        <w:rPr>
          <w:rFonts w:ascii="Times New Roman" w:hAnsi="Times New Roman" w:cs="Times New Roman" w:eastAsia="Times New Roman" w:hint="default"/>
          <w:spacing w:val="9"/>
        </w:rPr>
        <w:t> </w:t>
      </w:r>
      <w:r>
        <w:rPr/>
        <w:t>股限制性股票。</w:t>
      </w:r>
    </w:p>
    <w:p>
      <w:pPr>
        <w:pStyle w:val="BodyText"/>
        <w:spacing w:line="240" w:lineRule="auto" w:before="133"/>
        <w:ind w:left="1040" w:right="0"/>
        <w:jc w:val="left"/>
      </w:pPr>
      <w:r>
        <w:rPr>
          <w:spacing w:val="5"/>
        </w:rPr>
        <w:t>限制性股票授予完成后公司注册资本增至 </w:t>
      </w:r>
      <w:r>
        <w:rPr>
          <w:rFonts w:ascii="Times New Roman" w:hAnsi="Times New Roman" w:cs="Times New Roman" w:eastAsia="Times New Roman" w:hint="default"/>
        </w:rPr>
        <w:t>168,007,774.00 </w:t>
      </w:r>
      <w:r>
        <w:rPr>
          <w:rFonts w:ascii="Times New Roman" w:hAnsi="Times New Roman" w:cs="Times New Roman" w:eastAsia="Times New Roman" w:hint="default"/>
          <w:spacing w:val="14"/>
        </w:rPr>
        <w:t> </w:t>
      </w:r>
      <w:r>
        <w:rPr>
          <w:spacing w:val="4"/>
        </w:rPr>
        <w:t>元，公司于</w:t>
      </w:r>
    </w:p>
    <w:p>
      <w:pPr>
        <w:spacing w:after="0" w:line="240" w:lineRule="auto"/>
        <w:jc w:val="left"/>
        <w:sectPr>
          <w:pgSz w:w="11910" w:h="16840"/>
          <w:pgMar w:header="884" w:footer="980" w:top="1140" w:bottom="1160" w:left="1660" w:right="1560"/>
        </w:sectPr>
      </w:pPr>
    </w:p>
    <w:p>
      <w:pPr>
        <w:spacing w:line="240" w:lineRule="auto" w:before="5"/>
        <w:rPr>
          <w:rFonts w:ascii="宋体" w:hAnsi="宋体" w:cs="宋体" w:eastAsia="宋体" w:hint="default"/>
          <w:sz w:val="16"/>
          <w:szCs w:val="16"/>
        </w:rPr>
      </w:pPr>
    </w:p>
    <w:p>
      <w:pPr>
        <w:pStyle w:val="BodyText"/>
        <w:spacing w:line="338" w:lineRule="auto" w:before="26"/>
        <w:ind w:left="1040" w:right="182"/>
        <w:jc w:val="left"/>
      </w:pP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27 </w:t>
      </w:r>
      <w:r>
        <w:rPr>
          <w:spacing w:val="-4"/>
        </w:rPr>
        <w:t>日取得上海市工商行政管理局换发的《企业法人营业执</w:t>
      </w:r>
      <w:r>
        <w:rPr/>
        <w:t> 照》。</w:t>
      </w:r>
    </w:p>
    <w:p>
      <w:pPr>
        <w:pStyle w:val="BodyText"/>
        <w:spacing w:line="357" w:lineRule="auto" w:before="132"/>
        <w:ind w:right="87" w:firstLine="479"/>
        <w:jc w:val="left"/>
      </w:pPr>
      <w:r>
        <w:rPr/>
        <w:t>报告期内历次变更登记中，公司企业法人营业执照注册号、税务登记号码、 组织机构代码等未发生变更。</w:t>
      </w:r>
    </w:p>
    <w:p>
      <w:pPr>
        <w:spacing w:after="0" w:line="357" w:lineRule="auto"/>
        <w:jc w:val="left"/>
        <w:sectPr>
          <w:pgSz w:w="11910" w:h="16840"/>
          <w:pgMar w:header="884" w:footer="980" w:top="1140" w:bottom="1160" w:left="1660" w:right="16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1"/>
        <w:spacing w:line="460" w:lineRule="exact"/>
        <w:ind w:left="1671" w:right="0"/>
        <w:jc w:val="left"/>
        <w:rPr>
          <w:b w:val="0"/>
          <w:bCs w:val="0"/>
        </w:rPr>
      </w:pPr>
      <w:bookmarkStart w:name="_bookmark1" w:id="2"/>
      <w:bookmarkEnd w:id="2"/>
      <w:r>
        <w:rPr>
          <w:b w:val="0"/>
          <w:bCs w:val="0"/>
        </w:rPr>
      </w:r>
      <w:r>
        <w:rPr/>
        <w:t>第二节</w:t>
      </w:r>
      <w:r>
        <w:rPr>
          <w:spacing w:val="-2"/>
        </w:rPr>
        <w:t> </w:t>
      </w:r>
      <w:r>
        <w:rPr/>
        <w:t>会计数据和业务数据摘要</w:t>
      </w:r>
      <w:r>
        <w:rPr>
          <w:b w:val="0"/>
          <w:bCs w:val="0"/>
        </w:rPr>
      </w:r>
    </w:p>
    <w:p>
      <w:pPr>
        <w:spacing w:line="240" w:lineRule="auto" w:before="5"/>
        <w:rPr>
          <w:rFonts w:ascii="宋体" w:hAnsi="宋体" w:cs="宋体" w:eastAsia="宋体" w:hint="default"/>
          <w:b/>
          <w:bCs/>
          <w:sz w:val="40"/>
          <w:szCs w:val="40"/>
        </w:rPr>
      </w:pPr>
    </w:p>
    <w:p>
      <w:pPr>
        <w:pStyle w:val="Heading5"/>
        <w:tabs>
          <w:tab w:pos="980" w:val="left" w:leader="none"/>
        </w:tabs>
        <w:spacing w:line="240" w:lineRule="auto"/>
        <w:ind w:right="0"/>
        <w:jc w:val="left"/>
        <w:rPr>
          <w:b w:val="0"/>
          <w:bCs w:val="0"/>
        </w:rPr>
      </w:pPr>
      <w:r>
        <w:rPr/>
        <w:t>一、</w:t>
        <w:tab/>
        <w:t>主要会计数据</w:t>
      </w:r>
      <w:r>
        <w:rPr>
          <w:b w:val="0"/>
          <w:bCs w:val="0"/>
        </w:rPr>
      </w:r>
    </w:p>
    <w:p>
      <w:pPr>
        <w:spacing w:before="160"/>
        <w:ind w:left="0" w:right="133"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12"/>
        <w:rPr>
          <w:rFonts w:ascii="宋体" w:hAnsi="宋体" w:cs="宋体" w:eastAsia="宋体" w:hint="default"/>
          <w:sz w:val="13"/>
          <w:szCs w:val="13"/>
        </w:rPr>
      </w:pPr>
    </w:p>
    <w:tbl>
      <w:tblPr>
        <w:tblW w:w="0" w:type="auto"/>
        <w:jc w:val="left"/>
        <w:tblInd w:w="135" w:type="dxa"/>
        <w:tblLayout w:type="fixed"/>
        <w:tblCellMar>
          <w:top w:w="0" w:type="dxa"/>
          <w:left w:w="0" w:type="dxa"/>
          <w:bottom w:w="0" w:type="dxa"/>
          <w:right w:w="0" w:type="dxa"/>
        </w:tblCellMar>
        <w:tblLook w:val="01E0"/>
      </w:tblPr>
      <w:tblGrid>
        <w:gridCol w:w="1716"/>
        <w:gridCol w:w="1652"/>
        <w:gridCol w:w="1654"/>
        <w:gridCol w:w="1651"/>
        <w:gridCol w:w="1652"/>
      </w:tblGrid>
      <w:tr>
        <w:trPr>
          <w:trHeight w:val="350"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left="48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6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left="47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6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left="81" w:right="0"/>
              <w:jc w:val="left"/>
              <w:rPr>
                <w:rFonts w:ascii="宋体" w:hAnsi="宋体" w:cs="宋体" w:eastAsia="宋体" w:hint="default"/>
                <w:sz w:val="21"/>
                <w:szCs w:val="21"/>
              </w:rPr>
            </w:pPr>
            <w:r>
              <w:rPr>
                <w:rFonts w:ascii="宋体" w:hAnsi="宋体" w:cs="宋体" w:eastAsia="宋体" w:hint="default"/>
                <w:b/>
                <w:bCs/>
                <w:sz w:val="21"/>
                <w:szCs w:val="21"/>
              </w:rPr>
              <w:t>本年比上年增减</w:t>
            </w:r>
            <w:r>
              <w:rPr>
                <w:rFonts w:ascii="宋体" w:hAnsi="宋体" w:cs="宋体" w:eastAsia="宋体" w:hint="default"/>
                <w:sz w:val="21"/>
                <w:szCs w:val="21"/>
              </w:rPr>
            </w:r>
          </w:p>
        </w:tc>
        <w:tc>
          <w:tcPr>
            <w:tcW w:w="1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left="47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36"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b/>
                <w:bCs/>
                <w:sz w:val="21"/>
                <w:szCs w:val="21"/>
              </w:rPr>
              <w:t>营业总收入</w:t>
            </w:r>
            <w:r>
              <w:rPr>
                <w:rFonts w:ascii="宋体" w:hAnsi="宋体" w:cs="宋体" w:eastAsia="宋体" w:hint="default"/>
                <w:sz w:val="21"/>
                <w:szCs w:val="21"/>
              </w:rPr>
            </w:r>
          </w:p>
        </w:tc>
        <w:tc>
          <w:tcPr>
            <w:tcW w:w="1652" w:type="dxa"/>
            <w:tcBorders>
              <w:top w:val="single" w:sz="12" w:space="0" w:color="DCDCDC"/>
              <w:left w:val="single" w:sz="13" w:space="0" w:color="DCDCDC"/>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spacing w:val="-1"/>
                <w:sz w:val="21"/>
              </w:rPr>
              <w:t>520,493,452.28</w:t>
            </w:r>
          </w:p>
        </w:tc>
        <w:tc>
          <w:tcPr>
            <w:tcW w:w="1654" w:type="dxa"/>
            <w:tcBorders>
              <w:top w:val="single" w:sz="12" w:space="0" w:color="DCDCDC"/>
              <w:left w:val="single" w:sz="4" w:space="0" w:color="000000"/>
              <w:bottom w:val="single" w:sz="4" w:space="0" w:color="000000"/>
              <w:right w:val="single" w:sz="4" w:space="0" w:color="000000"/>
            </w:tcBorders>
          </w:tcPr>
          <w:p>
            <w:pPr>
              <w:pStyle w:val="TableParagraph"/>
              <w:spacing w:line="240" w:lineRule="auto" w:before="39"/>
              <w:ind w:left="307" w:right="0"/>
              <w:jc w:val="left"/>
              <w:rPr>
                <w:rFonts w:ascii="Times New Roman" w:hAnsi="Times New Roman" w:cs="Times New Roman" w:eastAsia="Times New Roman" w:hint="default"/>
                <w:sz w:val="21"/>
                <w:szCs w:val="21"/>
              </w:rPr>
            </w:pPr>
            <w:r>
              <w:rPr>
                <w:rFonts w:ascii="Times New Roman"/>
                <w:sz w:val="21"/>
              </w:rPr>
              <w:t>361,112,821.02</w:t>
            </w:r>
          </w:p>
        </w:tc>
        <w:tc>
          <w:tcPr>
            <w:tcW w:w="1651" w:type="dxa"/>
            <w:tcBorders>
              <w:top w:val="single" w:sz="12" w:space="0" w:color="DCDCDC"/>
              <w:left w:val="single" w:sz="4" w:space="0" w:color="000000"/>
              <w:bottom w:val="single" w:sz="4" w:space="0" w:color="000000"/>
              <w:right w:val="single" w:sz="4" w:space="0" w:color="000000"/>
            </w:tcBorders>
          </w:tcPr>
          <w:p>
            <w:pPr>
              <w:pStyle w:val="TableParagraph"/>
              <w:spacing w:line="240" w:lineRule="auto" w:before="39"/>
              <w:ind w:right="18"/>
              <w:jc w:val="right"/>
              <w:rPr>
                <w:rFonts w:ascii="Times New Roman" w:hAnsi="Times New Roman" w:cs="Times New Roman" w:eastAsia="Times New Roman" w:hint="default"/>
                <w:sz w:val="21"/>
                <w:szCs w:val="21"/>
              </w:rPr>
            </w:pPr>
            <w:r>
              <w:rPr>
                <w:rFonts w:ascii="Times New Roman"/>
                <w:sz w:val="21"/>
              </w:rPr>
              <w:t>44.14%</w:t>
            </w:r>
          </w:p>
        </w:tc>
        <w:tc>
          <w:tcPr>
            <w:tcW w:w="1652" w:type="dxa"/>
            <w:tcBorders>
              <w:top w:val="single" w:sz="12" w:space="0" w:color="DCDCDC"/>
              <w:left w:val="single" w:sz="4" w:space="0" w:color="000000"/>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spacing w:val="-1"/>
                <w:sz w:val="21"/>
              </w:rPr>
              <w:t>312,373,065.39</w:t>
            </w:r>
          </w:p>
        </w:tc>
      </w:tr>
      <w:tr>
        <w:trPr>
          <w:trHeight w:val="324"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营业利润</w:t>
            </w:r>
            <w:r>
              <w:rPr>
                <w:rFonts w:ascii="宋体" w:hAnsi="宋体" w:cs="宋体" w:eastAsia="宋体" w:hint="default"/>
                <w:sz w:val="21"/>
                <w:szCs w:val="21"/>
              </w:rPr>
            </w:r>
          </w:p>
        </w:tc>
        <w:tc>
          <w:tcPr>
            <w:tcW w:w="16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91,710,522.29</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12" w:right="0"/>
              <w:jc w:val="left"/>
              <w:rPr>
                <w:rFonts w:ascii="Times New Roman" w:hAnsi="Times New Roman" w:cs="Times New Roman" w:eastAsia="Times New Roman" w:hint="default"/>
                <w:sz w:val="21"/>
                <w:szCs w:val="21"/>
              </w:rPr>
            </w:pPr>
            <w:r>
              <w:rPr>
                <w:rFonts w:ascii="Times New Roman"/>
                <w:sz w:val="21"/>
              </w:rPr>
              <w:t>53,653,066.82</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sz w:val="21"/>
              </w:rPr>
              <w:t>70.93%</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41,999,884.58</w:t>
            </w: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利润总额</w:t>
            </w:r>
            <w:r>
              <w:rPr>
                <w:rFonts w:ascii="宋体" w:hAnsi="宋体" w:cs="宋体" w:eastAsia="宋体" w:hint="default"/>
                <w:sz w:val="21"/>
                <w:szCs w:val="21"/>
              </w:rPr>
            </w:r>
          </w:p>
        </w:tc>
        <w:tc>
          <w:tcPr>
            <w:tcW w:w="16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109,345,106.89</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12" w:right="0"/>
              <w:jc w:val="left"/>
              <w:rPr>
                <w:rFonts w:ascii="Times New Roman" w:hAnsi="Times New Roman" w:cs="Times New Roman" w:eastAsia="Times New Roman" w:hint="default"/>
                <w:sz w:val="21"/>
                <w:szCs w:val="21"/>
              </w:rPr>
            </w:pPr>
            <w:r>
              <w:rPr>
                <w:rFonts w:ascii="Times New Roman"/>
                <w:sz w:val="21"/>
              </w:rPr>
              <w:t>69,044,316.90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58.37%</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50,859,344.85</w:t>
            </w:r>
          </w:p>
        </w:tc>
      </w:tr>
      <w:tr>
        <w:trPr>
          <w:trHeight w:val="634"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3" w:right="18"/>
              <w:jc w:val="left"/>
              <w:rPr>
                <w:rFonts w:ascii="宋体" w:hAnsi="宋体" w:cs="宋体" w:eastAsia="宋体" w:hint="default"/>
                <w:sz w:val="21"/>
                <w:szCs w:val="21"/>
              </w:rPr>
            </w:pPr>
            <w:r>
              <w:rPr>
                <w:rFonts w:ascii="宋体" w:hAnsi="宋体" w:cs="宋体" w:eastAsia="宋体" w:hint="default"/>
                <w:b/>
                <w:bCs/>
                <w:sz w:val="21"/>
                <w:szCs w:val="21"/>
              </w:rPr>
              <w:t>归</w:t>
            </w:r>
            <w:r>
              <w:rPr>
                <w:rFonts w:ascii="宋体" w:hAnsi="宋体" w:cs="宋体" w:eastAsia="宋体" w:hint="default"/>
                <w:b/>
                <w:bCs/>
                <w:spacing w:val="-75"/>
                <w:sz w:val="21"/>
                <w:szCs w:val="21"/>
              </w:rPr>
              <w:t> </w:t>
            </w:r>
            <w:r>
              <w:rPr>
                <w:rFonts w:ascii="宋体" w:hAnsi="宋体" w:cs="宋体" w:eastAsia="宋体" w:hint="default"/>
                <w:b/>
                <w:bCs/>
                <w:sz w:val="21"/>
                <w:szCs w:val="21"/>
              </w:rPr>
              <w:t>属</w:t>
            </w:r>
            <w:r>
              <w:rPr>
                <w:rFonts w:ascii="宋体" w:hAnsi="宋体" w:cs="宋体" w:eastAsia="宋体" w:hint="default"/>
                <w:b/>
                <w:bCs/>
                <w:spacing w:val="-75"/>
                <w:sz w:val="21"/>
                <w:szCs w:val="21"/>
              </w:rPr>
              <w:t> </w:t>
            </w:r>
            <w:r>
              <w:rPr>
                <w:rFonts w:ascii="宋体" w:hAnsi="宋体" w:cs="宋体" w:eastAsia="宋体" w:hint="default"/>
                <w:b/>
                <w:bCs/>
                <w:sz w:val="21"/>
                <w:szCs w:val="21"/>
              </w:rPr>
              <w:t>于</w:t>
            </w:r>
            <w:r>
              <w:rPr>
                <w:rFonts w:ascii="宋体" w:hAnsi="宋体" w:cs="宋体" w:eastAsia="宋体" w:hint="default"/>
                <w:b/>
                <w:bCs/>
                <w:spacing w:val="-75"/>
                <w:sz w:val="21"/>
                <w:szCs w:val="21"/>
              </w:rPr>
              <w:t> </w:t>
            </w:r>
            <w:r>
              <w:rPr>
                <w:rFonts w:ascii="宋体" w:hAnsi="宋体" w:cs="宋体" w:eastAsia="宋体" w:hint="default"/>
                <w:b/>
                <w:bCs/>
                <w:sz w:val="21"/>
                <w:szCs w:val="21"/>
              </w:rPr>
              <w:t>上</w:t>
            </w:r>
            <w:r>
              <w:rPr>
                <w:rFonts w:ascii="宋体" w:hAnsi="宋体" w:cs="宋体" w:eastAsia="宋体" w:hint="default"/>
                <w:b/>
                <w:bCs/>
                <w:spacing w:val="-78"/>
                <w:sz w:val="21"/>
                <w:szCs w:val="21"/>
              </w:rPr>
              <w:t> </w:t>
            </w:r>
            <w:r>
              <w:rPr>
                <w:rFonts w:ascii="宋体" w:hAnsi="宋体" w:cs="宋体" w:eastAsia="宋体" w:hint="default"/>
                <w:b/>
                <w:bCs/>
                <w:sz w:val="21"/>
                <w:szCs w:val="21"/>
              </w:rPr>
              <w:t>市</w:t>
            </w:r>
            <w:r>
              <w:rPr>
                <w:rFonts w:ascii="宋体" w:hAnsi="宋体" w:cs="宋体" w:eastAsia="宋体" w:hint="default"/>
                <w:b/>
                <w:bCs/>
                <w:spacing w:val="-75"/>
                <w:sz w:val="21"/>
                <w:szCs w:val="21"/>
              </w:rPr>
              <w:t> </w:t>
            </w:r>
            <w:r>
              <w:rPr>
                <w:rFonts w:ascii="宋体" w:hAnsi="宋体" w:cs="宋体" w:eastAsia="宋体" w:hint="default"/>
                <w:b/>
                <w:bCs/>
                <w:sz w:val="21"/>
                <w:szCs w:val="21"/>
              </w:rPr>
              <w:t>公</w:t>
            </w:r>
            <w:r>
              <w:rPr>
                <w:rFonts w:ascii="宋体" w:hAnsi="宋体" w:cs="宋体" w:eastAsia="宋体" w:hint="default"/>
                <w:b/>
                <w:bCs/>
                <w:spacing w:val="-75"/>
                <w:sz w:val="21"/>
                <w:szCs w:val="21"/>
              </w:rPr>
              <w:t> </w:t>
            </w:r>
            <w:r>
              <w:rPr>
                <w:rFonts w:ascii="宋体" w:hAnsi="宋体" w:cs="宋体" w:eastAsia="宋体" w:hint="default"/>
                <w:b/>
                <w:bCs/>
                <w:sz w:val="21"/>
                <w:szCs w:val="21"/>
              </w:rPr>
              <w:t>司</w:t>
            </w:r>
            <w:r>
              <w:rPr>
                <w:rFonts w:ascii="宋体" w:hAnsi="宋体" w:cs="宋体" w:eastAsia="宋体" w:hint="default"/>
                <w:b/>
                <w:bCs/>
                <w:w w:val="100"/>
                <w:sz w:val="21"/>
                <w:szCs w:val="21"/>
              </w:rPr>
              <w:t> </w:t>
            </w:r>
            <w:r>
              <w:rPr>
                <w:rFonts w:ascii="宋体" w:hAnsi="宋体" w:cs="宋体" w:eastAsia="宋体" w:hint="default"/>
                <w:b/>
                <w:bCs/>
                <w:sz w:val="21"/>
                <w:szCs w:val="21"/>
              </w:rPr>
              <w:t>股东的净利润</w:t>
            </w:r>
            <w:r>
              <w:rPr>
                <w:rFonts w:ascii="宋体" w:hAnsi="宋体" w:cs="宋体" w:eastAsia="宋体" w:hint="default"/>
                <w:sz w:val="21"/>
                <w:szCs w:val="21"/>
              </w:rPr>
            </w:r>
          </w:p>
        </w:tc>
        <w:tc>
          <w:tcPr>
            <w:tcW w:w="16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93,770,452.46</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12" w:right="0"/>
              <w:jc w:val="left"/>
              <w:rPr>
                <w:rFonts w:ascii="Times New Roman" w:hAnsi="Times New Roman" w:cs="Times New Roman" w:eastAsia="Times New Roman" w:hint="default"/>
                <w:sz w:val="21"/>
                <w:szCs w:val="21"/>
              </w:rPr>
            </w:pPr>
            <w:r>
              <w:rPr>
                <w:rFonts w:ascii="Times New Roman"/>
                <w:sz w:val="21"/>
              </w:rPr>
              <w:t>63,278,947.64</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48.19%</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46,288,035.79</w:t>
            </w:r>
          </w:p>
        </w:tc>
      </w:tr>
      <w:tr>
        <w:trPr>
          <w:trHeight w:val="1258"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3" w:right="18"/>
              <w:jc w:val="both"/>
              <w:rPr>
                <w:rFonts w:ascii="宋体" w:hAnsi="宋体" w:cs="宋体" w:eastAsia="宋体" w:hint="default"/>
                <w:sz w:val="21"/>
                <w:szCs w:val="21"/>
              </w:rPr>
            </w:pPr>
            <w:r>
              <w:rPr>
                <w:rFonts w:ascii="宋体" w:hAnsi="宋体" w:cs="宋体" w:eastAsia="宋体" w:hint="default"/>
                <w:b/>
                <w:bCs/>
                <w:sz w:val="21"/>
                <w:szCs w:val="21"/>
              </w:rPr>
              <w:t>归</w:t>
            </w:r>
            <w:r>
              <w:rPr>
                <w:rFonts w:ascii="宋体" w:hAnsi="宋体" w:cs="宋体" w:eastAsia="宋体" w:hint="default"/>
                <w:b/>
                <w:bCs/>
                <w:spacing w:val="-75"/>
                <w:sz w:val="21"/>
                <w:szCs w:val="21"/>
              </w:rPr>
              <w:t> </w:t>
            </w:r>
            <w:r>
              <w:rPr>
                <w:rFonts w:ascii="宋体" w:hAnsi="宋体" w:cs="宋体" w:eastAsia="宋体" w:hint="default"/>
                <w:b/>
                <w:bCs/>
                <w:sz w:val="21"/>
                <w:szCs w:val="21"/>
              </w:rPr>
              <w:t>属</w:t>
            </w:r>
            <w:r>
              <w:rPr>
                <w:rFonts w:ascii="宋体" w:hAnsi="宋体" w:cs="宋体" w:eastAsia="宋体" w:hint="default"/>
                <w:b/>
                <w:bCs/>
                <w:spacing w:val="-75"/>
                <w:sz w:val="21"/>
                <w:szCs w:val="21"/>
              </w:rPr>
              <w:t> </w:t>
            </w:r>
            <w:r>
              <w:rPr>
                <w:rFonts w:ascii="宋体" w:hAnsi="宋体" w:cs="宋体" w:eastAsia="宋体" w:hint="default"/>
                <w:b/>
                <w:bCs/>
                <w:sz w:val="21"/>
                <w:szCs w:val="21"/>
              </w:rPr>
              <w:t>于</w:t>
            </w:r>
            <w:r>
              <w:rPr>
                <w:rFonts w:ascii="宋体" w:hAnsi="宋体" w:cs="宋体" w:eastAsia="宋体" w:hint="default"/>
                <w:b/>
                <w:bCs/>
                <w:spacing w:val="-75"/>
                <w:sz w:val="21"/>
                <w:szCs w:val="21"/>
              </w:rPr>
              <w:t> </w:t>
            </w:r>
            <w:r>
              <w:rPr>
                <w:rFonts w:ascii="宋体" w:hAnsi="宋体" w:cs="宋体" w:eastAsia="宋体" w:hint="default"/>
                <w:b/>
                <w:bCs/>
                <w:sz w:val="21"/>
                <w:szCs w:val="21"/>
              </w:rPr>
              <w:t>上</w:t>
            </w:r>
            <w:r>
              <w:rPr>
                <w:rFonts w:ascii="宋体" w:hAnsi="宋体" w:cs="宋体" w:eastAsia="宋体" w:hint="default"/>
                <w:b/>
                <w:bCs/>
                <w:spacing w:val="-78"/>
                <w:sz w:val="21"/>
                <w:szCs w:val="21"/>
              </w:rPr>
              <w:t> </w:t>
            </w:r>
            <w:r>
              <w:rPr>
                <w:rFonts w:ascii="宋体" w:hAnsi="宋体" w:cs="宋体" w:eastAsia="宋体" w:hint="default"/>
                <w:b/>
                <w:bCs/>
                <w:sz w:val="21"/>
                <w:szCs w:val="21"/>
              </w:rPr>
              <w:t>市</w:t>
            </w:r>
            <w:r>
              <w:rPr>
                <w:rFonts w:ascii="宋体" w:hAnsi="宋体" w:cs="宋体" w:eastAsia="宋体" w:hint="default"/>
                <w:b/>
                <w:bCs/>
                <w:spacing w:val="-75"/>
                <w:sz w:val="21"/>
                <w:szCs w:val="21"/>
              </w:rPr>
              <w:t> </w:t>
            </w:r>
            <w:r>
              <w:rPr>
                <w:rFonts w:ascii="宋体" w:hAnsi="宋体" w:cs="宋体" w:eastAsia="宋体" w:hint="default"/>
                <w:b/>
                <w:bCs/>
                <w:sz w:val="21"/>
                <w:szCs w:val="21"/>
              </w:rPr>
              <w:t>公</w:t>
            </w:r>
            <w:r>
              <w:rPr>
                <w:rFonts w:ascii="宋体" w:hAnsi="宋体" w:cs="宋体" w:eastAsia="宋体" w:hint="default"/>
                <w:b/>
                <w:bCs/>
                <w:spacing w:val="-75"/>
                <w:sz w:val="21"/>
                <w:szCs w:val="21"/>
              </w:rPr>
              <w:t> </w:t>
            </w:r>
            <w:r>
              <w:rPr>
                <w:rFonts w:ascii="宋体" w:hAnsi="宋体" w:cs="宋体" w:eastAsia="宋体" w:hint="default"/>
                <w:b/>
                <w:bCs/>
                <w:sz w:val="21"/>
                <w:szCs w:val="21"/>
              </w:rPr>
              <w:t>司</w:t>
            </w:r>
            <w:r>
              <w:rPr>
                <w:rFonts w:ascii="宋体" w:hAnsi="宋体" w:cs="宋体" w:eastAsia="宋体" w:hint="default"/>
                <w:b/>
                <w:bCs/>
                <w:w w:val="100"/>
                <w:sz w:val="21"/>
                <w:szCs w:val="21"/>
              </w:rPr>
              <w:t> </w:t>
            </w:r>
            <w:r>
              <w:rPr>
                <w:rFonts w:ascii="宋体" w:hAnsi="宋体" w:cs="宋体" w:eastAsia="宋体" w:hint="default"/>
                <w:b/>
                <w:bCs/>
                <w:sz w:val="21"/>
                <w:szCs w:val="21"/>
              </w:rPr>
              <w:t>股</w:t>
            </w:r>
            <w:r>
              <w:rPr>
                <w:rFonts w:ascii="宋体" w:hAnsi="宋体" w:cs="宋体" w:eastAsia="宋体" w:hint="default"/>
                <w:b/>
                <w:bCs/>
                <w:spacing w:val="-75"/>
                <w:sz w:val="21"/>
                <w:szCs w:val="21"/>
              </w:rPr>
              <w:t> </w:t>
            </w:r>
            <w:r>
              <w:rPr>
                <w:rFonts w:ascii="宋体" w:hAnsi="宋体" w:cs="宋体" w:eastAsia="宋体" w:hint="default"/>
                <w:b/>
                <w:bCs/>
                <w:sz w:val="21"/>
                <w:szCs w:val="21"/>
              </w:rPr>
              <w:t>东</w:t>
            </w:r>
            <w:r>
              <w:rPr>
                <w:rFonts w:ascii="宋体" w:hAnsi="宋体" w:cs="宋体" w:eastAsia="宋体" w:hint="default"/>
                <w:b/>
                <w:bCs/>
                <w:spacing w:val="-75"/>
                <w:sz w:val="21"/>
                <w:szCs w:val="21"/>
              </w:rPr>
              <w:t> </w:t>
            </w:r>
            <w:r>
              <w:rPr>
                <w:rFonts w:ascii="宋体" w:hAnsi="宋体" w:cs="宋体" w:eastAsia="宋体" w:hint="default"/>
                <w:b/>
                <w:bCs/>
                <w:sz w:val="21"/>
                <w:szCs w:val="21"/>
              </w:rPr>
              <w:t>的</w:t>
            </w:r>
            <w:r>
              <w:rPr>
                <w:rFonts w:ascii="宋体" w:hAnsi="宋体" w:cs="宋体" w:eastAsia="宋体" w:hint="default"/>
                <w:b/>
                <w:bCs/>
                <w:spacing w:val="-75"/>
                <w:sz w:val="21"/>
                <w:szCs w:val="21"/>
              </w:rPr>
              <w:t> </w:t>
            </w:r>
            <w:r>
              <w:rPr>
                <w:rFonts w:ascii="宋体" w:hAnsi="宋体" w:cs="宋体" w:eastAsia="宋体" w:hint="default"/>
                <w:b/>
                <w:bCs/>
                <w:sz w:val="21"/>
                <w:szCs w:val="21"/>
              </w:rPr>
              <w:t>扣</w:t>
            </w:r>
            <w:r>
              <w:rPr>
                <w:rFonts w:ascii="宋体" w:hAnsi="宋体" w:cs="宋体" w:eastAsia="宋体" w:hint="default"/>
                <w:b/>
                <w:bCs/>
                <w:spacing w:val="-78"/>
                <w:sz w:val="21"/>
                <w:szCs w:val="21"/>
              </w:rPr>
              <w:t> </w:t>
            </w:r>
            <w:r>
              <w:rPr>
                <w:rFonts w:ascii="宋体" w:hAnsi="宋体" w:cs="宋体" w:eastAsia="宋体" w:hint="default"/>
                <w:b/>
                <w:bCs/>
                <w:sz w:val="21"/>
                <w:szCs w:val="21"/>
              </w:rPr>
              <w:t>除</w:t>
            </w:r>
            <w:r>
              <w:rPr>
                <w:rFonts w:ascii="宋体" w:hAnsi="宋体" w:cs="宋体" w:eastAsia="宋体" w:hint="default"/>
                <w:b/>
                <w:bCs/>
                <w:spacing w:val="-75"/>
                <w:sz w:val="21"/>
                <w:szCs w:val="21"/>
              </w:rPr>
              <w:t> </w:t>
            </w:r>
            <w:r>
              <w:rPr>
                <w:rFonts w:ascii="宋体" w:hAnsi="宋体" w:cs="宋体" w:eastAsia="宋体" w:hint="default"/>
                <w:b/>
                <w:bCs/>
                <w:sz w:val="21"/>
                <w:szCs w:val="21"/>
              </w:rPr>
              <w:t>非</w:t>
            </w:r>
            <w:r>
              <w:rPr>
                <w:rFonts w:ascii="宋体" w:hAnsi="宋体" w:cs="宋体" w:eastAsia="宋体" w:hint="default"/>
                <w:b/>
                <w:bCs/>
                <w:spacing w:val="-75"/>
                <w:sz w:val="21"/>
                <w:szCs w:val="21"/>
              </w:rPr>
              <w:t> </w:t>
            </w:r>
            <w:r>
              <w:rPr>
                <w:rFonts w:ascii="宋体" w:hAnsi="宋体" w:cs="宋体" w:eastAsia="宋体" w:hint="default"/>
                <w:b/>
                <w:bCs/>
                <w:sz w:val="21"/>
                <w:szCs w:val="21"/>
              </w:rPr>
              <w:t>经</w:t>
            </w:r>
            <w:r>
              <w:rPr>
                <w:rFonts w:ascii="宋体" w:hAnsi="宋体" w:cs="宋体" w:eastAsia="宋体" w:hint="default"/>
                <w:b/>
                <w:bCs/>
                <w:w w:val="100"/>
                <w:sz w:val="21"/>
                <w:szCs w:val="21"/>
              </w:rPr>
              <w:t> </w:t>
            </w:r>
            <w:r>
              <w:rPr>
                <w:rFonts w:ascii="宋体" w:hAnsi="宋体" w:cs="宋体" w:eastAsia="宋体" w:hint="default"/>
                <w:b/>
                <w:bCs/>
                <w:sz w:val="21"/>
                <w:szCs w:val="21"/>
              </w:rPr>
              <w:t>常</w:t>
            </w:r>
            <w:r>
              <w:rPr>
                <w:rFonts w:ascii="宋体" w:hAnsi="宋体" w:cs="宋体" w:eastAsia="宋体" w:hint="default"/>
                <w:b/>
                <w:bCs/>
                <w:spacing w:val="-75"/>
                <w:sz w:val="21"/>
                <w:szCs w:val="21"/>
              </w:rPr>
              <w:t> </w:t>
            </w:r>
            <w:r>
              <w:rPr>
                <w:rFonts w:ascii="宋体" w:hAnsi="宋体" w:cs="宋体" w:eastAsia="宋体" w:hint="default"/>
                <w:b/>
                <w:bCs/>
                <w:sz w:val="21"/>
                <w:szCs w:val="21"/>
              </w:rPr>
              <w:t>性</w:t>
            </w:r>
            <w:r>
              <w:rPr>
                <w:rFonts w:ascii="宋体" w:hAnsi="宋体" w:cs="宋体" w:eastAsia="宋体" w:hint="default"/>
                <w:b/>
                <w:bCs/>
                <w:spacing w:val="-75"/>
                <w:sz w:val="21"/>
                <w:szCs w:val="21"/>
              </w:rPr>
              <w:t> </w:t>
            </w:r>
            <w:r>
              <w:rPr>
                <w:rFonts w:ascii="宋体" w:hAnsi="宋体" w:cs="宋体" w:eastAsia="宋体" w:hint="default"/>
                <w:b/>
                <w:bCs/>
                <w:sz w:val="21"/>
                <w:szCs w:val="21"/>
              </w:rPr>
              <w:t>损</w:t>
            </w:r>
            <w:r>
              <w:rPr>
                <w:rFonts w:ascii="宋体" w:hAnsi="宋体" w:cs="宋体" w:eastAsia="宋体" w:hint="default"/>
                <w:b/>
                <w:bCs/>
                <w:spacing w:val="-75"/>
                <w:sz w:val="21"/>
                <w:szCs w:val="21"/>
              </w:rPr>
              <w:t> </w:t>
            </w:r>
            <w:r>
              <w:rPr>
                <w:rFonts w:ascii="宋体" w:hAnsi="宋体" w:cs="宋体" w:eastAsia="宋体" w:hint="default"/>
                <w:b/>
                <w:bCs/>
                <w:sz w:val="21"/>
                <w:szCs w:val="21"/>
              </w:rPr>
              <w:t>益</w:t>
            </w:r>
            <w:r>
              <w:rPr>
                <w:rFonts w:ascii="宋体" w:hAnsi="宋体" w:cs="宋体" w:eastAsia="宋体" w:hint="default"/>
                <w:b/>
                <w:bCs/>
                <w:spacing w:val="-78"/>
                <w:sz w:val="21"/>
                <w:szCs w:val="21"/>
              </w:rPr>
              <w:t> </w:t>
            </w:r>
            <w:r>
              <w:rPr>
                <w:rFonts w:ascii="宋体" w:hAnsi="宋体" w:cs="宋体" w:eastAsia="宋体" w:hint="default"/>
                <w:b/>
                <w:bCs/>
                <w:sz w:val="21"/>
                <w:szCs w:val="21"/>
              </w:rPr>
              <w:t>的</w:t>
            </w:r>
            <w:r>
              <w:rPr>
                <w:rFonts w:ascii="宋体" w:hAnsi="宋体" w:cs="宋体" w:eastAsia="宋体" w:hint="default"/>
                <w:b/>
                <w:bCs/>
                <w:spacing w:val="-75"/>
                <w:sz w:val="21"/>
                <w:szCs w:val="21"/>
              </w:rPr>
              <w:t> </w:t>
            </w:r>
            <w:r>
              <w:rPr>
                <w:rFonts w:ascii="宋体" w:hAnsi="宋体" w:cs="宋体" w:eastAsia="宋体" w:hint="default"/>
                <w:b/>
                <w:bCs/>
                <w:sz w:val="21"/>
                <w:szCs w:val="21"/>
              </w:rPr>
              <w:t>净</w:t>
            </w:r>
            <w:r>
              <w:rPr>
                <w:rFonts w:ascii="宋体" w:hAnsi="宋体" w:cs="宋体" w:eastAsia="宋体" w:hint="default"/>
                <w:b/>
                <w:bCs/>
                <w:spacing w:val="-75"/>
                <w:sz w:val="21"/>
                <w:szCs w:val="21"/>
              </w:rPr>
              <w:t> </w:t>
            </w:r>
            <w:r>
              <w:rPr>
                <w:rFonts w:ascii="宋体" w:hAnsi="宋体" w:cs="宋体" w:eastAsia="宋体" w:hint="default"/>
                <w:b/>
                <w:bCs/>
                <w:sz w:val="21"/>
                <w:szCs w:val="21"/>
              </w:rPr>
              <w:t>利</w:t>
            </w:r>
            <w:r>
              <w:rPr>
                <w:rFonts w:ascii="宋体" w:hAnsi="宋体" w:cs="宋体" w:eastAsia="宋体" w:hint="default"/>
                <w:b/>
                <w:bCs/>
                <w:w w:val="100"/>
                <w:sz w:val="21"/>
                <w:szCs w:val="21"/>
              </w:rPr>
              <w:t> </w:t>
            </w:r>
            <w:r>
              <w:rPr>
                <w:rFonts w:ascii="宋体" w:hAnsi="宋体" w:cs="宋体" w:eastAsia="宋体" w:hint="default"/>
                <w:b/>
                <w:bCs/>
                <w:sz w:val="21"/>
                <w:szCs w:val="21"/>
              </w:rPr>
              <w:t>润</w:t>
            </w:r>
            <w:r>
              <w:rPr>
                <w:rFonts w:ascii="宋体" w:hAnsi="宋体" w:cs="宋体" w:eastAsia="宋体" w:hint="default"/>
                <w:sz w:val="21"/>
                <w:szCs w:val="21"/>
              </w:rPr>
            </w:r>
          </w:p>
        </w:tc>
        <w:tc>
          <w:tcPr>
            <w:tcW w:w="16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78,803,344.92</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12" w:right="0"/>
              <w:jc w:val="left"/>
              <w:rPr>
                <w:rFonts w:ascii="Times New Roman" w:hAnsi="Times New Roman" w:cs="Times New Roman" w:eastAsia="Times New Roman" w:hint="default"/>
                <w:sz w:val="21"/>
                <w:szCs w:val="21"/>
              </w:rPr>
            </w:pPr>
            <w:r>
              <w:rPr>
                <w:rFonts w:ascii="Times New Roman"/>
                <w:sz w:val="21"/>
              </w:rPr>
              <w:t>49,580,914.71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58.94%</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40,469,845.58</w:t>
            </w:r>
          </w:p>
        </w:tc>
      </w:tr>
      <w:tr>
        <w:trPr>
          <w:trHeight w:val="634"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3" w:right="18"/>
              <w:jc w:val="left"/>
              <w:rPr>
                <w:rFonts w:ascii="宋体" w:hAnsi="宋体" w:cs="宋体" w:eastAsia="宋体" w:hint="default"/>
                <w:sz w:val="21"/>
                <w:szCs w:val="21"/>
              </w:rPr>
            </w:pPr>
            <w:r>
              <w:rPr>
                <w:rFonts w:ascii="宋体" w:hAnsi="宋体" w:cs="宋体" w:eastAsia="宋体" w:hint="default"/>
                <w:b/>
                <w:bCs/>
                <w:sz w:val="21"/>
                <w:szCs w:val="21"/>
              </w:rPr>
              <w:t>经</w:t>
            </w:r>
            <w:r>
              <w:rPr>
                <w:rFonts w:ascii="宋体" w:hAnsi="宋体" w:cs="宋体" w:eastAsia="宋体" w:hint="default"/>
                <w:b/>
                <w:bCs/>
                <w:spacing w:val="-75"/>
                <w:sz w:val="21"/>
                <w:szCs w:val="21"/>
              </w:rPr>
              <w:t> </w:t>
            </w:r>
            <w:r>
              <w:rPr>
                <w:rFonts w:ascii="宋体" w:hAnsi="宋体" w:cs="宋体" w:eastAsia="宋体" w:hint="default"/>
                <w:b/>
                <w:bCs/>
                <w:sz w:val="21"/>
                <w:szCs w:val="21"/>
              </w:rPr>
              <w:t>营</w:t>
            </w:r>
            <w:r>
              <w:rPr>
                <w:rFonts w:ascii="宋体" w:hAnsi="宋体" w:cs="宋体" w:eastAsia="宋体" w:hint="default"/>
                <w:b/>
                <w:bCs/>
                <w:spacing w:val="-75"/>
                <w:sz w:val="21"/>
                <w:szCs w:val="21"/>
              </w:rPr>
              <w:t> </w:t>
            </w:r>
            <w:r>
              <w:rPr>
                <w:rFonts w:ascii="宋体" w:hAnsi="宋体" w:cs="宋体" w:eastAsia="宋体" w:hint="default"/>
                <w:b/>
                <w:bCs/>
                <w:sz w:val="21"/>
                <w:szCs w:val="21"/>
              </w:rPr>
              <w:t>活</w:t>
            </w:r>
            <w:r>
              <w:rPr>
                <w:rFonts w:ascii="宋体" w:hAnsi="宋体" w:cs="宋体" w:eastAsia="宋体" w:hint="default"/>
                <w:b/>
                <w:bCs/>
                <w:spacing w:val="-75"/>
                <w:sz w:val="21"/>
                <w:szCs w:val="21"/>
              </w:rPr>
              <w:t> </w:t>
            </w:r>
            <w:r>
              <w:rPr>
                <w:rFonts w:ascii="宋体" w:hAnsi="宋体" w:cs="宋体" w:eastAsia="宋体" w:hint="default"/>
                <w:b/>
                <w:bCs/>
                <w:sz w:val="21"/>
                <w:szCs w:val="21"/>
              </w:rPr>
              <w:t>动</w:t>
            </w:r>
            <w:r>
              <w:rPr>
                <w:rFonts w:ascii="宋体" w:hAnsi="宋体" w:cs="宋体" w:eastAsia="宋体" w:hint="default"/>
                <w:b/>
                <w:bCs/>
                <w:spacing w:val="-78"/>
                <w:sz w:val="21"/>
                <w:szCs w:val="21"/>
              </w:rPr>
              <w:t> </w:t>
            </w:r>
            <w:r>
              <w:rPr>
                <w:rFonts w:ascii="宋体" w:hAnsi="宋体" w:cs="宋体" w:eastAsia="宋体" w:hint="default"/>
                <w:b/>
                <w:bCs/>
                <w:sz w:val="21"/>
                <w:szCs w:val="21"/>
              </w:rPr>
              <w:t>产</w:t>
            </w:r>
            <w:r>
              <w:rPr>
                <w:rFonts w:ascii="宋体" w:hAnsi="宋体" w:cs="宋体" w:eastAsia="宋体" w:hint="default"/>
                <w:b/>
                <w:bCs/>
                <w:spacing w:val="-75"/>
                <w:sz w:val="21"/>
                <w:szCs w:val="21"/>
              </w:rPr>
              <w:t> </w:t>
            </w:r>
            <w:r>
              <w:rPr>
                <w:rFonts w:ascii="宋体" w:hAnsi="宋体" w:cs="宋体" w:eastAsia="宋体" w:hint="default"/>
                <w:b/>
                <w:bCs/>
                <w:sz w:val="21"/>
                <w:szCs w:val="21"/>
              </w:rPr>
              <w:t>生</w:t>
            </w:r>
            <w:r>
              <w:rPr>
                <w:rFonts w:ascii="宋体" w:hAnsi="宋体" w:cs="宋体" w:eastAsia="宋体" w:hint="default"/>
                <w:b/>
                <w:bCs/>
                <w:spacing w:val="-75"/>
                <w:sz w:val="21"/>
                <w:szCs w:val="21"/>
              </w:rPr>
              <w:t> </w:t>
            </w:r>
            <w:r>
              <w:rPr>
                <w:rFonts w:ascii="宋体" w:hAnsi="宋体" w:cs="宋体" w:eastAsia="宋体" w:hint="default"/>
                <w:b/>
                <w:bCs/>
                <w:sz w:val="21"/>
                <w:szCs w:val="21"/>
              </w:rPr>
              <w:t>的</w:t>
            </w:r>
            <w:r>
              <w:rPr>
                <w:rFonts w:ascii="宋体" w:hAnsi="宋体" w:cs="宋体" w:eastAsia="宋体" w:hint="default"/>
                <w:b/>
                <w:bCs/>
                <w:w w:val="100"/>
                <w:sz w:val="21"/>
                <w:szCs w:val="21"/>
              </w:rPr>
              <w:t> </w:t>
            </w:r>
            <w:r>
              <w:rPr>
                <w:rFonts w:ascii="宋体" w:hAnsi="宋体" w:cs="宋体" w:eastAsia="宋体" w:hint="default"/>
                <w:b/>
                <w:bCs/>
                <w:sz w:val="21"/>
                <w:szCs w:val="21"/>
              </w:rPr>
              <w:t>现金流量净额</w:t>
            </w:r>
            <w:r>
              <w:rPr>
                <w:rFonts w:ascii="宋体" w:hAnsi="宋体" w:cs="宋体" w:eastAsia="宋体" w:hint="default"/>
                <w:sz w:val="21"/>
                <w:szCs w:val="21"/>
              </w:rPr>
            </w:r>
          </w:p>
        </w:tc>
        <w:tc>
          <w:tcPr>
            <w:tcW w:w="16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44,552,094.35</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12" w:right="0"/>
              <w:jc w:val="left"/>
              <w:rPr>
                <w:rFonts w:ascii="Times New Roman" w:hAnsi="Times New Roman" w:cs="Times New Roman" w:eastAsia="Times New Roman" w:hint="default"/>
                <w:sz w:val="21"/>
                <w:szCs w:val="21"/>
              </w:rPr>
            </w:pPr>
            <w:r>
              <w:rPr>
                <w:rFonts w:ascii="Times New Roman"/>
                <w:sz w:val="21"/>
              </w:rPr>
              <w:t>34,029,706.41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30.92%</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55,829,248.41</w:t>
            </w:r>
          </w:p>
        </w:tc>
      </w:tr>
      <w:tr>
        <w:trPr>
          <w:trHeight w:val="161" w:hRule="exact"/>
        </w:trPr>
        <w:tc>
          <w:tcPr>
            <w:tcW w:w="1716" w:type="dxa"/>
            <w:tcBorders>
              <w:top w:val="single" w:sz="4" w:space="0" w:color="000000"/>
              <w:left w:val="single" w:sz="4" w:space="0" w:color="000000"/>
              <w:bottom w:val="nil" w:sz="6" w:space="0" w:color="auto"/>
              <w:right w:val="single" w:sz="4" w:space="0" w:color="000000"/>
            </w:tcBorders>
            <w:shd w:val="clear" w:color="auto" w:fill="DCDCDC"/>
          </w:tcPr>
          <w:p>
            <w:pPr/>
          </w:p>
        </w:tc>
        <w:tc>
          <w:tcPr>
            <w:tcW w:w="1652" w:type="dxa"/>
            <w:tcBorders>
              <w:top w:val="single" w:sz="4" w:space="0" w:color="000000"/>
              <w:left w:val="single" w:sz="4" w:space="0" w:color="000000"/>
              <w:bottom w:val="nil" w:sz="6" w:space="0" w:color="auto"/>
              <w:right w:val="single" w:sz="4" w:space="0" w:color="000000"/>
            </w:tcBorders>
            <w:shd w:val="clear" w:color="auto" w:fill="DCDCDC"/>
          </w:tcPr>
          <w:p>
            <w:pPr/>
          </w:p>
        </w:tc>
        <w:tc>
          <w:tcPr>
            <w:tcW w:w="1654" w:type="dxa"/>
            <w:tcBorders>
              <w:top w:val="single" w:sz="4" w:space="0" w:color="000000"/>
              <w:left w:val="single" w:sz="4" w:space="0" w:color="000000"/>
              <w:bottom w:val="nil" w:sz="6" w:space="0" w:color="auto"/>
              <w:right w:val="single" w:sz="4" w:space="0" w:color="000000"/>
            </w:tcBorders>
            <w:shd w:val="clear" w:color="auto" w:fill="DCDCDC"/>
          </w:tcPr>
          <w:p>
            <w:pPr/>
          </w:p>
        </w:tc>
        <w:tc>
          <w:tcPr>
            <w:tcW w:w="1651"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607" w:right="79" w:hanging="526"/>
              <w:jc w:val="left"/>
              <w:rPr>
                <w:rFonts w:ascii="宋体" w:hAnsi="宋体" w:cs="宋体" w:eastAsia="宋体" w:hint="default"/>
                <w:sz w:val="21"/>
                <w:szCs w:val="21"/>
              </w:rPr>
            </w:pPr>
            <w:r>
              <w:rPr>
                <w:rFonts w:ascii="宋体" w:hAnsi="宋体" w:cs="宋体" w:eastAsia="宋体" w:hint="default"/>
                <w:b/>
                <w:bCs/>
                <w:sz w:val="21"/>
                <w:szCs w:val="21"/>
              </w:rPr>
              <w:t>本年末比上年末</w:t>
            </w:r>
            <w:r>
              <w:rPr>
                <w:rFonts w:ascii="宋体" w:hAnsi="宋体" w:cs="宋体" w:eastAsia="宋体" w:hint="default"/>
                <w:b/>
                <w:bCs/>
                <w:spacing w:val="-104"/>
                <w:sz w:val="21"/>
                <w:szCs w:val="21"/>
              </w:rPr>
              <w:t> </w:t>
            </w:r>
            <w:r>
              <w:rPr>
                <w:rFonts w:ascii="宋体" w:hAnsi="宋体" w:cs="宋体" w:eastAsia="宋体" w:hint="default"/>
                <w:b/>
                <w:bCs/>
                <w:sz w:val="21"/>
                <w:szCs w:val="21"/>
              </w:rPr>
              <w:t>增减</w:t>
            </w:r>
            <w:r>
              <w:rPr>
                <w:rFonts w:ascii="宋体" w:hAnsi="宋体" w:cs="宋体" w:eastAsia="宋体" w:hint="default"/>
                <w:sz w:val="21"/>
                <w:szCs w:val="21"/>
              </w:rPr>
            </w:r>
          </w:p>
        </w:tc>
        <w:tc>
          <w:tcPr>
            <w:tcW w:w="1652"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716" w:type="dxa"/>
            <w:tcBorders>
              <w:top w:val="nil" w:sz="6" w:space="0" w:color="auto"/>
              <w:left w:val="single" w:sz="4" w:space="0" w:color="000000"/>
              <w:bottom w:val="nil" w:sz="6" w:space="0" w:color="auto"/>
              <w:right w:val="single" w:sz="4" w:space="0" w:color="000000"/>
            </w:tcBorders>
            <w:shd w:val="clear" w:color="auto" w:fill="DCDCDC"/>
          </w:tcPr>
          <w:p>
            <w:pPr/>
          </w:p>
        </w:tc>
        <w:tc>
          <w:tcPr>
            <w:tcW w:w="165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37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65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37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 </w:t>
            </w:r>
            <w:r>
              <w:rPr>
                <w:rFonts w:ascii="宋体" w:hAnsi="宋体" w:cs="宋体" w:eastAsia="宋体" w:hint="default"/>
                <w:b/>
                <w:bCs/>
                <w:sz w:val="21"/>
                <w:szCs w:val="21"/>
              </w:rPr>
              <w:t>年末</w:t>
            </w:r>
            <w:r>
              <w:rPr>
                <w:rFonts w:ascii="宋体" w:hAnsi="宋体" w:cs="宋体" w:eastAsia="宋体" w:hint="default"/>
                <w:sz w:val="21"/>
                <w:szCs w:val="21"/>
              </w:rPr>
            </w:r>
          </w:p>
        </w:tc>
        <w:tc>
          <w:tcPr>
            <w:tcW w:w="1651" w:type="dxa"/>
            <w:vMerge/>
            <w:tcBorders>
              <w:left w:val="single" w:sz="4" w:space="0" w:color="000000"/>
              <w:right w:val="single" w:sz="4" w:space="0" w:color="000000"/>
            </w:tcBorders>
            <w:shd w:val="clear" w:color="auto" w:fill="DCDCDC"/>
          </w:tcPr>
          <w:p>
            <w:pPr/>
          </w:p>
        </w:tc>
        <w:tc>
          <w:tcPr>
            <w:tcW w:w="165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37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161" w:hRule="exact"/>
        </w:trPr>
        <w:tc>
          <w:tcPr>
            <w:tcW w:w="1716" w:type="dxa"/>
            <w:tcBorders>
              <w:top w:val="nil" w:sz="6" w:space="0" w:color="auto"/>
              <w:left w:val="single" w:sz="4" w:space="0" w:color="000000"/>
              <w:bottom w:val="single" w:sz="4" w:space="0" w:color="000000"/>
              <w:right w:val="single" w:sz="4" w:space="0" w:color="000000"/>
            </w:tcBorders>
            <w:shd w:val="clear" w:color="auto" w:fill="DCDCDC"/>
          </w:tcPr>
          <w:p>
            <w:pPr/>
          </w:p>
        </w:tc>
        <w:tc>
          <w:tcPr>
            <w:tcW w:w="1652" w:type="dxa"/>
            <w:tcBorders>
              <w:top w:val="nil" w:sz="6" w:space="0" w:color="auto"/>
              <w:left w:val="single" w:sz="4" w:space="0" w:color="000000"/>
              <w:bottom w:val="single" w:sz="4" w:space="0" w:color="000000"/>
              <w:right w:val="single" w:sz="4" w:space="0" w:color="000000"/>
            </w:tcBorders>
            <w:shd w:val="clear" w:color="auto" w:fill="DCDCDC"/>
          </w:tcPr>
          <w:p>
            <w:pPr/>
          </w:p>
        </w:tc>
        <w:tc>
          <w:tcPr>
            <w:tcW w:w="1654" w:type="dxa"/>
            <w:tcBorders>
              <w:top w:val="nil" w:sz="6" w:space="0" w:color="auto"/>
              <w:left w:val="single" w:sz="4" w:space="0" w:color="000000"/>
              <w:bottom w:val="single" w:sz="4" w:space="0" w:color="000000"/>
              <w:right w:val="single" w:sz="4" w:space="0" w:color="000000"/>
            </w:tcBorders>
            <w:shd w:val="clear" w:color="auto" w:fill="DCDCDC"/>
          </w:tcPr>
          <w:p>
            <w:pPr/>
          </w:p>
        </w:tc>
        <w:tc>
          <w:tcPr>
            <w:tcW w:w="1651" w:type="dxa"/>
            <w:vMerge/>
            <w:tcBorders>
              <w:left w:val="single" w:sz="4" w:space="0" w:color="000000"/>
              <w:bottom w:val="single" w:sz="4" w:space="0" w:color="000000"/>
              <w:right w:val="single" w:sz="4" w:space="0" w:color="000000"/>
            </w:tcBorders>
            <w:shd w:val="clear" w:color="auto" w:fill="DCDCDC"/>
          </w:tcPr>
          <w:p>
            <w:pPr/>
          </w:p>
        </w:tc>
        <w:tc>
          <w:tcPr>
            <w:tcW w:w="1652"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4"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1,123,004,266.22</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07" w:right="0"/>
              <w:jc w:val="left"/>
              <w:rPr>
                <w:rFonts w:ascii="Times New Roman" w:hAnsi="Times New Roman" w:cs="Times New Roman" w:eastAsia="Times New Roman" w:hint="default"/>
                <w:sz w:val="21"/>
                <w:szCs w:val="21"/>
              </w:rPr>
            </w:pPr>
            <w:r>
              <w:rPr>
                <w:rFonts w:ascii="Times New Roman"/>
                <w:sz w:val="21"/>
              </w:rPr>
              <w:t>270,473,581.21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sz w:val="21"/>
              </w:rPr>
              <w:t>315.20%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211,168,183.33</w:t>
            </w: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66,573,305.38</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12" w:right="0"/>
              <w:jc w:val="left"/>
              <w:rPr>
                <w:rFonts w:ascii="Times New Roman" w:hAnsi="Times New Roman" w:cs="Times New Roman" w:eastAsia="Times New Roman" w:hint="default"/>
                <w:sz w:val="21"/>
                <w:szCs w:val="21"/>
              </w:rPr>
            </w:pPr>
            <w:r>
              <w:rPr>
                <w:rFonts w:ascii="Times New Roman"/>
                <w:sz w:val="21"/>
              </w:rPr>
              <w:t>48,213,863.23</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38.08%</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52,577,584.06</w:t>
            </w:r>
          </w:p>
        </w:tc>
      </w:tr>
      <w:tr>
        <w:trPr>
          <w:trHeight w:val="946"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3" w:right="18"/>
              <w:jc w:val="both"/>
              <w:rPr>
                <w:rFonts w:ascii="宋体" w:hAnsi="宋体" w:cs="宋体" w:eastAsia="宋体" w:hint="default"/>
                <w:sz w:val="21"/>
                <w:szCs w:val="21"/>
              </w:rPr>
            </w:pPr>
            <w:r>
              <w:rPr>
                <w:rFonts w:ascii="宋体" w:hAnsi="宋体" w:cs="宋体" w:eastAsia="宋体" w:hint="default"/>
                <w:b/>
                <w:bCs/>
                <w:sz w:val="21"/>
                <w:szCs w:val="21"/>
              </w:rPr>
              <w:t>归</w:t>
            </w:r>
            <w:r>
              <w:rPr>
                <w:rFonts w:ascii="宋体" w:hAnsi="宋体" w:cs="宋体" w:eastAsia="宋体" w:hint="default"/>
                <w:b/>
                <w:bCs/>
                <w:spacing w:val="-75"/>
                <w:sz w:val="21"/>
                <w:szCs w:val="21"/>
              </w:rPr>
              <w:t> </w:t>
            </w:r>
            <w:r>
              <w:rPr>
                <w:rFonts w:ascii="宋体" w:hAnsi="宋体" w:cs="宋体" w:eastAsia="宋体" w:hint="default"/>
                <w:b/>
                <w:bCs/>
                <w:sz w:val="21"/>
                <w:szCs w:val="21"/>
              </w:rPr>
              <w:t>属</w:t>
            </w:r>
            <w:r>
              <w:rPr>
                <w:rFonts w:ascii="宋体" w:hAnsi="宋体" w:cs="宋体" w:eastAsia="宋体" w:hint="default"/>
                <w:b/>
                <w:bCs/>
                <w:spacing w:val="-75"/>
                <w:sz w:val="21"/>
                <w:szCs w:val="21"/>
              </w:rPr>
              <w:t> </w:t>
            </w:r>
            <w:r>
              <w:rPr>
                <w:rFonts w:ascii="宋体" w:hAnsi="宋体" w:cs="宋体" w:eastAsia="宋体" w:hint="default"/>
                <w:b/>
                <w:bCs/>
                <w:sz w:val="21"/>
                <w:szCs w:val="21"/>
              </w:rPr>
              <w:t>于</w:t>
            </w:r>
            <w:r>
              <w:rPr>
                <w:rFonts w:ascii="宋体" w:hAnsi="宋体" w:cs="宋体" w:eastAsia="宋体" w:hint="default"/>
                <w:b/>
                <w:bCs/>
                <w:spacing w:val="-75"/>
                <w:sz w:val="21"/>
                <w:szCs w:val="21"/>
              </w:rPr>
              <w:t> </w:t>
            </w:r>
            <w:r>
              <w:rPr>
                <w:rFonts w:ascii="宋体" w:hAnsi="宋体" w:cs="宋体" w:eastAsia="宋体" w:hint="default"/>
                <w:b/>
                <w:bCs/>
                <w:sz w:val="21"/>
                <w:szCs w:val="21"/>
              </w:rPr>
              <w:t>上</w:t>
            </w:r>
            <w:r>
              <w:rPr>
                <w:rFonts w:ascii="宋体" w:hAnsi="宋体" w:cs="宋体" w:eastAsia="宋体" w:hint="default"/>
                <w:b/>
                <w:bCs/>
                <w:spacing w:val="-78"/>
                <w:sz w:val="21"/>
                <w:szCs w:val="21"/>
              </w:rPr>
              <w:t> </w:t>
            </w:r>
            <w:r>
              <w:rPr>
                <w:rFonts w:ascii="宋体" w:hAnsi="宋体" w:cs="宋体" w:eastAsia="宋体" w:hint="default"/>
                <w:b/>
                <w:bCs/>
                <w:sz w:val="21"/>
                <w:szCs w:val="21"/>
              </w:rPr>
              <w:t>市</w:t>
            </w:r>
            <w:r>
              <w:rPr>
                <w:rFonts w:ascii="宋体" w:hAnsi="宋体" w:cs="宋体" w:eastAsia="宋体" w:hint="default"/>
                <w:b/>
                <w:bCs/>
                <w:spacing w:val="-75"/>
                <w:sz w:val="21"/>
                <w:szCs w:val="21"/>
              </w:rPr>
              <w:t> </w:t>
            </w:r>
            <w:r>
              <w:rPr>
                <w:rFonts w:ascii="宋体" w:hAnsi="宋体" w:cs="宋体" w:eastAsia="宋体" w:hint="default"/>
                <w:b/>
                <w:bCs/>
                <w:sz w:val="21"/>
                <w:szCs w:val="21"/>
              </w:rPr>
              <w:t>公</w:t>
            </w:r>
            <w:r>
              <w:rPr>
                <w:rFonts w:ascii="宋体" w:hAnsi="宋体" w:cs="宋体" w:eastAsia="宋体" w:hint="default"/>
                <w:b/>
                <w:bCs/>
                <w:spacing w:val="-75"/>
                <w:sz w:val="21"/>
                <w:szCs w:val="21"/>
              </w:rPr>
              <w:t> </w:t>
            </w:r>
            <w:r>
              <w:rPr>
                <w:rFonts w:ascii="宋体" w:hAnsi="宋体" w:cs="宋体" w:eastAsia="宋体" w:hint="default"/>
                <w:b/>
                <w:bCs/>
                <w:sz w:val="21"/>
                <w:szCs w:val="21"/>
              </w:rPr>
              <w:t>司</w:t>
            </w:r>
            <w:r>
              <w:rPr>
                <w:rFonts w:ascii="宋体" w:hAnsi="宋体" w:cs="宋体" w:eastAsia="宋体" w:hint="default"/>
                <w:b/>
                <w:bCs/>
                <w:w w:val="100"/>
                <w:sz w:val="21"/>
                <w:szCs w:val="21"/>
              </w:rPr>
              <w:t> </w:t>
            </w:r>
            <w:r>
              <w:rPr>
                <w:rFonts w:ascii="宋体" w:hAnsi="宋体" w:cs="宋体" w:eastAsia="宋体" w:hint="default"/>
                <w:b/>
                <w:bCs/>
                <w:sz w:val="21"/>
                <w:szCs w:val="21"/>
              </w:rPr>
              <w:t>股</w:t>
            </w:r>
            <w:r>
              <w:rPr>
                <w:rFonts w:ascii="宋体" w:hAnsi="宋体" w:cs="宋体" w:eastAsia="宋体" w:hint="default"/>
                <w:b/>
                <w:bCs/>
                <w:spacing w:val="-75"/>
                <w:sz w:val="21"/>
                <w:szCs w:val="21"/>
              </w:rPr>
              <w:t> </w:t>
            </w:r>
            <w:r>
              <w:rPr>
                <w:rFonts w:ascii="宋体" w:hAnsi="宋体" w:cs="宋体" w:eastAsia="宋体" w:hint="default"/>
                <w:b/>
                <w:bCs/>
                <w:sz w:val="21"/>
                <w:szCs w:val="21"/>
              </w:rPr>
              <w:t>东</w:t>
            </w:r>
            <w:r>
              <w:rPr>
                <w:rFonts w:ascii="宋体" w:hAnsi="宋体" w:cs="宋体" w:eastAsia="宋体" w:hint="default"/>
                <w:b/>
                <w:bCs/>
                <w:spacing w:val="-75"/>
                <w:sz w:val="21"/>
                <w:szCs w:val="21"/>
              </w:rPr>
              <w:t> </w:t>
            </w:r>
            <w:r>
              <w:rPr>
                <w:rFonts w:ascii="宋体" w:hAnsi="宋体" w:cs="宋体" w:eastAsia="宋体" w:hint="default"/>
                <w:b/>
                <w:bCs/>
                <w:sz w:val="21"/>
                <w:szCs w:val="21"/>
              </w:rPr>
              <w:t>的</w:t>
            </w:r>
            <w:r>
              <w:rPr>
                <w:rFonts w:ascii="宋体" w:hAnsi="宋体" w:cs="宋体" w:eastAsia="宋体" w:hint="default"/>
                <w:b/>
                <w:bCs/>
                <w:spacing w:val="-75"/>
                <w:sz w:val="21"/>
                <w:szCs w:val="21"/>
              </w:rPr>
              <w:t> </w:t>
            </w:r>
            <w:r>
              <w:rPr>
                <w:rFonts w:ascii="宋体" w:hAnsi="宋体" w:cs="宋体" w:eastAsia="宋体" w:hint="default"/>
                <w:b/>
                <w:bCs/>
                <w:sz w:val="21"/>
                <w:szCs w:val="21"/>
              </w:rPr>
              <w:t>所</w:t>
            </w:r>
            <w:r>
              <w:rPr>
                <w:rFonts w:ascii="宋体" w:hAnsi="宋体" w:cs="宋体" w:eastAsia="宋体" w:hint="default"/>
                <w:b/>
                <w:bCs/>
                <w:spacing w:val="-78"/>
                <w:sz w:val="21"/>
                <w:szCs w:val="21"/>
              </w:rPr>
              <w:t> </w:t>
            </w:r>
            <w:r>
              <w:rPr>
                <w:rFonts w:ascii="宋体" w:hAnsi="宋体" w:cs="宋体" w:eastAsia="宋体" w:hint="default"/>
                <w:b/>
                <w:bCs/>
                <w:sz w:val="21"/>
                <w:szCs w:val="21"/>
              </w:rPr>
              <w:t>有</w:t>
            </w:r>
            <w:r>
              <w:rPr>
                <w:rFonts w:ascii="宋体" w:hAnsi="宋体" w:cs="宋体" w:eastAsia="宋体" w:hint="default"/>
                <w:b/>
                <w:bCs/>
                <w:spacing w:val="-75"/>
                <w:sz w:val="21"/>
                <w:szCs w:val="21"/>
              </w:rPr>
              <w:t> </w:t>
            </w:r>
            <w:r>
              <w:rPr>
                <w:rFonts w:ascii="宋体" w:hAnsi="宋体" w:cs="宋体" w:eastAsia="宋体" w:hint="default"/>
                <w:b/>
                <w:bCs/>
                <w:sz w:val="21"/>
                <w:szCs w:val="21"/>
              </w:rPr>
              <w:t>者</w:t>
            </w:r>
            <w:r>
              <w:rPr>
                <w:rFonts w:ascii="宋体" w:hAnsi="宋体" w:cs="宋体" w:eastAsia="宋体" w:hint="default"/>
                <w:b/>
                <w:bCs/>
                <w:spacing w:val="-75"/>
                <w:sz w:val="21"/>
                <w:szCs w:val="21"/>
              </w:rPr>
              <w:t> </w:t>
            </w:r>
            <w:r>
              <w:rPr>
                <w:rFonts w:ascii="宋体" w:hAnsi="宋体" w:cs="宋体" w:eastAsia="宋体" w:hint="default"/>
                <w:b/>
                <w:bCs/>
                <w:sz w:val="21"/>
                <w:szCs w:val="21"/>
              </w:rPr>
              <w:t>权</w:t>
            </w:r>
            <w:r>
              <w:rPr>
                <w:rFonts w:ascii="宋体" w:hAnsi="宋体" w:cs="宋体" w:eastAsia="宋体" w:hint="default"/>
                <w:b/>
                <w:bCs/>
                <w:w w:val="100"/>
                <w:sz w:val="21"/>
                <w:szCs w:val="21"/>
              </w:rPr>
              <w:t> </w:t>
            </w:r>
            <w:r>
              <w:rPr>
                <w:rFonts w:ascii="宋体" w:hAnsi="宋体" w:cs="宋体" w:eastAsia="宋体" w:hint="default"/>
                <w:b/>
                <w:bCs/>
                <w:sz w:val="21"/>
                <w:szCs w:val="21"/>
              </w:rPr>
              <w:t>益</w:t>
            </w:r>
            <w:r>
              <w:rPr>
                <w:rFonts w:ascii="宋体" w:hAnsi="宋体" w:cs="宋体" w:eastAsia="宋体" w:hint="default"/>
                <w:sz w:val="21"/>
                <w:szCs w:val="21"/>
              </w:rPr>
            </w:r>
          </w:p>
        </w:tc>
        <w:tc>
          <w:tcPr>
            <w:tcW w:w="16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1,056,430,960.84</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07" w:right="0"/>
              <w:jc w:val="left"/>
              <w:rPr>
                <w:rFonts w:ascii="Times New Roman" w:hAnsi="Times New Roman" w:cs="Times New Roman" w:eastAsia="Times New Roman" w:hint="default"/>
                <w:sz w:val="21"/>
                <w:szCs w:val="21"/>
              </w:rPr>
            </w:pPr>
            <w:r>
              <w:rPr>
                <w:rFonts w:ascii="Times New Roman"/>
                <w:sz w:val="21"/>
              </w:rPr>
              <w:t>222,259,717.98</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375.31%</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158,590,599.27</w:t>
            </w: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总股本</w:t>
            </w:r>
            <w:r>
              <w:rPr>
                <w:rFonts w:ascii="宋体" w:hAnsi="宋体" w:cs="宋体" w:eastAsia="宋体" w:hint="default"/>
                <w:sz w:val="21"/>
                <w:szCs w:val="21"/>
              </w:rPr>
            </w:r>
          </w:p>
        </w:tc>
        <w:tc>
          <w:tcPr>
            <w:tcW w:w="16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168,007,774.00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12" w:right="0"/>
              <w:jc w:val="left"/>
              <w:rPr>
                <w:rFonts w:ascii="Times New Roman" w:hAnsi="Times New Roman" w:cs="Times New Roman" w:eastAsia="Times New Roman" w:hint="default"/>
                <w:sz w:val="21"/>
                <w:szCs w:val="21"/>
              </w:rPr>
            </w:pPr>
            <w:r>
              <w:rPr>
                <w:rFonts w:ascii="Times New Roman"/>
                <w:sz w:val="21"/>
              </w:rPr>
              <w:t>85,724,482.00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95.99%</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17,795,387.00</w:t>
            </w:r>
          </w:p>
        </w:tc>
      </w:tr>
    </w:tbl>
    <w:p>
      <w:pPr>
        <w:spacing w:line="240" w:lineRule="auto" w:before="9"/>
        <w:rPr>
          <w:rFonts w:ascii="宋体" w:hAnsi="宋体" w:cs="宋体" w:eastAsia="宋体" w:hint="default"/>
          <w:sz w:val="26"/>
          <w:szCs w:val="26"/>
        </w:rPr>
      </w:pPr>
    </w:p>
    <w:p>
      <w:pPr>
        <w:pStyle w:val="Heading5"/>
        <w:tabs>
          <w:tab w:pos="980" w:val="left" w:leader="none"/>
        </w:tabs>
        <w:spacing w:line="240" w:lineRule="auto" w:before="26"/>
        <w:ind w:right="0"/>
        <w:jc w:val="left"/>
        <w:rPr>
          <w:b w:val="0"/>
          <w:bCs w:val="0"/>
        </w:rPr>
      </w:pPr>
      <w:r>
        <w:rPr/>
        <w:t>二、</w:t>
        <w:tab/>
        <w:t>主要财务指标</w:t>
      </w:r>
      <w:r>
        <w:rPr>
          <w:b w:val="0"/>
          <w:bCs w:val="0"/>
        </w:rPr>
      </w:r>
    </w:p>
    <w:p>
      <w:pPr>
        <w:spacing w:line="240" w:lineRule="auto" w:before="9"/>
        <w:rPr>
          <w:rFonts w:ascii="宋体" w:hAnsi="宋体" w:cs="宋体" w:eastAsia="宋体" w:hint="default"/>
          <w:b/>
          <w:bCs/>
          <w:sz w:val="14"/>
          <w:szCs w:val="14"/>
        </w:rPr>
      </w:pPr>
    </w:p>
    <w:tbl>
      <w:tblPr>
        <w:tblW w:w="0" w:type="auto"/>
        <w:jc w:val="left"/>
        <w:tblInd w:w="147" w:type="dxa"/>
        <w:tblLayout w:type="fixed"/>
        <w:tblCellMar>
          <w:top w:w="0" w:type="dxa"/>
          <w:left w:w="0" w:type="dxa"/>
          <w:bottom w:w="0" w:type="dxa"/>
          <w:right w:w="0" w:type="dxa"/>
        </w:tblCellMar>
        <w:tblLook w:val="01E0"/>
      </w:tblPr>
      <w:tblGrid>
        <w:gridCol w:w="2253"/>
        <w:gridCol w:w="1523"/>
        <w:gridCol w:w="1512"/>
        <w:gridCol w:w="1332"/>
        <w:gridCol w:w="1693"/>
      </w:tblGrid>
      <w:tr>
        <w:trPr>
          <w:trHeight w:val="161" w:hRule="exact"/>
        </w:trPr>
        <w:tc>
          <w:tcPr>
            <w:tcW w:w="2253" w:type="dxa"/>
            <w:tcBorders>
              <w:top w:val="single" w:sz="4" w:space="0" w:color="000000"/>
              <w:left w:val="single" w:sz="4" w:space="0" w:color="000000"/>
              <w:bottom w:val="nil" w:sz="6" w:space="0" w:color="auto"/>
              <w:right w:val="single" w:sz="4" w:space="0" w:color="000000"/>
            </w:tcBorders>
            <w:shd w:val="clear" w:color="auto" w:fill="DCDCDC"/>
          </w:tcPr>
          <w:p>
            <w:pPr/>
          </w:p>
        </w:tc>
        <w:tc>
          <w:tcPr>
            <w:tcW w:w="1523" w:type="dxa"/>
            <w:tcBorders>
              <w:top w:val="single" w:sz="4" w:space="0" w:color="000000"/>
              <w:left w:val="single" w:sz="4" w:space="0" w:color="000000"/>
              <w:bottom w:val="nil" w:sz="6" w:space="0" w:color="auto"/>
              <w:right w:val="single" w:sz="4" w:space="0" w:color="000000"/>
            </w:tcBorders>
            <w:shd w:val="clear" w:color="auto" w:fill="DCDCDC"/>
          </w:tcPr>
          <w:p>
            <w:pPr/>
          </w:p>
        </w:tc>
        <w:tc>
          <w:tcPr>
            <w:tcW w:w="1512" w:type="dxa"/>
            <w:tcBorders>
              <w:top w:val="single" w:sz="4" w:space="0" w:color="000000"/>
              <w:left w:val="single" w:sz="4" w:space="0" w:color="000000"/>
              <w:bottom w:val="nil" w:sz="6" w:space="0" w:color="auto"/>
              <w:right w:val="single" w:sz="4" w:space="0" w:color="000000"/>
            </w:tcBorders>
            <w:shd w:val="clear" w:color="auto" w:fill="DCDCDC"/>
          </w:tcPr>
          <w:p>
            <w:pPr/>
          </w:p>
        </w:tc>
        <w:tc>
          <w:tcPr>
            <w:tcW w:w="1332"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554" w:right="24" w:hanging="526"/>
              <w:jc w:val="left"/>
              <w:rPr>
                <w:rFonts w:ascii="宋体" w:hAnsi="宋体" w:cs="宋体" w:eastAsia="宋体" w:hint="default"/>
                <w:sz w:val="21"/>
                <w:szCs w:val="21"/>
              </w:rPr>
            </w:pPr>
            <w:r>
              <w:rPr>
                <w:rFonts w:ascii="宋体" w:hAnsi="宋体" w:cs="宋体" w:eastAsia="宋体" w:hint="default"/>
                <w:b/>
                <w:bCs/>
                <w:sz w:val="21"/>
                <w:szCs w:val="21"/>
              </w:rPr>
              <w:t>本年比上年增</w:t>
            </w:r>
            <w:r>
              <w:rPr>
                <w:rFonts w:ascii="宋体" w:hAnsi="宋体" w:cs="宋体" w:eastAsia="宋体" w:hint="default"/>
                <w:b/>
                <w:bCs/>
                <w:spacing w:val="-104"/>
                <w:sz w:val="21"/>
                <w:szCs w:val="21"/>
              </w:rPr>
              <w:t> </w:t>
            </w:r>
            <w:r>
              <w:rPr>
                <w:rFonts w:ascii="宋体" w:hAnsi="宋体" w:cs="宋体" w:eastAsia="宋体" w:hint="default"/>
                <w:b/>
                <w:bCs/>
                <w:sz w:val="21"/>
                <w:szCs w:val="21"/>
              </w:rPr>
              <w:t>减</w:t>
            </w:r>
            <w:r>
              <w:rPr>
                <w:rFonts w:ascii="宋体" w:hAnsi="宋体" w:cs="宋体" w:eastAsia="宋体" w:hint="default"/>
                <w:sz w:val="21"/>
                <w:szCs w:val="21"/>
              </w:rPr>
            </w:r>
          </w:p>
        </w:tc>
        <w:tc>
          <w:tcPr>
            <w:tcW w:w="1693"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2253" w:type="dxa"/>
            <w:tcBorders>
              <w:top w:val="nil" w:sz="6" w:space="0" w:color="auto"/>
              <w:left w:val="single" w:sz="4" w:space="0" w:color="000000"/>
              <w:bottom w:val="nil" w:sz="6" w:space="0" w:color="auto"/>
              <w:right w:val="single" w:sz="4" w:space="0" w:color="000000"/>
            </w:tcBorders>
            <w:shd w:val="clear" w:color="auto" w:fill="DCDCDC"/>
          </w:tcPr>
          <w:p>
            <w:pPr/>
          </w:p>
        </w:tc>
        <w:tc>
          <w:tcPr>
            <w:tcW w:w="152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42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1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41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332" w:type="dxa"/>
            <w:vMerge/>
            <w:tcBorders>
              <w:left w:val="single" w:sz="4" w:space="0" w:color="000000"/>
              <w:right w:val="single" w:sz="4" w:space="0" w:color="000000"/>
            </w:tcBorders>
            <w:shd w:val="clear" w:color="auto" w:fill="DCDCDC"/>
          </w:tcPr>
          <w:p>
            <w:pPr/>
          </w:p>
        </w:tc>
        <w:tc>
          <w:tcPr>
            <w:tcW w:w="169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49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161" w:hRule="exact"/>
        </w:trPr>
        <w:tc>
          <w:tcPr>
            <w:tcW w:w="2253" w:type="dxa"/>
            <w:tcBorders>
              <w:top w:val="nil" w:sz="6" w:space="0" w:color="auto"/>
              <w:left w:val="single" w:sz="4" w:space="0" w:color="000000"/>
              <w:bottom w:val="single" w:sz="4" w:space="0" w:color="000000"/>
              <w:right w:val="single" w:sz="4" w:space="0" w:color="000000"/>
            </w:tcBorders>
            <w:shd w:val="clear" w:color="auto" w:fill="DCDCDC"/>
          </w:tcPr>
          <w:p>
            <w:pPr/>
          </w:p>
        </w:tc>
        <w:tc>
          <w:tcPr>
            <w:tcW w:w="1523" w:type="dxa"/>
            <w:tcBorders>
              <w:top w:val="nil" w:sz="6" w:space="0" w:color="auto"/>
              <w:left w:val="single" w:sz="4" w:space="0" w:color="000000"/>
              <w:bottom w:val="single" w:sz="4" w:space="0" w:color="000000"/>
              <w:right w:val="single" w:sz="4" w:space="0" w:color="000000"/>
            </w:tcBorders>
            <w:shd w:val="clear" w:color="auto" w:fill="DCDCDC"/>
          </w:tcPr>
          <w:p>
            <w:pPr/>
          </w:p>
        </w:tc>
        <w:tc>
          <w:tcPr>
            <w:tcW w:w="1512" w:type="dxa"/>
            <w:tcBorders>
              <w:top w:val="nil" w:sz="6" w:space="0" w:color="auto"/>
              <w:left w:val="single" w:sz="4" w:space="0" w:color="000000"/>
              <w:bottom w:val="single" w:sz="4" w:space="0" w:color="000000"/>
              <w:right w:val="single" w:sz="4" w:space="0" w:color="000000"/>
            </w:tcBorders>
            <w:shd w:val="clear" w:color="auto" w:fill="DCDCDC"/>
          </w:tcPr>
          <w:p>
            <w:pPr/>
          </w:p>
        </w:tc>
        <w:tc>
          <w:tcPr>
            <w:tcW w:w="1332" w:type="dxa"/>
            <w:vMerge/>
            <w:tcBorders>
              <w:left w:val="single" w:sz="4" w:space="0" w:color="000000"/>
              <w:bottom w:val="single" w:sz="4" w:space="0" w:color="000000"/>
              <w:right w:val="single" w:sz="4" w:space="0" w:color="000000"/>
            </w:tcBorders>
            <w:shd w:val="clear" w:color="auto" w:fill="DCDCDC"/>
          </w:tcPr>
          <w:p>
            <w:pPr/>
          </w:p>
        </w:tc>
        <w:tc>
          <w:tcPr>
            <w:tcW w:w="1693"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4" w:hRule="exact"/>
        </w:trPr>
        <w:tc>
          <w:tcPr>
            <w:tcW w:w="2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1" w:lineRule="exact"/>
              <w:ind w:left="11" w:right="0"/>
              <w:jc w:val="left"/>
              <w:rPr>
                <w:rFonts w:ascii="宋体" w:hAnsi="宋体" w:cs="宋体" w:eastAsia="宋体" w:hint="default"/>
                <w:sz w:val="21"/>
                <w:szCs w:val="21"/>
              </w:rPr>
            </w:pPr>
            <w:r>
              <w:rPr>
                <w:rFonts w:ascii="宋体" w:hAnsi="宋体" w:cs="宋体" w:eastAsia="宋体" w:hint="default"/>
                <w:b/>
                <w:bCs/>
                <w:sz w:val="21"/>
                <w:szCs w:val="21"/>
              </w:rPr>
              <w:t>基本每股收益（元</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股）</w:t>
            </w:r>
            <w:r>
              <w:rPr>
                <w:rFonts w:ascii="宋体" w:hAnsi="宋体" w:cs="宋体" w:eastAsia="宋体" w:hint="default"/>
                <w:sz w:val="21"/>
                <w:szCs w:val="21"/>
              </w:rPr>
            </w:r>
          </w:p>
        </w:tc>
        <w:tc>
          <w:tcPr>
            <w:tcW w:w="1523"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z w:val="21"/>
              </w:rPr>
              <w:t>0.58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z w:val="21"/>
              </w:rPr>
              <w:t>0.53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sz w:val="21"/>
              </w:rPr>
              <w:t>9.43%</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z w:val="21"/>
              </w:rPr>
              <w:t>0.39</w:t>
            </w:r>
          </w:p>
        </w:tc>
      </w:tr>
      <w:tr>
        <w:trPr>
          <w:trHeight w:val="322" w:hRule="exact"/>
        </w:trPr>
        <w:tc>
          <w:tcPr>
            <w:tcW w:w="2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1" w:right="0"/>
              <w:jc w:val="left"/>
              <w:rPr>
                <w:rFonts w:ascii="宋体" w:hAnsi="宋体" w:cs="宋体" w:eastAsia="宋体" w:hint="default"/>
                <w:sz w:val="21"/>
                <w:szCs w:val="21"/>
              </w:rPr>
            </w:pPr>
            <w:r>
              <w:rPr>
                <w:rFonts w:ascii="宋体" w:hAnsi="宋体" w:cs="宋体" w:eastAsia="宋体" w:hint="default"/>
                <w:b/>
                <w:bCs/>
                <w:sz w:val="21"/>
                <w:szCs w:val="21"/>
              </w:rPr>
              <w:t>稀释每股收益（元</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股）</w:t>
            </w:r>
            <w:r>
              <w:rPr>
                <w:rFonts w:ascii="宋体" w:hAnsi="宋体" w:cs="宋体" w:eastAsia="宋体" w:hint="default"/>
                <w:sz w:val="21"/>
                <w:szCs w:val="21"/>
              </w:rPr>
            </w:r>
          </w:p>
        </w:tc>
        <w:tc>
          <w:tcPr>
            <w:tcW w:w="1523"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0.58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0.53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9.43%</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0.39</w:t>
            </w:r>
          </w:p>
        </w:tc>
      </w:tr>
      <w:tr>
        <w:trPr>
          <w:trHeight w:val="634" w:hRule="exact"/>
        </w:trPr>
        <w:tc>
          <w:tcPr>
            <w:tcW w:w="2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62"/>
              <w:jc w:val="left"/>
              <w:rPr>
                <w:rFonts w:ascii="宋体" w:hAnsi="宋体" w:cs="宋体" w:eastAsia="宋体" w:hint="default"/>
                <w:sz w:val="21"/>
                <w:szCs w:val="21"/>
              </w:rPr>
            </w:pPr>
            <w:r>
              <w:rPr>
                <w:rFonts w:ascii="宋体" w:hAnsi="宋体" w:cs="宋体" w:eastAsia="宋体" w:hint="default"/>
                <w:b/>
                <w:bCs/>
                <w:sz w:val="21"/>
                <w:szCs w:val="21"/>
              </w:rPr>
              <w:t>扣除非经常性损益后的</w:t>
            </w:r>
            <w:r>
              <w:rPr>
                <w:rFonts w:ascii="宋体" w:hAnsi="宋体" w:cs="宋体" w:eastAsia="宋体" w:hint="default"/>
                <w:b/>
                <w:bCs/>
                <w:w w:val="100"/>
                <w:sz w:val="21"/>
                <w:szCs w:val="21"/>
              </w:rPr>
              <w:t> </w:t>
            </w:r>
            <w:r>
              <w:rPr>
                <w:rFonts w:ascii="宋体" w:hAnsi="宋体" w:cs="宋体" w:eastAsia="宋体" w:hint="default"/>
                <w:b/>
                <w:bCs/>
                <w:sz w:val="21"/>
                <w:szCs w:val="21"/>
              </w:rPr>
              <w:t>基本每股收益（元</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股）</w:t>
            </w:r>
            <w:r>
              <w:rPr>
                <w:rFonts w:ascii="宋体" w:hAnsi="宋体" w:cs="宋体" w:eastAsia="宋体" w:hint="default"/>
                <w:sz w:val="21"/>
                <w:szCs w:val="21"/>
              </w:rPr>
            </w:r>
          </w:p>
        </w:tc>
        <w:tc>
          <w:tcPr>
            <w:tcW w:w="1523"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0.49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0.41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19.51%</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0.34</w:t>
            </w:r>
          </w:p>
        </w:tc>
      </w:tr>
      <w:tr>
        <w:trPr>
          <w:trHeight w:val="634" w:hRule="exact"/>
        </w:trPr>
        <w:tc>
          <w:tcPr>
            <w:tcW w:w="2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b/>
                <w:bCs/>
                <w:sz w:val="21"/>
                <w:szCs w:val="21"/>
              </w:rPr>
              <w:t>加权平均净资产收益率</w:t>
            </w:r>
            <w:r>
              <w:rPr>
                <w:rFonts w:ascii="宋体" w:hAnsi="宋体" w:cs="宋体" w:eastAsia="宋体" w:hint="default"/>
                <w:sz w:val="21"/>
                <w:szCs w:val="21"/>
              </w:rPr>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sz w:val="21"/>
                <w:szCs w:val="21"/>
              </w:rPr>
            </w:r>
          </w:p>
        </w:tc>
        <w:tc>
          <w:tcPr>
            <w:tcW w:w="1523"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10.24%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33.23%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-22.99%</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34.78%</w:t>
            </w:r>
          </w:p>
        </w:tc>
      </w:tr>
      <w:tr>
        <w:trPr>
          <w:trHeight w:val="946" w:hRule="exact"/>
        </w:trPr>
        <w:tc>
          <w:tcPr>
            <w:tcW w:w="2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119"/>
              <w:jc w:val="left"/>
              <w:rPr>
                <w:rFonts w:ascii="宋体" w:hAnsi="宋体" w:cs="宋体" w:eastAsia="宋体" w:hint="default"/>
                <w:sz w:val="21"/>
                <w:szCs w:val="21"/>
              </w:rPr>
            </w:pPr>
            <w:r>
              <w:rPr>
                <w:rFonts w:ascii="宋体" w:hAnsi="宋体" w:cs="宋体" w:eastAsia="宋体" w:hint="default"/>
                <w:b/>
                <w:bCs/>
                <w:sz w:val="21"/>
                <w:szCs w:val="21"/>
              </w:rPr>
              <w:t>扣除非经常性损益后的</w:t>
            </w:r>
            <w:r>
              <w:rPr>
                <w:rFonts w:ascii="宋体" w:hAnsi="宋体" w:cs="宋体" w:eastAsia="宋体" w:hint="default"/>
                <w:b/>
                <w:bCs/>
                <w:w w:val="100"/>
                <w:sz w:val="21"/>
                <w:szCs w:val="21"/>
              </w:rPr>
              <w:t> </w:t>
            </w:r>
            <w:r>
              <w:rPr>
                <w:rFonts w:ascii="宋体" w:hAnsi="宋体" w:cs="宋体" w:eastAsia="宋体" w:hint="default"/>
                <w:b/>
                <w:bCs/>
                <w:sz w:val="21"/>
                <w:szCs w:val="21"/>
              </w:rPr>
              <w:t>加权平均净资产收益率</w:t>
            </w:r>
            <w:r>
              <w:rPr>
                <w:rFonts w:ascii="宋体" w:hAnsi="宋体" w:cs="宋体" w:eastAsia="宋体" w:hint="default"/>
                <w:sz w:val="21"/>
                <w:szCs w:val="21"/>
              </w:rPr>
            </w:r>
          </w:p>
          <w:p>
            <w:pPr>
              <w:pStyle w:val="TableParagraph"/>
              <w:spacing w:line="240" w:lineRule="auto" w:before="7"/>
              <w:ind w:left="11"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sz w:val="21"/>
                <w:szCs w:val="21"/>
              </w:rPr>
            </w:r>
          </w:p>
        </w:tc>
        <w:tc>
          <w:tcPr>
            <w:tcW w:w="1523"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8.61%</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26.04%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-17.43%</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30.40%</w:t>
            </w:r>
          </w:p>
        </w:tc>
      </w:tr>
      <w:tr>
        <w:trPr>
          <w:trHeight w:val="634" w:hRule="exact"/>
        </w:trPr>
        <w:tc>
          <w:tcPr>
            <w:tcW w:w="2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119"/>
              <w:jc w:val="left"/>
              <w:rPr>
                <w:rFonts w:ascii="宋体" w:hAnsi="宋体" w:cs="宋体" w:eastAsia="宋体" w:hint="default"/>
                <w:sz w:val="21"/>
                <w:szCs w:val="21"/>
              </w:rPr>
            </w:pPr>
            <w:r>
              <w:rPr>
                <w:rFonts w:ascii="宋体" w:hAnsi="宋体" w:cs="宋体" w:eastAsia="宋体" w:hint="default"/>
                <w:b/>
                <w:bCs/>
                <w:sz w:val="21"/>
                <w:szCs w:val="21"/>
              </w:rPr>
              <w:t>每股经营活动产生的现</w:t>
            </w:r>
            <w:r>
              <w:rPr>
                <w:rFonts w:ascii="宋体" w:hAnsi="宋体" w:cs="宋体" w:eastAsia="宋体" w:hint="default"/>
                <w:b/>
                <w:bCs/>
                <w:w w:val="100"/>
                <w:sz w:val="21"/>
                <w:szCs w:val="21"/>
              </w:rPr>
              <w:t> </w:t>
            </w:r>
            <w:r>
              <w:rPr>
                <w:rFonts w:ascii="宋体" w:hAnsi="宋体" w:cs="宋体" w:eastAsia="宋体" w:hint="default"/>
                <w:b/>
                <w:bCs/>
                <w:sz w:val="21"/>
                <w:szCs w:val="21"/>
              </w:rPr>
              <w:t>金流量净额（元</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股）</w:t>
            </w:r>
            <w:r>
              <w:rPr>
                <w:rFonts w:ascii="宋体" w:hAnsi="宋体" w:cs="宋体" w:eastAsia="宋体" w:hint="default"/>
                <w:sz w:val="21"/>
                <w:szCs w:val="21"/>
              </w:rPr>
            </w:r>
          </w:p>
        </w:tc>
        <w:tc>
          <w:tcPr>
            <w:tcW w:w="1523"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0.27</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0.40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-32.50%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0.65</w:t>
            </w:r>
          </w:p>
        </w:tc>
      </w:tr>
      <w:tr>
        <w:trPr>
          <w:trHeight w:val="324" w:hRule="exact"/>
        </w:trPr>
        <w:tc>
          <w:tcPr>
            <w:tcW w:w="225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2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1" w:lineRule="exact"/>
              <w:ind w:left="31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 </w:t>
            </w:r>
            <w:r>
              <w:rPr>
                <w:rFonts w:ascii="宋体" w:hAnsi="宋体" w:cs="宋体" w:eastAsia="宋体" w:hint="default"/>
                <w:b/>
                <w:bCs/>
                <w:sz w:val="21"/>
                <w:szCs w:val="21"/>
              </w:rPr>
              <w:t>年末</w:t>
            </w:r>
            <w:r>
              <w:rPr>
                <w:rFonts w:ascii="宋体" w:hAnsi="宋体" w:cs="宋体" w:eastAsia="宋体" w:hint="default"/>
                <w:sz w:val="21"/>
                <w:szCs w:val="21"/>
              </w:rPr>
            </w:r>
          </w:p>
        </w:tc>
        <w:tc>
          <w:tcPr>
            <w:tcW w:w="15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1" w:lineRule="exact"/>
              <w:ind w:left="30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 </w:t>
            </w:r>
            <w:r>
              <w:rPr>
                <w:rFonts w:ascii="宋体" w:hAnsi="宋体" w:cs="宋体" w:eastAsia="宋体" w:hint="default"/>
                <w:b/>
                <w:bCs/>
                <w:sz w:val="21"/>
                <w:szCs w:val="21"/>
              </w:rPr>
              <w:t>年末</w:t>
            </w:r>
            <w:r>
              <w:rPr>
                <w:rFonts w:ascii="宋体" w:hAnsi="宋体" w:cs="宋体" w:eastAsia="宋体" w:hint="default"/>
                <w:sz w:val="21"/>
                <w:szCs w:val="21"/>
              </w:rPr>
            </w:r>
          </w:p>
        </w:tc>
        <w:tc>
          <w:tcPr>
            <w:tcW w:w="13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24"/>
              <w:jc w:val="right"/>
              <w:rPr>
                <w:rFonts w:ascii="宋体" w:hAnsi="宋体" w:cs="宋体" w:eastAsia="宋体" w:hint="default"/>
                <w:sz w:val="21"/>
                <w:szCs w:val="21"/>
              </w:rPr>
            </w:pPr>
            <w:r>
              <w:rPr>
                <w:rFonts w:ascii="宋体" w:hAnsi="宋体" w:cs="宋体" w:eastAsia="宋体" w:hint="default"/>
                <w:b/>
                <w:bCs/>
                <w:sz w:val="21"/>
                <w:szCs w:val="21"/>
              </w:rPr>
              <w:t>本年末比上年</w:t>
            </w:r>
            <w:r>
              <w:rPr>
                <w:rFonts w:ascii="宋体" w:hAnsi="宋体" w:cs="宋体" w:eastAsia="宋体" w:hint="default"/>
                <w:sz w:val="21"/>
                <w:szCs w:val="21"/>
              </w:rPr>
            </w:r>
          </w:p>
        </w:tc>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1" w:lineRule="exact"/>
              <w:ind w:left="39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 </w:t>
            </w:r>
            <w:r>
              <w:rPr>
                <w:rFonts w:ascii="宋体" w:hAnsi="宋体" w:cs="宋体" w:eastAsia="宋体" w:hint="default"/>
                <w:b/>
                <w:bCs/>
                <w:sz w:val="21"/>
                <w:szCs w:val="21"/>
              </w:rPr>
              <w:t>年末</w:t>
            </w:r>
            <w:r>
              <w:rPr>
                <w:rFonts w:ascii="宋体" w:hAnsi="宋体" w:cs="宋体" w:eastAsia="宋体" w:hint="default"/>
                <w:sz w:val="21"/>
                <w:szCs w:val="21"/>
              </w:rPr>
            </w:r>
          </w:p>
        </w:tc>
      </w:tr>
    </w:tbl>
    <w:p>
      <w:pPr>
        <w:spacing w:after="0" w:line="281" w:lineRule="exact"/>
        <w:jc w:val="left"/>
        <w:rPr>
          <w:rFonts w:ascii="宋体" w:hAnsi="宋体" w:cs="宋体" w:eastAsia="宋体" w:hint="default"/>
          <w:sz w:val="21"/>
          <w:szCs w:val="21"/>
        </w:rPr>
        <w:sectPr>
          <w:pgSz w:w="11910" w:h="16840"/>
          <w:pgMar w:header="884" w:footer="980" w:top="1140" w:bottom="1160" w:left="1660" w:right="1660"/>
        </w:sectPr>
      </w:pPr>
    </w:p>
    <w:p>
      <w:pPr>
        <w:spacing w:line="240" w:lineRule="auto" w:before="6"/>
        <w:rPr>
          <w:rFonts w:ascii="宋体" w:hAnsi="宋体" w:cs="宋体" w:eastAsia="宋体" w:hint="default"/>
          <w:b/>
          <w:bCs/>
          <w:sz w:val="21"/>
          <w:szCs w:val="21"/>
        </w:rPr>
      </w:pPr>
    </w:p>
    <w:tbl>
      <w:tblPr>
        <w:tblW w:w="0" w:type="auto"/>
        <w:jc w:val="left"/>
        <w:tblInd w:w="147" w:type="dxa"/>
        <w:tblLayout w:type="fixed"/>
        <w:tblCellMar>
          <w:top w:w="0" w:type="dxa"/>
          <w:left w:w="0" w:type="dxa"/>
          <w:bottom w:w="0" w:type="dxa"/>
          <w:right w:w="0" w:type="dxa"/>
        </w:tblCellMar>
        <w:tblLook w:val="01E0"/>
      </w:tblPr>
      <w:tblGrid>
        <w:gridCol w:w="2253"/>
        <w:gridCol w:w="1523"/>
        <w:gridCol w:w="1512"/>
        <w:gridCol w:w="1332"/>
        <w:gridCol w:w="1693"/>
      </w:tblGrid>
      <w:tr>
        <w:trPr>
          <w:trHeight w:val="322" w:hRule="exact"/>
        </w:trPr>
        <w:tc>
          <w:tcPr>
            <w:tcW w:w="225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2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1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343" w:right="0"/>
              <w:jc w:val="left"/>
              <w:rPr>
                <w:rFonts w:ascii="宋体" w:hAnsi="宋体" w:cs="宋体" w:eastAsia="宋体" w:hint="default"/>
                <w:sz w:val="21"/>
                <w:szCs w:val="21"/>
              </w:rPr>
            </w:pPr>
            <w:r>
              <w:rPr>
                <w:rFonts w:ascii="宋体" w:hAnsi="宋体" w:cs="宋体" w:eastAsia="宋体" w:hint="default"/>
                <w:b/>
                <w:bCs/>
                <w:sz w:val="21"/>
                <w:szCs w:val="21"/>
              </w:rPr>
              <w:t>末增减</w:t>
            </w:r>
            <w:r>
              <w:rPr>
                <w:rFonts w:ascii="宋体" w:hAnsi="宋体" w:cs="宋体" w:eastAsia="宋体" w:hint="default"/>
                <w:sz w:val="21"/>
                <w:szCs w:val="21"/>
              </w:rPr>
            </w:r>
          </w:p>
        </w:tc>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634" w:hRule="exact"/>
        </w:trPr>
        <w:tc>
          <w:tcPr>
            <w:tcW w:w="2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119"/>
              <w:jc w:val="left"/>
              <w:rPr>
                <w:rFonts w:ascii="宋体" w:hAnsi="宋体" w:cs="宋体" w:eastAsia="宋体" w:hint="default"/>
                <w:sz w:val="21"/>
                <w:szCs w:val="21"/>
              </w:rPr>
            </w:pPr>
            <w:r>
              <w:rPr>
                <w:rFonts w:ascii="宋体" w:hAnsi="宋体" w:cs="宋体" w:eastAsia="宋体" w:hint="default"/>
                <w:b/>
                <w:bCs/>
                <w:sz w:val="21"/>
                <w:szCs w:val="21"/>
              </w:rPr>
              <w:t>归属于上市公司股东的</w:t>
            </w:r>
            <w:r>
              <w:rPr>
                <w:rFonts w:ascii="宋体" w:hAnsi="宋体" w:cs="宋体" w:eastAsia="宋体" w:hint="default"/>
                <w:b/>
                <w:bCs/>
                <w:w w:val="100"/>
                <w:sz w:val="21"/>
                <w:szCs w:val="21"/>
              </w:rPr>
              <w:t> </w:t>
            </w:r>
            <w:r>
              <w:rPr>
                <w:rFonts w:ascii="宋体" w:hAnsi="宋体" w:cs="宋体" w:eastAsia="宋体" w:hint="default"/>
                <w:b/>
                <w:bCs/>
                <w:sz w:val="21"/>
                <w:szCs w:val="21"/>
              </w:rPr>
              <w:t>每股净资产（元</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股）</w:t>
            </w:r>
            <w:r>
              <w:rPr>
                <w:rFonts w:ascii="宋体" w:hAnsi="宋体" w:cs="宋体" w:eastAsia="宋体" w:hint="default"/>
                <w:sz w:val="21"/>
                <w:szCs w:val="21"/>
              </w:rPr>
            </w:r>
          </w:p>
        </w:tc>
        <w:tc>
          <w:tcPr>
            <w:tcW w:w="1523"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6.29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2.59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142.86%</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1.85</w:t>
            </w:r>
          </w:p>
        </w:tc>
      </w:tr>
      <w:tr>
        <w:trPr>
          <w:trHeight w:val="324" w:hRule="exact"/>
        </w:trPr>
        <w:tc>
          <w:tcPr>
            <w:tcW w:w="2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b/>
                <w:bCs/>
                <w:sz w:val="21"/>
                <w:szCs w:val="21"/>
              </w:rPr>
              <w:t>资产负债率</w:t>
            </w:r>
            <w:r>
              <w:rPr>
                <w:rFonts w:ascii="宋体" w:hAnsi="宋体" w:cs="宋体" w:eastAsia="宋体" w:hint="default"/>
                <w:sz w:val="21"/>
                <w:szCs w:val="21"/>
              </w:rPr>
            </w:r>
          </w:p>
        </w:tc>
        <w:tc>
          <w:tcPr>
            <w:tcW w:w="1523"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5.93%</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17.83%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-11.90%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24.90%</w:t>
            </w:r>
          </w:p>
        </w:tc>
      </w:tr>
    </w:tbl>
    <w:p>
      <w:pPr>
        <w:spacing w:line="241" w:lineRule="exact"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注</w:t>
      </w:r>
      <w:r>
        <w:rPr>
          <w:rFonts w:ascii="宋体" w:hAnsi="宋体" w:cs="宋体" w:eastAsia="宋体" w:hint="default"/>
          <w:sz w:val="21"/>
          <w:szCs w:val="21"/>
        </w:rPr>
        <w:t>：表中所列财务指标均按中国证监会规定的计算公式计算</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5"/>
        <w:tabs>
          <w:tab w:pos="980" w:val="left" w:leader="none"/>
        </w:tabs>
        <w:spacing w:line="240" w:lineRule="auto"/>
        <w:ind w:right="0"/>
        <w:jc w:val="left"/>
        <w:rPr>
          <w:b w:val="0"/>
          <w:bCs w:val="0"/>
        </w:rPr>
      </w:pPr>
      <w:r>
        <w:rPr/>
        <w:t>三、</w:t>
        <w:tab/>
        <w:t>基本每股收益计算过程</w:t>
      </w:r>
      <w:r>
        <w:rPr>
          <w:b w:val="0"/>
          <w:bCs w:val="0"/>
        </w:rPr>
      </w:r>
    </w:p>
    <w:p>
      <w:pPr>
        <w:spacing w:line="240" w:lineRule="auto" w:before="6"/>
        <w:rPr>
          <w:rFonts w:ascii="宋体" w:hAnsi="宋体" w:cs="宋体" w:eastAsia="宋体" w:hint="default"/>
          <w:b/>
          <w:bCs/>
          <w:sz w:val="9"/>
          <w:szCs w:val="9"/>
        </w:rPr>
      </w:pPr>
    </w:p>
    <w:p>
      <w:pPr>
        <w:spacing w:before="36"/>
        <w:ind w:left="0" w:right="217"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10"/>
        <w:rPr>
          <w:rFonts w:ascii="宋体" w:hAnsi="宋体" w:cs="宋体" w:eastAsia="宋体" w:hint="default"/>
          <w:sz w:val="12"/>
          <w:szCs w:val="12"/>
        </w:rPr>
      </w:pPr>
    </w:p>
    <w:tbl>
      <w:tblPr>
        <w:tblW w:w="0" w:type="auto"/>
        <w:jc w:val="left"/>
        <w:tblInd w:w="135" w:type="dxa"/>
        <w:tblLayout w:type="fixed"/>
        <w:tblCellMar>
          <w:top w:w="0" w:type="dxa"/>
          <w:left w:w="0" w:type="dxa"/>
          <w:bottom w:w="0" w:type="dxa"/>
          <w:right w:w="0" w:type="dxa"/>
        </w:tblCellMar>
        <w:tblLook w:val="01E0"/>
      </w:tblPr>
      <w:tblGrid>
        <w:gridCol w:w="4577"/>
        <w:gridCol w:w="1736"/>
        <w:gridCol w:w="1911"/>
      </w:tblGrid>
      <w:tr>
        <w:trPr>
          <w:trHeight w:val="317" w:hRule="exact"/>
        </w:trPr>
        <w:tc>
          <w:tcPr>
            <w:tcW w:w="457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3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91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631" w:right="0"/>
              <w:jc w:val="left"/>
              <w:rPr>
                <w:rFonts w:ascii="宋体" w:hAnsi="宋体" w:cs="宋体" w:eastAsia="宋体" w:hint="default"/>
                <w:sz w:val="21"/>
                <w:szCs w:val="21"/>
              </w:rPr>
            </w:pPr>
            <w:r>
              <w:rPr>
                <w:rFonts w:ascii="宋体" w:hAnsi="宋体" w:cs="宋体" w:eastAsia="宋体" w:hint="default"/>
                <w:b/>
                <w:bCs/>
                <w:sz w:val="21"/>
                <w:szCs w:val="21"/>
              </w:rPr>
              <w:t>本期数</w:t>
            </w:r>
            <w:r>
              <w:rPr>
                <w:rFonts w:ascii="宋体" w:hAnsi="宋体" w:cs="宋体" w:eastAsia="宋体" w:hint="default"/>
                <w:sz w:val="21"/>
                <w:szCs w:val="21"/>
              </w:rPr>
            </w:r>
          </w:p>
        </w:tc>
      </w:tr>
      <w:tr>
        <w:trPr>
          <w:trHeight w:val="328" w:hRule="exact"/>
        </w:trPr>
        <w:tc>
          <w:tcPr>
            <w:tcW w:w="457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归属于公司普通股股东的净利润</w:t>
            </w:r>
            <w:r>
              <w:rPr>
                <w:rFonts w:ascii="宋体" w:hAnsi="宋体" w:cs="宋体" w:eastAsia="宋体" w:hint="default"/>
                <w:sz w:val="21"/>
                <w:szCs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1"/>
                <w:szCs w:val="21"/>
              </w:rPr>
            </w:pPr>
            <w:r>
              <w:rPr>
                <w:rFonts w:ascii="Times New Roman"/>
                <w:w w:val="100"/>
                <w:sz w:val="21"/>
              </w:rPr>
              <w:t>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pacing w:val="-1"/>
                <w:sz w:val="21"/>
              </w:rPr>
              <w:t>93,770,452.46</w:t>
            </w:r>
          </w:p>
        </w:tc>
      </w:tr>
      <w:tr>
        <w:trPr>
          <w:trHeight w:val="323" w:hRule="exact"/>
        </w:trPr>
        <w:tc>
          <w:tcPr>
            <w:tcW w:w="457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非经常性损益</w:t>
            </w:r>
            <w:r>
              <w:rPr>
                <w:rFonts w:ascii="宋体" w:hAnsi="宋体" w:cs="宋体" w:eastAsia="宋体" w:hint="default"/>
                <w:sz w:val="21"/>
                <w:szCs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w w:val="100"/>
                <w:sz w:val="21"/>
              </w:rPr>
              <w:t>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14,967,107.54</w:t>
            </w:r>
          </w:p>
        </w:tc>
      </w:tr>
      <w:tr>
        <w:trPr>
          <w:trHeight w:val="634" w:hRule="exact"/>
        </w:trPr>
        <w:tc>
          <w:tcPr>
            <w:tcW w:w="457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243"/>
              <w:jc w:val="left"/>
              <w:rPr>
                <w:rFonts w:ascii="宋体" w:hAnsi="宋体" w:cs="宋体" w:eastAsia="宋体" w:hint="default"/>
                <w:sz w:val="21"/>
                <w:szCs w:val="21"/>
              </w:rPr>
            </w:pPr>
            <w:r>
              <w:rPr>
                <w:rFonts w:ascii="宋体" w:hAnsi="宋体" w:cs="宋体" w:eastAsia="宋体" w:hint="default"/>
                <w:b/>
                <w:bCs/>
                <w:sz w:val="21"/>
                <w:szCs w:val="21"/>
              </w:rPr>
              <w:t>扣除非经常性损益后归属于公司普通股股东的</w:t>
            </w:r>
            <w:r>
              <w:rPr>
                <w:rFonts w:ascii="宋体" w:hAnsi="宋体" w:cs="宋体" w:eastAsia="宋体" w:hint="default"/>
                <w:b/>
                <w:bCs/>
                <w:w w:val="100"/>
                <w:sz w:val="21"/>
                <w:szCs w:val="21"/>
              </w:rPr>
              <w:t> </w:t>
            </w:r>
            <w:r>
              <w:rPr>
                <w:rFonts w:ascii="宋体" w:hAnsi="宋体" w:cs="宋体" w:eastAsia="宋体" w:hint="default"/>
                <w:b/>
                <w:bCs/>
                <w:sz w:val="21"/>
                <w:szCs w:val="21"/>
              </w:rPr>
              <w:t>净利润</w:t>
            </w:r>
            <w:r>
              <w:rPr>
                <w:rFonts w:ascii="宋体" w:hAnsi="宋体" w:cs="宋体" w:eastAsia="宋体" w:hint="default"/>
                <w:sz w:val="21"/>
                <w:szCs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3=1-2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78,803,344.92</w:t>
            </w:r>
          </w:p>
        </w:tc>
      </w:tr>
      <w:tr>
        <w:trPr>
          <w:trHeight w:val="322" w:hRule="exact"/>
        </w:trPr>
        <w:tc>
          <w:tcPr>
            <w:tcW w:w="457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期初股份总数</w:t>
            </w:r>
            <w:r>
              <w:rPr>
                <w:rFonts w:ascii="宋体" w:hAnsi="宋体" w:cs="宋体" w:eastAsia="宋体" w:hint="default"/>
                <w:sz w:val="21"/>
                <w:szCs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85,724,482.00</w:t>
            </w:r>
          </w:p>
        </w:tc>
      </w:tr>
      <w:tr>
        <w:trPr>
          <w:trHeight w:val="634" w:hRule="exact"/>
        </w:trPr>
        <w:tc>
          <w:tcPr>
            <w:tcW w:w="457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242"/>
              <w:jc w:val="left"/>
              <w:rPr>
                <w:rFonts w:ascii="宋体" w:hAnsi="宋体" w:cs="宋体" w:eastAsia="宋体" w:hint="default"/>
                <w:sz w:val="21"/>
                <w:szCs w:val="21"/>
              </w:rPr>
            </w:pPr>
            <w:r>
              <w:rPr>
                <w:rFonts w:ascii="宋体" w:hAnsi="宋体" w:cs="宋体" w:eastAsia="宋体" w:hint="default"/>
                <w:b/>
                <w:bCs/>
                <w:sz w:val="21"/>
                <w:szCs w:val="21"/>
              </w:rPr>
              <w:t>因公积金转增股本或股票股利分配等增加股份</w:t>
            </w:r>
            <w:r>
              <w:rPr>
                <w:rFonts w:ascii="宋体" w:hAnsi="宋体" w:cs="宋体" w:eastAsia="宋体" w:hint="default"/>
                <w:b/>
                <w:bCs/>
                <w:w w:val="100"/>
                <w:sz w:val="21"/>
                <w:szCs w:val="21"/>
              </w:rPr>
              <w:t> </w:t>
            </w:r>
            <w:r>
              <w:rPr>
                <w:rFonts w:ascii="宋体" w:hAnsi="宋体" w:cs="宋体" w:eastAsia="宋体" w:hint="default"/>
                <w:b/>
                <w:bCs/>
                <w:sz w:val="21"/>
                <w:szCs w:val="21"/>
              </w:rPr>
              <w:t>数</w:t>
            </w:r>
            <w:r>
              <w:rPr>
                <w:rFonts w:ascii="宋体" w:hAnsi="宋体" w:cs="宋体" w:eastAsia="宋体" w:hint="default"/>
                <w:sz w:val="21"/>
                <w:szCs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46,289,792.00</w:t>
            </w:r>
          </w:p>
        </w:tc>
      </w:tr>
      <w:tr>
        <w:trPr>
          <w:trHeight w:val="322" w:hRule="exact"/>
        </w:trPr>
        <w:tc>
          <w:tcPr>
            <w:tcW w:w="457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发行新股或债转股等增加股份数</w:t>
            </w:r>
            <w:r>
              <w:rPr>
                <w:rFonts w:ascii="宋体" w:hAnsi="宋体" w:cs="宋体" w:eastAsia="宋体" w:hint="default"/>
                <w:sz w:val="21"/>
                <w:szCs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6-1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30,000,000.00</w:t>
            </w:r>
          </w:p>
        </w:tc>
      </w:tr>
      <w:tr>
        <w:trPr>
          <w:trHeight w:val="323" w:hRule="exact"/>
        </w:trPr>
        <w:tc>
          <w:tcPr>
            <w:tcW w:w="457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增加股份次月起至报告期末的累积月数</w:t>
            </w:r>
            <w:r>
              <w:rPr>
                <w:rFonts w:ascii="宋体" w:hAnsi="宋体" w:cs="宋体" w:eastAsia="宋体" w:hint="default"/>
                <w:sz w:val="21"/>
                <w:szCs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7-1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z w:val="21"/>
              </w:rPr>
              <w:t>11</w:t>
            </w:r>
          </w:p>
        </w:tc>
      </w:tr>
      <w:tr>
        <w:trPr>
          <w:trHeight w:val="323" w:hRule="exact"/>
        </w:trPr>
        <w:tc>
          <w:tcPr>
            <w:tcW w:w="457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发行新股或债转股等增加股份数</w:t>
            </w:r>
            <w:r>
              <w:rPr>
                <w:rFonts w:ascii="宋体" w:hAnsi="宋体" w:cs="宋体" w:eastAsia="宋体" w:hint="default"/>
                <w:sz w:val="21"/>
                <w:szCs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6-2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5,993,500.00</w:t>
            </w:r>
          </w:p>
        </w:tc>
      </w:tr>
      <w:tr>
        <w:trPr>
          <w:trHeight w:val="322" w:hRule="exact"/>
        </w:trPr>
        <w:tc>
          <w:tcPr>
            <w:tcW w:w="457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增加股份次月起至报告期末的累积月数</w:t>
            </w:r>
            <w:r>
              <w:rPr>
                <w:rFonts w:ascii="宋体" w:hAnsi="宋体" w:cs="宋体" w:eastAsia="宋体" w:hint="default"/>
                <w:sz w:val="21"/>
                <w:szCs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7-2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w w:val="100"/>
                <w:sz w:val="21"/>
              </w:rPr>
              <w:t>3</w:t>
            </w:r>
          </w:p>
        </w:tc>
      </w:tr>
      <w:tr>
        <w:trPr>
          <w:trHeight w:val="322" w:hRule="exact"/>
        </w:trPr>
        <w:tc>
          <w:tcPr>
            <w:tcW w:w="457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因回购等减少股份数</w:t>
            </w:r>
            <w:r>
              <w:rPr>
                <w:rFonts w:ascii="宋体" w:hAnsi="宋体" w:cs="宋体" w:eastAsia="宋体" w:hint="default"/>
                <w:sz w:val="21"/>
                <w:szCs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65,000.00</w:t>
            </w:r>
          </w:p>
        </w:tc>
      </w:tr>
      <w:tr>
        <w:trPr>
          <w:trHeight w:val="322" w:hRule="exact"/>
        </w:trPr>
        <w:tc>
          <w:tcPr>
            <w:tcW w:w="457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减少股份次月起至报告期末的累积月数</w:t>
            </w:r>
            <w:r>
              <w:rPr>
                <w:rFonts w:ascii="宋体" w:hAnsi="宋体" w:cs="宋体" w:eastAsia="宋体" w:hint="default"/>
                <w:sz w:val="21"/>
                <w:szCs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9</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7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报告期缩股数</w:t>
            </w:r>
            <w:r>
              <w:rPr>
                <w:rFonts w:ascii="宋体" w:hAnsi="宋体" w:cs="宋体" w:eastAsia="宋体" w:hint="default"/>
                <w:sz w:val="21"/>
                <w:szCs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10</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57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报告期月份数</w:t>
            </w:r>
            <w:r>
              <w:rPr>
                <w:rFonts w:ascii="宋体" w:hAnsi="宋体" w:cs="宋体" w:eastAsia="宋体" w:hint="default"/>
                <w:sz w:val="21"/>
                <w:szCs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11</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457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发行在外的普通股加权平均数</w:t>
            </w:r>
            <w:r>
              <w:rPr>
                <w:rFonts w:ascii="宋体" w:hAnsi="宋体" w:cs="宋体" w:eastAsia="宋体" w:hint="default"/>
                <w:sz w:val="21"/>
                <w:szCs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161,012,649.00</w:t>
            </w:r>
          </w:p>
        </w:tc>
      </w:tr>
      <w:tr>
        <w:trPr>
          <w:trHeight w:val="322" w:hRule="exact"/>
        </w:trPr>
        <w:tc>
          <w:tcPr>
            <w:tcW w:w="457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基本每股收益</w:t>
            </w:r>
            <w:r>
              <w:rPr>
                <w:rFonts w:ascii="宋体" w:hAnsi="宋体" w:cs="宋体" w:eastAsia="宋体" w:hint="default"/>
                <w:sz w:val="21"/>
                <w:szCs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13=1/12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0.58</w:t>
            </w:r>
          </w:p>
        </w:tc>
      </w:tr>
      <w:tr>
        <w:trPr>
          <w:trHeight w:val="322" w:hRule="exact"/>
        </w:trPr>
        <w:tc>
          <w:tcPr>
            <w:tcW w:w="457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扣除非经常损益基本每股收益</w:t>
            </w:r>
            <w:r>
              <w:rPr>
                <w:rFonts w:ascii="宋体" w:hAnsi="宋体" w:cs="宋体" w:eastAsia="宋体" w:hint="default"/>
                <w:sz w:val="21"/>
                <w:szCs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14=3/12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0.49</w:t>
            </w:r>
          </w:p>
        </w:tc>
      </w:tr>
    </w:tbl>
    <w:p>
      <w:pPr>
        <w:spacing w:line="240" w:lineRule="auto" w:before="9"/>
        <w:rPr>
          <w:rFonts w:ascii="宋体" w:hAnsi="宋体" w:cs="宋体" w:eastAsia="宋体" w:hint="default"/>
          <w:sz w:val="26"/>
          <w:szCs w:val="26"/>
        </w:rPr>
      </w:pPr>
    </w:p>
    <w:p>
      <w:pPr>
        <w:pStyle w:val="Heading5"/>
        <w:tabs>
          <w:tab w:pos="980" w:val="left" w:leader="none"/>
        </w:tabs>
        <w:spacing w:line="240" w:lineRule="auto" w:before="26"/>
        <w:ind w:right="0"/>
        <w:jc w:val="left"/>
        <w:rPr>
          <w:b w:val="0"/>
          <w:bCs w:val="0"/>
        </w:rPr>
      </w:pPr>
      <w:r>
        <w:rPr/>
        <w:t>四、</w:t>
        <w:tab/>
        <w:t>稀释每股收益的计算过程与基本每股收益的计算过程相同</w:t>
      </w:r>
      <w:r>
        <w:rPr>
          <w:b w:val="0"/>
          <w:bCs w:val="0"/>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19"/>
          <w:szCs w:val="19"/>
        </w:rPr>
      </w:pPr>
    </w:p>
    <w:p>
      <w:pPr>
        <w:pStyle w:val="Heading5"/>
        <w:tabs>
          <w:tab w:pos="980" w:val="left" w:leader="none"/>
        </w:tabs>
        <w:spacing w:line="240" w:lineRule="auto"/>
        <w:ind w:right="0"/>
        <w:jc w:val="left"/>
        <w:rPr>
          <w:b w:val="0"/>
          <w:bCs w:val="0"/>
        </w:rPr>
      </w:pPr>
      <w:r>
        <w:rPr/>
        <w:t>五、</w:t>
        <w:tab/>
        <w:t>加权平均净资产收益率计算过程</w:t>
      </w:r>
      <w:r>
        <w:rPr>
          <w:b w:val="0"/>
          <w:bCs w:val="0"/>
        </w:rPr>
      </w:r>
    </w:p>
    <w:p>
      <w:pPr>
        <w:spacing w:before="157"/>
        <w:ind w:left="0" w:right="217"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10"/>
        <w:rPr>
          <w:rFonts w:ascii="宋体" w:hAnsi="宋体" w:cs="宋体" w:eastAsia="宋体" w:hint="default"/>
          <w:sz w:val="12"/>
          <w:szCs w:val="12"/>
        </w:rPr>
      </w:pPr>
    </w:p>
    <w:tbl>
      <w:tblPr>
        <w:tblW w:w="0" w:type="auto"/>
        <w:jc w:val="left"/>
        <w:tblInd w:w="135" w:type="dxa"/>
        <w:tblLayout w:type="fixed"/>
        <w:tblCellMar>
          <w:top w:w="0" w:type="dxa"/>
          <w:left w:w="0" w:type="dxa"/>
          <w:bottom w:w="0" w:type="dxa"/>
          <w:right w:w="0" w:type="dxa"/>
        </w:tblCellMar>
        <w:tblLook w:val="01E0"/>
      </w:tblPr>
      <w:tblGrid>
        <w:gridCol w:w="4508"/>
        <w:gridCol w:w="1822"/>
        <w:gridCol w:w="1894"/>
      </w:tblGrid>
      <w:tr>
        <w:trPr>
          <w:trHeight w:val="323" w:hRule="exact"/>
        </w:trPr>
        <w:tc>
          <w:tcPr>
            <w:tcW w:w="45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3" w:lineRule="exact"/>
              <w:ind w:right="695"/>
              <w:jc w:val="righ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89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3" w:lineRule="exact"/>
              <w:ind w:left="623" w:right="0"/>
              <w:jc w:val="left"/>
              <w:rPr>
                <w:rFonts w:ascii="宋体" w:hAnsi="宋体" w:cs="宋体" w:eastAsia="宋体" w:hint="default"/>
                <w:sz w:val="21"/>
                <w:szCs w:val="21"/>
              </w:rPr>
            </w:pPr>
            <w:r>
              <w:rPr>
                <w:rFonts w:ascii="宋体" w:hAnsi="宋体" w:cs="宋体" w:eastAsia="宋体" w:hint="default"/>
                <w:b/>
                <w:bCs/>
                <w:sz w:val="21"/>
                <w:szCs w:val="21"/>
              </w:rPr>
              <w:t>本期数</w:t>
            </w:r>
            <w:r>
              <w:rPr>
                <w:rFonts w:ascii="宋体" w:hAnsi="宋体" w:cs="宋体" w:eastAsia="宋体" w:hint="default"/>
                <w:sz w:val="21"/>
                <w:szCs w:val="21"/>
              </w:rPr>
            </w:r>
          </w:p>
        </w:tc>
      </w:tr>
      <w:tr>
        <w:trPr>
          <w:trHeight w:val="323" w:hRule="exact"/>
        </w:trPr>
        <w:tc>
          <w:tcPr>
            <w:tcW w:w="45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归属于公司普通股股东的净利润</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w w:val="100"/>
                <w:sz w:val="21"/>
              </w:rPr>
              <w:t>1</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93,770,452.46</w:t>
            </w:r>
          </w:p>
        </w:tc>
      </w:tr>
      <w:tr>
        <w:trPr>
          <w:trHeight w:val="322" w:hRule="exact"/>
        </w:trPr>
        <w:tc>
          <w:tcPr>
            <w:tcW w:w="45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非经常性损益</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2</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14,967,107.54</w:t>
            </w:r>
          </w:p>
        </w:tc>
      </w:tr>
      <w:tr>
        <w:trPr>
          <w:trHeight w:val="634" w:hRule="exact"/>
        </w:trPr>
        <w:tc>
          <w:tcPr>
            <w:tcW w:w="45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b/>
                <w:bCs/>
                <w:spacing w:val="2"/>
                <w:sz w:val="21"/>
                <w:szCs w:val="21"/>
              </w:rPr>
              <w:t>扣除非经常性损益后归属于公司普通股股东的</w:t>
            </w:r>
            <w:r>
              <w:rPr>
                <w:rFonts w:ascii="宋体" w:hAnsi="宋体" w:cs="宋体" w:eastAsia="宋体" w:hint="default"/>
                <w:b/>
                <w:bCs/>
                <w:spacing w:val="-79"/>
                <w:sz w:val="21"/>
                <w:szCs w:val="21"/>
              </w:rPr>
              <w:t> </w:t>
            </w:r>
            <w:r>
              <w:rPr>
                <w:rFonts w:ascii="宋体" w:hAnsi="宋体" w:cs="宋体" w:eastAsia="宋体" w:hint="default"/>
                <w:b/>
                <w:bCs/>
                <w:spacing w:val="-79"/>
                <w:sz w:val="21"/>
                <w:szCs w:val="21"/>
              </w:rPr>
            </w:r>
            <w:r>
              <w:rPr>
                <w:rFonts w:ascii="宋体" w:hAnsi="宋体" w:cs="宋体" w:eastAsia="宋体" w:hint="default"/>
                <w:b/>
                <w:bCs/>
                <w:sz w:val="21"/>
                <w:szCs w:val="21"/>
              </w:rPr>
              <w:t>净利润</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653"/>
              <w:jc w:val="right"/>
              <w:rPr>
                <w:rFonts w:ascii="Times New Roman" w:hAnsi="Times New Roman" w:cs="Times New Roman" w:eastAsia="Times New Roman" w:hint="default"/>
                <w:sz w:val="21"/>
                <w:szCs w:val="21"/>
              </w:rPr>
            </w:pPr>
            <w:r>
              <w:rPr>
                <w:rFonts w:ascii="Times New Roman"/>
                <w:spacing w:val="-1"/>
                <w:sz w:val="21"/>
              </w:rPr>
              <w:t>3=1-2</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78,803,344.92</w:t>
            </w:r>
          </w:p>
        </w:tc>
      </w:tr>
      <w:tr>
        <w:trPr>
          <w:trHeight w:val="322" w:hRule="exact"/>
        </w:trPr>
        <w:tc>
          <w:tcPr>
            <w:tcW w:w="45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归属于公司普通股股东的期初净资产总数</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4</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222,259,717.98</w:t>
            </w:r>
          </w:p>
        </w:tc>
      </w:tr>
      <w:tr>
        <w:trPr>
          <w:trHeight w:val="322" w:hRule="exact"/>
        </w:trPr>
        <w:tc>
          <w:tcPr>
            <w:tcW w:w="45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pacing w:val="2"/>
                <w:sz w:val="21"/>
                <w:szCs w:val="21"/>
              </w:rPr>
              <w:t>发行新股或债转股等新增归属于公司普通股股</w:t>
            </w:r>
            <w:r>
              <w:rPr>
                <w:rFonts w:ascii="宋体" w:hAnsi="宋体" w:cs="宋体" w:eastAsia="宋体" w:hint="default"/>
                <w:spacing w:val="2"/>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center"/>
              <w:rPr>
                <w:rFonts w:ascii="Times New Roman" w:hAnsi="Times New Roman" w:cs="Times New Roman" w:eastAsia="Times New Roman" w:hint="default"/>
                <w:sz w:val="21"/>
                <w:szCs w:val="21"/>
              </w:rPr>
            </w:pPr>
            <w:r>
              <w:rPr>
                <w:rFonts w:ascii="Times New Roman"/>
                <w:sz w:val="21"/>
              </w:rPr>
              <w:t>5-1</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713,733,119.68</w:t>
            </w:r>
          </w:p>
        </w:tc>
      </w:tr>
    </w:tbl>
    <w:p>
      <w:pPr>
        <w:spacing w:after="0" w:line="240" w:lineRule="auto"/>
        <w:jc w:val="right"/>
        <w:rPr>
          <w:rFonts w:ascii="Times New Roman" w:hAnsi="Times New Roman" w:cs="Times New Roman" w:eastAsia="Times New Roman" w:hint="default"/>
          <w:sz w:val="21"/>
          <w:szCs w:val="21"/>
        </w:rPr>
        <w:sectPr>
          <w:pgSz w:w="11910" w:h="16840"/>
          <w:pgMar w:header="884" w:footer="980" w:top="1140" w:bottom="1160" w:left="1660" w:right="1660"/>
        </w:sectPr>
      </w:pPr>
    </w:p>
    <w:p>
      <w:pPr>
        <w:spacing w:line="240" w:lineRule="auto" w:before="6"/>
        <w:rPr>
          <w:rFonts w:ascii="宋体" w:hAnsi="宋体" w:cs="宋体" w:eastAsia="宋体" w:hint="default"/>
          <w:sz w:val="21"/>
          <w:szCs w:val="21"/>
        </w:rPr>
      </w:pPr>
    </w:p>
    <w:tbl>
      <w:tblPr>
        <w:tblW w:w="0" w:type="auto"/>
        <w:jc w:val="left"/>
        <w:tblInd w:w="135" w:type="dxa"/>
        <w:tblLayout w:type="fixed"/>
        <w:tblCellMar>
          <w:top w:w="0" w:type="dxa"/>
          <w:left w:w="0" w:type="dxa"/>
          <w:bottom w:w="0" w:type="dxa"/>
          <w:right w:w="0" w:type="dxa"/>
        </w:tblCellMar>
        <w:tblLook w:val="01E0"/>
      </w:tblPr>
      <w:tblGrid>
        <w:gridCol w:w="4508"/>
        <w:gridCol w:w="1822"/>
        <w:gridCol w:w="1894"/>
      </w:tblGrid>
      <w:tr>
        <w:trPr>
          <w:trHeight w:val="322" w:hRule="exact"/>
        </w:trPr>
        <w:tc>
          <w:tcPr>
            <w:tcW w:w="45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东的净资产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发行新股）</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新增净资产次月起至报告期期末的累计月数</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center"/>
              <w:rPr>
                <w:rFonts w:ascii="Times New Roman" w:hAnsi="Times New Roman" w:cs="Times New Roman" w:eastAsia="Times New Roman" w:hint="default"/>
                <w:sz w:val="21"/>
                <w:szCs w:val="21"/>
              </w:rPr>
            </w:pPr>
            <w:r>
              <w:rPr>
                <w:rFonts w:ascii="Times New Roman"/>
                <w:sz w:val="21"/>
              </w:rPr>
              <w:t>6-1</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11</w:t>
            </w:r>
          </w:p>
        </w:tc>
      </w:tr>
      <w:tr>
        <w:trPr>
          <w:trHeight w:val="635" w:hRule="exact"/>
        </w:trPr>
        <w:tc>
          <w:tcPr>
            <w:tcW w:w="45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b/>
                <w:bCs/>
                <w:spacing w:val="2"/>
                <w:sz w:val="21"/>
                <w:szCs w:val="21"/>
              </w:rPr>
              <w:t>发行新股或债转股等新增归属于公司普通股股</w:t>
            </w:r>
            <w:r>
              <w:rPr>
                <w:rFonts w:ascii="宋体" w:hAnsi="宋体" w:cs="宋体" w:eastAsia="宋体" w:hint="default"/>
                <w:b/>
                <w:bCs/>
                <w:spacing w:val="-79"/>
                <w:sz w:val="21"/>
                <w:szCs w:val="21"/>
              </w:rPr>
              <w:t> </w:t>
            </w:r>
            <w:r>
              <w:rPr>
                <w:rFonts w:ascii="宋体" w:hAnsi="宋体" w:cs="宋体" w:eastAsia="宋体" w:hint="default"/>
                <w:b/>
                <w:bCs/>
                <w:spacing w:val="-79"/>
                <w:sz w:val="21"/>
                <w:szCs w:val="21"/>
              </w:rPr>
            </w:r>
            <w:r>
              <w:rPr>
                <w:rFonts w:ascii="宋体" w:hAnsi="宋体" w:cs="宋体" w:eastAsia="宋体" w:hint="default"/>
                <w:b/>
                <w:bCs/>
                <w:sz w:val="21"/>
                <w:szCs w:val="21"/>
              </w:rPr>
              <w:t>东的净资产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股权激励定向增发）</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5-2</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58,144,975.00</w:t>
            </w:r>
          </w:p>
        </w:tc>
      </w:tr>
      <w:tr>
        <w:trPr>
          <w:trHeight w:val="323" w:hRule="exact"/>
        </w:trPr>
        <w:tc>
          <w:tcPr>
            <w:tcW w:w="45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新增净资产次月起至报告期期末的累计月数</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4"/>
              <w:jc w:val="center"/>
              <w:rPr>
                <w:rFonts w:ascii="Times New Roman" w:hAnsi="Times New Roman" w:cs="Times New Roman" w:eastAsia="Times New Roman" w:hint="default"/>
                <w:sz w:val="21"/>
                <w:szCs w:val="21"/>
              </w:rPr>
            </w:pPr>
            <w:r>
              <w:rPr>
                <w:rFonts w:ascii="Times New Roman"/>
                <w:sz w:val="21"/>
              </w:rPr>
              <w:t>6-2</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w w:val="100"/>
                <w:sz w:val="21"/>
              </w:rPr>
              <w:t>3</w:t>
            </w:r>
          </w:p>
        </w:tc>
      </w:tr>
      <w:tr>
        <w:trPr>
          <w:trHeight w:val="634" w:hRule="exact"/>
        </w:trPr>
        <w:tc>
          <w:tcPr>
            <w:tcW w:w="45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b/>
                <w:bCs/>
                <w:spacing w:val="2"/>
                <w:sz w:val="21"/>
                <w:szCs w:val="21"/>
              </w:rPr>
              <w:t>因回购或现金分红等减少的，归属于公司普通</w:t>
            </w:r>
            <w:r>
              <w:rPr>
                <w:rFonts w:ascii="宋体" w:hAnsi="宋体" w:cs="宋体" w:eastAsia="宋体" w:hint="default"/>
                <w:b/>
                <w:bCs/>
                <w:spacing w:val="-79"/>
                <w:sz w:val="21"/>
                <w:szCs w:val="21"/>
              </w:rPr>
              <w:t> </w:t>
            </w:r>
            <w:r>
              <w:rPr>
                <w:rFonts w:ascii="宋体" w:hAnsi="宋体" w:cs="宋体" w:eastAsia="宋体" w:hint="default"/>
                <w:b/>
                <w:bCs/>
                <w:spacing w:val="-79"/>
                <w:sz w:val="21"/>
                <w:szCs w:val="21"/>
              </w:rPr>
            </w:r>
            <w:r>
              <w:rPr>
                <w:rFonts w:ascii="宋体" w:hAnsi="宋体" w:cs="宋体" w:eastAsia="宋体" w:hint="default"/>
                <w:b/>
                <w:bCs/>
                <w:sz w:val="21"/>
                <w:szCs w:val="21"/>
              </w:rPr>
              <w:t>股股东的净资产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分红）</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7-1</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34,717,344.60</w:t>
            </w:r>
          </w:p>
        </w:tc>
      </w:tr>
      <w:tr>
        <w:trPr>
          <w:trHeight w:val="322" w:hRule="exact"/>
        </w:trPr>
        <w:tc>
          <w:tcPr>
            <w:tcW w:w="45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减少净资产次月起至报告期末的累计月数</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center"/>
              <w:rPr>
                <w:rFonts w:ascii="Times New Roman" w:hAnsi="Times New Roman" w:cs="Times New Roman" w:eastAsia="Times New Roman" w:hint="default"/>
                <w:sz w:val="21"/>
                <w:szCs w:val="21"/>
              </w:rPr>
            </w:pPr>
            <w:r>
              <w:rPr>
                <w:rFonts w:ascii="Times New Roman"/>
                <w:sz w:val="21"/>
              </w:rPr>
              <w:t>8-1</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100"/>
                <w:sz w:val="21"/>
              </w:rPr>
              <w:t>8</w:t>
            </w:r>
          </w:p>
        </w:tc>
      </w:tr>
      <w:tr>
        <w:trPr>
          <w:trHeight w:val="634" w:hRule="exact"/>
        </w:trPr>
        <w:tc>
          <w:tcPr>
            <w:tcW w:w="45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b/>
                <w:bCs/>
                <w:spacing w:val="2"/>
                <w:sz w:val="21"/>
                <w:szCs w:val="21"/>
              </w:rPr>
              <w:t>因回购或现金分红等减少的，归属于公司普通</w:t>
            </w:r>
            <w:r>
              <w:rPr>
                <w:rFonts w:ascii="宋体" w:hAnsi="宋体" w:cs="宋体" w:eastAsia="宋体" w:hint="default"/>
                <w:b/>
                <w:bCs/>
                <w:spacing w:val="-79"/>
                <w:sz w:val="21"/>
                <w:szCs w:val="21"/>
              </w:rPr>
              <w:t> </w:t>
            </w:r>
            <w:r>
              <w:rPr>
                <w:rFonts w:ascii="宋体" w:hAnsi="宋体" w:cs="宋体" w:eastAsia="宋体" w:hint="default"/>
                <w:b/>
                <w:bCs/>
                <w:spacing w:val="-79"/>
                <w:sz w:val="21"/>
                <w:szCs w:val="21"/>
              </w:rPr>
            </w:r>
            <w:r>
              <w:rPr>
                <w:rFonts w:ascii="宋体" w:hAnsi="宋体" w:cs="宋体" w:eastAsia="宋体" w:hint="default"/>
                <w:b/>
                <w:bCs/>
                <w:sz w:val="21"/>
                <w:szCs w:val="21"/>
              </w:rPr>
              <w:t>股股东的净资产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回购）</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7-2</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631,050.00</w:t>
            </w:r>
          </w:p>
        </w:tc>
      </w:tr>
      <w:tr>
        <w:trPr>
          <w:trHeight w:val="322" w:hRule="exact"/>
        </w:trPr>
        <w:tc>
          <w:tcPr>
            <w:tcW w:w="45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减少净资产次月起至报告期末的累计月数</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center"/>
              <w:rPr>
                <w:rFonts w:ascii="Times New Roman" w:hAnsi="Times New Roman" w:cs="Times New Roman" w:eastAsia="Times New Roman" w:hint="default"/>
                <w:sz w:val="21"/>
                <w:szCs w:val="21"/>
              </w:rPr>
            </w:pPr>
            <w:r>
              <w:rPr>
                <w:rFonts w:ascii="Times New Roman"/>
                <w:sz w:val="21"/>
              </w:rPr>
              <w:t>8-2</w:t>
            </w:r>
          </w:p>
        </w:tc>
        <w:tc>
          <w:tcPr>
            <w:tcW w:w="1894"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45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b/>
                <w:bCs/>
                <w:spacing w:val="2"/>
                <w:sz w:val="21"/>
                <w:szCs w:val="21"/>
              </w:rPr>
              <w:t>因其他交易或事项引起的、归属于公司普通股</w:t>
            </w:r>
            <w:r>
              <w:rPr>
                <w:rFonts w:ascii="宋体" w:hAnsi="宋体" w:cs="宋体" w:eastAsia="宋体" w:hint="default"/>
                <w:b/>
                <w:bCs/>
                <w:spacing w:val="-79"/>
                <w:sz w:val="21"/>
                <w:szCs w:val="21"/>
              </w:rPr>
              <w:t> </w:t>
            </w:r>
            <w:r>
              <w:rPr>
                <w:rFonts w:ascii="宋体" w:hAnsi="宋体" w:cs="宋体" w:eastAsia="宋体" w:hint="default"/>
                <w:b/>
                <w:bCs/>
                <w:spacing w:val="-79"/>
                <w:sz w:val="21"/>
                <w:szCs w:val="21"/>
              </w:rPr>
            </w:r>
            <w:r>
              <w:rPr>
                <w:rFonts w:ascii="宋体" w:hAnsi="宋体" w:cs="宋体" w:eastAsia="宋体" w:hint="default"/>
                <w:b/>
                <w:bCs/>
                <w:sz w:val="21"/>
                <w:szCs w:val="21"/>
              </w:rPr>
              <w:t>股东的净资产增减变动</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9</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4"/>
              <w:jc w:val="right"/>
              <w:rPr>
                <w:rFonts w:ascii="Times New Roman" w:hAnsi="Times New Roman" w:cs="Times New Roman" w:eastAsia="Times New Roman" w:hint="default"/>
                <w:sz w:val="21"/>
                <w:szCs w:val="21"/>
              </w:rPr>
            </w:pPr>
            <w:r>
              <w:rPr>
                <w:rFonts w:ascii="Times New Roman"/>
                <w:spacing w:val="-1"/>
                <w:sz w:val="21"/>
              </w:rPr>
              <w:t>3,871,090.32</w:t>
            </w:r>
          </w:p>
        </w:tc>
      </w:tr>
      <w:tr>
        <w:trPr>
          <w:trHeight w:val="635" w:hRule="exact"/>
        </w:trPr>
        <w:tc>
          <w:tcPr>
            <w:tcW w:w="45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b/>
                <w:bCs/>
                <w:spacing w:val="2"/>
                <w:sz w:val="21"/>
                <w:szCs w:val="21"/>
              </w:rPr>
              <w:t>发生其他净资产增减变动次月起至报告期期末</w:t>
            </w:r>
            <w:r>
              <w:rPr>
                <w:rFonts w:ascii="宋体" w:hAnsi="宋体" w:cs="宋体" w:eastAsia="宋体" w:hint="default"/>
                <w:b/>
                <w:bCs/>
                <w:spacing w:val="-79"/>
                <w:sz w:val="21"/>
                <w:szCs w:val="21"/>
              </w:rPr>
              <w:t> </w:t>
            </w:r>
            <w:r>
              <w:rPr>
                <w:rFonts w:ascii="宋体" w:hAnsi="宋体" w:cs="宋体" w:eastAsia="宋体" w:hint="default"/>
                <w:b/>
                <w:bCs/>
                <w:spacing w:val="-79"/>
                <w:sz w:val="21"/>
                <w:szCs w:val="21"/>
              </w:rPr>
            </w:r>
            <w:r>
              <w:rPr>
                <w:rFonts w:ascii="宋体" w:hAnsi="宋体" w:cs="宋体" w:eastAsia="宋体" w:hint="default"/>
                <w:b/>
                <w:bCs/>
                <w:sz w:val="21"/>
                <w:szCs w:val="21"/>
              </w:rPr>
              <w:t>的累计月数</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w:t>
            </w:r>
          </w:p>
        </w:tc>
        <w:tc>
          <w:tcPr>
            <w:tcW w:w="18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报告期月份数</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11</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12</w:t>
            </w:r>
          </w:p>
        </w:tc>
      </w:tr>
      <w:tr>
        <w:trPr>
          <w:trHeight w:val="322" w:hRule="exact"/>
        </w:trPr>
        <w:tc>
          <w:tcPr>
            <w:tcW w:w="45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加权平均净资产</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12</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915,436,832.99</w:t>
            </w:r>
          </w:p>
        </w:tc>
      </w:tr>
      <w:tr>
        <w:trPr>
          <w:trHeight w:val="322" w:hRule="exact"/>
        </w:trPr>
        <w:tc>
          <w:tcPr>
            <w:tcW w:w="45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加权平均净资产收益率</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13=1/12</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10.24%</w:t>
            </w:r>
          </w:p>
        </w:tc>
      </w:tr>
      <w:tr>
        <w:trPr>
          <w:trHeight w:val="322" w:hRule="exact"/>
        </w:trPr>
        <w:tc>
          <w:tcPr>
            <w:tcW w:w="45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扣除非经常性损加权平均净资产收益率</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14=3/12</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8.61%</w:t>
            </w:r>
          </w:p>
        </w:tc>
      </w:tr>
    </w:tbl>
    <w:p>
      <w:pPr>
        <w:spacing w:line="240" w:lineRule="auto" w:before="9"/>
        <w:rPr>
          <w:rFonts w:ascii="宋体" w:hAnsi="宋体" w:cs="宋体" w:eastAsia="宋体" w:hint="default"/>
          <w:sz w:val="26"/>
          <w:szCs w:val="26"/>
        </w:rPr>
      </w:pPr>
    </w:p>
    <w:p>
      <w:pPr>
        <w:pStyle w:val="Heading5"/>
        <w:tabs>
          <w:tab w:pos="980" w:val="left" w:leader="none"/>
        </w:tabs>
        <w:spacing w:line="240" w:lineRule="auto" w:before="26"/>
        <w:ind w:right="0"/>
        <w:jc w:val="left"/>
        <w:rPr>
          <w:b w:val="0"/>
          <w:bCs w:val="0"/>
        </w:rPr>
      </w:pPr>
      <w:r>
        <w:rPr/>
        <w:t>六、</w:t>
        <w:tab/>
        <w:t>非经常性损益项目</w:t>
      </w:r>
      <w:r>
        <w:rPr>
          <w:b w:val="0"/>
          <w:bCs w:val="0"/>
        </w:rPr>
      </w:r>
    </w:p>
    <w:p>
      <w:pPr>
        <w:spacing w:line="240" w:lineRule="auto" w:before="4"/>
        <w:rPr>
          <w:rFonts w:ascii="宋体" w:hAnsi="宋体" w:cs="宋体" w:eastAsia="宋体" w:hint="default"/>
          <w:b/>
          <w:bCs/>
          <w:sz w:val="9"/>
          <w:szCs w:val="9"/>
        </w:rPr>
      </w:pPr>
    </w:p>
    <w:p>
      <w:pPr>
        <w:spacing w:before="36"/>
        <w:ind w:left="0" w:right="217"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13"/>
        <w:rPr>
          <w:rFonts w:ascii="宋体" w:hAnsi="宋体" w:cs="宋体" w:eastAsia="宋体" w:hint="default"/>
          <w:sz w:val="12"/>
          <w:szCs w:val="12"/>
        </w:rPr>
      </w:pPr>
    </w:p>
    <w:tbl>
      <w:tblPr>
        <w:tblW w:w="0" w:type="auto"/>
        <w:jc w:val="left"/>
        <w:tblInd w:w="135" w:type="dxa"/>
        <w:tblLayout w:type="fixed"/>
        <w:tblCellMar>
          <w:top w:w="0" w:type="dxa"/>
          <w:left w:w="0" w:type="dxa"/>
          <w:bottom w:w="0" w:type="dxa"/>
          <w:right w:w="0" w:type="dxa"/>
        </w:tblCellMar>
        <w:tblLook w:val="01E0"/>
      </w:tblPr>
      <w:tblGrid>
        <w:gridCol w:w="4537"/>
        <w:gridCol w:w="1844"/>
        <w:gridCol w:w="1844"/>
      </w:tblGrid>
      <w:tr>
        <w:trPr>
          <w:trHeight w:val="317" w:hRule="exact"/>
        </w:trPr>
        <w:tc>
          <w:tcPr>
            <w:tcW w:w="453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600" w:right="0"/>
              <w:jc w:val="left"/>
              <w:rPr>
                <w:rFonts w:ascii="宋体" w:hAnsi="宋体" w:cs="宋体" w:eastAsia="宋体" w:hint="default"/>
                <w:sz w:val="21"/>
                <w:szCs w:val="21"/>
              </w:rPr>
            </w:pPr>
            <w:r>
              <w:rPr>
                <w:rFonts w:ascii="宋体" w:hAnsi="宋体" w:cs="宋体" w:eastAsia="宋体" w:hint="default"/>
                <w:b/>
                <w:bCs/>
                <w:sz w:val="21"/>
                <w:szCs w:val="21"/>
              </w:rPr>
              <w:t>本期数</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599" w:right="0"/>
              <w:jc w:val="left"/>
              <w:rPr>
                <w:rFonts w:ascii="宋体" w:hAnsi="宋体" w:cs="宋体" w:eastAsia="宋体" w:hint="default"/>
                <w:sz w:val="21"/>
                <w:szCs w:val="21"/>
              </w:rPr>
            </w:pPr>
            <w:r>
              <w:rPr>
                <w:rFonts w:ascii="宋体" w:hAnsi="宋体" w:cs="宋体" w:eastAsia="宋体" w:hint="default"/>
                <w:b/>
                <w:bCs/>
                <w:sz w:val="21"/>
                <w:szCs w:val="21"/>
              </w:rPr>
              <w:t>上年数</w:t>
            </w:r>
            <w:r>
              <w:rPr>
                <w:rFonts w:ascii="宋体" w:hAnsi="宋体" w:cs="宋体" w:eastAsia="宋体" w:hint="default"/>
                <w:sz w:val="21"/>
                <w:szCs w:val="21"/>
              </w:rPr>
            </w:r>
          </w:p>
        </w:tc>
      </w:tr>
      <w:tr>
        <w:trPr>
          <w:trHeight w:val="327" w:hRule="exact"/>
        </w:trPr>
        <w:tc>
          <w:tcPr>
            <w:tcW w:w="453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非流动资产处置损益</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pacing w:val="-1"/>
                <w:sz w:val="21"/>
              </w:rPr>
              <w:t>-11,013.70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1"/>
                <w:szCs w:val="21"/>
              </w:rPr>
            </w:pPr>
            <w:r>
              <w:rPr>
                <w:rFonts w:ascii="Times New Roman"/>
                <w:spacing w:val="-1"/>
                <w:sz w:val="21"/>
              </w:rPr>
              <w:t>-59,368.40</w:t>
            </w:r>
          </w:p>
        </w:tc>
      </w:tr>
      <w:tr>
        <w:trPr>
          <w:trHeight w:val="322" w:hRule="exact"/>
        </w:trPr>
        <w:tc>
          <w:tcPr>
            <w:tcW w:w="453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计入当期损益的政府补助</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17,278,000.00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14,993,509.00</w:t>
            </w:r>
          </w:p>
        </w:tc>
      </w:tr>
      <w:tr>
        <w:trPr>
          <w:trHeight w:val="635" w:hRule="exact"/>
        </w:trPr>
        <w:tc>
          <w:tcPr>
            <w:tcW w:w="453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104"/>
              <w:jc w:val="left"/>
              <w:rPr>
                <w:rFonts w:ascii="宋体" w:hAnsi="宋体" w:cs="宋体" w:eastAsia="宋体" w:hint="default"/>
                <w:sz w:val="21"/>
                <w:szCs w:val="21"/>
              </w:rPr>
            </w:pPr>
            <w:r>
              <w:rPr>
                <w:rFonts w:ascii="宋体" w:hAnsi="宋体" w:cs="宋体" w:eastAsia="宋体" w:hint="default"/>
                <w:b/>
                <w:bCs/>
                <w:spacing w:val="3"/>
                <w:sz w:val="21"/>
                <w:szCs w:val="21"/>
              </w:rPr>
              <w:t>同一控制下企业合并产生的子公司期初至合并</w:t>
            </w:r>
            <w:r>
              <w:rPr>
                <w:rFonts w:ascii="宋体" w:hAnsi="宋体" w:cs="宋体" w:eastAsia="宋体" w:hint="default"/>
                <w:b/>
                <w:bCs/>
                <w:spacing w:val="-79"/>
                <w:sz w:val="21"/>
                <w:szCs w:val="21"/>
              </w:rPr>
              <w:t> </w:t>
            </w:r>
            <w:r>
              <w:rPr>
                <w:rFonts w:ascii="宋体" w:hAnsi="宋体" w:cs="宋体" w:eastAsia="宋体" w:hint="default"/>
                <w:b/>
                <w:bCs/>
                <w:spacing w:val="-79"/>
                <w:sz w:val="21"/>
                <w:szCs w:val="21"/>
              </w:rPr>
            </w:r>
            <w:r>
              <w:rPr>
                <w:rFonts w:ascii="宋体" w:hAnsi="宋体" w:cs="宋体" w:eastAsia="宋体" w:hint="default"/>
                <w:b/>
                <w:bCs/>
                <w:sz w:val="21"/>
                <w:szCs w:val="21"/>
              </w:rPr>
              <w:t>日的当期净损益</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53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其他营业外收支净额</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341,531.14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285,656.02</w:t>
            </w:r>
          </w:p>
        </w:tc>
      </w:tr>
      <w:tr>
        <w:trPr>
          <w:trHeight w:val="322" w:hRule="exact"/>
        </w:trPr>
        <w:tc>
          <w:tcPr>
            <w:tcW w:w="453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非经常性项目合计</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17,608,517.44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15,219,796.62</w:t>
            </w:r>
          </w:p>
        </w:tc>
      </w:tr>
      <w:tr>
        <w:trPr>
          <w:trHeight w:val="322" w:hRule="exact"/>
        </w:trPr>
        <w:tc>
          <w:tcPr>
            <w:tcW w:w="453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减：非经常性损益的所得税影响数</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2,641,409.90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1,521,763.69</w:t>
            </w:r>
          </w:p>
        </w:tc>
      </w:tr>
      <w:tr>
        <w:trPr>
          <w:trHeight w:val="322" w:hRule="exact"/>
        </w:trPr>
        <w:tc>
          <w:tcPr>
            <w:tcW w:w="453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非经常性损益影响净额</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14,967,107.54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13,698,032.93</w:t>
            </w:r>
          </w:p>
        </w:tc>
      </w:tr>
    </w:tbl>
    <w:p>
      <w:pPr>
        <w:spacing w:after="0" w:line="240" w:lineRule="auto"/>
        <w:jc w:val="right"/>
        <w:rPr>
          <w:rFonts w:ascii="Times New Roman" w:hAnsi="Times New Roman" w:cs="Times New Roman" w:eastAsia="Times New Roman" w:hint="default"/>
          <w:sz w:val="21"/>
          <w:szCs w:val="21"/>
        </w:rPr>
        <w:sectPr>
          <w:pgSz w:w="11910" w:h="16840"/>
          <w:pgMar w:header="884" w:footer="980" w:top="1140" w:bottom="1160" w:left="1660" w:right="16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1"/>
        <w:spacing w:line="460" w:lineRule="exact"/>
        <w:ind w:left="2819" w:right="2837"/>
        <w:jc w:val="center"/>
        <w:rPr>
          <w:b w:val="0"/>
          <w:bCs w:val="0"/>
        </w:rPr>
      </w:pPr>
      <w:bookmarkStart w:name="_bookmark2" w:id="3"/>
      <w:bookmarkEnd w:id="3"/>
      <w:r>
        <w:rPr>
          <w:b w:val="0"/>
          <w:bCs w:val="0"/>
        </w:rPr>
      </w:r>
      <w:r>
        <w:rPr/>
        <w:t>第三节</w:t>
      </w:r>
      <w:r>
        <w:rPr>
          <w:spacing w:val="-3"/>
        </w:rPr>
        <w:t> </w:t>
      </w:r>
      <w:r>
        <w:rPr/>
        <w:t>董事会报告</w:t>
      </w:r>
      <w:r>
        <w:rPr>
          <w:b w:val="0"/>
          <w:bCs w:val="0"/>
        </w:rPr>
      </w:r>
    </w:p>
    <w:p>
      <w:pPr>
        <w:spacing w:line="240" w:lineRule="auto" w:before="5"/>
        <w:rPr>
          <w:rFonts w:ascii="宋体" w:hAnsi="宋体" w:cs="宋体" w:eastAsia="宋体" w:hint="default"/>
          <w:b/>
          <w:bCs/>
          <w:sz w:val="40"/>
          <w:szCs w:val="40"/>
        </w:rPr>
      </w:pPr>
    </w:p>
    <w:p>
      <w:pPr>
        <w:pStyle w:val="Heading5"/>
        <w:spacing w:line="240" w:lineRule="auto"/>
        <w:ind w:left="220" w:right="0"/>
        <w:jc w:val="both"/>
        <w:rPr>
          <w:b w:val="0"/>
          <w:bCs w:val="0"/>
        </w:rPr>
      </w:pPr>
      <w:r>
        <w:rPr/>
        <w:t>一、报告期内公司经营情况的回顾</w:t>
      </w:r>
      <w:r>
        <w:rPr>
          <w:b w:val="0"/>
          <w:bCs w:val="0"/>
        </w:rPr>
      </w:r>
    </w:p>
    <w:p>
      <w:pPr>
        <w:spacing w:line="415" w:lineRule="auto" w:before="154"/>
        <w:ind w:left="700" w:right="246" w:hanging="600"/>
        <w:jc w:val="left"/>
        <w:rPr>
          <w:rFonts w:ascii="宋体" w:hAnsi="宋体" w:cs="宋体" w:eastAsia="宋体" w:hint="default"/>
          <w:sz w:val="24"/>
          <w:szCs w:val="24"/>
        </w:rPr>
      </w:pPr>
      <w:r>
        <w:rPr>
          <w:rFonts w:ascii="宋体" w:hAnsi="宋体" w:cs="宋体" w:eastAsia="宋体" w:hint="default"/>
          <w:b/>
          <w:bCs/>
          <w:sz w:val="24"/>
          <w:szCs w:val="24"/>
        </w:rPr>
        <w:t>（一）公司总体经营情况</w:t>
      </w:r>
      <w:r>
        <w:rPr>
          <w:rFonts w:ascii="宋体" w:hAnsi="宋体" w:cs="宋体" w:eastAsia="宋体" w:hint="default"/>
          <w:b/>
          <w:bCs/>
          <w:w w:val="99"/>
          <w:sz w:val="24"/>
          <w:szCs w:val="24"/>
        </w:rPr>
        <w:t> </w:t>
      </w:r>
      <w:r>
        <w:rPr>
          <w:rFonts w:ascii="宋体" w:hAnsi="宋体" w:cs="宋体" w:eastAsia="宋体" w:hint="default"/>
          <w:sz w:val="24"/>
          <w:szCs w:val="24"/>
        </w:rPr>
        <w:t>2011</w:t>
      </w:r>
      <w:r>
        <w:rPr>
          <w:rFonts w:ascii="宋体" w:hAnsi="宋体" w:cs="宋体" w:eastAsia="宋体" w:hint="default"/>
          <w:sz w:val="24"/>
          <w:szCs w:val="24"/>
        </w:rPr>
        <w:t>年度，伴随着全球经济的逐步回暖，总体上各行业的</w:t>
      </w:r>
      <w:r>
        <w:rPr>
          <w:rFonts w:ascii="宋体" w:hAnsi="宋体" w:cs="宋体" w:eastAsia="宋体" w:hint="default"/>
          <w:sz w:val="24"/>
          <w:szCs w:val="24"/>
        </w:rPr>
        <w:t>ERP</w:t>
      </w:r>
      <w:r>
        <w:rPr>
          <w:rFonts w:ascii="宋体" w:hAnsi="宋体" w:cs="宋体" w:eastAsia="宋体" w:hint="default"/>
          <w:sz w:val="24"/>
          <w:szCs w:val="24"/>
        </w:rPr>
        <w:t>投入也重回增</w:t>
      </w:r>
    </w:p>
    <w:p>
      <w:pPr>
        <w:pStyle w:val="BodyText"/>
        <w:spacing w:line="293" w:lineRule="exact" w:before="0"/>
        <w:ind w:left="220" w:right="0"/>
        <w:jc w:val="both"/>
      </w:pPr>
      <w:r>
        <w:rPr>
          <w:spacing w:val="-3"/>
        </w:rPr>
        <w:t>长之路。在全球金融危机的冲击下，后危机时代的企业日益认识到快速响应市场</w:t>
      </w:r>
    </w:p>
    <w:p>
      <w:pPr>
        <w:pStyle w:val="BodyText"/>
        <w:spacing w:line="357" w:lineRule="auto"/>
        <w:ind w:left="220" w:right="239"/>
        <w:jc w:val="both"/>
      </w:pPr>
      <w:r>
        <w:rPr>
          <w:spacing w:val="-3"/>
        </w:rPr>
        <w:t>变化和客户需求、敏捷生产、降低成本、集团管控、流程规范、效率提升在竞争</w:t>
      </w:r>
      <w:r>
        <w:rPr>
          <w:spacing w:val="-115"/>
        </w:rPr>
        <w:t> </w:t>
      </w:r>
      <w:r>
        <w:rPr>
          <w:spacing w:val="-115"/>
        </w:rPr>
      </w:r>
      <w:r>
        <w:rPr>
          <w:spacing w:val="-3"/>
        </w:rPr>
        <w:t>中的重要作用，而管理软件是辅助用户达成上述目标、提升综合竞争力的主要工</w:t>
      </w:r>
      <w:r>
        <w:rPr>
          <w:spacing w:val="-111"/>
        </w:rPr>
        <w:t> </w:t>
      </w:r>
      <w:r>
        <w:rPr>
          <w:spacing w:val="-111"/>
        </w:rPr>
      </w:r>
      <w:r>
        <w:rPr/>
        <w:t>具。</w:t>
      </w:r>
    </w:p>
    <w:p>
      <w:pPr>
        <w:pStyle w:val="BodyText"/>
        <w:spacing w:line="357" w:lineRule="auto" w:before="36"/>
        <w:ind w:left="220" w:right="0" w:firstLine="479"/>
        <w:jc w:val="left"/>
      </w:pPr>
      <w:r>
        <w:rPr>
          <w:spacing w:val="-3"/>
        </w:rPr>
        <w:t>在行业宏观形势有所好转的情况下，一方面随着成功的登陆资本市场，公司</w:t>
      </w:r>
      <w:r>
        <w:rPr/>
        <w:t> 在业内的品牌认知度有了相当程度的提升，积聚了一定的品牌效应和资金优势； </w:t>
      </w:r>
      <w:r>
        <w:rPr>
          <w:spacing w:val="-3"/>
        </w:rPr>
        <w:t>同时，公司凭借多年专业实施经验积累以及实行稳健的市场策略，把握市场发展</w:t>
      </w:r>
      <w:r>
        <w:rPr>
          <w:spacing w:val="-112"/>
        </w:rPr>
        <w:t> </w:t>
      </w:r>
      <w:r>
        <w:rPr>
          <w:spacing w:val="-112"/>
        </w:rPr>
      </w:r>
      <w:r>
        <w:rPr>
          <w:spacing w:val="-7"/>
        </w:rPr>
        <w:t>机遇，渐进式地提高交付能力，因此公司在报告期内实现了经营业绩的持续增长。</w:t>
      </w:r>
    </w:p>
    <w:p>
      <w:pPr>
        <w:pStyle w:val="BodyText"/>
        <w:spacing w:line="289" w:lineRule="exact" w:before="0"/>
        <w:ind w:left="700"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spacing w:val="-3"/>
        </w:rPr>
        <w:t>年度，公司实现营业收入</w:t>
      </w:r>
      <w:r>
        <w:rPr>
          <w:spacing w:val="-59"/>
        </w:rPr>
        <w:t> </w:t>
      </w:r>
      <w:r>
        <w:rPr>
          <w:rFonts w:ascii="Times New Roman" w:hAnsi="Times New Roman" w:cs="Times New Roman" w:eastAsia="Times New Roman" w:hint="default"/>
        </w:rPr>
        <w:t>520,493,452.28</w:t>
      </w:r>
      <w:r>
        <w:rPr>
          <w:rFonts w:ascii="Times New Roman" w:hAnsi="Times New Roman" w:cs="Times New Roman" w:eastAsia="Times New Roman" w:hint="default"/>
          <w:spacing w:val="1"/>
        </w:rPr>
        <w:t> </w:t>
      </w:r>
      <w:r>
        <w:rPr>
          <w:spacing w:val="-3"/>
        </w:rPr>
        <w:t>元，比上年同期增长</w:t>
      </w:r>
      <w:r>
        <w:rPr>
          <w:spacing w:val="-59"/>
        </w:rPr>
        <w:t> </w:t>
      </w:r>
      <w:r>
        <w:rPr>
          <w:rFonts w:ascii="Times New Roman" w:hAnsi="Times New Roman" w:cs="Times New Roman" w:eastAsia="Times New Roman" w:hint="default"/>
        </w:rPr>
        <w:t>44.14%</w:t>
      </w:r>
      <w:r>
        <w:rPr/>
        <w:t>；</w:t>
      </w:r>
    </w:p>
    <w:p>
      <w:pPr>
        <w:pStyle w:val="BodyText"/>
        <w:spacing w:line="336" w:lineRule="auto" w:before="135"/>
        <w:ind w:left="220" w:right="234"/>
        <w:jc w:val="both"/>
      </w:pPr>
      <w:r>
        <w:rPr/>
        <w:t>营业利润 </w:t>
      </w:r>
      <w:r>
        <w:rPr>
          <w:rFonts w:ascii="Times New Roman" w:hAnsi="Times New Roman" w:cs="Times New Roman" w:eastAsia="Times New Roman" w:hint="default"/>
        </w:rPr>
        <w:t>109,345,106.89 </w:t>
      </w:r>
      <w:r>
        <w:rPr/>
        <w:t>元，比上年同期增长</w:t>
      </w:r>
      <w:r>
        <w:rPr>
          <w:spacing w:val="-52"/>
        </w:rPr>
        <w:t> </w:t>
      </w:r>
      <w:r>
        <w:rPr>
          <w:rFonts w:ascii="Times New Roman" w:hAnsi="Times New Roman" w:cs="Times New Roman" w:eastAsia="Times New Roman" w:hint="default"/>
        </w:rPr>
        <w:t>58.37%</w:t>
      </w:r>
      <w:r>
        <w:rPr/>
        <w:t>；归属于母公司净利润为 </w:t>
      </w:r>
      <w:r>
        <w:rPr>
          <w:rFonts w:ascii="Times New Roman" w:hAnsi="Times New Roman" w:cs="Times New Roman" w:eastAsia="Times New Roman" w:hint="default"/>
        </w:rPr>
        <w:t>93,770,452.46 </w:t>
      </w:r>
      <w:r>
        <w:rPr/>
        <w:t>元，比上年同期增长</w:t>
      </w:r>
      <w:r>
        <w:rPr>
          <w:spacing w:val="-62"/>
        </w:rPr>
        <w:t> </w:t>
      </w:r>
      <w:r>
        <w:rPr>
          <w:rFonts w:ascii="Times New Roman" w:hAnsi="Times New Roman" w:cs="Times New Roman" w:eastAsia="Times New Roman" w:hint="default"/>
        </w:rPr>
        <w:t>48.19%</w:t>
      </w:r>
      <w:r>
        <w:rPr/>
        <w:t>。</w:t>
      </w:r>
    </w:p>
    <w:p>
      <w:pPr>
        <w:pStyle w:val="Heading5"/>
        <w:spacing w:line="240" w:lineRule="auto" w:before="30"/>
        <w:ind w:left="100" w:right="246"/>
        <w:jc w:val="left"/>
        <w:rPr>
          <w:b w:val="0"/>
          <w:bCs w:val="0"/>
        </w:rPr>
      </w:pPr>
      <w:r>
        <w:rPr/>
        <w:t>（二）公司主营业务及其经营状况</w:t>
      </w:r>
      <w:r>
        <w:rPr>
          <w:b w:val="0"/>
          <w:bCs w:val="0"/>
        </w:rPr>
      </w:r>
    </w:p>
    <w:p>
      <w:pPr>
        <w:pStyle w:val="BodyText"/>
        <w:spacing w:line="340" w:lineRule="auto" w:before="151"/>
        <w:ind w:left="220" w:right="234" w:firstLine="479"/>
        <w:jc w:val="both"/>
        <w:rPr>
          <w:rFonts w:ascii="Times New Roman" w:hAnsi="Times New Roman" w:cs="Times New Roman" w:eastAsia="Times New Roman" w:hint="default"/>
        </w:rPr>
      </w:pPr>
      <w:r>
        <w:rPr>
          <w:spacing w:val="-4"/>
        </w:rPr>
        <w:t>公司的业务主要有四部分组成：（</w:t>
      </w:r>
      <w:r>
        <w:rPr>
          <w:rFonts w:ascii="Times New Roman" w:hAnsi="Times New Roman" w:cs="Times New Roman" w:eastAsia="Times New Roman" w:hint="default"/>
          <w:spacing w:val="-4"/>
        </w:rPr>
        <w:t>1</w:t>
      </w:r>
      <w:r>
        <w:rPr>
          <w:spacing w:val="-4"/>
        </w:rPr>
        <w:t>）高端</w:t>
      </w:r>
      <w:r>
        <w:rPr>
          <w:spacing w:val="-61"/>
        </w:rPr>
        <w:t> </w:t>
      </w:r>
      <w:r>
        <w:rPr>
          <w:rFonts w:ascii="Times New Roman" w:hAnsi="Times New Roman" w:cs="Times New Roman" w:eastAsia="Times New Roman" w:hint="default"/>
        </w:rPr>
        <w:t>ERP </w:t>
      </w:r>
      <w:r>
        <w:rPr/>
        <w:t>实施服务，主要是为以</w:t>
      </w:r>
      <w:r>
        <w:rPr>
          <w:spacing w:val="-61"/>
        </w:rPr>
        <w:t> </w:t>
      </w:r>
      <w:r>
        <w:rPr>
          <w:rFonts w:ascii="Times New Roman" w:hAnsi="Times New Roman" w:cs="Times New Roman" w:eastAsia="Times New Roman" w:hint="default"/>
        </w:rPr>
        <w:t>SAP</w:t>
      </w:r>
      <w:r>
        <w:rPr>
          <w:rFonts w:ascii="Times New Roman" w:hAnsi="Times New Roman" w:cs="Times New Roman" w:eastAsia="Times New Roman" w:hint="default"/>
          <w:w w:val="99"/>
        </w:rPr>
        <w:t> </w:t>
      </w:r>
      <w:r>
        <w:rPr/>
        <w:t>和</w:t>
      </w:r>
      <w:r>
        <w:rPr>
          <w:spacing w:val="-49"/>
        </w:rPr>
        <w:t> </w:t>
      </w:r>
      <w:r>
        <w:rPr>
          <w:rFonts w:ascii="Times New Roman" w:hAnsi="Times New Roman" w:cs="Times New Roman" w:eastAsia="Times New Roman" w:hint="default"/>
        </w:rPr>
        <w:t>Oracle</w:t>
      </w:r>
      <w:r>
        <w:rPr>
          <w:rFonts w:ascii="Times New Roman" w:hAnsi="Times New Roman" w:cs="Times New Roman" w:eastAsia="Times New Roman" w:hint="default"/>
          <w:spacing w:val="10"/>
        </w:rPr>
        <w:t> </w:t>
      </w:r>
      <w:r>
        <w:rPr/>
        <w:t>为代表的大型</w:t>
      </w:r>
      <w:r>
        <w:rPr>
          <w:spacing w:val="-48"/>
        </w:rPr>
        <w:t> </w:t>
      </w:r>
      <w:r>
        <w:rPr>
          <w:rFonts w:ascii="Times New Roman" w:hAnsi="Times New Roman" w:cs="Times New Roman" w:eastAsia="Times New Roman" w:hint="default"/>
        </w:rPr>
        <w:t>ERP</w:t>
      </w:r>
      <w:r>
        <w:rPr>
          <w:rFonts w:ascii="Times New Roman" w:hAnsi="Times New Roman" w:cs="Times New Roman" w:eastAsia="Times New Roman" w:hint="default"/>
          <w:spacing w:val="12"/>
        </w:rPr>
        <w:t> </w:t>
      </w:r>
      <w:r>
        <w:rPr/>
        <w:t>软件及自主开发的</w:t>
      </w:r>
      <w:r>
        <w:rPr>
          <w:spacing w:val="-49"/>
        </w:rPr>
        <w:t> </w:t>
      </w:r>
      <w:r>
        <w:rPr>
          <w:rFonts w:ascii="Times New Roman" w:hAnsi="Times New Roman" w:cs="Times New Roman" w:eastAsia="Times New Roman" w:hint="default"/>
        </w:rPr>
        <w:t>MAS/ERP</w:t>
      </w:r>
      <w:r>
        <w:rPr>
          <w:rFonts w:ascii="Times New Roman" w:hAnsi="Times New Roman" w:cs="Times New Roman" w:eastAsia="Times New Roman" w:hint="default"/>
          <w:spacing w:val="12"/>
        </w:rPr>
        <w:t> </w:t>
      </w:r>
      <w:r>
        <w:rPr/>
        <w:t>软件提供实施服务， 高端</w:t>
      </w:r>
      <w:r>
        <w:rPr>
          <w:spacing w:val="-66"/>
        </w:rPr>
        <w:t> </w:t>
      </w:r>
      <w:r>
        <w:rPr>
          <w:rFonts w:ascii="Times New Roman" w:hAnsi="Times New Roman" w:cs="Times New Roman" w:eastAsia="Times New Roman" w:hint="default"/>
        </w:rPr>
        <w:t>ERP</w:t>
      </w:r>
      <w:r>
        <w:rPr>
          <w:rFonts w:ascii="Times New Roman" w:hAnsi="Times New Roman" w:cs="Times New Roman" w:eastAsia="Times New Roman" w:hint="default"/>
          <w:spacing w:val="-4"/>
        </w:rPr>
        <w:t> </w:t>
      </w:r>
      <w:r>
        <w:rPr/>
        <w:t>软件由于软件投资额大、实施复杂程度高而区别于中低端</w:t>
      </w:r>
      <w:r>
        <w:rPr>
          <w:spacing w:val="-64"/>
        </w:rPr>
        <w:t> </w:t>
      </w:r>
      <w:r>
        <w:rPr>
          <w:rFonts w:ascii="Times New Roman" w:hAnsi="Times New Roman" w:cs="Times New Roman" w:eastAsia="Times New Roman" w:hint="default"/>
        </w:rPr>
        <w:t>ERP</w:t>
      </w:r>
      <w:r>
        <w:rPr>
          <w:rFonts w:ascii="Times New Roman" w:hAnsi="Times New Roman" w:cs="Times New Roman" w:eastAsia="Times New Roman" w:hint="default"/>
          <w:spacing w:val="-3"/>
        </w:rPr>
        <w:t> </w:t>
      </w:r>
      <w:r>
        <w:rPr/>
        <w:t>实施服 </w:t>
      </w:r>
      <w:r>
        <w:rPr>
          <w:spacing w:val="-3"/>
        </w:rPr>
        <w:t>务。主要体现为为客户提供业务流程咨询、梳理、软件部署实施、二次开发、上</w:t>
      </w:r>
      <w:r>
        <w:rPr>
          <w:spacing w:val="-115"/>
        </w:rPr>
        <w:t> </w:t>
      </w:r>
      <w:r>
        <w:rPr>
          <w:spacing w:val="-115"/>
        </w:rPr>
      </w:r>
      <w:r>
        <w:rPr/>
        <w:t>线、调试、培训等服务；（</w:t>
      </w:r>
      <w:r>
        <w:rPr>
          <w:rFonts w:ascii="Times New Roman" w:hAnsi="Times New Roman" w:cs="Times New Roman" w:eastAsia="Times New Roman" w:hint="default"/>
        </w:rPr>
        <w:t>2</w:t>
      </w:r>
      <w:r>
        <w:rPr/>
        <w:t>）</w:t>
      </w:r>
      <w:r>
        <w:rPr>
          <w:rFonts w:ascii="Times New Roman" w:hAnsi="Times New Roman" w:cs="Times New Roman" w:eastAsia="Times New Roman" w:hint="default"/>
        </w:rPr>
        <w:t>ERP </w:t>
      </w:r>
      <w:r>
        <w:rPr/>
        <w:t>软件外包服务，主要是针对日本市场的</w:t>
      </w:r>
      <w:r>
        <w:rPr>
          <w:spacing w:val="-76"/>
        </w:rPr>
        <w:t> </w:t>
      </w:r>
      <w:r>
        <w:rPr>
          <w:rFonts w:ascii="Times New Roman" w:hAnsi="Times New Roman" w:cs="Times New Roman" w:eastAsia="Times New Roman" w:hint="default"/>
        </w:rPr>
        <w:t>ERP </w:t>
      </w:r>
      <w:r>
        <w:rPr>
          <w:spacing w:val="-3"/>
        </w:rPr>
        <w:t>软件二次开发技术外包服务，业务涵盖财务、制造、供应链、人力资源等企业应</w:t>
      </w:r>
      <w:r>
        <w:rPr>
          <w:spacing w:val="-111"/>
        </w:rPr>
        <w:t> </w:t>
      </w:r>
      <w:r>
        <w:rPr>
          <w:spacing w:val="-111"/>
        </w:rPr>
      </w:r>
      <w:r>
        <w:rPr/>
        <w:t>用领域，</w:t>
      </w:r>
      <w:r>
        <w:rPr>
          <w:rFonts w:ascii="Times New Roman" w:hAnsi="Times New Roman" w:cs="Times New Roman" w:eastAsia="Times New Roman" w:hint="default"/>
        </w:rPr>
        <w:t>ERP </w:t>
      </w:r>
      <w:r>
        <w:rPr/>
        <w:t>外包服务业务是公司基于国内 </w:t>
      </w:r>
      <w:r>
        <w:rPr>
          <w:rFonts w:ascii="Times New Roman" w:hAnsi="Times New Roman" w:cs="Times New Roman" w:eastAsia="Times New Roman" w:hint="default"/>
        </w:rPr>
        <w:t>ERP</w:t>
      </w:r>
      <w:r>
        <w:rPr>
          <w:rFonts w:ascii="Times New Roman" w:hAnsi="Times New Roman" w:cs="Times New Roman" w:eastAsia="Times New Roman" w:hint="default"/>
          <w:spacing w:val="-15"/>
        </w:rPr>
        <w:t> </w:t>
      </w:r>
      <w:r>
        <w:rPr/>
        <w:t>实施服务所积累的强大实施团 队与丰富经验而开拓的衍生业务领域；（</w:t>
      </w:r>
      <w:r>
        <w:rPr>
          <w:rFonts w:ascii="Times New Roman" w:hAnsi="Times New Roman" w:cs="Times New Roman" w:eastAsia="Times New Roman" w:hint="default"/>
        </w:rPr>
        <w:t>3</w:t>
      </w:r>
      <w:r>
        <w:rPr/>
        <w:t>）客户支持服务，包括两大来源：一</w:t>
      </w:r>
      <w:r>
        <w:rPr>
          <w:spacing w:val="-102"/>
        </w:rPr>
        <w:t> </w:t>
      </w:r>
      <w:r>
        <w:rPr>
          <w:spacing w:val="-102"/>
        </w:rPr>
      </w:r>
      <w:r>
        <w:rPr/>
        <w:t>是来源于在 </w:t>
      </w:r>
      <w:r>
        <w:rPr>
          <w:rFonts w:ascii="Times New Roman" w:hAnsi="Times New Roman" w:cs="Times New Roman" w:eastAsia="Times New Roman" w:hint="default"/>
        </w:rPr>
        <w:t>ERP</w:t>
      </w:r>
      <w:r>
        <w:rPr>
          <w:rFonts w:ascii="Times New Roman" w:hAnsi="Times New Roman" w:cs="Times New Roman" w:eastAsia="Times New Roman" w:hint="default"/>
          <w:spacing w:val="5"/>
        </w:rPr>
        <w:t> </w:t>
      </w:r>
      <w:r>
        <w:rPr/>
        <w:t>实施服务完成后，公司与客户另行签订的运行维护合同，为客 户提供后续的支持服务；二是来源于公司的客户支持服务中心。（</w:t>
      </w:r>
      <w:r>
        <w:rPr>
          <w:rFonts w:ascii="Times New Roman" w:hAnsi="Times New Roman" w:cs="Times New Roman" w:eastAsia="Times New Roman" w:hint="default"/>
        </w:rPr>
        <w:t>4</w:t>
      </w:r>
      <w:r>
        <w:rPr/>
        <w:t>）</w:t>
      </w:r>
      <w:r>
        <w:rPr>
          <w:rFonts w:ascii="Times New Roman" w:hAnsi="Times New Roman" w:cs="Times New Roman" w:eastAsia="Times New Roman" w:hint="default"/>
        </w:rPr>
        <w:t>ERP</w:t>
      </w:r>
      <w:r>
        <w:rPr>
          <w:rFonts w:ascii="Times New Roman" w:hAnsi="Times New Roman" w:cs="Times New Roman" w:eastAsia="Times New Roman" w:hint="default"/>
          <w:spacing w:val="6"/>
        </w:rPr>
        <w:t> </w:t>
      </w:r>
      <w:r>
        <w:rPr/>
        <w:t>软件 销售，代理销售</w:t>
      </w:r>
      <w:r>
        <w:rPr>
          <w:spacing w:val="-66"/>
        </w:rPr>
        <w:t> </w:t>
      </w:r>
      <w:r>
        <w:rPr>
          <w:rFonts w:ascii="Times New Roman" w:hAnsi="Times New Roman" w:cs="Times New Roman" w:eastAsia="Times New Roman" w:hint="default"/>
        </w:rPr>
        <w:t>ERP</w:t>
      </w:r>
      <w:r>
        <w:rPr>
          <w:rFonts w:ascii="Times New Roman" w:hAnsi="Times New Roman" w:cs="Times New Roman" w:eastAsia="Times New Roman" w:hint="default"/>
          <w:spacing w:val="-6"/>
        </w:rPr>
        <w:t> </w:t>
      </w:r>
      <w:r>
        <w:rPr/>
        <w:t>软件是公司主营业务</w:t>
      </w:r>
      <w:r>
        <w:rPr>
          <w:spacing w:val="-65"/>
        </w:rPr>
        <w:t> </w:t>
      </w:r>
      <w:r>
        <w:rPr>
          <w:rFonts w:ascii="Times New Roman" w:hAnsi="Times New Roman" w:cs="Times New Roman" w:eastAsia="Times New Roman" w:hint="default"/>
        </w:rPr>
        <w:t>ERP</w:t>
      </w:r>
      <w:r>
        <w:rPr>
          <w:rFonts w:ascii="Times New Roman" w:hAnsi="Times New Roman" w:cs="Times New Roman" w:eastAsia="Times New Roman" w:hint="default"/>
          <w:spacing w:val="-4"/>
        </w:rPr>
        <w:t> </w:t>
      </w:r>
      <w:r>
        <w:rPr/>
        <w:t>实施服务的衍生性业务，公司主 </w:t>
      </w:r>
      <w:r>
        <w:rPr>
          <w:spacing w:val="2"/>
        </w:rPr>
        <w:t>要在实施服务前期参考客户自身意愿、结合客户的业务特点向客户销售</w:t>
      </w:r>
      <w:r>
        <w:rPr>
          <w:spacing w:val="30"/>
        </w:rPr>
        <w:t> </w:t>
      </w:r>
      <w:r>
        <w:rPr>
          <w:rFonts w:ascii="Times New Roman" w:hAnsi="Times New Roman" w:cs="Times New Roman" w:eastAsia="Times New Roman" w:hint="default"/>
        </w:rPr>
        <w:t>Oracle</w:t>
      </w:r>
    </w:p>
    <w:p>
      <w:pPr>
        <w:spacing w:after="0" w:line="340" w:lineRule="auto"/>
        <w:jc w:val="both"/>
        <w:rPr>
          <w:rFonts w:ascii="Times New Roman" w:hAnsi="Times New Roman" w:cs="Times New Roman" w:eastAsia="Times New Roman" w:hint="default"/>
        </w:rPr>
        <w:sectPr>
          <w:pgSz w:w="11910" w:h="16840"/>
          <w:pgMar w:header="884" w:footer="980" w:top="1140" w:bottom="1160" w:left="1580" w:right="1560"/>
        </w:sectPr>
      </w:pPr>
    </w:p>
    <w:p>
      <w:pPr>
        <w:spacing w:line="240" w:lineRule="auto" w:before="8"/>
        <w:rPr>
          <w:rFonts w:ascii="Times New Roman" w:hAnsi="Times New Roman" w:cs="Times New Roman" w:eastAsia="Times New Roman" w:hint="default"/>
          <w:sz w:val="18"/>
          <w:szCs w:val="18"/>
        </w:rPr>
      </w:pPr>
    </w:p>
    <w:p>
      <w:pPr>
        <w:pStyle w:val="BodyText"/>
        <w:spacing w:line="240" w:lineRule="auto" w:before="26"/>
        <w:ind w:right="0"/>
        <w:jc w:val="left"/>
      </w:pPr>
      <w:r>
        <w:rPr/>
        <w:t>或</w:t>
      </w:r>
      <w:r>
        <w:rPr>
          <w:spacing w:val="-62"/>
        </w:rPr>
        <w:t> </w:t>
      </w:r>
      <w:r>
        <w:rPr>
          <w:rFonts w:ascii="Times New Roman" w:hAnsi="Times New Roman" w:cs="Times New Roman" w:eastAsia="Times New Roman" w:hint="default"/>
        </w:rPr>
        <w:t>SAP</w:t>
      </w:r>
      <w:r>
        <w:rPr>
          <w:rFonts w:ascii="Times New Roman" w:hAnsi="Times New Roman" w:cs="Times New Roman" w:eastAsia="Times New Roman" w:hint="default"/>
          <w:spacing w:val="-1"/>
        </w:rPr>
        <w:t> </w:t>
      </w:r>
      <w:r>
        <w:rPr/>
        <w:t>软件产品。</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Heading5"/>
        <w:spacing w:line="240" w:lineRule="auto"/>
        <w:ind w:right="0"/>
        <w:jc w:val="left"/>
        <w:rPr>
          <w:b w:val="0"/>
          <w:bCs w:val="0"/>
        </w:rPr>
      </w:pPr>
      <w:r>
        <w:rPr>
          <w:rFonts w:ascii="Times New Roman" w:hAnsi="Times New Roman" w:cs="Times New Roman" w:eastAsia="Times New Roman" w:hint="default"/>
        </w:rPr>
        <w:t>1</w:t>
      </w:r>
      <w:r>
        <w:rPr/>
        <w:t>、主营业务收入分行业、产品情况</w:t>
      </w:r>
      <w:r>
        <w:rPr>
          <w:b w:val="0"/>
          <w:bCs w:val="0"/>
        </w:rPr>
      </w:r>
    </w:p>
    <w:p>
      <w:pPr>
        <w:pStyle w:val="BodyText"/>
        <w:spacing w:line="240" w:lineRule="auto" w:before="135"/>
        <w:ind w:left="2853" w:right="0"/>
        <w:jc w:val="left"/>
      </w:pPr>
      <w:r>
        <w:rPr/>
        <w:t>主营业务分行业经营情况表</w:t>
      </w:r>
    </w:p>
    <w:p>
      <w:pPr>
        <w:spacing w:line="240" w:lineRule="auto" w:before="4"/>
        <w:rPr>
          <w:rFonts w:ascii="宋体" w:hAnsi="宋体" w:cs="宋体" w:eastAsia="宋体" w:hint="default"/>
          <w:sz w:val="9"/>
          <w:szCs w:val="9"/>
        </w:rPr>
      </w:pPr>
    </w:p>
    <w:p>
      <w:pPr>
        <w:spacing w:before="36"/>
        <w:ind w:left="0" w:right="133"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10"/>
        <w:rPr>
          <w:rFonts w:ascii="宋体" w:hAnsi="宋体" w:cs="宋体" w:eastAsia="宋体" w:hint="default"/>
          <w:sz w:val="12"/>
          <w:szCs w:val="12"/>
        </w:rPr>
      </w:pPr>
    </w:p>
    <w:tbl>
      <w:tblPr>
        <w:tblW w:w="0" w:type="auto"/>
        <w:jc w:val="left"/>
        <w:tblInd w:w="418" w:type="dxa"/>
        <w:tblLayout w:type="fixed"/>
        <w:tblCellMar>
          <w:top w:w="0" w:type="dxa"/>
          <w:left w:w="0" w:type="dxa"/>
          <w:bottom w:w="0" w:type="dxa"/>
          <w:right w:w="0" w:type="dxa"/>
        </w:tblCellMar>
        <w:tblLook w:val="01E0"/>
      </w:tblPr>
      <w:tblGrid>
        <w:gridCol w:w="1027"/>
        <w:gridCol w:w="1529"/>
        <w:gridCol w:w="1529"/>
        <w:gridCol w:w="864"/>
        <w:gridCol w:w="1018"/>
        <w:gridCol w:w="1018"/>
        <w:gridCol w:w="1018"/>
      </w:tblGrid>
      <w:tr>
        <w:trPr>
          <w:trHeight w:val="1258" w:hRule="exact"/>
        </w:trPr>
        <w:tc>
          <w:tcPr>
            <w:tcW w:w="102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403" w:right="191" w:hanging="212"/>
              <w:jc w:val="left"/>
              <w:rPr>
                <w:rFonts w:ascii="宋体" w:hAnsi="宋体" w:cs="宋体" w:eastAsia="宋体" w:hint="default"/>
                <w:sz w:val="21"/>
                <w:szCs w:val="21"/>
              </w:rPr>
            </w:pPr>
            <w:r>
              <w:rPr>
                <w:rFonts w:ascii="宋体" w:hAnsi="宋体" w:cs="宋体" w:eastAsia="宋体" w:hint="default"/>
                <w:b/>
                <w:bCs/>
                <w:sz w:val="21"/>
                <w:szCs w:val="21"/>
              </w:rPr>
              <w:t>行业名</w:t>
            </w:r>
            <w:r>
              <w:rPr>
                <w:rFonts w:ascii="宋体" w:hAnsi="宋体" w:cs="宋体" w:eastAsia="宋体" w:hint="default"/>
                <w:b/>
                <w:bCs/>
                <w:w w:val="100"/>
                <w:sz w:val="21"/>
                <w:szCs w:val="21"/>
              </w:rPr>
              <w:t> </w:t>
            </w:r>
            <w:r>
              <w:rPr>
                <w:rFonts w:ascii="宋体" w:hAnsi="宋体" w:cs="宋体" w:eastAsia="宋体" w:hint="default"/>
                <w:b/>
                <w:bCs/>
                <w:sz w:val="21"/>
                <w:szCs w:val="21"/>
              </w:rPr>
              <w:t>称</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86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01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87" w:right="185"/>
              <w:jc w:val="both"/>
              <w:rPr>
                <w:rFonts w:ascii="宋体" w:hAnsi="宋体" w:cs="宋体" w:eastAsia="宋体" w:hint="default"/>
                <w:sz w:val="21"/>
                <w:szCs w:val="21"/>
              </w:rPr>
            </w:pPr>
            <w:r>
              <w:rPr>
                <w:rFonts w:ascii="宋体" w:hAnsi="宋体" w:cs="宋体" w:eastAsia="宋体" w:hint="default"/>
                <w:b/>
                <w:bCs/>
                <w:sz w:val="21"/>
                <w:szCs w:val="21"/>
              </w:rPr>
              <w:t>营业收</w:t>
            </w:r>
            <w:r>
              <w:rPr>
                <w:rFonts w:ascii="宋体" w:hAnsi="宋体" w:cs="宋体" w:eastAsia="宋体" w:hint="default"/>
                <w:b/>
                <w:bCs/>
                <w:w w:val="100"/>
                <w:sz w:val="21"/>
                <w:szCs w:val="21"/>
              </w:rPr>
              <w:t> </w:t>
            </w:r>
            <w:r>
              <w:rPr>
                <w:rFonts w:ascii="宋体" w:hAnsi="宋体" w:cs="宋体" w:eastAsia="宋体" w:hint="default"/>
                <w:b/>
                <w:bCs/>
                <w:sz w:val="21"/>
                <w:szCs w:val="21"/>
              </w:rPr>
              <w:t>入比上</w:t>
            </w:r>
            <w:r>
              <w:rPr>
                <w:rFonts w:ascii="宋体" w:hAnsi="宋体" w:cs="宋体" w:eastAsia="宋体" w:hint="default"/>
                <w:b/>
                <w:bCs/>
                <w:w w:val="100"/>
                <w:sz w:val="21"/>
                <w:szCs w:val="21"/>
              </w:rPr>
              <w:t> </w:t>
            </w:r>
            <w:r>
              <w:rPr>
                <w:rFonts w:ascii="宋体" w:hAnsi="宋体" w:cs="宋体" w:eastAsia="宋体" w:hint="default"/>
                <w:b/>
                <w:bCs/>
                <w:sz w:val="21"/>
                <w:szCs w:val="21"/>
              </w:rPr>
              <w:t>年同期</w:t>
            </w:r>
            <w:r>
              <w:rPr>
                <w:rFonts w:ascii="宋体" w:hAnsi="宋体" w:cs="宋体" w:eastAsia="宋体" w:hint="default"/>
                <w:b/>
                <w:bCs/>
                <w:w w:val="100"/>
                <w:sz w:val="21"/>
                <w:szCs w:val="21"/>
              </w:rPr>
              <w:t> </w:t>
            </w:r>
            <w:r>
              <w:rPr>
                <w:rFonts w:ascii="宋体" w:hAnsi="宋体" w:cs="宋体" w:eastAsia="宋体" w:hint="default"/>
                <w:b/>
                <w:bCs/>
                <w:sz w:val="21"/>
                <w:szCs w:val="21"/>
              </w:rPr>
              <w:t>增减</w:t>
            </w:r>
            <w:r>
              <w:rPr>
                <w:rFonts w:ascii="宋体" w:hAnsi="宋体" w:cs="宋体" w:eastAsia="宋体" w:hint="default"/>
                <w:sz w:val="21"/>
                <w:szCs w:val="21"/>
              </w:rPr>
            </w:r>
          </w:p>
        </w:tc>
        <w:tc>
          <w:tcPr>
            <w:tcW w:w="101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87" w:right="185"/>
              <w:jc w:val="both"/>
              <w:rPr>
                <w:rFonts w:ascii="宋体" w:hAnsi="宋体" w:cs="宋体" w:eastAsia="宋体" w:hint="default"/>
                <w:sz w:val="21"/>
                <w:szCs w:val="21"/>
              </w:rPr>
            </w:pPr>
            <w:r>
              <w:rPr>
                <w:rFonts w:ascii="宋体" w:hAnsi="宋体" w:cs="宋体" w:eastAsia="宋体" w:hint="default"/>
                <w:b/>
                <w:bCs/>
                <w:sz w:val="21"/>
                <w:szCs w:val="21"/>
              </w:rPr>
              <w:t>营业成</w:t>
            </w:r>
            <w:r>
              <w:rPr>
                <w:rFonts w:ascii="宋体" w:hAnsi="宋体" w:cs="宋体" w:eastAsia="宋体" w:hint="default"/>
                <w:b/>
                <w:bCs/>
                <w:w w:val="100"/>
                <w:sz w:val="21"/>
                <w:szCs w:val="21"/>
              </w:rPr>
              <w:t> </w:t>
            </w:r>
            <w:r>
              <w:rPr>
                <w:rFonts w:ascii="宋体" w:hAnsi="宋体" w:cs="宋体" w:eastAsia="宋体" w:hint="default"/>
                <w:b/>
                <w:bCs/>
                <w:sz w:val="21"/>
                <w:szCs w:val="21"/>
              </w:rPr>
              <w:t>本比上</w:t>
            </w:r>
            <w:r>
              <w:rPr>
                <w:rFonts w:ascii="宋体" w:hAnsi="宋体" w:cs="宋体" w:eastAsia="宋体" w:hint="default"/>
                <w:b/>
                <w:bCs/>
                <w:w w:val="100"/>
                <w:sz w:val="21"/>
                <w:szCs w:val="21"/>
              </w:rPr>
              <w:t> </w:t>
            </w:r>
            <w:r>
              <w:rPr>
                <w:rFonts w:ascii="宋体" w:hAnsi="宋体" w:cs="宋体" w:eastAsia="宋体" w:hint="default"/>
                <w:b/>
                <w:bCs/>
                <w:sz w:val="21"/>
                <w:szCs w:val="21"/>
              </w:rPr>
              <w:t>年同期</w:t>
            </w:r>
            <w:r>
              <w:rPr>
                <w:rFonts w:ascii="宋体" w:hAnsi="宋体" w:cs="宋体" w:eastAsia="宋体" w:hint="default"/>
                <w:b/>
                <w:bCs/>
                <w:w w:val="100"/>
                <w:sz w:val="21"/>
                <w:szCs w:val="21"/>
              </w:rPr>
              <w:t> </w:t>
            </w:r>
            <w:r>
              <w:rPr>
                <w:rFonts w:ascii="宋体" w:hAnsi="宋体" w:cs="宋体" w:eastAsia="宋体" w:hint="default"/>
                <w:b/>
                <w:bCs/>
                <w:sz w:val="21"/>
                <w:szCs w:val="21"/>
              </w:rPr>
              <w:t>增减</w:t>
            </w:r>
            <w:r>
              <w:rPr>
                <w:rFonts w:ascii="宋体" w:hAnsi="宋体" w:cs="宋体" w:eastAsia="宋体" w:hint="default"/>
                <w:sz w:val="21"/>
                <w:szCs w:val="21"/>
              </w:rPr>
            </w:r>
          </w:p>
        </w:tc>
        <w:tc>
          <w:tcPr>
            <w:tcW w:w="101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87" w:right="185"/>
              <w:jc w:val="center"/>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b/>
                <w:bCs/>
                <w:w w:val="100"/>
                <w:sz w:val="21"/>
                <w:szCs w:val="21"/>
              </w:rPr>
              <w:t> </w:t>
            </w:r>
            <w:r>
              <w:rPr>
                <w:rFonts w:ascii="宋体" w:hAnsi="宋体" w:cs="宋体" w:eastAsia="宋体" w:hint="default"/>
                <w:b/>
                <w:bCs/>
                <w:sz w:val="21"/>
                <w:szCs w:val="21"/>
              </w:rPr>
              <w:t>比上年</w:t>
            </w:r>
            <w:r>
              <w:rPr>
                <w:rFonts w:ascii="宋体" w:hAnsi="宋体" w:cs="宋体" w:eastAsia="宋体" w:hint="default"/>
                <w:b/>
                <w:bCs/>
                <w:w w:val="100"/>
                <w:sz w:val="21"/>
                <w:szCs w:val="21"/>
              </w:rPr>
              <w:t> </w:t>
            </w:r>
            <w:r>
              <w:rPr>
                <w:rFonts w:ascii="宋体" w:hAnsi="宋体" w:cs="宋体" w:eastAsia="宋体" w:hint="default"/>
                <w:b/>
                <w:bCs/>
                <w:sz w:val="21"/>
                <w:szCs w:val="21"/>
              </w:rPr>
              <w:t>同期增</w:t>
            </w:r>
            <w:r>
              <w:rPr>
                <w:rFonts w:ascii="宋体" w:hAnsi="宋体" w:cs="宋体" w:eastAsia="宋体" w:hint="default"/>
                <w:b/>
                <w:bCs/>
                <w:w w:val="100"/>
                <w:sz w:val="21"/>
                <w:szCs w:val="21"/>
              </w:rPr>
              <w:t> </w:t>
            </w:r>
            <w:r>
              <w:rPr>
                <w:rFonts w:ascii="宋体" w:hAnsi="宋体" w:cs="宋体" w:eastAsia="宋体" w:hint="default"/>
                <w:b/>
                <w:bCs/>
                <w:sz w:val="21"/>
                <w:szCs w:val="21"/>
              </w:rPr>
              <w:t>减</w:t>
            </w:r>
            <w:r>
              <w:rPr>
                <w:rFonts w:ascii="宋体" w:hAnsi="宋体" w:cs="宋体" w:eastAsia="宋体" w:hint="default"/>
                <w:sz w:val="21"/>
                <w:szCs w:val="21"/>
              </w:rPr>
            </w:r>
          </w:p>
        </w:tc>
      </w:tr>
      <w:tr>
        <w:trPr>
          <w:trHeight w:val="442" w:hRule="exact"/>
        </w:trPr>
        <w:tc>
          <w:tcPr>
            <w:tcW w:w="102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81" w:lineRule="exact"/>
              <w:ind w:left="16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IT</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行业</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Times New Roman" w:hAnsi="Times New Roman" w:cs="Times New Roman" w:eastAsia="Times New Roman" w:hint="default"/>
                <w:sz w:val="21"/>
                <w:szCs w:val="21"/>
              </w:rPr>
            </w:pPr>
            <w:r>
              <w:rPr>
                <w:rFonts w:ascii="Times New Roman"/>
                <w:sz w:val="21"/>
              </w:rPr>
              <w:t>520,149,868.28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21"/>
                <w:szCs w:val="21"/>
              </w:rPr>
            </w:pPr>
            <w:r>
              <w:rPr>
                <w:rFonts w:ascii="Times New Roman"/>
                <w:sz w:val="21"/>
              </w:rPr>
              <w:t>344,081,804.51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Times New Roman" w:hAnsi="Times New Roman" w:cs="Times New Roman" w:eastAsia="Times New Roman" w:hint="default"/>
                <w:sz w:val="21"/>
                <w:szCs w:val="21"/>
              </w:rPr>
            </w:pPr>
            <w:r>
              <w:rPr>
                <w:rFonts w:ascii="Times New Roman"/>
                <w:sz w:val="21"/>
              </w:rPr>
              <w:t>33.85%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56" w:right="0"/>
              <w:jc w:val="left"/>
              <w:rPr>
                <w:rFonts w:ascii="Times New Roman" w:hAnsi="Times New Roman" w:cs="Times New Roman" w:eastAsia="Times New Roman" w:hint="default"/>
                <w:sz w:val="21"/>
                <w:szCs w:val="21"/>
              </w:rPr>
            </w:pPr>
            <w:r>
              <w:rPr>
                <w:rFonts w:ascii="Times New Roman"/>
                <w:sz w:val="21"/>
              </w:rPr>
              <w:t>44.22%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56" w:right="0"/>
              <w:jc w:val="left"/>
              <w:rPr>
                <w:rFonts w:ascii="Times New Roman" w:hAnsi="Times New Roman" w:cs="Times New Roman" w:eastAsia="Times New Roman" w:hint="default"/>
                <w:sz w:val="21"/>
                <w:szCs w:val="21"/>
              </w:rPr>
            </w:pPr>
            <w:r>
              <w:rPr>
                <w:rFonts w:ascii="Times New Roman"/>
                <w:sz w:val="21"/>
              </w:rPr>
              <w:t>50.55%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93" w:right="0"/>
              <w:jc w:val="left"/>
              <w:rPr>
                <w:rFonts w:ascii="Times New Roman" w:hAnsi="Times New Roman" w:cs="Times New Roman" w:eastAsia="Times New Roman" w:hint="default"/>
                <w:sz w:val="21"/>
                <w:szCs w:val="21"/>
              </w:rPr>
            </w:pPr>
            <w:r>
              <w:rPr>
                <w:rFonts w:ascii="Times New Roman"/>
                <w:sz w:val="21"/>
              </w:rPr>
              <w:t>-2.78%</w:t>
            </w:r>
          </w:p>
        </w:tc>
      </w:tr>
    </w:tbl>
    <w:p>
      <w:pPr>
        <w:spacing w:line="240" w:lineRule="auto" w:before="9"/>
        <w:rPr>
          <w:rFonts w:ascii="宋体" w:hAnsi="宋体" w:cs="宋体" w:eastAsia="宋体" w:hint="default"/>
          <w:sz w:val="26"/>
          <w:szCs w:val="26"/>
        </w:rPr>
      </w:pPr>
    </w:p>
    <w:p>
      <w:pPr>
        <w:pStyle w:val="BodyText"/>
        <w:spacing w:line="240" w:lineRule="auto" w:before="26"/>
        <w:ind w:left="2853" w:right="0"/>
        <w:jc w:val="left"/>
      </w:pPr>
      <w:r>
        <w:rPr/>
        <w:t>主营业务分产品经营情况表</w:t>
      </w:r>
    </w:p>
    <w:p>
      <w:pPr>
        <w:pStyle w:val="BodyText"/>
        <w:spacing w:line="240" w:lineRule="auto" w:before="151"/>
        <w:ind w:left="0" w:right="136"/>
        <w:jc w:val="right"/>
      </w:pPr>
      <w:r>
        <w:rPr/>
        <w:t>单位：人民币（元）</w:t>
      </w:r>
    </w:p>
    <w:p>
      <w:pPr>
        <w:spacing w:line="240" w:lineRule="auto" w:before="11"/>
        <w:rPr>
          <w:rFonts w:ascii="宋体" w:hAnsi="宋体" w:cs="宋体" w:eastAsia="宋体" w:hint="default"/>
          <w:sz w:val="14"/>
          <w:szCs w:val="14"/>
        </w:rPr>
      </w:pPr>
    </w:p>
    <w:tbl>
      <w:tblPr>
        <w:tblW w:w="0" w:type="auto"/>
        <w:jc w:val="left"/>
        <w:tblInd w:w="418" w:type="dxa"/>
        <w:tblLayout w:type="fixed"/>
        <w:tblCellMar>
          <w:top w:w="0" w:type="dxa"/>
          <w:left w:w="0" w:type="dxa"/>
          <w:bottom w:w="0" w:type="dxa"/>
          <w:right w:w="0" w:type="dxa"/>
        </w:tblCellMar>
        <w:tblLook w:val="01E0"/>
      </w:tblPr>
      <w:tblGrid>
        <w:gridCol w:w="1032"/>
        <w:gridCol w:w="1529"/>
        <w:gridCol w:w="1529"/>
        <w:gridCol w:w="864"/>
        <w:gridCol w:w="1015"/>
        <w:gridCol w:w="1018"/>
        <w:gridCol w:w="1016"/>
      </w:tblGrid>
      <w:tr>
        <w:trPr>
          <w:trHeight w:val="1644" w:hRule="exact"/>
        </w:trPr>
        <w:tc>
          <w:tcPr>
            <w:tcW w:w="103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
              <w:ind w:right="0"/>
              <w:jc w:val="left"/>
              <w:rPr>
                <w:rFonts w:ascii="宋体" w:hAnsi="宋体" w:cs="宋体" w:eastAsia="宋体" w:hint="default"/>
                <w:sz w:val="28"/>
                <w:szCs w:val="28"/>
              </w:rPr>
            </w:pPr>
          </w:p>
          <w:p>
            <w:pPr>
              <w:pStyle w:val="TableParagraph"/>
              <w:spacing w:line="357" w:lineRule="auto"/>
              <w:ind w:left="403" w:right="194" w:hanging="212"/>
              <w:jc w:val="left"/>
              <w:rPr>
                <w:rFonts w:ascii="宋体" w:hAnsi="宋体" w:cs="宋体" w:eastAsia="宋体" w:hint="default"/>
                <w:sz w:val="21"/>
                <w:szCs w:val="21"/>
              </w:rPr>
            </w:pPr>
            <w:r>
              <w:rPr>
                <w:rFonts w:ascii="宋体" w:hAnsi="宋体" w:cs="宋体" w:eastAsia="宋体" w:hint="default"/>
                <w:b/>
                <w:bCs/>
                <w:sz w:val="21"/>
                <w:szCs w:val="21"/>
              </w:rPr>
              <w:t>产品名</w:t>
            </w:r>
            <w:r>
              <w:rPr>
                <w:rFonts w:ascii="宋体" w:hAnsi="宋体" w:cs="宋体" w:eastAsia="宋体" w:hint="default"/>
                <w:b/>
                <w:bCs/>
                <w:w w:val="100"/>
                <w:sz w:val="21"/>
                <w:szCs w:val="21"/>
              </w:rPr>
              <w:t> </w:t>
            </w:r>
            <w:r>
              <w:rPr>
                <w:rFonts w:ascii="宋体" w:hAnsi="宋体" w:cs="宋体" w:eastAsia="宋体" w:hint="default"/>
                <w:b/>
                <w:bCs/>
                <w:sz w:val="21"/>
                <w:szCs w:val="21"/>
              </w:rPr>
              <w:t>称</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86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8"/>
              <w:jc w:val="righ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01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84" w:right="0"/>
              <w:jc w:val="both"/>
              <w:rPr>
                <w:rFonts w:ascii="宋体" w:hAnsi="宋体" w:cs="宋体" w:eastAsia="宋体" w:hint="default"/>
                <w:sz w:val="21"/>
                <w:szCs w:val="21"/>
              </w:rPr>
            </w:pPr>
            <w:r>
              <w:rPr>
                <w:rFonts w:ascii="宋体" w:hAnsi="宋体" w:cs="宋体" w:eastAsia="宋体" w:hint="default"/>
                <w:b/>
                <w:bCs/>
                <w:sz w:val="21"/>
                <w:szCs w:val="21"/>
              </w:rPr>
              <w:t>营业收</w:t>
            </w:r>
            <w:r>
              <w:rPr>
                <w:rFonts w:ascii="宋体" w:hAnsi="宋体" w:cs="宋体" w:eastAsia="宋体" w:hint="default"/>
                <w:sz w:val="21"/>
                <w:szCs w:val="21"/>
              </w:rPr>
            </w:r>
          </w:p>
          <w:p>
            <w:pPr>
              <w:pStyle w:val="TableParagraph"/>
              <w:spacing w:line="357" w:lineRule="auto" w:before="133"/>
              <w:ind w:left="184" w:right="185"/>
              <w:jc w:val="both"/>
              <w:rPr>
                <w:rFonts w:ascii="宋体" w:hAnsi="宋体" w:cs="宋体" w:eastAsia="宋体" w:hint="default"/>
                <w:sz w:val="21"/>
                <w:szCs w:val="21"/>
              </w:rPr>
            </w:pPr>
            <w:r>
              <w:rPr>
                <w:rFonts w:ascii="宋体" w:hAnsi="宋体" w:cs="宋体" w:eastAsia="宋体" w:hint="default"/>
                <w:b/>
                <w:bCs/>
                <w:sz w:val="21"/>
                <w:szCs w:val="21"/>
              </w:rPr>
              <w:t>入比上</w:t>
            </w:r>
            <w:r>
              <w:rPr>
                <w:rFonts w:ascii="宋体" w:hAnsi="宋体" w:cs="宋体" w:eastAsia="宋体" w:hint="default"/>
                <w:b/>
                <w:bCs/>
                <w:w w:val="100"/>
                <w:sz w:val="21"/>
                <w:szCs w:val="21"/>
              </w:rPr>
              <w:t> </w:t>
            </w:r>
            <w:r>
              <w:rPr>
                <w:rFonts w:ascii="宋体" w:hAnsi="宋体" w:cs="宋体" w:eastAsia="宋体" w:hint="default"/>
                <w:b/>
                <w:bCs/>
                <w:sz w:val="21"/>
                <w:szCs w:val="21"/>
              </w:rPr>
              <w:t>年同期</w:t>
            </w:r>
            <w:r>
              <w:rPr>
                <w:rFonts w:ascii="宋体" w:hAnsi="宋体" w:cs="宋体" w:eastAsia="宋体" w:hint="default"/>
                <w:b/>
                <w:bCs/>
                <w:w w:val="100"/>
                <w:sz w:val="21"/>
                <w:szCs w:val="21"/>
              </w:rPr>
              <w:t> </w:t>
            </w:r>
            <w:r>
              <w:rPr>
                <w:rFonts w:ascii="宋体" w:hAnsi="宋体" w:cs="宋体" w:eastAsia="宋体" w:hint="default"/>
                <w:b/>
                <w:bCs/>
                <w:sz w:val="21"/>
                <w:szCs w:val="21"/>
              </w:rPr>
              <w:t>增减</w:t>
            </w:r>
            <w:r>
              <w:rPr>
                <w:rFonts w:ascii="宋体" w:hAnsi="宋体" w:cs="宋体" w:eastAsia="宋体" w:hint="default"/>
                <w:sz w:val="21"/>
                <w:szCs w:val="21"/>
              </w:rPr>
            </w:r>
          </w:p>
        </w:tc>
        <w:tc>
          <w:tcPr>
            <w:tcW w:w="101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87" w:right="0"/>
              <w:jc w:val="both"/>
              <w:rPr>
                <w:rFonts w:ascii="宋体" w:hAnsi="宋体" w:cs="宋体" w:eastAsia="宋体" w:hint="default"/>
                <w:sz w:val="21"/>
                <w:szCs w:val="21"/>
              </w:rPr>
            </w:pPr>
            <w:r>
              <w:rPr>
                <w:rFonts w:ascii="宋体" w:hAnsi="宋体" w:cs="宋体" w:eastAsia="宋体" w:hint="default"/>
                <w:b/>
                <w:bCs/>
                <w:sz w:val="21"/>
                <w:szCs w:val="21"/>
              </w:rPr>
              <w:t>营业成</w:t>
            </w:r>
            <w:r>
              <w:rPr>
                <w:rFonts w:ascii="宋体" w:hAnsi="宋体" w:cs="宋体" w:eastAsia="宋体" w:hint="default"/>
                <w:sz w:val="21"/>
                <w:szCs w:val="21"/>
              </w:rPr>
            </w:r>
          </w:p>
          <w:p>
            <w:pPr>
              <w:pStyle w:val="TableParagraph"/>
              <w:spacing w:line="357" w:lineRule="auto" w:before="133"/>
              <w:ind w:left="187" w:right="185"/>
              <w:jc w:val="both"/>
              <w:rPr>
                <w:rFonts w:ascii="宋体" w:hAnsi="宋体" w:cs="宋体" w:eastAsia="宋体" w:hint="default"/>
                <w:sz w:val="21"/>
                <w:szCs w:val="21"/>
              </w:rPr>
            </w:pPr>
            <w:r>
              <w:rPr>
                <w:rFonts w:ascii="宋体" w:hAnsi="宋体" w:cs="宋体" w:eastAsia="宋体" w:hint="default"/>
                <w:b/>
                <w:bCs/>
                <w:sz w:val="21"/>
                <w:szCs w:val="21"/>
              </w:rPr>
              <w:t>本比上</w:t>
            </w:r>
            <w:r>
              <w:rPr>
                <w:rFonts w:ascii="宋体" w:hAnsi="宋体" w:cs="宋体" w:eastAsia="宋体" w:hint="default"/>
                <w:b/>
                <w:bCs/>
                <w:w w:val="100"/>
                <w:sz w:val="21"/>
                <w:szCs w:val="21"/>
              </w:rPr>
              <w:t> </w:t>
            </w:r>
            <w:r>
              <w:rPr>
                <w:rFonts w:ascii="宋体" w:hAnsi="宋体" w:cs="宋体" w:eastAsia="宋体" w:hint="default"/>
                <w:b/>
                <w:bCs/>
                <w:sz w:val="21"/>
                <w:szCs w:val="21"/>
              </w:rPr>
              <w:t>年同期</w:t>
            </w:r>
            <w:r>
              <w:rPr>
                <w:rFonts w:ascii="宋体" w:hAnsi="宋体" w:cs="宋体" w:eastAsia="宋体" w:hint="default"/>
                <w:b/>
                <w:bCs/>
                <w:w w:val="100"/>
                <w:sz w:val="21"/>
                <w:szCs w:val="21"/>
              </w:rPr>
              <w:t> </w:t>
            </w:r>
            <w:r>
              <w:rPr>
                <w:rFonts w:ascii="宋体" w:hAnsi="宋体" w:cs="宋体" w:eastAsia="宋体" w:hint="default"/>
                <w:b/>
                <w:bCs/>
                <w:sz w:val="21"/>
                <w:szCs w:val="21"/>
              </w:rPr>
              <w:t>增减</w:t>
            </w:r>
            <w:r>
              <w:rPr>
                <w:rFonts w:ascii="宋体" w:hAnsi="宋体" w:cs="宋体" w:eastAsia="宋体" w:hint="default"/>
                <w:sz w:val="21"/>
                <w:szCs w:val="21"/>
              </w:rPr>
            </w:r>
          </w:p>
        </w:tc>
        <w:tc>
          <w:tcPr>
            <w:tcW w:w="10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p>
            <w:pPr>
              <w:pStyle w:val="TableParagraph"/>
              <w:spacing w:line="357" w:lineRule="auto" w:before="133"/>
              <w:ind w:left="184" w:right="185"/>
              <w:jc w:val="center"/>
              <w:rPr>
                <w:rFonts w:ascii="宋体" w:hAnsi="宋体" w:cs="宋体" w:eastAsia="宋体" w:hint="default"/>
                <w:sz w:val="21"/>
                <w:szCs w:val="21"/>
              </w:rPr>
            </w:pPr>
            <w:r>
              <w:rPr>
                <w:rFonts w:ascii="宋体" w:hAnsi="宋体" w:cs="宋体" w:eastAsia="宋体" w:hint="default"/>
                <w:b/>
                <w:bCs/>
                <w:sz w:val="21"/>
                <w:szCs w:val="21"/>
              </w:rPr>
              <w:t>比上年</w:t>
            </w:r>
            <w:r>
              <w:rPr>
                <w:rFonts w:ascii="宋体" w:hAnsi="宋体" w:cs="宋体" w:eastAsia="宋体" w:hint="default"/>
                <w:b/>
                <w:bCs/>
                <w:w w:val="100"/>
                <w:sz w:val="21"/>
                <w:szCs w:val="21"/>
              </w:rPr>
              <w:t> </w:t>
            </w:r>
            <w:r>
              <w:rPr>
                <w:rFonts w:ascii="宋体" w:hAnsi="宋体" w:cs="宋体" w:eastAsia="宋体" w:hint="default"/>
                <w:b/>
                <w:bCs/>
                <w:sz w:val="21"/>
                <w:szCs w:val="21"/>
              </w:rPr>
              <w:t>同期增</w:t>
            </w:r>
            <w:r>
              <w:rPr>
                <w:rFonts w:ascii="宋体" w:hAnsi="宋体" w:cs="宋体" w:eastAsia="宋体" w:hint="default"/>
                <w:b/>
                <w:bCs/>
                <w:w w:val="100"/>
                <w:sz w:val="21"/>
                <w:szCs w:val="21"/>
              </w:rPr>
              <w:t> </w:t>
            </w:r>
            <w:r>
              <w:rPr>
                <w:rFonts w:ascii="宋体" w:hAnsi="宋体" w:cs="宋体" w:eastAsia="宋体" w:hint="default"/>
                <w:b/>
                <w:bCs/>
                <w:sz w:val="21"/>
                <w:szCs w:val="21"/>
              </w:rPr>
              <w:t>减</w:t>
            </w:r>
            <w:r>
              <w:rPr>
                <w:rFonts w:ascii="宋体" w:hAnsi="宋体" w:cs="宋体" w:eastAsia="宋体" w:hint="default"/>
                <w:sz w:val="21"/>
                <w:szCs w:val="21"/>
              </w:rPr>
            </w:r>
          </w:p>
        </w:tc>
      </w:tr>
      <w:tr>
        <w:trPr>
          <w:trHeight w:val="634" w:hRule="exact"/>
        </w:trPr>
        <w:tc>
          <w:tcPr>
            <w:tcW w:w="103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ERP</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实</w:t>
            </w:r>
            <w:r>
              <w:rPr>
                <w:rFonts w:ascii="宋体" w:hAnsi="宋体" w:cs="宋体" w:eastAsia="宋体" w:hint="default"/>
                <w:sz w:val="21"/>
                <w:szCs w:val="21"/>
              </w:rPr>
            </w:r>
          </w:p>
          <w:p>
            <w:pPr>
              <w:pStyle w:val="TableParagraph"/>
              <w:spacing w:line="240" w:lineRule="auto" w:before="21"/>
              <w:ind w:right="2"/>
              <w:jc w:val="center"/>
              <w:rPr>
                <w:rFonts w:ascii="宋体" w:hAnsi="宋体" w:cs="宋体" w:eastAsia="宋体" w:hint="default"/>
                <w:sz w:val="21"/>
                <w:szCs w:val="21"/>
              </w:rPr>
            </w:pPr>
            <w:r>
              <w:rPr>
                <w:rFonts w:ascii="宋体" w:hAnsi="宋体" w:cs="宋体" w:eastAsia="宋体" w:hint="default"/>
                <w:b/>
                <w:bCs/>
                <w:w w:val="100"/>
                <w:sz w:val="21"/>
                <w:szCs w:val="21"/>
              </w:rPr>
              <w:t>施</w:t>
            </w:r>
            <w:r>
              <w:rPr>
                <w:rFonts w:ascii="宋体" w:hAnsi="宋体" w:cs="宋体" w:eastAsia="宋体" w:hint="default"/>
                <w:w w:val="100"/>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354,517,321.72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232,770,619.93</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34.34%</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47.81%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56.60%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-3.68%</w:t>
            </w:r>
          </w:p>
        </w:tc>
      </w:tr>
      <w:tr>
        <w:trPr>
          <w:trHeight w:val="634" w:hRule="exact"/>
        </w:trPr>
        <w:tc>
          <w:tcPr>
            <w:tcW w:w="103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403" w:right="194" w:hanging="212"/>
              <w:jc w:val="left"/>
              <w:rPr>
                <w:rFonts w:ascii="宋体" w:hAnsi="宋体" w:cs="宋体" w:eastAsia="宋体" w:hint="default"/>
                <w:sz w:val="21"/>
                <w:szCs w:val="21"/>
              </w:rPr>
            </w:pPr>
            <w:r>
              <w:rPr>
                <w:rFonts w:ascii="宋体" w:hAnsi="宋体" w:cs="宋体" w:eastAsia="宋体" w:hint="default"/>
                <w:b/>
                <w:bCs/>
                <w:sz w:val="21"/>
                <w:szCs w:val="21"/>
              </w:rPr>
              <w:t>软件外</w:t>
            </w:r>
            <w:r>
              <w:rPr>
                <w:rFonts w:ascii="宋体" w:hAnsi="宋体" w:cs="宋体" w:eastAsia="宋体" w:hint="default"/>
                <w:b/>
                <w:bCs/>
                <w:w w:val="100"/>
                <w:sz w:val="21"/>
                <w:szCs w:val="21"/>
              </w:rPr>
              <w:t> </w:t>
            </w:r>
            <w:r>
              <w:rPr>
                <w:rFonts w:ascii="宋体" w:hAnsi="宋体" w:cs="宋体" w:eastAsia="宋体" w:hint="default"/>
                <w:b/>
                <w:bCs/>
                <w:sz w:val="21"/>
                <w:szCs w:val="21"/>
              </w:rPr>
              <w:t>包</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66,315,079.51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8" w:right="0"/>
              <w:jc w:val="center"/>
              <w:rPr>
                <w:rFonts w:ascii="Times New Roman" w:hAnsi="Times New Roman" w:cs="Times New Roman" w:eastAsia="Times New Roman" w:hint="default"/>
                <w:sz w:val="21"/>
                <w:szCs w:val="21"/>
              </w:rPr>
            </w:pPr>
            <w:r>
              <w:rPr>
                <w:rFonts w:ascii="Times New Roman"/>
                <w:sz w:val="21"/>
              </w:rPr>
              <w:t>34,994,055.05</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47.23%</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82.21%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116.43%</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-8.34%</w:t>
            </w:r>
          </w:p>
        </w:tc>
      </w:tr>
      <w:tr>
        <w:trPr>
          <w:trHeight w:val="634" w:hRule="exact"/>
        </w:trPr>
        <w:tc>
          <w:tcPr>
            <w:tcW w:w="103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403" w:right="194" w:hanging="212"/>
              <w:jc w:val="left"/>
              <w:rPr>
                <w:rFonts w:ascii="宋体" w:hAnsi="宋体" w:cs="宋体" w:eastAsia="宋体" w:hint="default"/>
                <w:sz w:val="21"/>
                <w:szCs w:val="21"/>
              </w:rPr>
            </w:pPr>
            <w:r>
              <w:rPr>
                <w:rFonts w:ascii="宋体" w:hAnsi="宋体" w:cs="宋体" w:eastAsia="宋体" w:hint="default"/>
                <w:b/>
                <w:bCs/>
                <w:sz w:val="21"/>
                <w:szCs w:val="21"/>
              </w:rPr>
              <w:t>客户支</w:t>
            </w:r>
            <w:r>
              <w:rPr>
                <w:rFonts w:ascii="宋体" w:hAnsi="宋体" w:cs="宋体" w:eastAsia="宋体" w:hint="default"/>
                <w:b/>
                <w:bCs/>
                <w:w w:val="100"/>
                <w:sz w:val="21"/>
                <w:szCs w:val="21"/>
              </w:rPr>
              <w:t> </w:t>
            </w:r>
            <w:r>
              <w:rPr>
                <w:rFonts w:ascii="宋体" w:hAnsi="宋体" w:cs="宋体" w:eastAsia="宋体" w:hint="default"/>
                <w:b/>
                <w:bCs/>
                <w:sz w:val="21"/>
                <w:szCs w:val="21"/>
              </w:rPr>
              <w:t>持</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39,985,437.83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8" w:right="0"/>
              <w:jc w:val="center"/>
              <w:rPr>
                <w:rFonts w:ascii="Times New Roman" w:hAnsi="Times New Roman" w:cs="Times New Roman" w:eastAsia="Times New Roman" w:hint="default"/>
                <w:sz w:val="21"/>
                <w:szCs w:val="21"/>
              </w:rPr>
            </w:pPr>
            <w:r>
              <w:rPr>
                <w:rFonts w:ascii="Times New Roman"/>
                <w:sz w:val="21"/>
              </w:rPr>
              <w:t>22,051,952.02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44.85%</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32.17%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49.80%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-6.49%</w:t>
            </w:r>
          </w:p>
        </w:tc>
      </w:tr>
      <w:tr>
        <w:trPr>
          <w:trHeight w:val="636" w:hRule="exact"/>
        </w:trPr>
        <w:tc>
          <w:tcPr>
            <w:tcW w:w="103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403" w:right="194" w:hanging="212"/>
              <w:jc w:val="left"/>
              <w:rPr>
                <w:rFonts w:ascii="宋体" w:hAnsi="宋体" w:cs="宋体" w:eastAsia="宋体" w:hint="default"/>
                <w:sz w:val="21"/>
                <w:szCs w:val="21"/>
              </w:rPr>
            </w:pPr>
            <w:r>
              <w:rPr>
                <w:rFonts w:ascii="宋体" w:hAnsi="宋体" w:cs="宋体" w:eastAsia="宋体" w:hint="default"/>
                <w:b/>
                <w:bCs/>
                <w:sz w:val="21"/>
                <w:szCs w:val="21"/>
              </w:rPr>
              <w:t>软件销</w:t>
            </w:r>
            <w:r>
              <w:rPr>
                <w:rFonts w:ascii="宋体" w:hAnsi="宋体" w:cs="宋体" w:eastAsia="宋体" w:hint="default"/>
                <w:b/>
                <w:bCs/>
                <w:w w:val="100"/>
                <w:sz w:val="21"/>
                <w:szCs w:val="21"/>
              </w:rPr>
              <w:t> </w:t>
            </w:r>
            <w:r>
              <w:rPr>
                <w:rFonts w:ascii="宋体" w:hAnsi="宋体" w:cs="宋体" w:eastAsia="宋体" w:hint="default"/>
                <w:b/>
                <w:bCs/>
                <w:sz w:val="21"/>
                <w:szCs w:val="21"/>
              </w:rPr>
              <w:t>售</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59,332,029.22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8" w:right="0"/>
              <w:jc w:val="center"/>
              <w:rPr>
                <w:rFonts w:ascii="Times New Roman" w:hAnsi="Times New Roman" w:cs="Times New Roman" w:eastAsia="Times New Roman" w:hint="default"/>
                <w:sz w:val="21"/>
                <w:szCs w:val="21"/>
              </w:rPr>
            </w:pPr>
            <w:r>
              <w:rPr>
                <w:rFonts w:ascii="Times New Roman"/>
                <w:sz w:val="21"/>
              </w:rPr>
              <w:t>54,265,177.51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8.54%</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9.52%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10.70%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-0.97%</w:t>
            </w:r>
          </w:p>
        </w:tc>
      </w:tr>
      <w:tr>
        <w:trPr>
          <w:trHeight w:val="322" w:hRule="exact"/>
        </w:trPr>
        <w:tc>
          <w:tcPr>
            <w:tcW w:w="103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520,149,868.28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344,081,804.51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33.85%</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44.22%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50.55%</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-2.78%</w:t>
            </w:r>
          </w:p>
        </w:tc>
      </w:tr>
    </w:tbl>
    <w:p>
      <w:pPr>
        <w:pStyle w:val="BodyText"/>
        <w:spacing w:line="274" w:lineRule="exact" w:before="0"/>
        <w:ind w:left="423" w:right="0"/>
        <w:jc w:val="left"/>
      </w:pPr>
      <w:r>
        <w:rPr>
          <w:rFonts w:ascii="宋体" w:hAnsi="宋体" w:cs="宋体" w:eastAsia="宋体" w:hint="default"/>
          <w:b/>
          <w:bCs/>
          <w:spacing w:val="2"/>
        </w:rPr>
        <w:t>变动原因</w:t>
      </w:r>
      <w:r>
        <w:rPr>
          <w:spacing w:val="2"/>
        </w:rPr>
        <w:t>：报告期内毛利率有所下滑主要为人员增长所带来的人工成本增加</w:t>
      </w:r>
    </w:p>
    <w:p>
      <w:pPr>
        <w:pStyle w:val="BodyText"/>
        <w:spacing w:line="240" w:lineRule="auto" w:before="151"/>
        <w:ind w:left="423" w:right="0"/>
        <w:jc w:val="left"/>
      </w:pPr>
      <w:r>
        <w:rPr/>
        <w:t>快于收入的增长所致。</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Heading5"/>
        <w:spacing w:line="240" w:lineRule="auto"/>
        <w:ind w:right="0"/>
        <w:jc w:val="left"/>
        <w:rPr>
          <w:b w:val="0"/>
          <w:bCs w:val="0"/>
        </w:rPr>
      </w:pPr>
      <w:r>
        <w:rPr>
          <w:rFonts w:ascii="Times New Roman" w:hAnsi="Times New Roman" w:cs="Times New Roman" w:eastAsia="Times New Roman" w:hint="default"/>
        </w:rPr>
        <w:t>2</w:t>
      </w:r>
      <w:r>
        <w:rPr/>
        <w:t>、主要客户及供应商情况</w:t>
      </w:r>
      <w:r>
        <w:rPr>
          <w:b w:val="0"/>
          <w:bCs w:val="0"/>
        </w:rPr>
      </w:r>
    </w:p>
    <w:p>
      <w:pPr>
        <w:pStyle w:val="BodyText"/>
        <w:spacing w:line="240" w:lineRule="auto" w:before="136"/>
        <w:ind w:left="260" w:right="0"/>
        <w:jc w:val="left"/>
      </w:pPr>
      <w:r>
        <w:rPr>
          <w:rFonts w:ascii="Times New Roman" w:hAnsi="Times New Roman" w:cs="Times New Roman" w:eastAsia="Times New Roman" w:hint="default"/>
        </w:rPr>
        <w:t>A</w:t>
      </w:r>
      <w:r>
        <w:rPr/>
        <w:t>．前</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名客户</w:t>
      </w:r>
    </w:p>
    <w:p>
      <w:pPr>
        <w:spacing w:line="240" w:lineRule="auto" w:before="6"/>
        <w:rPr>
          <w:rFonts w:ascii="宋体" w:hAnsi="宋体" w:cs="宋体" w:eastAsia="宋体" w:hint="default"/>
          <w:sz w:val="13"/>
          <w:szCs w:val="13"/>
        </w:rPr>
      </w:pPr>
    </w:p>
    <w:tbl>
      <w:tblPr>
        <w:tblW w:w="0" w:type="auto"/>
        <w:jc w:val="left"/>
        <w:tblInd w:w="418" w:type="dxa"/>
        <w:tblLayout w:type="fixed"/>
        <w:tblCellMar>
          <w:top w:w="0" w:type="dxa"/>
          <w:left w:w="0" w:type="dxa"/>
          <w:bottom w:w="0" w:type="dxa"/>
          <w:right w:w="0" w:type="dxa"/>
        </w:tblCellMar>
        <w:tblLook w:val="01E0"/>
      </w:tblPr>
      <w:tblGrid>
        <w:gridCol w:w="1738"/>
        <w:gridCol w:w="1568"/>
        <w:gridCol w:w="1565"/>
        <w:gridCol w:w="1567"/>
        <w:gridCol w:w="1565"/>
      </w:tblGrid>
      <w:tr>
        <w:trPr>
          <w:trHeight w:val="1234" w:hRule="exact"/>
        </w:trPr>
        <w:tc>
          <w:tcPr>
            <w:tcW w:w="173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b/>
                <w:bCs/>
                <w:sz w:val="21"/>
                <w:szCs w:val="21"/>
              </w:rPr>
              <w:t>客户名称</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56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355" w:lineRule="auto" w:before="170"/>
              <w:ind w:left="357" w:right="141" w:hanging="212"/>
              <w:jc w:val="left"/>
              <w:rPr>
                <w:rFonts w:ascii="宋体" w:hAnsi="宋体" w:cs="宋体" w:eastAsia="宋体" w:hint="default"/>
                <w:sz w:val="21"/>
                <w:szCs w:val="21"/>
              </w:rPr>
            </w:pPr>
            <w:r>
              <w:rPr>
                <w:rFonts w:ascii="宋体" w:hAnsi="宋体" w:cs="宋体" w:eastAsia="宋体" w:hint="default"/>
                <w:b/>
                <w:bCs/>
                <w:sz w:val="21"/>
                <w:szCs w:val="21"/>
              </w:rPr>
              <w:t>占公司销售总</w:t>
            </w:r>
            <w:r>
              <w:rPr>
                <w:rFonts w:ascii="宋体" w:hAnsi="宋体" w:cs="宋体" w:eastAsia="宋体" w:hint="default"/>
                <w:b/>
                <w:bCs/>
                <w:spacing w:val="-104"/>
                <w:sz w:val="21"/>
                <w:szCs w:val="21"/>
              </w:rPr>
              <w:t> </w:t>
            </w:r>
            <w:r>
              <w:rPr>
                <w:rFonts w:ascii="宋体" w:hAnsi="宋体" w:cs="宋体" w:eastAsia="宋体" w:hint="default"/>
                <w:b/>
                <w:bCs/>
                <w:sz w:val="21"/>
                <w:szCs w:val="21"/>
              </w:rPr>
              <w:t>额的比例</w:t>
            </w:r>
            <w:r>
              <w:rPr>
                <w:rFonts w:ascii="宋体" w:hAnsi="宋体" w:cs="宋体" w:eastAsia="宋体" w:hint="default"/>
                <w:sz w:val="21"/>
                <w:szCs w:val="21"/>
              </w:rPr>
            </w:r>
          </w:p>
        </w:tc>
        <w:tc>
          <w:tcPr>
            <w:tcW w:w="156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43"/>
              <w:jc w:val="right"/>
              <w:rPr>
                <w:rFonts w:ascii="宋体" w:hAnsi="宋体" w:cs="宋体" w:eastAsia="宋体" w:hint="default"/>
                <w:sz w:val="21"/>
                <w:szCs w:val="21"/>
              </w:rPr>
            </w:pPr>
            <w:r>
              <w:rPr>
                <w:rFonts w:ascii="宋体" w:hAnsi="宋体" w:cs="宋体" w:eastAsia="宋体" w:hint="default"/>
                <w:b/>
                <w:bCs/>
                <w:sz w:val="21"/>
                <w:szCs w:val="21"/>
              </w:rPr>
              <w:t>应收帐款余额</w:t>
            </w:r>
            <w:r>
              <w:rPr>
                <w:rFonts w:ascii="宋体" w:hAnsi="宋体" w:cs="宋体" w:eastAsia="宋体" w:hint="default"/>
                <w:sz w:val="21"/>
                <w:szCs w:val="21"/>
              </w:rPr>
            </w:r>
          </w:p>
        </w:tc>
        <w:tc>
          <w:tcPr>
            <w:tcW w:w="156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b/>
                <w:bCs/>
                <w:sz w:val="21"/>
                <w:szCs w:val="21"/>
              </w:rPr>
              <w:t>占公司应收帐</w:t>
            </w:r>
            <w:r>
              <w:rPr>
                <w:rFonts w:ascii="宋体" w:hAnsi="宋体" w:cs="宋体" w:eastAsia="宋体" w:hint="default"/>
                <w:sz w:val="21"/>
                <w:szCs w:val="21"/>
              </w:rPr>
            </w:r>
          </w:p>
          <w:p>
            <w:pPr>
              <w:pStyle w:val="TableParagraph"/>
              <w:spacing w:line="355" w:lineRule="auto" w:before="133"/>
              <w:ind w:left="671" w:right="142" w:hanging="528"/>
              <w:jc w:val="left"/>
              <w:rPr>
                <w:rFonts w:ascii="宋体" w:hAnsi="宋体" w:cs="宋体" w:eastAsia="宋体" w:hint="default"/>
                <w:sz w:val="21"/>
                <w:szCs w:val="21"/>
              </w:rPr>
            </w:pPr>
            <w:r>
              <w:rPr>
                <w:rFonts w:ascii="宋体" w:hAnsi="宋体" w:cs="宋体" w:eastAsia="宋体" w:hint="default"/>
                <w:b/>
                <w:bCs/>
                <w:sz w:val="21"/>
                <w:szCs w:val="21"/>
              </w:rPr>
              <w:t>款总余额的比</w:t>
            </w:r>
            <w:r>
              <w:rPr>
                <w:rFonts w:ascii="宋体" w:hAnsi="宋体" w:cs="宋体" w:eastAsia="宋体" w:hint="default"/>
                <w:b/>
                <w:bCs/>
                <w:spacing w:val="-104"/>
                <w:sz w:val="21"/>
                <w:szCs w:val="21"/>
              </w:rPr>
              <w:t> </w:t>
            </w:r>
            <w:r>
              <w:rPr>
                <w:rFonts w:ascii="宋体" w:hAnsi="宋体" w:cs="宋体" w:eastAsia="宋体" w:hint="default"/>
                <w:b/>
                <w:bCs/>
                <w:sz w:val="21"/>
                <w:szCs w:val="21"/>
              </w:rPr>
              <w:t>重</w:t>
            </w:r>
            <w:r>
              <w:rPr>
                <w:rFonts w:ascii="宋体" w:hAnsi="宋体" w:cs="宋体" w:eastAsia="宋体" w:hint="default"/>
                <w:sz w:val="21"/>
                <w:szCs w:val="21"/>
              </w:rPr>
            </w:r>
          </w:p>
        </w:tc>
      </w:tr>
      <w:tr>
        <w:trPr>
          <w:trHeight w:val="636" w:hRule="exact"/>
        </w:trPr>
        <w:tc>
          <w:tcPr>
            <w:tcW w:w="173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144"/>
              <w:jc w:val="left"/>
              <w:rPr>
                <w:rFonts w:ascii="宋体" w:hAnsi="宋体" w:cs="宋体" w:eastAsia="宋体" w:hint="default"/>
                <w:sz w:val="21"/>
                <w:szCs w:val="21"/>
              </w:rPr>
            </w:pPr>
            <w:r>
              <w:rPr>
                <w:rFonts w:ascii="宋体" w:hAnsi="宋体" w:cs="宋体" w:eastAsia="宋体" w:hint="default"/>
                <w:b/>
                <w:bCs/>
                <w:sz w:val="21"/>
                <w:szCs w:val="21"/>
              </w:rPr>
              <w:t>日立（上海）贸</w:t>
            </w:r>
            <w:r>
              <w:rPr>
                <w:rFonts w:ascii="宋体" w:hAnsi="宋体" w:cs="宋体" w:eastAsia="宋体" w:hint="default"/>
                <w:b/>
                <w:bCs/>
                <w:spacing w:val="-104"/>
                <w:sz w:val="21"/>
                <w:szCs w:val="21"/>
              </w:rPr>
              <w:t> </w:t>
            </w:r>
            <w:r>
              <w:rPr>
                <w:rFonts w:ascii="宋体" w:hAnsi="宋体" w:cs="宋体" w:eastAsia="宋体" w:hint="default"/>
                <w:b/>
                <w:bCs/>
                <w:sz w:val="21"/>
                <w:szCs w:val="21"/>
              </w:rPr>
              <w:t>易有限公司</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47" w:right="0"/>
              <w:jc w:val="center"/>
              <w:rPr>
                <w:rFonts w:ascii="Times New Roman" w:hAnsi="Times New Roman" w:cs="Times New Roman" w:eastAsia="Times New Roman" w:hint="default"/>
                <w:sz w:val="21"/>
                <w:szCs w:val="21"/>
              </w:rPr>
            </w:pPr>
            <w:r>
              <w:rPr>
                <w:rFonts w:ascii="Times New Roman"/>
                <w:sz w:val="21"/>
              </w:rPr>
              <w:t>44,987,238.09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912" w:right="0"/>
              <w:jc w:val="left"/>
              <w:rPr>
                <w:rFonts w:ascii="Times New Roman" w:hAnsi="Times New Roman" w:cs="Times New Roman" w:eastAsia="Times New Roman" w:hint="default"/>
                <w:sz w:val="21"/>
                <w:szCs w:val="21"/>
              </w:rPr>
            </w:pPr>
            <w:r>
              <w:rPr>
                <w:rFonts w:ascii="Times New Roman"/>
                <w:sz w:val="21"/>
              </w:rPr>
              <w:t>8.64%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15,970,012.01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803" w:right="0"/>
              <w:jc w:val="left"/>
              <w:rPr>
                <w:rFonts w:ascii="Times New Roman" w:hAnsi="Times New Roman" w:cs="Times New Roman" w:eastAsia="Times New Roman" w:hint="default"/>
                <w:sz w:val="21"/>
                <w:szCs w:val="21"/>
              </w:rPr>
            </w:pPr>
            <w:r>
              <w:rPr>
                <w:rFonts w:ascii="Times New Roman"/>
                <w:sz w:val="21"/>
              </w:rPr>
              <w:t>11.28%</w:t>
            </w:r>
          </w:p>
        </w:tc>
      </w:tr>
    </w:tbl>
    <w:p>
      <w:pPr>
        <w:spacing w:after="0" w:line="240" w:lineRule="auto"/>
        <w:jc w:val="left"/>
        <w:rPr>
          <w:rFonts w:ascii="Times New Roman" w:hAnsi="Times New Roman" w:cs="Times New Roman" w:eastAsia="Times New Roman" w:hint="default"/>
          <w:sz w:val="21"/>
          <w:szCs w:val="21"/>
        </w:rPr>
        <w:sectPr>
          <w:pgSz w:w="11910" w:h="16840"/>
          <w:pgMar w:header="884" w:footer="980" w:top="1140" w:bottom="1160" w:left="1660" w:right="1660"/>
        </w:sectPr>
      </w:pPr>
    </w:p>
    <w:p>
      <w:pPr>
        <w:spacing w:line="240" w:lineRule="auto" w:before="6"/>
        <w:rPr>
          <w:rFonts w:ascii="宋体" w:hAnsi="宋体" w:cs="宋体" w:eastAsia="宋体" w:hint="default"/>
          <w:sz w:val="21"/>
          <w:szCs w:val="21"/>
        </w:rPr>
      </w:pPr>
    </w:p>
    <w:tbl>
      <w:tblPr>
        <w:tblW w:w="0" w:type="auto"/>
        <w:jc w:val="left"/>
        <w:tblInd w:w="498" w:type="dxa"/>
        <w:tblLayout w:type="fixed"/>
        <w:tblCellMar>
          <w:top w:w="0" w:type="dxa"/>
          <w:left w:w="0" w:type="dxa"/>
          <w:bottom w:w="0" w:type="dxa"/>
          <w:right w:w="0" w:type="dxa"/>
        </w:tblCellMar>
        <w:tblLook w:val="01E0"/>
      </w:tblPr>
      <w:tblGrid>
        <w:gridCol w:w="1738"/>
        <w:gridCol w:w="1568"/>
        <w:gridCol w:w="1565"/>
        <w:gridCol w:w="1567"/>
        <w:gridCol w:w="1565"/>
      </w:tblGrid>
      <w:tr>
        <w:trPr>
          <w:trHeight w:val="946" w:hRule="exact"/>
        </w:trPr>
        <w:tc>
          <w:tcPr>
            <w:tcW w:w="173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144"/>
              <w:jc w:val="both"/>
              <w:rPr>
                <w:rFonts w:ascii="宋体" w:hAnsi="宋体" w:cs="宋体" w:eastAsia="宋体" w:hint="default"/>
                <w:sz w:val="21"/>
                <w:szCs w:val="21"/>
              </w:rPr>
            </w:pPr>
            <w:r>
              <w:rPr>
                <w:rFonts w:ascii="宋体" w:hAnsi="宋体" w:cs="宋体" w:eastAsia="宋体" w:hint="default"/>
                <w:b/>
                <w:bCs/>
                <w:sz w:val="21"/>
                <w:szCs w:val="21"/>
              </w:rPr>
              <w:t>富士通（中国）</w:t>
            </w:r>
            <w:r>
              <w:rPr>
                <w:rFonts w:ascii="宋体" w:hAnsi="宋体" w:cs="宋体" w:eastAsia="宋体" w:hint="default"/>
                <w:b/>
                <w:bCs/>
                <w:spacing w:val="-104"/>
                <w:sz w:val="21"/>
                <w:szCs w:val="21"/>
              </w:rPr>
              <w:t> </w:t>
            </w:r>
            <w:r>
              <w:rPr>
                <w:rFonts w:ascii="宋体" w:hAnsi="宋体" w:cs="宋体" w:eastAsia="宋体" w:hint="default"/>
                <w:b/>
                <w:bCs/>
                <w:sz w:val="21"/>
                <w:szCs w:val="21"/>
              </w:rPr>
              <w:t>信息系统有限公</w:t>
            </w:r>
            <w:r>
              <w:rPr>
                <w:rFonts w:ascii="宋体" w:hAnsi="宋体" w:cs="宋体" w:eastAsia="宋体" w:hint="default"/>
                <w:b/>
                <w:bCs/>
                <w:spacing w:val="-104"/>
                <w:sz w:val="21"/>
                <w:szCs w:val="21"/>
              </w:rPr>
              <w:t> </w:t>
            </w:r>
            <w:r>
              <w:rPr>
                <w:rFonts w:ascii="宋体" w:hAnsi="宋体" w:cs="宋体" w:eastAsia="宋体" w:hint="default"/>
                <w:b/>
                <w:bCs/>
                <w:sz w:val="21"/>
                <w:szCs w:val="21"/>
              </w:rPr>
              <w:t>司</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19,583,492.44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3.76%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7,751,722.75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5.47%</w:t>
            </w:r>
          </w:p>
        </w:tc>
      </w:tr>
      <w:tr>
        <w:trPr>
          <w:trHeight w:val="946" w:hRule="exact"/>
        </w:trPr>
        <w:tc>
          <w:tcPr>
            <w:tcW w:w="173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b/>
                <w:bCs/>
                <w:spacing w:val="-8"/>
                <w:sz w:val="21"/>
                <w:szCs w:val="21"/>
              </w:rPr>
              <w:t>松下电器（中国）</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b/>
                <w:bCs/>
                <w:sz w:val="21"/>
                <w:szCs w:val="21"/>
              </w:rPr>
              <w:t>有限公司上海分</w:t>
            </w:r>
            <w:r>
              <w:rPr>
                <w:rFonts w:ascii="宋体" w:hAnsi="宋体" w:cs="宋体" w:eastAsia="宋体" w:hint="default"/>
                <w:b/>
                <w:bCs/>
                <w:spacing w:val="-104"/>
                <w:sz w:val="21"/>
                <w:szCs w:val="21"/>
              </w:rPr>
              <w:t> </w:t>
            </w:r>
            <w:r>
              <w:rPr>
                <w:rFonts w:ascii="宋体" w:hAnsi="宋体" w:cs="宋体" w:eastAsia="宋体" w:hint="default"/>
                <w:b/>
                <w:bCs/>
                <w:sz w:val="21"/>
                <w:szCs w:val="21"/>
              </w:rPr>
              <w:t>公司</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12,318,870.45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2.37%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6,819,862.45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4.82%</w:t>
            </w:r>
          </w:p>
        </w:tc>
      </w:tr>
      <w:tr>
        <w:trPr>
          <w:trHeight w:val="634" w:hRule="exact"/>
        </w:trPr>
        <w:tc>
          <w:tcPr>
            <w:tcW w:w="173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144"/>
              <w:jc w:val="left"/>
              <w:rPr>
                <w:rFonts w:ascii="宋体" w:hAnsi="宋体" w:cs="宋体" w:eastAsia="宋体" w:hint="default"/>
                <w:sz w:val="21"/>
                <w:szCs w:val="21"/>
              </w:rPr>
            </w:pPr>
            <w:r>
              <w:rPr>
                <w:rFonts w:ascii="宋体" w:hAnsi="宋体" w:cs="宋体" w:eastAsia="宋体" w:hint="default"/>
                <w:b/>
                <w:bCs/>
                <w:sz w:val="21"/>
                <w:szCs w:val="21"/>
              </w:rPr>
              <w:t>广西玉柴重工有</w:t>
            </w:r>
            <w:r>
              <w:rPr>
                <w:rFonts w:ascii="宋体" w:hAnsi="宋体" w:cs="宋体" w:eastAsia="宋体" w:hint="default"/>
                <w:b/>
                <w:bCs/>
                <w:spacing w:val="-104"/>
                <w:sz w:val="21"/>
                <w:szCs w:val="21"/>
              </w:rPr>
              <w:t> </w:t>
            </w:r>
            <w:r>
              <w:rPr>
                <w:rFonts w:ascii="宋体" w:hAnsi="宋体" w:cs="宋体" w:eastAsia="宋体" w:hint="default"/>
                <w:b/>
                <w:bCs/>
                <w:sz w:val="21"/>
                <w:szCs w:val="21"/>
              </w:rPr>
              <w:t>限公司</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10,504,763.33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2.02%</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4,713,635.60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3.33%</w:t>
            </w:r>
          </w:p>
        </w:tc>
      </w:tr>
      <w:tr>
        <w:trPr>
          <w:trHeight w:val="636" w:hRule="exact"/>
        </w:trPr>
        <w:tc>
          <w:tcPr>
            <w:tcW w:w="173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144"/>
              <w:jc w:val="left"/>
              <w:rPr>
                <w:rFonts w:ascii="宋体" w:hAnsi="宋体" w:cs="宋体" w:eastAsia="宋体" w:hint="default"/>
                <w:sz w:val="21"/>
                <w:szCs w:val="21"/>
              </w:rPr>
            </w:pPr>
            <w:r>
              <w:rPr>
                <w:rFonts w:ascii="宋体" w:hAnsi="宋体" w:cs="宋体" w:eastAsia="宋体" w:hint="default"/>
                <w:b/>
                <w:bCs/>
                <w:sz w:val="21"/>
                <w:szCs w:val="21"/>
              </w:rPr>
              <w:t>青岛啤酒股份有</w:t>
            </w:r>
            <w:r>
              <w:rPr>
                <w:rFonts w:ascii="宋体" w:hAnsi="宋体" w:cs="宋体" w:eastAsia="宋体" w:hint="default"/>
                <w:b/>
                <w:bCs/>
                <w:spacing w:val="-104"/>
                <w:sz w:val="21"/>
                <w:szCs w:val="21"/>
              </w:rPr>
              <w:t> </w:t>
            </w:r>
            <w:r>
              <w:rPr>
                <w:rFonts w:ascii="宋体" w:hAnsi="宋体" w:cs="宋体" w:eastAsia="宋体" w:hint="default"/>
                <w:b/>
                <w:bCs/>
                <w:sz w:val="21"/>
                <w:szCs w:val="21"/>
              </w:rPr>
              <w:t>限公司</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10,498,601.92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2.02%</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470,270.00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0.33%</w:t>
            </w:r>
          </w:p>
        </w:tc>
      </w:tr>
      <w:tr>
        <w:trPr>
          <w:trHeight w:val="322" w:hRule="exact"/>
        </w:trPr>
        <w:tc>
          <w:tcPr>
            <w:tcW w:w="173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97,892,966.23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18.81%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35,725,502.81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25.22%</w:t>
            </w:r>
          </w:p>
        </w:tc>
      </w:tr>
    </w:tbl>
    <w:p>
      <w:pPr>
        <w:pStyle w:val="BodyText"/>
        <w:spacing w:line="292" w:lineRule="exact" w:before="0"/>
        <w:ind w:left="503" w:right="0"/>
        <w:jc w:val="left"/>
      </w:pPr>
      <w:r>
        <w:rPr>
          <w:rFonts w:ascii="宋体" w:hAnsi="宋体" w:cs="宋体" w:eastAsia="宋体" w:hint="default"/>
          <w:b/>
          <w:bCs/>
        </w:rPr>
        <w:t>说明</w:t>
      </w:r>
      <w:r>
        <w:rPr/>
        <w:t>：前</w:t>
      </w:r>
      <w:r>
        <w:rPr>
          <w:spacing w:val="-71"/>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名客户与公司不存在关联关系，公司董事、监事、高级管理人员、</w:t>
      </w:r>
    </w:p>
    <w:p>
      <w:pPr>
        <w:pStyle w:val="BodyText"/>
        <w:spacing w:line="336" w:lineRule="auto" w:before="135"/>
        <w:ind w:left="503" w:right="221"/>
        <w:jc w:val="left"/>
      </w:pPr>
      <w:r>
        <w:rPr>
          <w:spacing w:val="-3"/>
        </w:rPr>
        <w:t>核心技术人员、持股</w:t>
      </w:r>
      <w:r>
        <w:rPr>
          <w:spacing w:val="-71"/>
        </w:rPr>
        <w:t> </w:t>
      </w:r>
      <w:r>
        <w:rPr>
          <w:rFonts w:ascii="Times New Roman" w:hAnsi="Times New Roman" w:cs="Times New Roman" w:eastAsia="Times New Roman" w:hint="default"/>
        </w:rPr>
        <w:t>5%</w:t>
      </w:r>
      <w:r>
        <w:rPr/>
        <w:t>以上股东、实际控制人和其他关联方在主要客户中无 直接或间接关系。</w:t>
      </w:r>
    </w:p>
    <w:p>
      <w:pPr>
        <w:spacing w:line="240" w:lineRule="auto" w:before="13"/>
        <w:rPr>
          <w:rFonts w:ascii="宋体" w:hAnsi="宋体" w:cs="宋体" w:eastAsia="宋体" w:hint="default"/>
          <w:sz w:val="35"/>
          <w:szCs w:val="35"/>
        </w:rPr>
      </w:pPr>
    </w:p>
    <w:p>
      <w:pPr>
        <w:pStyle w:val="BodyText"/>
        <w:spacing w:line="240" w:lineRule="auto" w:before="0"/>
        <w:ind w:left="220" w:right="246"/>
        <w:jc w:val="left"/>
      </w:pPr>
      <w:r>
        <w:rPr>
          <w:rFonts w:ascii="Times New Roman" w:hAnsi="Times New Roman" w:cs="Times New Roman" w:eastAsia="Times New Roman" w:hint="default"/>
        </w:rPr>
        <w:t>B</w:t>
      </w:r>
      <w:r>
        <w:rPr/>
        <w:t>．前</w:t>
      </w:r>
      <w:r>
        <w:rPr>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w:t>
      </w:r>
    </w:p>
    <w:p>
      <w:pPr>
        <w:spacing w:line="240" w:lineRule="auto" w:before="6"/>
        <w:rPr>
          <w:rFonts w:ascii="宋体" w:hAnsi="宋体" w:cs="宋体" w:eastAsia="宋体" w:hint="default"/>
          <w:sz w:val="13"/>
          <w:szCs w:val="13"/>
        </w:rPr>
      </w:pPr>
    </w:p>
    <w:tbl>
      <w:tblPr>
        <w:tblW w:w="0" w:type="auto"/>
        <w:jc w:val="left"/>
        <w:tblInd w:w="498" w:type="dxa"/>
        <w:tblLayout w:type="fixed"/>
        <w:tblCellMar>
          <w:top w:w="0" w:type="dxa"/>
          <w:left w:w="0" w:type="dxa"/>
          <w:bottom w:w="0" w:type="dxa"/>
          <w:right w:w="0" w:type="dxa"/>
        </w:tblCellMar>
        <w:tblLook w:val="01E0"/>
      </w:tblPr>
      <w:tblGrid>
        <w:gridCol w:w="2024"/>
        <w:gridCol w:w="1493"/>
        <w:gridCol w:w="1493"/>
        <w:gridCol w:w="1495"/>
        <w:gridCol w:w="1493"/>
      </w:tblGrid>
      <w:tr>
        <w:trPr>
          <w:trHeight w:val="1234" w:hRule="exact"/>
        </w:trPr>
        <w:tc>
          <w:tcPr>
            <w:tcW w:w="202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供应商名称</w:t>
            </w:r>
            <w:r>
              <w:rPr>
                <w:rFonts w:ascii="宋体" w:hAnsi="宋体" w:cs="宋体" w:eastAsia="宋体" w:hint="default"/>
                <w:sz w:val="21"/>
                <w:szCs w:val="21"/>
              </w:rPr>
            </w:r>
          </w:p>
        </w:tc>
        <w:tc>
          <w:tcPr>
            <w:tcW w:w="149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b/>
                <w:bCs/>
                <w:sz w:val="21"/>
                <w:szCs w:val="21"/>
              </w:rPr>
              <w:t>采购金额</w:t>
            </w:r>
            <w:r>
              <w:rPr>
                <w:rFonts w:ascii="宋体" w:hAnsi="宋体" w:cs="宋体" w:eastAsia="宋体" w:hint="default"/>
                <w:sz w:val="21"/>
                <w:szCs w:val="21"/>
              </w:rPr>
            </w:r>
          </w:p>
        </w:tc>
        <w:tc>
          <w:tcPr>
            <w:tcW w:w="149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355" w:lineRule="auto" w:before="170"/>
              <w:ind w:left="107" w:right="106"/>
              <w:jc w:val="left"/>
              <w:rPr>
                <w:rFonts w:ascii="宋体" w:hAnsi="宋体" w:cs="宋体" w:eastAsia="宋体" w:hint="default"/>
                <w:sz w:val="21"/>
                <w:szCs w:val="21"/>
              </w:rPr>
            </w:pPr>
            <w:r>
              <w:rPr>
                <w:rFonts w:ascii="宋体" w:hAnsi="宋体" w:cs="宋体" w:eastAsia="宋体" w:hint="default"/>
                <w:b/>
                <w:bCs/>
                <w:sz w:val="21"/>
                <w:szCs w:val="21"/>
              </w:rPr>
              <w:t>占公司软件采</w:t>
            </w:r>
            <w:r>
              <w:rPr>
                <w:rFonts w:ascii="宋体" w:hAnsi="宋体" w:cs="宋体" w:eastAsia="宋体" w:hint="default"/>
                <w:b/>
                <w:bCs/>
                <w:spacing w:val="-104"/>
                <w:sz w:val="21"/>
                <w:szCs w:val="21"/>
              </w:rPr>
              <w:t> </w:t>
            </w:r>
            <w:r>
              <w:rPr>
                <w:rFonts w:ascii="宋体" w:hAnsi="宋体" w:cs="宋体" w:eastAsia="宋体" w:hint="default"/>
                <w:b/>
                <w:bCs/>
                <w:sz w:val="21"/>
                <w:szCs w:val="21"/>
              </w:rPr>
              <w:t>购总额的比例</w:t>
            </w:r>
            <w:r>
              <w:rPr>
                <w:rFonts w:ascii="宋体" w:hAnsi="宋体" w:cs="宋体" w:eastAsia="宋体" w:hint="default"/>
                <w:sz w:val="21"/>
                <w:szCs w:val="21"/>
              </w:rPr>
            </w:r>
          </w:p>
        </w:tc>
        <w:tc>
          <w:tcPr>
            <w:tcW w:w="149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8"/>
              <w:jc w:val="right"/>
              <w:rPr>
                <w:rFonts w:ascii="宋体" w:hAnsi="宋体" w:cs="宋体" w:eastAsia="宋体" w:hint="default"/>
                <w:sz w:val="21"/>
                <w:szCs w:val="21"/>
              </w:rPr>
            </w:pPr>
            <w:r>
              <w:rPr>
                <w:rFonts w:ascii="宋体" w:hAnsi="宋体" w:cs="宋体" w:eastAsia="宋体" w:hint="default"/>
                <w:b/>
                <w:bCs/>
                <w:sz w:val="21"/>
                <w:szCs w:val="21"/>
              </w:rPr>
              <w:t>应付帐款余额</w:t>
            </w:r>
            <w:r>
              <w:rPr>
                <w:rFonts w:ascii="宋体" w:hAnsi="宋体" w:cs="宋体" w:eastAsia="宋体" w:hint="default"/>
                <w:sz w:val="21"/>
                <w:szCs w:val="21"/>
              </w:rPr>
            </w:r>
          </w:p>
        </w:tc>
        <w:tc>
          <w:tcPr>
            <w:tcW w:w="149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b/>
                <w:bCs/>
                <w:sz w:val="21"/>
                <w:szCs w:val="21"/>
              </w:rPr>
              <w:t>占公司应付帐</w:t>
            </w:r>
            <w:r>
              <w:rPr>
                <w:rFonts w:ascii="宋体" w:hAnsi="宋体" w:cs="宋体" w:eastAsia="宋体" w:hint="default"/>
                <w:sz w:val="21"/>
                <w:szCs w:val="21"/>
              </w:rPr>
            </w:r>
          </w:p>
          <w:p>
            <w:pPr>
              <w:pStyle w:val="TableParagraph"/>
              <w:spacing w:line="355" w:lineRule="auto" w:before="133"/>
              <w:ind w:left="633" w:right="110" w:hanging="528"/>
              <w:jc w:val="left"/>
              <w:rPr>
                <w:rFonts w:ascii="宋体" w:hAnsi="宋体" w:cs="宋体" w:eastAsia="宋体" w:hint="default"/>
                <w:sz w:val="21"/>
                <w:szCs w:val="21"/>
              </w:rPr>
            </w:pPr>
            <w:r>
              <w:rPr>
                <w:rFonts w:ascii="宋体" w:hAnsi="宋体" w:cs="宋体" w:eastAsia="宋体" w:hint="default"/>
                <w:b/>
                <w:bCs/>
                <w:sz w:val="21"/>
                <w:szCs w:val="21"/>
              </w:rPr>
              <w:t>款总余额的比</w:t>
            </w:r>
            <w:r>
              <w:rPr>
                <w:rFonts w:ascii="宋体" w:hAnsi="宋体" w:cs="宋体" w:eastAsia="宋体" w:hint="default"/>
                <w:b/>
                <w:bCs/>
                <w:spacing w:val="-104"/>
                <w:sz w:val="21"/>
                <w:szCs w:val="21"/>
              </w:rPr>
              <w:t> </w:t>
            </w:r>
            <w:r>
              <w:rPr>
                <w:rFonts w:ascii="宋体" w:hAnsi="宋体" w:cs="宋体" w:eastAsia="宋体" w:hint="default"/>
                <w:b/>
                <w:bCs/>
                <w:sz w:val="21"/>
                <w:szCs w:val="21"/>
              </w:rPr>
              <w:t>重</w:t>
            </w:r>
            <w:r>
              <w:rPr>
                <w:rFonts w:ascii="宋体" w:hAnsi="宋体" w:cs="宋体" w:eastAsia="宋体" w:hint="default"/>
                <w:sz w:val="21"/>
                <w:szCs w:val="21"/>
              </w:rPr>
            </w:r>
          </w:p>
        </w:tc>
      </w:tr>
      <w:tr>
        <w:trPr>
          <w:trHeight w:val="636" w:hRule="exact"/>
        </w:trPr>
        <w:tc>
          <w:tcPr>
            <w:tcW w:w="202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b/>
                <w:bCs/>
                <w:spacing w:val="-11"/>
                <w:sz w:val="21"/>
                <w:szCs w:val="21"/>
              </w:rPr>
              <w:t>甲骨文（中国）软件</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b/>
                <w:bCs/>
                <w:sz w:val="21"/>
                <w:szCs w:val="21"/>
              </w:rPr>
              <w:t>系统有限公司</w:t>
            </w:r>
            <w:r>
              <w:rPr>
                <w:rFonts w:ascii="宋体" w:hAnsi="宋体" w:cs="宋体" w:eastAsia="宋体" w:hint="default"/>
                <w:sz w:val="21"/>
                <w:szCs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29,640,832.32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42.52%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390,000.00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5.23%</w:t>
            </w:r>
          </w:p>
        </w:tc>
      </w:tr>
      <w:tr>
        <w:trPr>
          <w:trHeight w:val="946" w:hRule="exact"/>
        </w:trPr>
        <w:tc>
          <w:tcPr>
            <w:tcW w:w="202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86"/>
              <w:jc w:val="both"/>
              <w:rPr>
                <w:rFonts w:ascii="宋体" w:hAnsi="宋体" w:cs="宋体" w:eastAsia="宋体" w:hint="default"/>
                <w:sz w:val="21"/>
                <w:szCs w:val="21"/>
              </w:rPr>
            </w:pPr>
            <w:r>
              <w:rPr>
                <w:rFonts w:ascii="宋体" w:hAnsi="宋体" w:cs="宋体" w:eastAsia="宋体" w:hint="default"/>
                <w:b/>
                <w:bCs/>
                <w:spacing w:val="-11"/>
                <w:sz w:val="21"/>
                <w:szCs w:val="21"/>
              </w:rPr>
              <w:t>思爱普（北京）软件</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b/>
                <w:bCs/>
                <w:spacing w:val="15"/>
                <w:sz w:val="21"/>
                <w:szCs w:val="21"/>
              </w:rPr>
              <w:t>系统有限公司上海</w:t>
            </w:r>
            <w:r>
              <w:rPr>
                <w:rFonts w:ascii="宋体" w:hAnsi="宋体" w:cs="宋体" w:eastAsia="宋体" w:hint="default"/>
                <w:b/>
                <w:bCs/>
                <w:spacing w:val="-95"/>
                <w:sz w:val="21"/>
                <w:szCs w:val="21"/>
              </w:rPr>
              <w:t> </w:t>
            </w:r>
            <w:r>
              <w:rPr>
                <w:rFonts w:ascii="宋体" w:hAnsi="宋体" w:cs="宋体" w:eastAsia="宋体" w:hint="default"/>
                <w:b/>
                <w:bCs/>
                <w:spacing w:val="-95"/>
                <w:sz w:val="21"/>
                <w:szCs w:val="21"/>
              </w:rPr>
            </w:r>
            <w:r>
              <w:rPr>
                <w:rFonts w:ascii="宋体" w:hAnsi="宋体" w:cs="宋体" w:eastAsia="宋体" w:hint="default"/>
                <w:b/>
                <w:bCs/>
                <w:sz w:val="21"/>
                <w:szCs w:val="21"/>
              </w:rPr>
              <w:t>分公司</w:t>
            </w:r>
            <w:r>
              <w:rPr>
                <w:rFonts w:ascii="宋体" w:hAnsi="宋体" w:cs="宋体" w:eastAsia="宋体" w:hint="default"/>
                <w:sz w:val="21"/>
                <w:szCs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28,013,376.62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40.19%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1,787,989.16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23.98%</w:t>
            </w:r>
          </w:p>
        </w:tc>
      </w:tr>
      <w:tr>
        <w:trPr>
          <w:trHeight w:val="634" w:hRule="exact"/>
        </w:trPr>
        <w:tc>
          <w:tcPr>
            <w:tcW w:w="202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b/>
                <w:bCs/>
                <w:spacing w:val="15"/>
                <w:sz w:val="21"/>
                <w:szCs w:val="21"/>
              </w:rPr>
              <w:t>北京富通东方科技</w:t>
            </w:r>
            <w:r>
              <w:rPr>
                <w:rFonts w:ascii="宋体" w:hAnsi="宋体" w:cs="宋体" w:eastAsia="宋体" w:hint="default"/>
                <w:b/>
                <w:bCs/>
                <w:spacing w:val="-95"/>
                <w:sz w:val="21"/>
                <w:szCs w:val="21"/>
              </w:rPr>
              <w:t> </w:t>
            </w:r>
            <w:r>
              <w:rPr>
                <w:rFonts w:ascii="宋体" w:hAnsi="宋体" w:cs="宋体" w:eastAsia="宋体" w:hint="default"/>
                <w:b/>
                <w:bCs/>
                <w:sz w:val="21"/>
                <w:szCs w:val="21"/>
              </w:rPr>
              <w:t>有限公司</w:t>
            </w:r>
            <w:r>
              <w:rPr>
                <w:rFonts w:ascii="宋体" w:hAnsi="宋体" w:cs="宋体" w:eastAsia="宋体" w:hint="default"/>
                <w:sz w:val="21"/>
                <w:szCs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6,083,128.00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8.73%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634" w:hRule="exact"/>
        </w:trPr>
        <w:tc>
          <w:tcPr>
            <w:tcW w:w="202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b/>
                <w:bCs/>
                <w:spacing w:val="15"/>
                <w:sz w:val="21"/>
                <w:szCs w:val="21"/>
              </w:rPr>
              <w:t>大唐软件技术股份</w:t>
            </w:r>
            <w:r>
              <w:rPr>
                <w:rFonts w:ascii="宋体" w:hAnsi="宋体" w:cs="宋体" w:eastAsia="宋体" w:hint="default"/>
                <w:b/>
                <w:bCs/>
                <w:spacing w:val="-95"/>
                <w:sz w:val="21"/>
                <w:szCs w:val="21"/>
              </w:rPr>
              <w:t> </w:t>
            </w:r>
            <w:r>
              <w:rPr>
                <w:rFonts w:ascii="宋体" w:hAnsi="宋体" w:cs="宋体" w:eastAsia="宋体" w:hint="default"/>
                <w:b/>
                <w:bCs/>
                <w:sz w:val="21"/>
                <w:szCs w:val="21"/>
              </w:rPr>
              <w:t>有限公司</w:t>
            </w:r>
            <w:r>
              <w:rPr>
                <w:rFonts w:ascii="宋体" w:hAnsi="宋体" w:cs="宋体" w:eastAsia="宋体" w:hint="default"/>
                <w:sz w:val="21"/>
                <w:szCs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3,067,151.36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4.40%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1,427,350.43</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19.14%</w:t>
            </w:r>
          </w:p>
        </w:tc>
      </w:tr>
      <w:tr>
        <w:trPr>
          <w:trHeight w:val="634" w:hRule="exact"/>
        </w:trPr>
        <w:tc>
          <w:tcPr>
            <w:tcW w:w="202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b/>
                <w:bCs/>
                <w:spacing w:val="15"/>
                <w:sz w:val="21"/>
                <w:szCs w:val="21"/>
              </w:rPr>
              <w:t>上海东方龙马软件</w:t>
            </w:r>
            <w:r>
              <w:rPr>
                <w:rFonts w:ascii="宋体" w:hAnsi="宋体" w:cs="宋体" w:eastAsia="宋体" w:hint="default"/>
                <w:b/>
                <w:bCs/>
                <w:spacing w:val="-95"/>
                <w:sz w:val="21"/>
                <w:szCs w:val="21"/>
              </w:rPr>
              <w:t> </w:t>
            </w:r>
            <w:r>
              <w:rPr>
                <w:rFonts w:ascii="宋体" w:hAnsi="宋体" w:cs="宋体" w:eastAsia="宋体" w:hint="default"/>
                <w:b/>
                <w:bCs/>
                <w:sz w:val="21"/>
                <w:szCs w:val="21"/>
              </w:rPr>
              <w:t>技术有限公司</w:t>
            </w:r>
            <w:r>
              <w:rPr>
                <w:rFonts w:ascii="宋体" w:hAnsi="宋体" w:cs="宋体" w:eastAsia="宋体" w:hint="default"/>
                <w:sz w:val="21"/>
                <w:szCs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877,273.50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404,273.50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5.42%</w:t>
            </w:r>
          </w:p>
        </w:tc>
      </w:tr>
      <w:tr>
        <w:trPr>
          <w:trHeight w:val="324" w:hRule="exact"/>
        </w:trPr>
        <w:tc>
          <w:tcPr>
            <w:tcW w:w="202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67,681,761.80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97.09%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4,009,613.09</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53.77%</w:t>
            </w:r>
          </w:p>
        </w:tc>
      </w:tr>
    </w:tbl>
    <w:p>
      <w:pPr>
        <w:pStyle w:val="BodyText"/>
        <w:spacing w:line="274" w:lineRule="exact" w:before="0"/>
        <w:ind w:left="503" w:right="0"/>
        <w:jc w:val="left"/>
      </w:pPr>
      <w:r>
        <w:rPr>
          <w:rFonts w:ascii="宋体" w:hAnsi="宋体" w:cs="宋体" w:eastAsia="宋体" w:hint="default"/>
          <w:b/>
          <w:bCs/>
        </w:rPr>
        <w:t>说明</w:t>
      </w:r>
      <w:r>
        <w:rPr/>
        <w:t>：公司主要供应商为甲骨文（中国）软件系统有限公司和思爱普（北京）</w:t>
      </w:r>
    </w:p>
    <w:p>
      <w:pPr>
        <w:pStyle w:val="BodyText"/>
        <w:spacing w:line="240" w:lineRule="auto" w:before="151"/>
        <w:ind w:left="503" w:right="246"/>
        <w:jc w:val="left"/>
      </w:pPr>
      <w:r>
        <w:rPr/>
        <w:t>软件系统有限公司上海分公司。</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9"/>
          <w:szCs w:val="19"/>
        </w:rPr>
      </w:pPr>
    </w:p>
    <w:p>
      <w:pPr>
        <w:pStyle w:val="Heading5"/>
        <w:spacing w:line="240" w:lineRule="auto"/>
        <w:ind w:left="100" w:right="246"/>
        <w:jc w:val="left"/>
        <w:rPr>
          <w:b w:val="0"/>
          <w:bCs w:val="0"/>
        </w:rPr>
      </w:pPr>
      <w:r>
        <w:rPr/>
        <w:t>（三）报告期内主要费用情况</w:t>
      </w:r>
      <w:r>
        <w:rPr>
          <w:b w:val="0"/>
          <w:bCs w:val="0"/>
        </w:rPr>
      </w:r>
    </w:p>
    <w:p>
      <w:pPr>
        <w:spacing w:line="240" w:lineRule="auto" w:before="11"/>
        <w:rPr>
          <w:rFonts w:ascii="宋体" w:hAnsi="宋体" w:cs="宋体" w:eastAsia="宋体" w:hint="default"/>
          <w:b/>
          <w:bCs/>
          <w:sz w:val="14"/>
          <w:szCs w:val="14"/>
        </w:rPr>
      </w:pPr>
    </w:p>
    <w:tbl>
      <w:tblPr>
        <w:tblW w:w="0" w:type="auto"/>
        <w:jc w:val="left"/>
        <w:tblInd w:w="498" w:type="dxa"/>
        <w:tblLayout w:type="fixed"/>
        <w:tblCellMar>
          <w:top w:w="0" w:type="dxa"/>
          <w:left w:w="0" w:type="dxa"/>
          <w:bottom w:w="0" w:type="dxa"/>
          <w:right w:w="0" w:type="dxa"/>
        </w:tblCellMar>
        <w:tblLook w:val="01E0"/>
      </w:tblPr>
      <w:tblGrid>
        <w:gridCol w:w="1387"/>
        <w:gridCol w:w="1493"/>
        <w:gridCol w:w="1426"/>
        <w:gridCol w:w="1068"/>
        <w:gridCol w:w="1070"/>
        <w:gridCol w:w="1558"/>
      </w:tblGrid>
      <w:tr>
        <w:trPr>
          <w:trHeight w:val="1235" w:hRule="exact"/>
        </w:trPr>
        <w:tc>
          <w:tcPr>
            <w:tcW w:w="138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b/>
                <w:bCs/>
                <w:sz w:val="21"/>
                <w:szCs w:val="21"/>
              </w:rPr>
              <w:t>费用项目</w:t>
            </w:r>
            <w:r>
              <w:rPr>
                <w:rFonts w:ascii="宋体" w:hAnsi="宋体" w:cs="宋体" w:eastAsia="宋体" w:hint="default"/>
                <w:sz w:val="21"/>
                <w:szCs w:val="21"/>
              </w:rPr>
            </w:r>
          </w:p>
        </w:tc>
        <w:tc>
          <w:tcPr>
            <w:tcW w:w="149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39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 </w:t>
            </w:r>
            <w:r>
              <w:rPr>
                <w:rFonts w:ascii="宋体" w:hAnsi="宋体" w:cs="宋体" w:eastAsia="宋体" w:hint="default"/>
                <w:b/>
                <w:bCs/>
                <w:sz w:val="21"/>
                <w:szCs w:val="21"/>
              </w:rPr>
              <w:t>年</w:t>
            </w:r>
            <w:r>
              <w:rPr>
                <w:rFonts w:ascii="宋体" w:hAnsi="宋体" w:cs="宋体" w:eastAsia="宋体" w:hint="default"/>
                <w:sz w:val="21"/>
                <w:szCs w:val="21"/>
              </w:rPr>
            </w:r>
          </w:p>
        </w:tc>
        <w:tc>
          <w:tcPr>
            <w:tcW w:w="142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36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06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355" w:lineRule="auto" w:before="170"/>
              <w:ind w:left="108" w:right="105"/>
              <w:jc w:val="left"/>
              <w:rPr>
                <w:rFonts w:ascii="宋体" w:hAnsi="宋体" w:cs="宋体" w:eastAsia="宋体" w:hint="default"/>
                <w:sz w:val="21"/>
                <w:szCs w:val="21"/>
              </w:rPr>
            </w:pPr>
            <w:r>
              <w:rPr>
                <w:rFonts w:ascii="宋体" w:hAnsi="宋体" w:cs="宋体" w:eastAsia="宋体" w:hint="default"/>
                <w:b/>
                <w:bCs/>
                <w:sz w:val="21"/>
                <w:szCs w:val="21"/>
              </w:rPr>
              <w:t>本年比上</w:t>
            </w:r>
            <w:r>
              <w:rPr>
                <w:rFonts w:ascii="宋体" w:hAnsi="宋体" w:cs="宋体" w:eastAsia="宋体" w:hint="default"/>
                <w:b/>
                <w:bCs/>
                <w:w w:val="100"/>
                <w:sz w:val="21"/>
                <w:szCs w:val="21"/>
              </w:rPr>
              <w:t> </w:t>
            </w:r>
            <w:r>
              <w:rPr>
                <w:rFonts w:ascii="宋体" w:hAnsi="宋体" w:cs="宋体" w:eastAsia="宋体" w:hint="default"/>
                <w:b/>
                <w:bCs/>
                <w:sz w:val="21"/>
                <w:szCs w:val="21"/>
              </w:rPr>
              <w:t>年增减度</w:t>
            </w:r>
            <w:r>
              <w:rPr>
                <w:rFonts w:ascii="宋体" w:hAnsi="宋体" w:cs="宋体" w:eastAsia="宋体" w:hint="default"/>
                <w:sz w:val="21"/>
                <w:szCs w:val="21"/>
              </w:rPr>
            </w:r>
          </w:p>
        </w:tc>
        <w:tc>
          <w:tcPr>
            <w:tcW w:w="107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7" w:lineRule="exact"/>
              <w:ind w:left="187"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占</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sz w:val="21"/>
                <w:szCs w:val="21"/>
              </w:rPr>
            </w:r>
          </w:p>
          <w:p>
            <w:pPr>
              <w:pStyle w:val="TableParagraph"/>
              <w:spacing w:line="355" w:lineRule="auto" w:before="117"/>
              <w:ind w:left="211" w:right="107" w:hanging="104"/>
              <w:jc w:val="left"/>
              <w:rPr>
                <w:rFonts w:ascii="宋体" w:hAnsi="宋体" w:cs="宋体" w:eastAsia="宋体" w:hint="default"/>
                <w:sz w:val="21"/>
                <w:szCs w:val="21"/>
              </w:rPr>
            </w:pPr>
            <w:r>
              <w:rPr>
                <w:rFonts w:ascii="宋体" w:hAnsi="宋体" w:cs="宋体" w:eastAsia="宋体" w:hint="default"/>
                <w:b/>
                <w:bCs/>
                <w:sz w:val="21"/>
                <w:szCs w:val="21"/>
              </w:rPr>
              <w:t>年营业收</w:t>
            </w:r>
            <w:r>
              <w:rPr>
                <w:rFonts w:ascii="宋体" w:hAnsi="宋体" w:cs="宋体" w:eastAsia="宋体" w:hint="default"/>
                <w:b/>
                <w:bCs/>
                <w:w w:val="100"/>
                <w:sz w:val="21"/>
                <w:szCs w:val="21"/>
              </w:rPr>
              <w:t> </w:t>
            </w:r>
            <w:r>
              <w:rPr>
                <w:rFonts w:ascii="宋体" w:hAnsi="宋体" w:cs="宋体" w:eastAsia="宋体" w:hint="default"/>
                <w:b/>
                <w:bCs/>
                <w:sz w:val="21"/>
                <w:szCs w:val="21"/>
              </w:rPr>
              <w:t>入比例</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42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 </w:t>
            </w:r>
            <w:r>
              <w:rPr>
                <w:rFonts w:ascii="宋体" w:hAnsi="宋体" w:cs="宋体" w:eastAsia="宋体" w:hint="default"/>
                <w:b/>
                <w:bCs/>
                <w:sz w:val="21"/>
                <w:szCs w:val="21"/>
              </w:rPr>
              <w:t>年</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884" w:footer="980" w:top="1140" w:bottom="1160" w:left="1580" w:right="1560"/>
        </w:sectPr>
      </w:pPr>
    </w:p>
    <w:p>
      <w:pPr>
        <w:spacing w:line="240" w:lineRule="auto" w:before="6"/>
        <w:rPr>
          <w:rFonts w:ascii="宋体" w:hAnsi="宋体" w:cs="宋体" w:eastAsia="宋体" w:hint="default"/>
          <w:b/>
          <w:bCs/>
          <w:sz w:val="21"/>
          <w:szCs w:val="21"/>
        </w:rPr>
      </w:pPr>
    </w:p>
    <w:tbl>
      <w:tblPr>
        <w:tblW w:w="0" w:type="auto"/>
        <w:jc w:val="left"/>
        <w:tblInd w:w="498" w:type="dxa"/>
        <w:tblLayout w:type="fixed"/>
        <w:tblCellMar>
          <w:top w:w="0" w:type="dxa"/>
          <w:left w:w="0" w:type="dxa"/>
          <w:bottom w:w="0" w:type="dxa"/>
          <w:right w:w="0" w:type="dxa"/>
        </w:tblCellMar>
        <w:tblLook w:val="01E0"/>
      </w:tblPr>
      <w:tblGrid>
        <w:gridCol w:w="1387"/>
        <w:gridCol w:w="1493"/>
        <w:gridCol w:w="1426"/>
        <w:gridCol w:w="1068"/>
        <w:gridCol w:w="1070"/>
        <w:gridCol w:w="1558"/>
      </w:tblGrid>
      <w:tr>
        <w:trPr>
          <w:trHeight w:val="322" w:hRule="exact"/>
        </w:trPr>
        <w:tc>
          <w:tcPr>
            <w:tcW w:w="138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销售费用</w:t>
            </w:r>
            <w:r>
              <w:rPr>
                <w:rFonts w:ascii="宋体" w:hAnsi="宋体" w:cs="宋体" w:eastAsia="宋体" w:hint="default"/>
                <w:sz w:val="21"/>
                <w:szCs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28,064,103.05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24,346,772.77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15.27%</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5.39%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23,348,693.85</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b/>
                <w:bCs/>
                <w:sz w:val="21"/>
                <w:szCs w:val="21"/>
              </w:rPr>
              <w:t>管理费用</w:t>
            </w:r>
            <w:r>
              <w:rPr>
                <w:rFonts w:ascii="宋体" w:hAnsi="宋体" w:cs="宋体" w:eastAsia="宋体" w:hint="default"/>
                <w:sz w:val="21"/>
                <w:szCs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53,582,395.04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41,642,569.17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28.67%</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10.29%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38,870,591.72</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财务费用</w:t>
            </w:r>
            <w:r>
              <w:rPr>
                <w:rFonts w:ascii="宋体" w:hAnsi="宋体" w:cs="宋体" w:eastAsia="宋体" w:hint="default"/>
                <w:sz w:val="21"/>
                <w:szCs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-25,331,324.14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3" w:right="0"/>
              <w:jc w:val="center"/>
              <w:rPr>
                <w:rFonts w:ascii="Times New Roman" w:hAnsi="Times New Roman" w:cs="Times New Roman" w:eastAsia="Times New Roman" w:hint="default"/>
                <w:sz w:val="21"/>
                <w:szCs w:val="21"/>
              </w:rPr>
            </w:pPr>
            <w:r>
              <w:rPr>
                <w:rFonts w:ascii="Times New Roman"/>
                <w:sz w:val="21"/>
              </w:rPr>
              <w:t>-3,649,992.84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594.01%</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-4.87%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-439,206.21</w:t>
            </w:r>
          </w:p>
        </w:tc>
      </w:tr>
      <w:tr>
        <w:trPr>
          <w:trHeight w:val="324" w:hRule="exact"/>
        </w:trPr>
        <w:tc>
          <w:tcPr>
            <w:tcW w:w="138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所得税</w:t>
            </w:r>
            <w:r>
              <w:rPr>
                <w:rFonts w:ascii="宋体" w:hAnsi="宋体" w:cs="宋体" w:eastAsia="宋体" w:hint="default"/>
                <w:sz w:val="21"/>
                <w:szCs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pacing w:val="-1"/>
                <w:sz w:val="21"/>
              </w:rPr>
              <w:t>15,574,654.43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5" w:right="0"/>
              <w:jc w:val="center"/>
              <w:rPr>
                <w:rFonts w:ascii="Times New Roman" w:hAnsi="Times New Roman" w:cs="Times New Roman" w:eastAsia="Times New Roman" w:hint="default"/>
                <w:sz w:val="21"/>
                <w:szCs w:val="21"/>
              </w:rPr>
            </w:pPr>
            <w:r>
              <w:rPr>
                <w:rFonts w:ascii="Times New Roman"/>
                <w:sz w:val="21"/>
              </w:rPr>
              <w:t>5,765,369.26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170.14%</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z w:val="21"/>
              </w:rPr>
              <w:t>2.99%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4,571,309.06</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71,889,828.38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68,104,718.36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5.56%</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13.81%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66,351,388.42</w:t>
            </w:r>
          </w:p>
        </w:tc>
      </w:tr>
    </w:tbl>
    <w:p>
      <w:pPr>
        <w:pStyle w:val="Heading5"/>
        <w:spacing w:line="274" w:lineRule="exact"/>
        <w:ind w:left="503" w:right="138"/>
        <w:jc w:val="left"/>
        <w:rPr>
          <w:b w:val="0"/>
          <w:bCs w:val="0"/>
        </w:rPr>
      </w:pPr>
      <w:r>
        <w:rPr/>
        <w:t>变动说明：</w:t>
      </w:r>
      <w:r>
        <w:rPr>
          <w:b w:val="0"/>
          <w:bCs w:val="0"/>
        </w:rPr>
      </w:r>
    </w:p>
    <w:p>
      <w:pPr>
        <w:pStyle w:val="BodyText"/>
        <w:tabs>
          <w:tab w:pos="1060" w:val="left" w:leader="none"/>
        </w:tabs>
        <w:spacing w:line="336" w:lineRule="auto"/>
        <w:ind w:left="1360" w:right="138" w:hanging="720"/>
        <w:jc w:val="left"/>
      </w:pPr>
      <w:r>
        <w:rPr>
          <w:rFonts w:ascii="Times New Roman" w:hAnsi="Times New Roman" w:cs="Times New Roman" w:eastAsia="Times New Roman" w:hint="default"/>
        </w:rPr>
        <w:t>1.</w:t>
        <w:tab/>
      </w:r>
      <w:r>
        <w:rPr/>
        <w:t>管理费用增加主要由于公司实施限制性股票激励，成本计入管理费用所</w:t>
      </w:r>
      <w:r>
        <w:rPr>
          <w:spacing w:val="-97"/>
        </w:rPr>
        <w:t> </w:t>
      </w:r>
      <w:r>
        <w:rPr>
          <w:spacing w:val="-97"/>
        </w:rPr>
      </w:r>
      <w:r>
        <w:rPr/>
        <w:t>致；</w:t>
      </w:r>
    </w:p>
    <w:p>
      <w:pPr>
        <w:pStyle w:val="BodyText"/>
        <w:tabs>
          <w:tab w:pos="1060" w:val="left" w:leader="none"/>
        </w:tabs>
        <w:spacing w:line="240" w:lineRule="auto" w:before="58"/>
        <w:ind w:left="640" w:right="138"/>
        <w:jc w:val="left"/>
      </w:pPr>
      <w:r>
        <w:rPr>
          <w:rFonts w:ascii="Times New Roman" w:hAnsi="Times New Roman" w:cs="Times New Roman" w:eastAsia="Times New Roman" w:hint="default"/>
        </w:rPr>
        <w:t>2.</w:t>
        <w:tab/>
      </w:r>
      <w:r>
        <w:rPr/>
        <w:t>财务费用变化主要是募集资金存款利息收入增加；</w:t>
      </w:r>
    </w:p>
    <w:p>
      <w:pPr>
        <w:pStyle w:val="BodyText"/>
        <w:tabs>
          <w:tab w:pos="1060" w:val="left" w:leader="none"/>
        </w:tabs>
        <w:spacing w:line="240" w:lineRule="auto" w:before="133"/>
        <w:ind w:left="640" w:right="0"/>
        <w:jc w:val="left"/>
      </w:pPr>
      <w:r>
        <w:rPr>
          <w:rFonts w:ascii="Times New Roman" w:hAnsi="Times New Roman" w:cs="Times New Roman" w:eastAsia="Times New Roman" w:hint="default"/>
        </w:rPr>
        <w:t>3.</w:t>
        <w:tab/>
      </w:r>
      <w:r>
        <w:rPr>
          <w:spacing w:val="8"/>
        </w:rPr>
        <w:t>所得税费用增加主要是因为</w:t>
      </w:r>
      <w:r>
        <w:rPr>
          <w:spacing w:val="17"/>
        </w:rPr>
        <w:t> </w:t>
      </w:r>
      <w:r>
        <w:rPr>
          <w:rFonts w:ascii="Times New Roman" w:hAnsi="Times New Roman" w:cs="Times New Roman" w:eastAsia="Times New Roman" w:hint="default"/>
          <w:spacing w:val="8"/>
        </w:rPr>
        <w:t>a.</w:t>
      </w:r>
      <w:r>
        <w:rPr>
          <w:spacing w:val="8"/>
        </w:rPr>
        <w:t>公司税前利润增加，</w:t>
      </w:r>
      <w:r>
        <w:rPr>
          <w:rFonts w:ascii="Times New Roman" w:hAnsi="Times New Roman" w:cs="Times New Roman" w:eastAsia="Times New Roman" w:hint="default"/>
          <w:spacing w:val="8"/>
        </w:rPr>
        <w:t>b.</w:t>
      </w:r>
      <w:r>
        <w:rPr>
          <w:spacing w:val="8"/>
        </w:rPr>
        <w:t>今年所得税率为</w:t>
      </w:r>
      <w:r>
        <w:rPr/>
      </w:r>
    </w:p>
    <w:p>
      <w:pPr>
        <w:pStyle w:val="BodyText"/>
        <w:spacing w:line="240" w:lineRule="auto" w:before="135"/>
        <w:ind w:left="1360" w:right="138"/>
        <w:jc w:val="left"/>
      </w:pPr>
      <w:r>
        <w:rPr>
          <w:rFonts w:ascii="Times New Roman" w:hAnsi="Times New Roman" w:cs="Times New Roman" w:eastAsia="Times New Roman" w:hint="default"/>
        </w:rPr>
        <w:t>15%</w:t>
      </w:r>
      <w:r>
        <w:rPr/>
        <w:t>，而上年为</w:t>
      </w:r>
      <w:r>
        <w:rPr>
          <w:spacing w:val="-62"/>
        </w:rPr>
        <w:t> </w:t>
      </w:r>
      <w:r>
        <w:rPr>
          <w:rFonts w:ascii="Times New Roman" w:hAnsi="Times New Roman" w:cs="Times New Roman" w:eastAsia="Times New Roman" w:hint="default"/>
        </w:rPr>
        <w:t>10%</w:t>
      </w:r>
      <w:r>
        <w:rPr/>
        <w:t>。</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7"/>
          <w:szCs w:val="17"/>
        </w:rPr>
      </w:pPr>
    </w:p>
    <w:p>
      <w:pPr>
        <w:pStyle w:val="Heading5"/>
        <w:spacing w:line="240" w:lineRule="auto"/>
        <w:ind w:left="100" w:right="138"/>
        <w:jc w:val="left"/>
        <w:rPr>
          <w:b w:val="0"/>
          <w:bCs w:val="0"/>
        </w:rPr>
      </w:pPr>
      <w:r>
        <w:rPr/>
        <w:t>（四）报告期内公司资产构成情况</w:t>
      </w:r>
      <w:r>
        <w:rPr>
          <w:b w:val="0"/>
          <w:bCs w:val="0"/>
        </w:rPr>
      </w:r>
    </w:p>
    <w:p>
      <w:pPr>
        <w:spacing w:line="240" w:lineRule="auto" w:before="9"/>
        <w:rPr>
          <w:rFonts w:ascii="宋体" w:hAnsi="宋体" w:cs="宋体" w:eastAsia="宋体" w:hint="default"/>
          <w:b/>
          <w:bCs/>
          <w:sz w:val="14"/>
          <w:szCs w:val="14"/>
        </w:rPr>
      </w:pPr>
    </w:p>
    <w:tbl>
      <w:tblPr>
        <w:tblW w:w="0" w:type="auto"/>
        <w:jc w:val="left"/>
        <w:tblInd w:w="498" w:type="dxa"/>
        <w:tblLayout w:type="fixed"/>
        <w:tblCellMar>
          <w:top w:w="0" w:type="dxa"/>
          <w:left w:w="0" w:type="dxa"/>
          <w:bottom w:w="0" w:type="dxa"/>
          <w:right w:w="0" w:type="dxa"/>
        </w:tblCellMar>
        <w:tblLook w:val="01E0"/>
      </w:tblPr>
      <w:tblGrid>
        <w:gridCol w:w="1286"/>
        <w:gridCol w:w="1688"/>
        <w:gridCol w:w="1140"/>
        <w:gridCol w:w="1529"/>
        <w:gridCol w:w="1142"/>
        <w:gridCol w:w="1217"/>
      </w:tblGrid>
      <w:tr>
        <w:trPr>
          <w:trHeight w:val="420" w:hRule="exact"/>
        </w:trPr>
        <w:tc>
          <w:tcPr>
            <w:tcW w:w="1286"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before="2"/>
              <w:ind w:right="0"/>
              <w:jc w:val="left"/>
              <w:rPr>
                <w:rFonts w:ascii="宋体" w:hAnsi="宋体" w:cs="宋体" w:eastAsia="宋体" w:hint="default"/>
                <w:b/>
                <w:bCs/>
                <w:sz w:val="29"/>
                <w:szCs w:val="29"/>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b/>
                <w:bCs/>
                <w:sz w:val="21"/>
                <w:szCs w:val="21"/>
              </w:rPr>
              <w:t>资产项目</w:t>
            </w:r>
            <w:r>
              <w:rPr>
                <w:rFonts w:ascii="宋体" w:hAnsi="宋体" w:cs="宋体" w:eastAsia="宋体" w:hint="default"/>
                <w:sz w:val="21"/>
                <w:szCs w:val="21"/>
              </w:rPr>
            </w:r>
          </w:p>
        </w:tc>
        <w:tc>
          <w:tcPr>
            <w:tcW w:w="2828" w:type="dxa"/>
            <w:gridSpan w:val="2"/>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7" w:lineRule="exact"/>
              <w:ind w:left="54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672" w:type="dxa"/>
            <w:gridSpan w:val="2"/>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7" w:lineRule="exact"/>
              <w:ind w:left="46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217"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before="2"/>
              <w:ind w:right="0"/>
              <w:jc w:val="left"/>
              <w:rPr>
                <w:rFonts w:ascii="宋体" w:hAnsi="宋体" w:cs="宋体" w:eastAsia="宋体" w:hint="default"/>
                <w:b/>
                <w:bCs/>
                <w:sz w:val="29"/>
                <w:szCs w:val="29"/>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b/>
                <w:bCs/>
                <w:sz w:val="21"/>
                <w:szCs w:val="21"/>
              </w:rPr>
              <w:t>变动幅度</w:t>
            </w:r>
            <w:r>
              <w:rPr>
                <w:rFonts w:ascii="宋体" w:hAnsi="宋体" w:cs="宋体" w:eastAsia="宋体" w:hint="default"/>
                <w:sz w:val="21"/>
                <w:szCs w:val="21"/>
              </w:rPr>
            </w:r>
          </w:p>
        </w:tc>
      </w:tr>
      <w:tr>
        <w:trPr>
          <w:trHeight w:val="826" w:hRule="exact"/>
        </w:trPr>
        <w:tc>
          <w:tcPr>
            <w:tcW w:w="1286" w:type="dxa"/>
            <w:vMerge/>
            <w:tcBorders>
              <w:left w:val="single" w:sz="4" w:space="0" w:color="000000"/>
              <w:bottom w:val="single" w:sz="4" w:space="0" w:color="000000"/>
              <w:right w:val="single" w:sz="4" w:space="0" w:color="000000"/>
            </w:tcBorders>
            <w:shd w:val="clear" w:color="auto" w:fill="DFDFDF"/>
          </w:tcPr>
          <w:p>
            <w:pPr/>
          </w:p>
        </w:tc>
        <w:tc>
          <w:tcPr>
            <w:tcW w:w="168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4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b/>
                <w:bCs/>
                <w:sz w:val="21"/>
                <w:szCs w:val="21"/>
              </w:rPr>
              <w:t>占本期总</w:t>
            </w:r>
            <w:r>
              <w:rPr>
                <w:rFonts w:ascii="宋体" w:hAnsi="宋体" w:cs="宋体" w:eastAsia="宋体" w:hint="default"/>
                <w:sz w:val="21"/>
                <w:szCs w:val="21"/>
              </w:rPr>
            </w:r>
          </w:p>
          <w:p>
            <w:pPr>
              <w:pStyle w:val="TableParagraph"/>
              <w:spacing w:line="240" w:lineRule="auto" w:before="133"/>
              <w:ind w:left="143" w:right="0"/>
              <w:jc w:val="left"/>
              <w:rPr>
                <w:rFonts w:ascii="宋体" w:hAnsi="宋体" w:cs="宋体" w:eastAsia="宋体" w:hint="default"/>
                <w:sz w:val="21"/>
                <w:szCs w:val="21"/>
              </w:rPr>
            </w:pPr>
            <w:r>
              <w:rPr>
                <w:rFonts w:ascii="宋体" w:hAnsi="宋体" w:cs="宋体" w:eastAsia="宋体" w:hint="default"/>
                <w:b/>
                <w:bCs/>
                <w:sz w:val="21"/>
                <w:szCs w:val="21"/>
              </w:rPr>
              <w:t>资产比重</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4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b/>
                <w:bCs/>
                <w:sz w:val="21"/>
                <w:szCs w:val="21"/>
              </w:rPr>
              <w:t>占本期总</w:t>
            </w:r>
            <w:r>
              <w:rPr>
                <w:rFonts w:ascii="宋体" w:hAnsi="宋体" w:cs="宋体" w:eastAsia="宋体" w:hint="default"/>
                <w:sz w:val="21"/>
                <w:szCs w:val="21"/>
              </w:rPr>
            </w:r>
          </w:p>
          <w:p>
            <w:pPr>
              <w:pStyle w:val="TableParagraph"/>
              <w:spacing w:line="240" w:lineRule="auto" w:before="133"/>
              <w:ind w:left="143" w:right="0"/>
              <w:jc w:val="left"/>
              <w:rPr>
                <w:rFonts w:ascii="宋体" w:hAnsi="宋体" w:cs="宋体" w:eastAsia="宋体" w:hint="default"/>
                <w:sz w:val="21"/>
                <w:szCs w:val="21"/>
              </w:rPr>
            </w:pPr>
            <w:r>
              <w:rPr>
                <w:rFonts w:ascii="宋体" w:hAnsi="宋体" w:cs="宋体" w:eastAsia="宋体" w:hint="default"/>
                <w:b/>
                <w:bCs/>
                <w:sz w:val="21"/>
                <w:szCs w:val="21"/>
              </w:rPr>
              <w:t>资产比重</w:t>
            </w:r>
            <w:r>
              <w:rPr>
                <w:rFonts w:ascii="宋体" w:hAnsi="宋体" w:cs="宋体" w:eastAsia="宋体" w:hint="default"/>
                <w:sz w:val="21"/>
                <w:szCs w:val="21"/>
              </w:rPr>
            </w:r>
          </w:p>
        </w:tc>
        <w:tc>
          <w:tcPr>
            <w:tcW w:w="1217" w:type="dxa"/>
            <w:vMerge/>
            <w:tcBorders>
              <w:left w:val="single" w:sz="4" w:space="0" w:color="000000"/>
              <w:bottom w:val="single" w:sz="4" w:space="0" w:color="000000"/>
              <w:right w:val="single" w:sz="4" w:space="0" w:color="000000"/>
            </w:tcBorders>
            <w:shd w:val="clear" w:color="auto" w:fill="DFDFDF"/>
          </w:tcPr>
          <w:p>
            <w:pPr/>
          </w:p>
        </w:tc>
      </w:tr>
      <w:tr>
        <w:trPr>
          <w:trHeight w:val="322" w:hRule="exact"/>
        </w:trPr>
        <w:tc>
          <w:tcPr>
            <w:tcW w:w="128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货币资金</w:t>
            </w:r>
            <w:r>
              <w:rPr>
                <w:rFonts w:ascii="宋体" w:hAnsi="宋体" w:cs="宋体" w:eastAsia="宋体"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936,666,012.17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83.41%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171,545,154.07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63.42%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446.02%</w:t>
            </w:r>
          </w:p>
        </w:tc>
      </w:tr>
      <w:tr>
        <w:trPr>
          <w:trHeight w:val="324" w:hRule="exact"/>
        </w:trPr>
        <w:tc>
          <w:tcPr>
            <w:tcW w:w="128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应收票据</w:t>
            </w:r>
            <w:r>
              <w:rPr>
                <w:rFonts w:ascii="宋体" w:hAnsi="宋体" w:cs="宋体" w:eastAsia="宋体"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pacing w:val="-1"/>
                <w:sz w:val="21"/>
              </w:rPr>
              <w:t>10,466,951.37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0.93%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pacing w:val="-1"/>
                <w:sz w:val="21"/>
              </w:rPr>
              <w:t>3,827,292.55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z w:val="21"/>
              </w:rPr>
              <w:t>1.42%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173.48%</w:t>
            </w:r>
          </w:p>
        </w:tc>
      </w:tr>
      <w:tr>
        <w:trPr>
          <w:trHeight w:val="322" w:hRule="exact"/>
        </w:trPr>
        <w:tc>
          <w:tcPr>
            <w:tcW w:w="128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应收帐款</w:t>
            </w:r>
            <w:r>
              <w:rPr>
                <w:rFonts w:ascii="宋体" w:hAnsi="宋体" w:cs="宋体" w:eastAsia="宋体"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124,676,216.23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11.10%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74,590,253.79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27.58%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67.15%</w:t>
            </w:r>
          </w:p>
        </w:tc>
      </w:tr>
      <w:tr>
        <w:trPr>
          <w:trHeight w:val="322" w:hRule="exact"/>
        </w:trPr>
        <w:tc>
          <w:tcPr>
            <w:tcW w:w="128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预付帐款</w:t>
            </w:r>
            <w:r>
              <w:rPr>
                <w:rFonts w:ascii="宋体" w:hAnsi="宋体" w:cs="宋体" w:eastAsia="宋体"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9,806,457.52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0.87%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4,534,626.70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1.68%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116.26%</w:t>
            </w:r>
          </w:p>
        </w:tc>
      </w:tr>
      <w:tr>
        <w:trPr>
          <w:trHeight w:val="322" w:hRule="exact"/>
        </w:trPr>
        <w:tc>
          <w:tcPr>
            <w:tcW w:w="128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应收利息</w:t>
            </w:r>
            <w:r>
              <w:rPr>
                <w:rFonts w:ascii="宋体" w:hAnsi="宋体" w:cs="宋体" w:eastAsia="宋体"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15,648,713.09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1.39%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100"/>
                <w:sz w:val="21"/>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0.00%</w:t>
            </w: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其他应收款</w:t>
            </w:r>
            <w:r>
              <w:rPr>
                <w:rFonts w:ascii="宋体" w:hAnsi="宋体" w:cs="宋体" w:eastAsia="宋体"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11,475,030.78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5,684,555.49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2.10%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101.86%</w:t>
            </w:r>
          </w:p>
        </w:tc>
      </w:tr>
      <w:tr>
        <w:trPr>
          <w:trHeight w:val="322" w:hRule="exact"/>
        </w:trPr>
        <w:tc>
          <w:tcPr>
            <w:tcW w:w="128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存货</w:t>
            </w:r>
            <w:r>
              <w:rPr>
                <w:rFonts w:ascii="宋体" w:hAnsi="宋体" w:cs="宋体" w:eastAsia="宋体"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100"/>
                <w:sz w:val="21"/>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918,012.92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0.34%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322" w:hRule="exact"/>
        </w:trPr>
        <w:tc>
          <w:tcPr>
            <w:tcW w:w="128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固定资产</w:t>
            </w:r>
            <w:r>
              <w:rPr>
                <w:rFonts w:ascii="宋体" w:hAnsi="宋体" w:cs="宋体" w:eastAsia="宋体"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pacing w:val="-1"/>
                <w:sz w:val="21"/>
              </w:rPr>
              <w:t>8,172,666.22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0.73%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pacing w:val="-1"/>
                <w:sz w:val="21"/>
              </w:rPr>
              <w:t>3,886,052.52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z w:val="21"/>
              </w:rPr>
              <w:t>1.44%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110.31%</w:t>
            </w:r>
          </w:p>
        </w:tc>
      </w:tr>
      <w:tr>
        <w:trPr>
          <w:trHeight w:val="324" w:hRule="exact"/>
        </w:trPr>
        <w:tc>
          <w:tcPr>
            <w:tcW w:w="128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无形资产</w:t>
            </w:r>
            <w:r>
              <w:rPr>
                <w:rFonts w:ascii="宋体" w:hAnsi="宋体" w:cs="宋体" w:eastAsia="宋体"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196,469.01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0.02%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251,882.25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z w:val="21"/>
              </w:rPr>
              <w:t>0.09%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pacing w:val="-1"/>
                <w:sz w:val="21"/>
              </w:rPr>
              <w:t>-22.00%</w:t>
            </w:r>
          </w:p>
        </w:tc>
      </w:tr>
      <w:tr>
        <w:trPr>
          <w:trHeight w:val="634" w:hRule="exact"/>
        </w:trPr>
        <w:tc>
          <w:tcPr>
            <w:tcW w:w="128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b/>
                <w:bCs/>
                <w:spacing w:val="2"/>
                <w:sz w:val="21"/>
                <w:szCs w:val="21"/>
              </w:rPr>
              <w:t>长期待摊费</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b/>
                <w:bCs/>
                <w:sz w:val="21"/>
                <w:szCs w:val="21"/>
              </w:rPr>
              <w:t>用</w:t>
            </w:r>
            <w:r>
              <w:rPr>
                <w:rFonts w:ascii="宋体" w:hAnsi="宋体" w:cs="宋体" w:eastAsia="宋体"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441,294.34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1,240,204.53</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0.46%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-64.42%</w:t>
            </w:r>
          </w:p>
        </w:tc>
      </w:tr>
      <w:tr>
        <w:trPr>
          <w:trHeight w:val="634" w:hRule="exact"/>
        </w:trPr>
        <w:tc>
          <w:tcPr>
            <w:tcW w:w="128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b/>
                <w:bCs/>
                <w:spacing w:val="2"/>
                <w:sz w:val="21"/>
                <w:szCs w:val="21"/>
              </w:rPr>
              <w:t>递延所得税</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b/>
                <w:bCs/>
                <w:sz w:val="21"/>
                <w:szCs w:val="21"/>
              </w:rPr>
              <w:t>资产</w:t>
            </w:r>
            <w:r>
              <w:rPr>
                <w:rFonts w:ascii="宋体" w:hAnsi="宋体" w:cs="宋体" w:eastAsia="宋体"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2,779,455.49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0.25%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1,020,546.39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0.38%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172.35%</w:t>
            </w:r>
          </w:p>
        </w:tc>
      </w:tr>
      <w:tr>
        <w:trPr>
          <w:trHeight w:val="634" w:hRule="exact"/>
        </w:trPr>
        <w:tc>
          <w:tcPr>
            <w:tcW w:w="128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b/>
                <w:bCs/>
                <w:spacing w:val="2"/>
                <w:sz w:val="21"/>
                <w:szCs w:val="21"/>
              </w:rPr>
              <w:t>其他非流动</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b/>
                <w:bCs/>
                <w:sz w:val="21"/>
                <w:szCs w:val="21"/>
              </w:rPr>
              <w:t>资产</w:t>
            </w:r>
            <w:r>
              <w:rPr>
                <w:rFonts w:ascii="宋体" w:hAnsi="宋体" w:cs="宋体" w:eastAsia="宋体"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2,675,000.00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0.24%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2,975,000.00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1.10%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-10.08%</w:t>
            </w:r>
          </w:p>
        </w:tc>
      </w:tr>
      <w:tr>
        <w:trPr>
          <w:trHeight w:val="322" w:hRule="exact"/>
        </w:trPr>
        <w:tc>
          <w:tcPr>
            <w:tcW w:w="128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1,123,004,266.22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270,473,581.21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100.00%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315.20%</w:t>
            </w:r>
          </w:p>
        </w:tc>
      </w:tr>
    </w:tbl>
    <w:p>
      <w:pPr>
        <w:pStyle w:val="Heading5"/>
        <w:spacing w:line="274" w:lineRule="exact"/>
        <w:ind w:left="503" w:right="138"/>
        <w:jc w:val="left"/>
        <w:rPr>
          <w:b w:val="0"/>
          <w:bCs w:val="0"/>
        </w:rPr>
      </w:pPr>
      <w:r>
        <w:rPr/>
        <w:t>变动原因：</w:t>
      </w:r>
      <w:r>
        <w:rPr>
          <w:b w:val="0"/>
          <w:bCs w:val="0"/>
        </w:rPr>
      </w:r>
    </w:p>
    <w:p>
      <w:pPr>
        <w:pStyle w:val="BodyText"/>
        <w:tabs>
          <w:tab w:pos="1060" w:val="left" w:leader="none"/>
        </w:tabs>
        <w:spacing w:line="240" w:lineRule="auto"/>
        <w:ind w:left="640" w:right="138"/>
        <w:jc w:val="left"/>
      </w:pPr>
      <w:r>
        <w:rPr>
          <w:rFonts w:ascii="Times New Roman" w:hAnsi="Times New Roman" w:cs="Times New Roman" w:eastAsia="Times New Roman" w:hint="default"/>
        </w:rPr>
        <w:t>1.</w:t>
        <w:tab/>
      </w:r>
      <w:r>
        <w:rPr/>
        <w:t>货币资金，主要是公司首次公开发行股票募集资金到账所致；</w:t>
      </w:r>
    </w:p>
    <w:p>
      <w:pPr>
        <w:pStyle w:val="BodyText"/>
        <w:tabs>
          <w:tab w:pos="1060" w:val="left" w:leader="none"/>
        </w:tabs>
        <w:spacing w:line="240" w:lineRule="auto" w:before="135"/>
        <w:ind w:left="640" w:right="138"/>
        <w:jc w:val="left"/>
      </w:pPr>
      <w:r>
        <w:rPr>
          <w:rFonts w:ascii="Times New Roman" w:hAnsi="Times New Roman" w:cs="Times New Roman" w:eastAsia="Times New Roman" w:hint="default"/>
        </w:rPr>
        <w:t>2.</w:t>
        <w:tab/>
      </w:r>
      <w:r>
        <w:rPr/>
        <w:t>应收账款，主要是因为公司营业规模扩大，收入增加所致。</w:t>
      </w:r>
    </w:p>
    <w:p>
      <w:pPr>
        <w:pStyle w:val="BodyText"/>
        <w:tabs>
          <w:tab w:pos="1060" w:val="left" w:leader="none"/>
        </w:tabs>
        <w:spacing w:line="240" w:lineRule="auto" w:before="133"/>
        <w:ind w:left="640" w:right="138"/>
        <w:jc w:val="left"/>
      </w:pPr>
      <w:r>
        <w:rPr>
          <w:rFonts w:ascii="Times New Roman" w:hAnsi="Times New Roman" w:cs="Times New Roman" w:eastAsia="Times New Roman" w:hint="default"/>
        </w:rPr>
        <w:t>3.</w:t>
        <w:tab/>
      </w:r>
      <w:r>
        <w:rPr/>
        <w:t>预付账款，主要是公司采购软件，预付增加所致</w:t>
      </w:r>
    </w:p>
    <w:p>
      <w:pPr>
        <w:pStyle w:val="BodyText"/>
        <w:tabs>
          <w:tab w:pos="1060" w:val="left" w:leader="none"/>
        </w:tabs>
        <w:spacing w:line="240" w:lineRule="auto" w:before="135"/>
        <w:ind w:left="640" w:right="138"/>
        <w:jc w:val="left"/>
      </w:pPr>
      <w:r>
        <w:rPr>
          <w:rFonts w:ascii="Times New Roman" w:hAnsi="Times New Roman" w:cs="Times New Roman" w:eastAsia="Times New Roman" w:hint="default"/>
        </w:rPr>
        <w:t>4.</w:t>
        <w:tab/>
      </w:r>
      <w:r>
        <w:rPr/>
        <w:t>其他应收款，主要是员工购房借款增加所致</w:t>
      </w:r>
    </w:p>
    <w:p>
      <w:pPr>
        <w:spacing w:after="0" w:line="240" w:lineRule="auto"/>
        <w:jc w:val="left"/>
        <w:sectPr>
          <w:pgSz w:w="11910" w:h="16840"/>
          <w:pgMar w:header="884" w:footer="980" w:top="1140" w:bottom="1160" w:left="1580" w:right="1660"/>
        </w:sectPr>
      </w:pPr>
    </w:p>
    <w:p>
      <w:pPr>
        <w:spacing w:line="240" w:lineRule="auto" w:before="5"/>
        <w:rPr>
          <w:rFonts w:ascii="宋体" w:hAnsi="宋体" w:cs="宋体" w:eastAsia="宋体" w:hint="default"/>
          <w:sz w:val="16"/>
          <w:szCs w:val="16"/>
        </w:rPr>
      </w:pPr>
    </w:p>
    <w:p>
      <w:pPr>
        <w:pStyle w:val="BodyText"/>
        <w:tabs>
          <w:tab w:pos="1060" w:val="left" w:leader="none"/>
        </w:tabs>
        <w:spacing w:line="240" w:lineRule="auto" w:before="26"/>
        <w:ind w:left="640" w:right="138"/>
        <w:jc w:val="left"/>
      </w:pPr>
      <w:r>
        <w:rPr>
          <w:rFonts w:ascii="Times New Roman" w:hAnsi="Times New Roman" w:cs="Times New Roman" w:eastAsia="Times New Roman" w:hint="default"/>
        </w:rPr>
        <w:t>5.</w:t>
        <w:tab/>
      </w:r>
      <w:r>
        <w:rPr/>
        <w:t>固定资产，主要是公司员工规模扩大，增加采购办公电脑等设备</w:t>
      </w:r>
    </w:p>
    <w:p>
      <w:pPr>
        <w:pStyle w:val="BodyText"/>
        <w:tabs>
          <w:tab w:pos="1060" w:val="left" w:leader="none"/>
        </w:tabs>
        <w:spacing w:line="240" w:lineRule="auto" w:before="136"/>
        <w:ind w:left="640" w:right="138"/>
        <w:jc w:val="left"/>
      </w:pPr>
      <w:r>
        <w:rPr>
          <w:rFonts w:ascii="Times New Roman" w:hAnsi="Times New Roman" w:cs="Times New Roman" w:eastAsia="Times New Roman" w:hint="default"/>
        </w:rPr>
        <w:t>6.</w:t>
        <w:tab/>
      </w:r>
      <w:r>
        <w:rPr/>
        <w:t>长期待摊费用，主要是办公室装修费用摊销所致</w:t>
      </w:r>
    </w:p>
    <w:p>
      <w:pPr>
        <w:pStyle w:val="BodyText"/>
        <w:tabs>
          <w:tab w:pos="1060" w:val="left" w:leader="none"/>
        </w:tabs>
        <w:spacing w:line="240" w:lineRule="auto" w:before="133"/>
        <w:ind w:left="640" w:right="138"/>
        <w:jc w:val="left"/>
      </w:pPr>
      <w:r>
        <w:rPr>
          <w:rFonts w:ascii="Times New Roman" w:hAnsi="Times New Roman" w:cs="Times New Roman" w:eastAsia="Times New Roman" w:hint="default"/>
        </w:rPr>
        <w:t>7.</w:t>
        <w:tab/>
      </w:r>
      <w:r>
        <w:rPr/>
        <w:t>递延所得税资产，主要是应收账款增加，计提的坏账准备增加所致。</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Heading5"/>
        <w:spacing w:line="240" w:lineRule="auto"/>
        <w:ind w:left="100" w:right="138"/>
        <w:jc w:val="left"/>
        <w:rPr>
          <w:b w:val="0"/>
          <w:bCs w:val="0"/>
        </w:rPr>
      </w:pPr>
      <w:r>
        <w:rPr/>
        <w:t>（五）报告期内公司现金流量构成情况</w:t>
      </w:r>
      <w:r>
        <w:rPr>
          <w:b w:val="0"/>
          <w:bCs w:val="0"/>
        </w:rPr>
      </w:r>
    </w:p>
    <w:p>
      <w:pPr>
        <w:spacing w:before="160"/>
        <w:ind w:left="0" w:right="612" w:firstLine="0"/>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单位：人民币</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元</w:t>
      </w:r>
      <w:r>
        <w:rPr>
          <w:rFonts w:ascii="Times New Roman" w:hAnsi="Times New Roman" w:cs="Times New Roman" w:eastAsia="Times New Roman" w:hint="default"/>
          <w:spacing w:val="-1"/>
          <w:sz w:val="21"/>
          <w:szCs w:val="21"/>
        </w:rPr>
        <w:t>)</w:t>
      </w:r>
    </w:p>
    <w:p>
      <w:pPr>
        <w:spacing w:line="240" w:lineRule="auto" w:before="2"/>
        <w:rPr>
          <w:rFonts w:ascii="Times New Roman" w:hAnsi="Times New Roman" w:cs="Times New Roman" w:eastAsia="Times New Roman" w:hint="default"/>
          <w:sz w:val="13"/>
          <w:szCs w:val="13"/>
        </w:rPr>
      </w:pPr>
    </w:p>
    <w:tbl>
      <w:tblPr>
        <w:tblW w:w="0" w:type="auto"/>
        <w:jc w:val="left"/>
        <w:tblInd w:w="498" w:type="dxa"/>
        <w:tblLayout w:type="fixed"/>
        <w:tblCellMar>
          <w:top w:w="0" w:type="dxa"/>
          <w:left w:w="0" w:type="dxa"/>
          <w:bottom w:w="0" w:type="dxa"/>
          <w:right w:w="0" w:type="dxa"/>
        </w:tblCellMar>
        <w:tblLook w:val="01E0"/>
      </w:tblPr>
      <w:tblGrid>
        <w:gridCol w:w="3334"/>
        <w:gridCol w:w="1668"/>
        <w:gridCol w:w="1666"/>
        <w:gridCol w:w="1335"/>
      </w:tblGrid>
      <w:tr>
        <w:trPr>
          <w:trHeight w:val="317" w:hRule="exact"/>
        </w:trPr>
        <w:tc>
          <w:tcPr>
            <w:tcW w:w="333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8" w:lineRule="exact"/>
              <w:ind w:left="48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66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8" w:lineRule="exact"/>
              <w:ind w:left="48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33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239"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r>
        <w:trPr>
          <w:trHeight w:val="326" w:hRule="exact"/>
        </w:trPr>
        <w:tc>
          <w:tcPr>
            <w:tcW w:w="333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3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b/>
                <w:bCs/>
                <w:sz w:val="21"/>
                <w:szCs w:val="21"/>
              </w:rPr>
              <w:t>经营活动现金流入总额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498,034,184.22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364,023,512.61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36.81%</w:t>
            </w:r>
          </w:p>
        </w:tc>
      </w:tr>
      <w:tr>
        <w:trPr>
          <w:trHeight w:val="323" w:hRule="exact"/>
        </w:trPr>
        <w:tc>
          <w:tcPr>
            <w:tcW w:w="333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b/>
                <w:bCs/>
                <w:sz w:val="21"/>
                <w:szCs w:val="21"/>
              </w:rPr>
              <w:t>经营活动现金流出总额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453,482,089.87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329,993,806.20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37.42%</w:t>
            </w:r>
          </w:p>
        </w:tc>
      </w:tr>
      <w:tr>
        <w:trPr>
          <w:trHeight w:val="323" w:hRule="exact"/>
        </w:trPr>
        <w:tc>
          <w:tcPr>
            <w:tcW w:w="333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4" w:lineRule="exact"/>
              <w:ind w:right="267"/>
              <w:jc w:val="right"/>
              <w:rPr>
                <w:rFonts w:ascii="宋体" w:hAnsi="宋体" w:cs="宋体" w:eastAsia="宋体" w:hint="default"/>
                <w:sz w:val="21"/>
                <w:szCs w:val="21"/>
              </w:rPr>
            </w:pPr>
            <w:r>
              <w:rPr>
                <w:rFonts w:ascii="宋体" w:hAnsi="宋体" w:cs="宋体" w:eastAsia="宋体" w:hint="default"/>
                <w:b/>
                <w:bCs/>
                <w:spacing w:val="-1"/>
                <w:sz w:val="21"/>
                <w:szCs w:val="21"/>
              </w:rPr>
              <w:t>经营活动产生的现金流量净额</w:t>
            </w:r>
            <w:r>
              <w:rPr>
                <w:rFonts w:ascii="宋体" w:hAnsi="宋体" w:cs="宋体" w:eastAsia="宋体" w:hint="default"/>
                <w:spacing w:val="-1"/>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44,552,094.35</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34,029,706.41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30.92%</w:t>
            </w:r>
          </w:p>
        </w:tc>
      </w:tr>
      <w:tr>
        <w:trPr>
          <w:trHeight w:val="322" w:hRule="exact"/>
        </w:trPr>
        <w:tc>
          <w:tcPr>
            <w:tcW w:w="333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3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b/>
                <w:bCs/>
                <w:sz w:val="21"/>
                <w:szCs w:val="21"/>
              </w:rPr>
              <w:t>投资活动现金流入总额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296,174.07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153,406.85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93.06%</w:t>
            </w:r>
          </w:p>
        </w:tc>
      </w:tr>
      <w:tr>
        <w:trPr>
          <w:trHeight w:val="322" w:hRule="exact"/>
        </w:trPr>
        <w:tc>
          <w:tcPr>
            <w:tcW w:w="333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b/>
                <w:bCs/>
                <w:sz w:val="21"/>
                <w:szCs w:val="21"/>
              </w:rPr>
              <w:t>投资活动现金流出总额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16,149,299.79</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6,154,313.05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162.41%</w:t>
            </w:r>
          </w:p>
        </w:tc>
      </w:tr>
      <w:tr>
        <w:trPr>
          <w:trHeight w:val="322" w:hRule="exact"/>
        </w:trPr>
        <w:tc>
          <w:tcPr>
            <w:tcW w:w="333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right="267"/>
              <w:jc w:val="right"/>
              <w:rPr>
                <w:rFonts w:ascii="宋体" w:hAnsi="宋体" w:cs="宋体" w:eastAsia="宋体" w:hint="default"/>
                <w:sz w:val="21"/>
                <w:szCs w:val="21"/>
              </w:rPr>
            </w:pPr>
            <w:r>
              <w:rPr>
                <w:rFonts w:ascii="宋体" w:hAnsi="宋体" w:cs="宋体" w:eastAsia="宋体" w:hint="default"/>
                <w:b/>
                <w:bCs/>
                <w:spacing w:val="-1"/>
                <w:sz w:val="21"/>
                <w:szCs w:val="21"/>
              </w:rPr>
              <w:t>投资活动产生的现金流量净额</w:t>
            </w:r>
            <w:r>
              <w:rPr>
                <w:rFonts w:ascii="宋体" w:hAnsi="宋体" w:cs="宋体" w:eastAsia="宋体" w:hint="default"/>
                <w:spacing w:val="-1"/>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-15,853,125.72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-6,000,906.20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164.18%</w:t>
            </w:r>
          </w:p>
        </w:tc>
      </w:tr>
      <w:tr>
        <w:trPr>
          <w:trHeight w:val="323" w:hRule="exact"/>
        </w:trPr>
        <w:tc>
          <w:tcPr>
            <w:tcW w:w="333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3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4" w:lineRule="exact"/>
              <w:ind w:left="314" w:right="0"/>
              <w:jc w:val="left"/>
              <w:rPr>
                <w:rFonts w:ascii="宋体" w:hAnsi="宋体" w:cs="宋体" w:eastAsia="宋体" w:hint="default"/>
                <w:sz w:val="21"/>
                <w:szCs w:val="21"/>
              </w:rPr>
            </w:pPr>
            <w:r>
              <w:rPr>
                <w:rFonts w:ascii="宋体" w:hAnsi="宋体" w:cs="宋体" w:eastAsia="宋体" w:hint="default"/>
                <w:b/>
                <w:bCs/>
                <w:sz w:val="21"/>
                <w:szCs w:val="21"/>
              </w:rPr>
              <w:t>筹资活动现金流入总额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771,878,094.68</w:t>
            </w:r>
          </w:p>
        </w:tc>
        <w:tc>
          <w:tcPr>
            <w:tcW w:w="166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3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b/>
                <w:bCs/>
                <w:sz w:val="21"/>
                <w:szCs w:val="21"/>
              </w:rPr>
              <w:t>筹资活动现金流出总额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35,348,394.60</w:t>
            </w:r>
          </w:p>
        </w:tc>
        <w:tc>
          <w:tcPr>
            <w:tcW w:w="166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3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right="267"/>
              <w:jc w:val="right"/>
              <w:rPr>
                <w:rFonts w:ascii="宋体" w:hAnsi="宋体" w:cs="宋体" w:eastAsia="宋体" w:hint="default"/>
                <w:sz w:val="21"/>
                <w:szCs w:val="21"/>
              </w:rPr>
            </w:pPr>
            <w:r>
              <w:rPr>
                <w:rFonts w:ascii="宋体" w:hAnsi="宋体" w:cs="宋体" w:eastAsia="宋体" w:hint="default"/>
                <w:b/>
                <w:bCs/>
                <w:spacing w:val="-1"/>
                <w:sz w:val="21"/>
                <w:szCs w:val="21"/>
              </w:rPr>
              <w:t>筹资活动产生的现金流量净额</w:t>
            </w:r>
            <w:r>
              <w:rPr>
                <w:rFonts w:ascii="宋体" w:hAnsi="宋体" w:cs="宋体" w:eastAsia="宋体" w:hint="default"/>
                <w:spacing w:val="-1"/>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736,529,700.08</w:t>
            </w:r>
          </w:p>
        </w:tc>
        <w:tc>
          <w:tcPr>
            <w:tcW w:w="166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3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b/>
                <w:bCs/>
                <w:spacing w:val="-4"/>
                <w:sz w:val="21"/>
                <w:szCs w:val="21"/>
              </w:rPr>
              <w:t>四、汇率变动对现金及现金等价物</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b/>
                <w:bCs/>
                <w:sz w:val="21"/>
                <w:szCs w:val="21"/>
              </w:rPr>
              <w:t>的影响</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-107,810.61</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1,237,148.93</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-108.71%</w:t>
            </w:r>
          </w:p>
        </w:tc>
      </w:tr>
      <w:tr>
        <w:trPr>
          <w:trHeight w:val="322" w:hRule="exact"/>
        </w:trPr>
        <w:tc>
          <w:tcPr>
            <w:tcW w:w="333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765,120,858.10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29,265,949.14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2,514.37%</w:t>
            </w:r>
          </w:p>
        </w:tc>
      </w:tr>
    </w:tbl>
    <w:p>
      <w:pPr>
        <w:pStyle w:val="Heading5"/>
        <w:spacing w:line="274" w:lineRule="exact"/>
        <w:ind w:left="503" w:right="138"/>
        <w:jc w:val="left"/>
        <w:rPr>
          <w:b w:val="0"/>
          <w:bCs w:val="0"/>
        </w:rPr>
      </w:pPr>
      <w:r>
        <w:rPr/>
        <w:t>变动说明：</w:t>
      </w:r>
      <w:r>
        <w:rPr>
          <w:b w:val="0"/>
          <w:bCs w:val="0"/>
        </w:rPr>
      </w:r>
    </w:p>
    <w:p>
      <w:pPr>
        <w:pStyle w:val="BodyText"/>
        <w:tabs>
          <w:tab w:pos="1060" w:val="left" w:leader="none"/>
        </w:tabs>
        <w:spacing w:line="338" w:lineRule="auto"/>
        <w:ind w:left="1060" w:right="138" w:hanging="420"/>
        <w:jc w:val="left"/>
      </w:pPr>
      <w:r>
        <w:rPr>
          <w:rFonts w:ascii="Times New Roman" w:hAnsi="Times New Roman" w:cs="Times New Roman" w:eastAsia="Times New Roman" w:hint="default"/>
        </w:rPr>
        <w:t>1.</w:t>
        <w:tab/>
      </w:r>
      <w:r>
        <w:rPr/>
        <w:t>经营活动现金流净额，主要是因为公司销售规模扩大，收入和收款增加</w:t>
      </w:r>
      <w:r>
        <w:rPr>
          <w:spacing w:val="-97"/>
        </w:rPr>
        <w:t> </w:t>
      </w:r>
      <w:r>
        <w:rPr>
          <w:spacing w:val="-97"/>
        </w:rPr>
      </w:r>
      <w:r>
        <w:rPr/>
        <w:t>所致；</w:t>
      </w:r>
    </w:p>
    <w:p>
      <w:pPr>
        <w:pStyle w:val="BodyText"/>
        <w:tabs>
          <w:tab w:pos="1060" w:val="left" w:leader="none"/>
        </w:tabs>
        <w:spacing w:line="338" w:lineRule="auto" w:before="53"/>
        <w:ind w:left="1060" w:right="138" w:hanging="420"/>
        <w:jc w:val="left"/>
      </w:pPr>
      <w:r>
        <w:rPr>
          <w:rFonts w:ascii="Times New Roman" w:hAnsi="Times New Roman" w:cs="Times New Roman" w:eastAsia="Times New Roman" w:hint="default"/>
        </w:rPr>
        <w:t>2.</w:t>
        <w:tab/>
      </w:r>
      <w:r>
        <w:rPr/>
        <w:t>投资活动现金流出总额，主要是因为公司人员规模扩大，采购办公电脑</w:t>
      </w:r>
      <w:r>
        <w:rPr>
          <w:spacing w:val="-97"/>
        </w:rPr>
        <w:t> </w:t>
      </w:r>
      <w:r>
        <w:rPr>
          <w:spacing w:val="-97"/>
        </w:rPr>
      </w:r>
      <w:r>
        <w:rPr/>
        <w:t>设备所致；</w:t>
      </w:r>
    </w:p>
    <w:p>
      <w:pPr>
        <w:pStyle w:val="BodyText"/>
        <w:tabs>
          <w:tab w:pos="1060" w:val="left" w:leader="none"/>
        </w:tabs>
        <w:spacing w:line="338" w:lineRule="auto" w:before="53"/>
        <w:ind w:left="1060" w:right="138" w:hanging="420"/>
        <w:jc w:val="left"/>
      </w:pPr>
      <w:r>
        <w:rPr>
          <w:rFonts w:ascii="Times New Roman" w:hAnsi="Times New Roman" w:cs="Times New Roman" w:eastAsia="Times New Roman" w:hint="default"/>
        </w:rPr>
        <w:t>3.</w:t>
        <w:tab/>
      </w:r>
      <w:r>
        <w:rPr/>
        <w:t>筹资活动现金流入总额，主要是因为公司首次公开发行股票募集资金流</w:t>
      </w:r>
      <w:r>
        <w:rPr>
          <w:spacing w:val="-97"/>
        </w:rPr>
        <w:t> </w:t>
      </w:r>
      <w:r>
        <w:rPr>
          <w:spacing w:val="-97"/>
        </w:rPr>
      </w:r>
      <w:r>
        <w:rPr/>
        <w:t>入所致；</w:t>
      </w:r>
    </w:p>
    <w:p>
      <w:pPr>
        <w:pStyle w:val="BodyText"/>
        <w:tabs>
          <w:tab w:pos="1060" w:val="left" w:leader="none"/>
        </w:tabs>
        <w:spacing w:line="240" w:lineRule="auto" w:before="53"/>
        <w:ind w:left="640" w:right="138"/>
        <w:jc w:val="left"/>
      </w:pPr>
      <w:r>
        <w:rPr>
          <w:rFonts w:ascii="Times New Roman" w:hAnsi="Times New Roman" w:cs="Times New Roman" w:eastAsia="Times New Roman" w:hint="default"/>
        </w:rPr>
        <w:t>4.</w:t>
        <w:tab/>
      </w:r>
      <w:r>
        <w:rPr/>
        <w:t>筹资活动现金流出总额，主要是公司分红所致。</w:t>
      </w:r>
    </w:p>
    <w:p>
      <w:pPr>
        <w:pStyle w:val="Heading5"/>
        <w:spacing w:line="240" w:lineRule="auto" w:before="136"/>
        <w:ind w:left="100" w:right="138"/>
        <w:jc w:val="left"/>
        <w:rPr>
          <w:b w:val="0"/>
          <w:bCs w:val="0"/>
        </w:rPr>
      </w:pPr>
      <w:r>
        <w:rPr/>
        <w:t>（六）报告期内公司主要财务指标分析</w:t>
      </w:r>
      <w:r>
        <w:rPr>
          <w:b w:val="0"/>
          <w:bCs w:val="0"/>
        </w:rPr>
      </w:r>
    </w:p>
    <w:p>
      <w:pPr>
        <w:spacing w:line="240" w:lineRule="auto" w:before="9"/>
        <w:rPr>
          <w:rFonts w:ascii="宋体" w:hAnsi="宋体" w:cs="宋体" w:eastAsia="宋体" w:hint="default"/>
          <w:b/>
          <w:bCs/>
          <w:sz w:val="14"/>
          <w:szCs w:val="14"/>
        </w:rPr>
      </w:pPr>
    </w:p>
    <w:tbl>
      <w:tblPr>
        <w:tblW w:w="0" w:type="auto"/>
        <w:jc w:val="left"/>
        <w:tblInd w:w="498" w:type="dxa"/>
        <w:tblLayout w:type="fixed"/>
        <w:tblCellMar>
          <w:top w:w="0" w:type="dxa"/>
          <w:left w:w="0" w:type="dxa"/>
          <w:bottom w:w="0" w:type="dxa"/>
          <w:right w:w="0" w:type="dxa"/>
        </w:tblCellMar>
        <w:tblLook w:val="01E0"/>
      </w:tblPr>
      <w:tblGrid>
        <w:gridCol w:w="1500"/>
        <w:gridCol w:w="1762"/>
        <w:gridCol w:w="1580"/>
        <w:gridCol w:w="1582"/>
        <w:gridCol w:w="1580"/>
      </w:tblGrid>
      <w:tr>
        <w:trPr>
          <w:trHeight w:val="322" w:hRule="exact"/>
        </w:trPr>
        <w:tc>
          <w:tcPr>
            <w:tcW w:w="150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指标</w:t>
            </w:r>
            <w:r>
              <w:rPr>
                <w:rFonts w:ascii="宋体" w:hAnsi="宋体" w:cs="宋体" w:eastAsia="宋体" w:hint="default"/>
                <w:sz w:val="21"/>
                <w:szCs w:val="21"/>
              </w:rPr>
            </w:r>
          </w:p>
        </w:tc>
        <w:tc>
          <w:tcPr>
            <w:tcW w:w="158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8" w:lineRule="exact"/>
              <w:ind w:left="44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8" w:lineRule="exact"/>
              <w:ind w:left="44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8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right="149"/>
              <w:jc w:val="right"/>
              <w:rPr>
                <w:rFonts w:ascii="宋体" w:hAnsi="宋体" w:cs="宋体" w:eastAsia="宋体" w:hint="default"/>
                <w:sz w:val="21"/>
                <w:szCs w:val="21"/>
              </w:rPr>
            </w:pPr>
            <w:r>
              <w:rPr>
                <w:rFonts w:ascii="宋体" w:hAnsi="宋体" w:cs="宋体" w:eastAsia="宋体" w:hint="default"/>
                <w:b/>
                <w:bCs/>
                <w:sz w:val="21"/>
                <w:szCs w:val="21"/>
              </w:rPr>
              <w:t>同比增减变化</w:t>
            </w:r>
            <w:r>
              <w:rPr>
                <w:rFonts w:ascii="宋体" w:hAnsi="宋体" w:cs="宋体" w:eastAsia="宋体" w:hint="default"/>
                <w:sz w:val="21"/>
                <w:szCs w:val="21"/>
              </w:rPr>
            </w:r>
          </w:p>
        </w:tc>
      </w:tr>
      <w:tr>
        <w:trPr>
          <w:trHeight w:val="324" w:hRule="exact"/>
        </w:trPr>
        <w:tc>
          <w:tcPr>
            <w:tcW w:w="1500"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before="150"/>
              <w:ind w:left="323" w:right="0"/>
              <w:jc w:val="left"/>
              <w:rPr>
                <w:rFonts w:ascii="宋体" w:hAnsi="宋体" w:cs="宋体" w:eastAsia="宋体" w:hint="default"/>
                <w:sz w:val="21"/>
                <w:szCs w:val="21"/>
              </w:rPr>
            </w:pPr>
            <w:r>
              <w:rPr>
                <w:rFonts w:ascii="宋体" w:hAnsi="宋体" w:cs="宋体" w:eastAsia="宋体" w:hint="default"/>
                <w:b/>
                <w:bCs/>
                <w:sz w:val="21"/>
                <w:szCs w:val="21"/>
              </w:rPr>
              <w:t>盈利能力</w:t>
            </w:r>
            <w:r>
              <w:rPr>
                <w:rFonts w:ascii="宋体" w:hAnsi="宋体" w:cs="宋体" w:eastAsia="宋体" w:hint="default"/>
                <w:sz w:val="21"/>
                <w:szCs w:val="21"/>
              </w:rPr>
            </w:r>
          </w:p>
        </w:tc>
        <w:tc>
          <w:tcPr>
            <w:tcW w:w="17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33.89%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36.67%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pacing w:val="-1"/>
                <w:sz w:val="21"/>
              </w:rPr>
              <w:t>-2.78%</w:t>
            </w:r>
          </w:p>
        </w:tc>
      </w:tr>
      <w:tr>
        <w:trPr>
          <w:trHeight w:val="322" w:hRule="exact"/>
        </w:trPr>
        <w:tc>
          <w:tcPr>
            <w:tcW w:w="1500" w:type="dxa"/>
            <w:vMerge/>
            <w:tcBorders>
              <w:left w:val="single" w:sz="4" w:space="0" w:color="000000"/>
              <w:bottom w:val="single" w:sz="4" w:space="0" w:color="000000"/>
              <w:right w:val="single" w:sz="4" w:space="0" w:color="000000"/>
            </w:tcBorders>
            <w:shd w:val="clear" w:color="auto" w:fill="DFDFDF"/>
          </w:tcPr>
          <w:p>
            <w:pPr/>
          </w:p>
        </w:tc>
        <w:tc>
          <w:tcPr>
            <w:tcW w:w="17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净资产收益率</w:t>
            </w:r>
            <w:r>
              <w:rPr>
                <w:rFonts w:ascii="宋体" w:hAnsi="宋体" w:cs="宋体" w:eastAsia="宋体" w:hint="default"/>
                <w:sz w:val="21"/>
                <w:szCs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10.24%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33.23%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-22.99%</w:t>
            </w:r>
          </w:p>
        </w:tc>
      </w:tr>
      <w:tr>
        <w:trPr>
          <w:trHeight w:val="322" w:hRule="exact"/>
        </w:trPr>
        <w:tc>
          <w:tcPr>
            <w:tcW w:w="1500"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before="148"/>
              <w:ind w:left="323" w:right="0"/>
              <w:jc w:val="left"/>
              <w:rPr>
                <w:rFonts w:ascii="宋体" w:hAnsi="宋体" w:cs="宋体" w:eastAsia="宋体" w:hint="default"/>
                <w:sz w:val="21"/>
                <w:szCs w:val="21"/>
              </w:rPr>
            </w:pPr>
            <w:r>
              <w:rPr>
                <w:rFonts w:ascii="宋体" w:hAnsi="宋体" w:cs="宋体" w:eastAsia="宋体" w:hint="default"/>
                <w:b/>
                <w:bCs/>
                <w:sz w:val="21"/>
                <w:szCs w:val="21"/>
              </w:rPr>
              <w:t>偿债能力</w:t>
            </w:r>
            <w:r>
              <w:rPr>
                <w:rFonts w:ascii="宋体" w:hAnsi="宋体" w:cs="宋体" w:eastAsia="宋体" w:hint="default"/>
                <w:sz w:val="21"/>
                <w:szCs w:val="21"/>
              </w:rPr>
            </w:r>
          </w:p>
        </w:tc>
        <w:tc>
          <w:tcPr>
            <w:tcW w:w="17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流动比率（倍）</w:t>
            </w:r>
            <w:r>
              <w:rPr>
                <w:rFonts w:ascii="宋体" w:hAnsi="宋体" w:cs="宋体" w:eastAsia="宋体" w:hint="default"/>
                <w:sz w:val="21"/>
                <w:szCs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16.65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5.42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207.20%</w:t>
            </w:r>
          </w:p>
        </w:tc>
      </w:tr>
      <w:tr>
        <w:trPr>
          <w:trHeight w:val="322" w:hRule="exact"/>
        </w:trPr>
        <w:tc>
          <w:tcPr>
            <w:tcW w:w="1500" w:type="dxa"/>
            <w:vMerge/>
            <w:tcBorders>
              <w:left w:val="single" w:sz="4" w:space="0" w:color="000000"/>
              <w:bottom w:val="single" w:sz="4" w:space="0" w:color="000000"/>
              <w:right w:val="single" w:sz="4" w:space="0" w:color="000000"/>
            </w:tcBorders>
            <w:shd w:val="clear" w:color="auto" w:fill="DFDFDF"/>
          </w:tcPr>
          <w:p>
            <w:pPr/>
          </w:p>
        </w:tc>
        <w:tc>
          <w:tcPr>
            <w:tcW w:w="17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速动比率（倍）</w:t>
            </w:r>
            <w:r>
              <w:rPr>
                <w:rFonts w:ascii="宋体" w:hAnsi="宋体" w:cs="宋体" w:eastAsia="宋体" w:hint="default"/>
                <w:sz w:val="21"/>
                <w:szCs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16.65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5.40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208.33%</w:t>
            </w:r>
          </w:p>
        </w:tc>
      </w:tr>
    </w:tbl>
    <w:p>
      <w:pPr>
        <w:spacing w:after="0" w:line="240" w:lineRule="auto"/>
        <w:jc w:val="right"/>
        <w:rPr>
          <w:rFonts w:ascii="Times New Roman" w:hAnsi="Times New Roman" w:cs="Times New Roman" w:eastAsia="Times New Roman" w:hint="default"/>
          <w:sz w:val="21"/>
          <w:szCs w:val="21"/>
        </w:rPr>
        <w:sectPr>
          <w:pgSz w:w="11910" w:h="16840"/>
          <w:pgMar w:header="884" w:footer="980" w:top="1140" w:bottom="1160" w:left="1580" w:right="1660"/>
        </w:sectPr>
      </w:pPr>
    </w:p>
    <w:p>
      <w:pPr>
        <w:spacing w:line="240" w:lineRule="auto" w:before="6"/>
        <w:rPr>
          <w:rFonts w:ascii="宋体" w:hAnsi="宋体" w:cs="宋体" w:eastAsia="宋体" w:hint="default"/>
          <w:b/>
          <w:bCs/>
          <w:sz w:val="21"/>
          <w:szCs w:val="21"/>
        </w:rPr>
      </w:pPr>
    </w:p>
    <w:tbl>
      <w:tblPr>
        <w:tblW w:w="0" w:type="auto"/>
        <w:jc w:val="left"/>
        <w:tblInd w:w="498" w:type="dxa"/>
        <w:tblLayout w:type="fixed"/>
        <w:tblCellMar>
          <w:top w:w="0" w:type="dxa"/>
          <w:left w:w="0" w:type="dxa"/>
          <w:bottom w:w="0" w:type="dxa"/>
          <w:right w:w="0" w:type="dxa"/>
        </w:tblCellMar>
        <w:tblLook w:val="01E0"/>
      </w:tblPr>
      <w:tblGrid>
        <w:gridCol w:w="1500"/>
        <w:gridCol w:w="1762"/>
        <w:gridCol w:w="1580"/>
        <w:gridCol w:w="1582"/>
        <w:gridCol w:w="1580"/>
      </w:tblGrid>
      <w:tr>
        <w:trPr>
          <w:trHeight w:val="322" w:hRule="exact"/>
        </w:trPr>
        <w:tc>
          <w:tcPr>
            <w:tcW w:w="1500" w:type="dxa"/>
            <w:tcBorders>
              <w:top w:val="single" w:sz="4" w:space="0" w:color="000000"/>
              <w:left w:val="single" w:sz="4" w:space="0" w:color="000000"/>
              <w:bottom w:val="single" w:sz="4" w:space="0" w:color="000000"/>
              <w:right w:val="single" w:sz="4" w:space="0" w:color="000000"/>
            </w:tcBorders>
            <w:shd w:val="clear" w:color="auto" w:fill="DFDFDF"/>
          </w:tcPr>
          <w:p>
            <w:pPr/>
          </w:p>
        </w:tc>
        <w:tc>
          <w:tcPr>
            <w:tcW w:w="17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资产负债率</w:t>
            </w:r>
            <w:r>
              <w:rPr>
                <w:rFonts w:ascii="宋体" w:hAnsi="宋体" w:cs="宋体" w:eastAsia="宋体" w:hint="default"/>
                <w:sz w:val="21"/>
                <w:szCs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5.93%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17.83%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-11.90%</w:t>
            </w:r>
          </w:p>
        </w:tc>
      </w:tr>
      <w:tr>
        <w:trPr>
          <w:trHeight w:val="322" w:hRule="exact"/>
        </w:trPr>
        <w:tc>
          <w:tcPr>
            <w:tcW w:w="150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3"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营运能力</w:t>
            </w:r>
            <w:r>
              <w:rPr>
                <w:rFonts w:ascii="宋体" w:hAnsi="宋体" w:cs="宋体" w:eastAsia="宋体" w:hint="default"/>
                <w:sz w:val="21"/>
                <w:szCs w:val="21"/>
              </w:rPr>
            </w:r>
          </w:p>
        </w:tc>
        <w:tc>
          <w:tcPr>
            <w:tcW w:w="17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应收帐款周转率</w:t>
            </w:r>
            <w:r>
              <w:rPr>
                <w:rFonts w:ascii="宋体" w:hAnsi="宋体" w:cs="宋体" w:eastAsia="宋体" w:hint="default"/>
                <w:sz w:val="21"/>
                <w:szCs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5.22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5.55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-5.78%</w:t>
            </w:r>
          </w:p>
        </w:tc>
      </w:tr>
    </w:tbl>
    <w:p>
      <w:pPr>
        <w:pStyle w:val="Heading5"/>
        <w:spacing w:line="274" w:lineRule="exact"/>
        <w:ind w:left="503" w:right="138"/>
        <w:jc w:val="left"/>
        <w:rPr>
          <w:b w:val="0"/>
          <w:bCs w:val="0"/>
        </w:rPr>
      </w:pPr>
      <w:r>
        <w:rPr/>
        <w:t>变动说明：</w:t>
      </w:r>
      <w:r>
        <w:rPr>
          <w:b w:val="0"/>
          <w:bCs w:val="0"/>
        </w:rPr>
      </w:r>
    </w:p>
    <w:p>
      <w:pPr>
        <w:pStyle w:val="BodyText"/>
        <w:tabs>
          <w:tab w:pos="1060" w:val="left" w:leader="none"/>
        </w:tabs>
        <w:spacing w:line="240" w:lineRule="auto"/>
        <w:ind w:left="640" w:right="138"/>
        <w:jc w:val="left"/>
      </w:pPr>
      <w:r>
        <w:rPr>
          <w:rFonts w:ascii="Times New Roman" w:hAnsi="Times New Roman" w:cs="Times New Roman" w:eastAsia="Times New Roman" w:hint="default"/>
        </w:rPr>
        <w:t>1.</w:t>
        <w:tab/>
      </w:r>
      <w:r>
        <w:rPr/>
        <w:t>毛利率，人员增长所带来的人工成本增加快于收入的增长；</w:t>
      </w:r>
    </w:p>
    <w:p>
      <w:pPr>
        <w:pStyle w:val="BodyText"/>
        <w:tabs>
          <w:tab w:pos="1060" w:val="left" w:leader="none"/>
        </w:tabs>
        <w:spacing w:line="336" w:lineRule="auto" w:before="135"/>
        <w:ind w:left="1060" w:right="138" w:hanging="420"/>
        <w:jc w:val="left"/>
      </w:pPr>
      <w:r>
        <w:rPr>
          <w:rFonts w:ascii="Times New Roman" w:hAnsi="Times New Roman" w:cs="Times New Roman" w:eastAsia="Times New Roman" w:hint="default"/>
        </w:rPr>
        <w:t>2.</w:t>
        <w:tab/>
      </w:r>
      <w:r>
        <w:rPr/>
        <w:t>净资产收益率，主要为公司首次公开发行股份募集资金，净资产大幅增</w:t>
      </w:r>
      <w:r>
        <w:rPr>
          <w:spacing w:val="-97"/>
        </w:rPr>
        <w:t> </w:t>
      </w:r>
      <w:r>
        <w:rPr>
          <w:spacing w:val="-97"/>
        </w:rPr>
      </w:r>
      <w:r>
        <w:rPr/>
        <w:t>加所致；</w:t>
      </w:r>
    </w:p>
    <w:p>
      <w:pPr>
        <w:pStyle w:val="BodyText"/>
        <w:tabs>
          <w:tab w:pos="1060" w:val="left" w:leader="none"/>
        </w:tabs>
        <w:spacing w:line="336" w:lineRule="auto" w:before="58"/>
        <w:ind w:left="1060" w:right="138" w:hanging="420"/>
        <w:jc w:val="left"/>
      </w:pPr>
      <w:r>
        <w:rPr>
          <w:rFonts w:ascii="Times New Roman" w:hAnsi="Times New Roman" w:cs="Times New Roman" w:eastAsia="Times New Roman" w:hint="default"/>
        </w:rPr>
        <w:t>3.</w:t>
        <w:tab/>
      </w:r>
      <w:r>
        <w:rPr/>
        <w:t>流动比率和速动比率，主要为公司首次公开发行股票，募资资金到位，</w:t>
      </w:r>
      <w:r>
        <w:rPr>
          <w:spacing w:val="-96"/>
        </w:rPr>
        <w:t> </w:t>
      </w:r>
      <w:r>
        <w:rPr>
          <w:spacing w:val="-96"/>
        </w:rPr>
      </w:r>
      <w:r>
        <w:rPr/>
        <w:t>流动资产增加所致。</w:t>
      </w:r>
    </w:p>
    <w:p>
      <w:pPr>
        <w:spacing w:line="240" w:lineRule="auto" w:before="13"/>
        <w:rPr>
          <w:rFonts w:ascii="宋体" w:hAnsi="宋体" w:cs="宋体" w:eastAsia="宋体" w:hint="default"/>
          <w:sz w:val="35"/>
          <w:szCs w:val="35"/>
        </w:rPr>
      </w:pPr>
    </w:p>
    <w:p>
      <w:pPr>
        <w:pStyle w:val="Heading5"/>
        <w:spacing w:line="240" w:lineRule="auto"/>
        <w:ind w:left="100" w:right="138"/>
        <w:jc w:val="left"/>
        <w:rPr>
          <w:b w:val="0"/>
          <w:bCs w:val="0"/>
        </w:rPr>
      </w:pPr>
      <w:r>
        <w:rPr/>
        <w:t>（七）报告期内公司薪酬分析</w:t>
      </w:r>
      <w:r>
        <w:rPr>
          <w:b w:val="0"/>
          <w:bCs w:val="0"/>
        </w:rPr>
      </w:r>
    </w:p>
    <w:p>
      <w:pPr>
        <w:pStyle w:val="BodyText"/>
        <w:spacing w:line="240" w:lineRule="auto"/>
        <w:ind w:left="700" w:right="138"/>
        <w:jc w:val="left"/>
      </w:pPr>
      <w:r>
        <w:rPr/>
        <w:t>详见本报告“第六节 董事、监事、高级管理人员和员工情况”</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Heading5"/>
        <w:spacing w:line="240" w:lineRule="auto" w:before="26"/>
        <w:ind w:left="100" w:right="138"/>
        <w:jc w:val="left"/>
        <w:rPr>
          <w:b w:val="0"/>
          <w:bCs w:val="0"/>
        </w:rPr>
      </w:pPr>
      <w:r>
        <w:rPr/>
        <w:t>（八）报告期内公司研发费用情况</w:t>
      </w:r>
      <w:r>
        <w:rPr>
          <w:b w:val="0"/>
          <w:bCs w:val="0"/>
        </w:rPr>
      </w:r>
    </w:p>
    <w:p>
      <w:pPr>
        <w:spacing w:before="157"/>
        <w:ind w:left="0" w:right="132" w:firstLine="0"/>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单位：人民币</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元</w:t>
      </w:r>
      <w:r>
        <w:rPr>
          <w:rFonts w:ascii="Times New Roman" w:hAnsi="Times New Roman" w:cs="Times New Roman" w:eastAsia="Times New Roman" w:hint="default"/>
          <w:spacing w:val="-1"/>
          <w:sz w:val="21"/>
          <w:szCs w:val="21"/>
        </w:rPr>
        <w:t>)</w:t>
      </w:r>
    </w:p>
    <w:p>
      <w:pPr>
        <w:spacing w:line="240" w:lineRule="auto" w:before="3"/>
        <w:rPr>
          <w:rFonts w:ascii="Times New Roman" w:hAnsi="Times New Roman" w:cs="Times New Roman" w:eastAsia="Times New Roman" w:hint="default"/>
          <w:sz w:val="13"/>
          <w:szCs w:val="13"/>
        </w:rPr>
      </w:pPr>
    </w:p>
    <w:tbl>
      <w:tblPr>
        <w:tblW w:w="0" w:type="auto"/>
        <w:jc w:val="left"/>
        <w:tblInd w:w="498" w:type="dxa"/>
        <w:tblLayout w:type="fixed"/>
        <w:tblCellMar>
          <w:top w:w="0" w:type="dxa"/>
          <w:left w:w="0" w:type="dxa"/>
          <w:bottom w:w="0" w:type="dxa"/>
          <w:right w:w="0" w:type="dxa"/>
        </w:tblCellMar>
        <w:tblLook w:val="01E0"/>
      </w:tblPr>
      <w:tblGrid>
        <w:gridCol w:w="1680"/>
        <w:gridCol w:w="1580"/>
        <w:gridCol w:w="1582"/>
        <w:gridCol w:w="1582"/>
        <w:gridCol w:w="1580"/>
      </w:tblGrid>
      <w:tr>
        <w:trPr>
          <w:trHeight w:val="323" w:hRule="exact"/>
        </w:trPr>
        <w:tc>
          <w:tcPr>
            <w:tcW w:w="168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4" w:lineRule="exact"/>
              <w:ind w:right="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8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9" w:lineRule="exact"/>
              <w:ind w:left="44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9" w:lineRule="exact"/>
              <w:ind w:left="44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4" w:lineRule="exact"/>
              <w:ind w:left="364"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c>
          <w:tcPr>
            <w:tcW w:w="158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9" w:lineRule="exact"/>
              <w:ind w:left="44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22" w:hRule="exact"/>
        </w:trPr>
        <w:tc>
          <w:tcPr>
            <w:tcW w:w="168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研发费用</w:t>
            </w:r>
            <w:r>
              <w:rPr>
                <w:rFonts w:ascii="宋体" w:hAnsi="宋体" w:cs="宋体" w:eastAsia="宋体" w:hint="default"/>
                <w:sz w:val="21"/>
                <w:szCs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16,126,974.36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15,139,808.17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6.52%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14,466,637.98</w:t>
            </w:r>
          </w:p>
        </w:tc>
      </w:tr>
      <w:tr>
        <w:trPr>
          <w:trHeight w:val="322" w:hRule="exact"/>
        </w:trPr>
        <w:tc>
          <w:tcPr>
            <w:tcW w:w="168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520,493,452.28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360,670,169.02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44.22%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312,373,065.39</w:t>
            </w:r>
          </w:p>
        </w:tc>
      </w:tr>
      <w:tr>
        <w:trPr>
          <w:trHeight w:val="634" w:hRule="exact"/>
        </w:trPr>
        <w:tc>
          <w:tcPr>
            <w:tcW w:w="168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104"/>
              <w:jc w:val="left"/>
              <w:rPr>
                <w:rFonts w:ascii="宋体" w:hAnsi="宋体" w:cs="宋体" w:eastAsia="宋体" w:hint="default"/>
                <w:sz w:val="21"/>
                <w:szCs w:val="21"/>
              </w:rPr>
            </w:pPr>
            <w:r>
              <w:rPr>
                <w:rFonts w:ascii="宋体" w:hAnsi="宋体" w:cs="宋体" w:eastAsia="宋体" w:hint="default"/>
                <w:b/>
                <w:bCs/>
                <w:sz w:val="21"/>
                <w:szCs w:val="21"/>
              </w:rPr>
              <w:t>占</w:t>
            </w:r>
            <w:r>
              <w:rPr>
                <w:rFonts w:ascii="宋体" w:hAnsi="宋体" w:cs="宋体" w:eastAsia="宋体" w:hint="default"/>
                <w:b/>
                <w:bCs/>
                <w:spacing w:val="-66"/>
                <w:sz w:val="21"/>
                <w:szCs w:val="21"/>
              </w:rPr>
              <w:t> </w:t>
            </w:r>
            <w:r>
              <w:rPr>
                <w:rFonts w:ascii="宋体" w:hAnsi="宋体" w:cs="宋体" w:eastAsia="宋体" w:hint="default"/>
                <w:b/>
                <w:bCs/>
                <w:sz w:val="21"/>
                <w:szCs w:val="21"/>
              </w:rPr>
              <w:t>营</w:t>
            </w:r>
            <w:r>
              <w:rPr>
                <w:rFonts w:ascii="宋体" w:hAnsi="宋体" w:cs="宋体" w:eastAsia="宋体" w:hint="default"/>
                <w:b/>
                <w:bCs/>
                <w:spacing w:val="-68"/>
                <w:sz w:val="21"/>
                <w:szCs w:val="21"/>
              </w:rPr>
              <w:t> </w:t>
            </w:r>
            <w:r>
              <w:rPr>
                <w:rFonts w:ascii="宋体" w:hAnsi="宋体" w:cs="宋体" w:eastAsia="宋体" w:hint="default"/>
                <w:b/>
                <w:bCs/>
                <w:sz w:val="21"/>
                <w:szCs w:val="21"/>
              </w:rPr>
              <w:t>业</w:t>
            </w:r>
            <w:r>
              <w:rPr>
                <w:rFonts w:ascii="宋体" w:hAnsi="宋体" w:cs="宋体" w:eastAsia="宋体" w:hint="default"/>
                <w:b/>
                <w:bCs/>
                <w:spacing w:val="-68"/>
                <w:sz w:val="21"/>
                <w:szCs w:val="21"/>
              </w:rPr>
              <w:t> </w:t>
            </w:r>
            <w:r>
              <w:rPr>
                <w:rFonts w:ascii="宋体" w:hAnsi="宋体" w:cs="宋体" w:eastAsia="宋体" w:hint="default"/>
                <w:b/>
                <w:bCs/>
                <w:sz w:val="21"/>
                <w:szCs w:val="21"/>
              </w:rPr>
              <w:t>收</w:t>
            </w:r>
            <w:r>
              <w:rPr>
                <w:rFonts w:ascii="宋体" w:hAnsi="宋体" w:cs="宋体" w:eastAsia="宋体" w:hint="default"/>
                <w:b/>
                <w:bCs/>
                <w:spacing w:val="-68"/>
                <w:sz w:val="21"/>
                <w:szCs w:val="21"/>
              </w:rPr>
              <w:t> </w:t>
            </w:r>
            <w:r>
              <w:rPr>
                <w:rFonts w:ascii="宋体" w:hAnsi="宋体" w:cs="宋体" w:eastAsia="宋体" w:hint="default"/>
                <w:b/>
                <w:bCs/>
                <w:sz w:val="21"/>
                <w:szCs w:val="21"/>
              </w:rPr>
              <w:t>入</w:t>
            </w:r>
            <w:r>
              <w:rPr>
                <w:rFonts w:ascii="宋体" w:hAnsi="宋体" w:cs="宋体" w:eastAsia="宋体" w:hint="default"/>
                <w:b/>
                <w:bCs/>
                <w:spacing w:val="-68"/>
                <w:sz w:val="21"/>
                <w:szCs w:val="21"/>
              </w:rPr>
              <w:t> </w:t>
            </w:r>
            <w:r>
              <w:rPr>
                <w:rFonts w:ascii="宋体" w:hAnsi="宋体" w:cs="宋体" w:eastAsia="宋体" w:hint="default"/>
                <w:b/>
                <w:bCs/>
                <w:sz w:val="21"/>
                <w:szCs w:val="21"/>
              </w:rPr>
              <w:t>比</w:t>
            </w:r>
            <w:r>
              <w:rPr>
                <w:rFonts w:ascii="宋体" w:hAnsi="宋体" w:cs="宋体" w:eastAsia="宋体" w:hint="default"/>
                <w:b/>
                <w:bCs/>
                <w:w w:val="100"/>
                <w:sz w:val="21"/>
                <w:szCs w:val="21"/>
              </w:rPr>
              <w:t> </w:t>
            </w:r>
            <w:r>
              <w:rPr>
                <w:rFonts w:ascii="宋体" w:hAnsi="宋体" w:cs="宋体" w:eastAsia="宋体" w:hint="default"/>
                <w:b/>
                <w:bCs/>
                <w:sz w:val="21"/>
                <w:szCs w:val="21"/>
              </w:rPr>
              <w:t>重</w:t>
            </w:r>
            <w:r>
              <w:rPr>
                <w:rFonts w:ascii="宋体" w:hAnsi="宋体" w:cs="宋体" w:eastAsia="宋体" w:hint="default"/>
                <w:sz w:val="21"/>
                <w:szCs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3.10%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4.20%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4.63%</w:t>
            </w:r>
          </w:p>
        </w:tc>
      </w:tr>
    </w:tbl>
    <w:p>
      <w:pPr>
        <w:spacing w:line="240" w:lineRule="auto" w:before="0"/>
        <w:rPr>
          <w:rFonts w:ascii="Times New Roman" w:hAnsi="Times New Roman" w:cs="Times New Roman" w:eastAsia="Times New Roman" w:hint="default"/>
          <w:sz w:val="20"/>
          <w:szCs w:val="20"/>
        </w:rPr>
      </w:pPr>
    </w:p>
    <w:p>
      <w:pPr>
        <w:spacing w:line="357" w:lineRule="auto" w:before="198"/>
        <w:ind w:left="700" w:right="4450" w:hanging="600"/>
        <w:jc w:val="left"/>
        <w:rPr>
          <w:rFonts w:ascii="宋体" w:hAnsi="宋体" w:cs="宋体" w:eastAsia="宋体" w:hint="default"/>
          <w:sz w:val="24"/>
          <w:szCs w:val="24"/>
        </w:rPr>
      </w:pPr>
      <w:r>
        <w:rPr>
          <w:rFonts w:ascii="宋体" w:hAnsi="宋体" w:cs="宋体" w:eastAsia="宋体" w:hint="default"/>
          <w:b/>
          <w:bCs/>
          <w:sz w:val="24"/>
          <w:szCs w:val="24"/>
        </w:rPr>
        <w:t>（九）报告期内公司主要无形资产情况</w:t>
      </w:r>
      <w:r>
        <w:rPr>
          <w:rFonts w:ascii="宋体" w:hAnsi="宋体" w:cs="宋体" w:eastAsia="宋体" w:hint="default"/>
          <w:b/>
          <w:bCs/>
          <w:w w:val="99"/>
          <w:sz w:val="24"/>
          <w:szCs w:val="24"/>
        </w:rPr>
        <w:t> </w:t>
      </w:r>
      <w:r>
        <w:rPr>
          <w:rFonts w:ascii="宋体" w:hAnsi="宋体" w:cs="宋体" w:eastAsia="宋体" w:hint="default"/>
          <w:sz w:val="24"/>
          <w:szCs w:val="24"/>
        </w:rPr>
        <w:t>报告期末，无形资产账面情况</w:t>
      </w:r>
    </w:p>
    <w:p>
      <w:pPr>
        <w:spacing w:line="240" w:lineRule="auto" w:before="10"/>
        <w:rPr>
          <w:rFonts w:ascii="宋体" w:hAnsi="宋体" w:cs="宋体" w:eastAsia="宋体" w:hint="default"/>
          <w:sz w:val="5"/>
          <w:szCs w:val="5"/>
        </w:rPr>
      </w:pPr>
    </w:p>
    <w:tbl>
      <w:tblPr>
        <w:tblW w:w="0" w:type="auto"/>
        <w:jc w:val="left"/>
        <w:tblInd w:w="498" w:type="dxa"/>
        <w:tblLayout w:type="fixed"/>
        <w:tblCellMar>
          <w:top w:w="0" w:type="dxa"/>
          <w:left w:w="0" w:type="dxa"/>
          <w:bottom w:w="0" w:type="dxa"/>
          <w:right w:w="0" w:type="dxa"/>
        </w:tblCellMar>
        <w:tblLook w:val="01E0"/>
      </w:tblPr>
      <w:tblGrid>
        <w:gridCol w:w="2638"/>
        <w:gridCol w:w="2031"/>
      </w:tblGrid>
      <w:tr>
        <w:trPr>
          <w:trHeight w:val="323" w:hRule="exact"/>
        </w:trPr>
        <w:tc>
          <w:tcPr>
            <w:tcW w:w="263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4" w:lineRule="exact"/>
              <w:ind w:right="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3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2011 </w:t>
            </w:r>
            <w:r>
              <w:rPr>
                <w:rFonts w:ascii="宋体" w:hAnsi="宋体" w:cs="宋体" w:eastAsia="宋体" w:hint="default"/>
                <w:b/>
                <w:bCs/>
                <w:sz w:val="21"/>
                <w:szCs w:val="21"/>
              </w:rPr>
              <w:t>年末余额</w:t>
            </w:r>
            <w:r>
              <w:rPr>
                <w:rFonts w:ascii="宋体" w:hAnsi="宋体" w:cs="宋体" w:eastAsia="宋体" w:hint="default"/>
                <w:sz w:val="21"/>
                <w:szCs w:val="21"/>
              </w:rPr>
            </w:r>
          </w:p>
        </w:tc>
      </w:tr>
      <w:tr>
        <w:trPr>
          <w:trHeight w:val="322" w:hRule="exact"/>
        </w:trPr>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办公及经营用计算机软件</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196,469.01</w:t>
            </w:r>
          </w:p>
        </w:tc>
      </w:tr>
    </w:tbl>
    <w:p>
      <w:pPr>
        <w:pStyle w:val="BodyText"/>
        <w:spacing w:line="274" w:lineRule="exact" w:before="0"/>
        <w:ind w:left="503" w:right="0"/>
        <w:jc w:val="left"/>
      </w:pPr>
      <w:r>
        <w:rPr>
          <w:rFonts w:ascii="宋体" w:hAnsi="宋体" w:cs="宋体" w:eastAsia="宋体" w:hint="default"/>
          <w:b/>
          <w:bCs/>
          <w:spacing w:val="2"/>
        </w:rPr>
        <w:t>说明</w:t>
      </w:r>
      <w:r>
        <w:rPr>
          <w:spacing w:val="2"/>
        </w:rPr>
        <w:t>：报告期内、公司账面无形资产主要为办公及经营用计算机软件。除上</w:t>
      </w:r>
    </w:p>
    <w:p>
      <w:pPr>
        <w:pStyle w:val="BodyText"/>
        <w:spacing w:line="240" w:lineRule="auto" w:before="151"/>
        <w:ind w:left="503" w:right="138"/>
        <w:jc w:val="left"/>
      </w:pPr>
      <w:r>
        <w:rPr/>
        <w:t>述无形资产外，公司还拥有以下商标、专利、著作权及非专利技术</w:t>
      </w:r>
    </w:p>
    <w:p>
      <w:pPr>
        <w:pStyle w:val="BodyText"/>
        <w:spacing w:line="336" w:lineRule="auto"/>
        <w:ind w:left="700" w:right="3386" w:hanging="60"/>
        <w:jc w:val="left"/>
      </w:pPr>
      <w:r>
        <w:rPr/>
        <w:t>（</w:t>
      </w:r>
      <w:r>
        <w:rPr>
          <w:rFonts w:ascii="Times New Roman" w:hAnsi="Times New Roman" w:cs="Times New Roman" w:eastAsia="Times New Roman" w:hint="default"/>
        </w:rPr>
        <w:t>1</w:t>
      </w:r>
      <w:r>
        <w:rPr/>
        <w:t>） 商标 截至报告期末，公司拥有的商标情况如下：</w:t>
      </w:r>
    </w:p>
    <w:p>
      <w:pPr>
        <w:spacing w:line="240" w:lineRule="auto" w:before="7"/>
        <w:rPr>
          <w:rFonts w:ascii="宋体" w:hAnsi="宋体" w:cs="宋体" w:eastAsia="宋体" w:hint="default"/>
          <w:sz w:val="7"/>
          <w:szCs w:val="7"/>
        </w:rPr>
      </w:pPr>
    </w:p>
    <w:tbl>
      <w:tblPr>
        <w:tblW w:w="0" w:type="auto"/>
        <w:jc w:val="left"/>
        <w:tblInd w:w="498" w:type="dxa"/>
        <w:tblLayout w:type="fixed"/>
        <w:tblCellMar>
          <w:top w:w="0" w:type="dxa"/>
          <w:left w:w="0" w:type="dxa"/>
          <w:bottom w:w="0" w:type="dxa"/>
          <w:right w:w="0" w:type="dxa"/>
        </w:tblCellMar>
        <w:tblLook w:val="01E0"/>
      </w:tblPr>
      <w:tblGrid>
        <w:gridCol w:w="1735"/>
        <w:gridCol w:w="1467"/>
        <w:gridCol w:w="1183"/>
        <w:gridCol w:w="2475"/>
      </w:tblGrid>
      <w:tr>
        <w:trPr>
          <w:trHeight w:val="555" w:hRule="exact"/>
        </w:trPr>
        <w:tc>
          <w:tcPr>
            <w:tcW w:w="173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3"/>
              <w:ind w:left="441" w:right="0"/>
              <w:jc w:val="left"/>
              <w:rPr>
                <w:rFonts w:ascii="宋体" w:hAnsi="宋体" w:cs="宋体" w:eastAsia="宋体" w:hint="default"/>
                <w:sz w:val="21"/>
                <w:szCs w:val="21"/>
              </w:rPr>
            </w:pPr>
            <w:r>
              <w:rPr>
                <w:rFonts w:ascii="宋体" w:hAnsi="宋体" w:cs="宋体" w:eastAsia="宋体" w:hint="default"/>
                <w:b/>
                <w:bCs/>
                <w:sz w:val="21"/>
                <w:szCs w:val="21"/>
              </w:rPr>
              <w:t>商标样式</w:t>
            </w:r>
            <w:r>
              <w:rPr>
                <w:rFonts w:ascii="宋体" w:hAnsi="宋体" w:cs="宋体" w:eastAsia="宋体" w:hint="default"/>
                <w:sz w:val="21"/>
                <w:szCs w:val="21"/>
              </w:rPr>
            </w:r>
          </w:p>
        </w:tc>
        <w:tc>
          <w:tcPr>
            <w:tcW w:w="146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核定服务项</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w w:val="100"/>
                <w:sz w:val="21"/>
                <w:szCs w:val="21"/>
              </w:rPr>
              <w:t>目</w:t>
            </w:r>
            <w:r>
              <w:rPr>
                <w:rFonts w:ascii="宋体" w:hAnsi="宋体" w:cs="宋体" w:eastAsia="宋体" w:hint="default"/>
                <w:w w:val="100"/>
                <w:sz w:val="21"/>
                <w:szCs w:val="21"/>
              </w:rPr>
            </w:r>
          </w:p>
        </w:tc>
        <w:tc>
          <w:tcPr>
            <w:tcW w:w="118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b/>
                <w:bCs/>
                <w:sz w:val="21"/>
                <w:szCs w:val="21"/>
              </w:rPr>
              <w:t>注册号</w:t>
            </w:r>
            <w:r>
              <w:rPr>
                <w:rFonts w:ascii="宋体" w:hAnsi="宋体" w:cs="宋体" w:eastAsia="宋体" w:hint="default"/>
                <w:sz w:val="21"/>
                <w:szCs w:val="21"/>
              </w:rPr>
            </w:r>
          </w:p>
        </w:tc>
        <w:tc>
          <w:tcPr>
            <w:tcW w:w="247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b/>
                <w:bCs/>
                <w:sz w:val="21"/>
                <w:szCs w:val="21"/>
              </w:rPr>
              <w:t>有效期限</w:t>
            </w:r>
            <w:r>
              <w:rPr>
                <w:rFonts w:ascii="宋体" w:hAnsi="宋体" w:cs="宋体" w:eastAsia="宋体" w:hint="default"/>
                <w:sz w:val="21"/>
                <w:szCs w:val="21"/>
              </w:rPr>
            </w:r>
          </w:p>
        </w:tc>
      </w:tr>
      <w:tr>
        <w:trPr>
          <w:trHeight w:val="59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578" w:lineRule="exact"/>
              <w:ind w:left="321"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687188" cy="367093"/>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687188" cy="367093"/>
                          </a:xfrm>
                          <a:prstGeom prst="rect">
                            <a:avLst/>
                          </a:prstGeom>
                        </pic:spPr>
                      </pic:pic>
                    </a:graphicData>
                  </a:graphic>
                </wp:inline>
              </w:drawing>
            </w:r>
            <w:r>
              <w:rPr>
                <w:rFonts w:ascii="宋体" w:hAnsi="宋体" w:cs="宋体" w:eastAsia="宋体" w:hint="default"/>
                <w:position w:val="-11"/>
                <w:sz w:val="20"/>
                <w:szCs w:val="20"/>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类</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Times New Roman" w:hAnsi="Times New Roman" w:cs="Times New Roman" w:eastAsia="Times New Roman" w:hint="default"/>
                <w:sz w:val="21"/>
                <w:szCs w:val="21"/>
              </w:rPr>
            </w:pPr>
            <w:r>
              <w:rPr>
                <w:rFonts w:ascii="Times New Roman"/>
                <w:sz w:val="21"/>
              </w:rPr>
              <w:t>5307073</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 w:right="0"/>
              <w:jc w:val="center"/>
              <w:rPr>
                <w:rFonts w:ascii="Times New Roman" w:hAnsi="Times New Roman" w:cs="Times New Roman" w:eastAsia="Times New Roman" w:hint="default"/>
                <w:sz w:val="21"/>
                <w:szCs w:val="21"/>
              </w:rPr>
            </w:pPr>
            <w:r>
              <w:rPr>
                <w:rFonts w:ascii="Times New Roman"/>
                <w:sz w:val="21"/>
              </w:rPr>
              <w:t>2009.07.28-2019.07.27</w:t>
            </w:r>
          </w:p>
        </w:tc>
      </w:tr>
      <w:tr>
        <w:trPr>
          <w:trHeight w:val="626"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616" w:lineRule="exact"/>
              <w:ind w:left="165"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884042" cy="391287"/>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3" cstate="print"/>
                          <a:stretch>
                            <a:fillRect/>
                          </a:stretch>
                        </pic:blipFill>
                        <pic:spPr>
                          <a:xfrm>
                            <a:off x="0" y="0"/>
                            <a:ext cx="884042" cy="391287"/>
                          </a:xfrm>
                          <a:prstGeom prst="rect">
                            <a:avLst/>
                          </a:prstGeom>
                        </pic:spPr>
                      </pic:pic>
                    </a:graphicData>
                  </a:graphic>
                </wp:inline>
              </w:drawing>
            </w:r>
            <w:r>
              <w:rPr>
                <w:rFonts w:ascii="宋体" w:hAnsi="宋体" w:cs="宋体" w:eastAsia="宋体" w:hint="default"/>
                <w:position w:val="-11"/>
                <w:sz w:val="20"/>
                <w:szCs w:val="20"/>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类</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1674590</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2011.11.28-2021.11.27</w:t>
            </w:r>
          </w:p>
        </w:tc>
      </w:tr>
    </w:tbl>
    <w:p>
      <w:pPr>
        <w:spacing w:after="0" w:line="240" w:lineRule="auto"/>
        <w:jc w:val="center"/>
        <w:rPr>
          <w:rFonts w:ascii="Times New Roman" w:hAnsi="Times New Roman" w:cs="Times New Roman" w:eastAsia="Times New Roman" w:hint="default"/>
          <w:sz w:val="21"/>
          <w:szCs w:val="21"/>
        </w:rPr>
        <w:sectPr>
          <w:pgSz w:w="11910" w:h="16840"/>
          <w:pgMar w:header="884" w:footer="980" w:top="1140" w:bottom="1160" w:left="1580" w:right="1660"/>
        </w:sectPr>
      </w:pPr>
    </w:p>
    <w:p>
      <w:pPr>
        <w:spacing w:line="240" w:lineRule="auto" w:before="5"/>
        <w:rPr>
          <w:rFonts w:ascii="宋体" w:hAnsi="宋体" w:cs="宋体" w:eastAsia="宋体" w:hint="default"/>
          <w:sz w:val="16"/>
          <w:szCs w:val="16"/>
        </w:rPr>
      </w:pPr>
    </w:p>
    <w:p>
      <w:pPr>
        <w:pStyle w:val="BodyText"/>
        <w:spacing w:line="240" w:lineRule="auto" w:before="26"/>
        <w:ind w:left="560" w:right="138"/>
        <w:jc w:val="left"/>
      </w:pPr>
      <w:r>
        <w:rPr/>
        <w:t>（</w:t>
      </w:r>
      <w:r>
        <w:rPr>
          <w:rFonts w:ascii="Times New Roman" w:hAnsi="Times New Roman" w:cs="Times New Roman" w:eastAsia="Times New Roman" w:hint="default"/>
        </w:rPr>
        <w:t>2</w:t>
      </w:r>
      <w:r>
        <w:rPr/>
        <w:t>） 软件著作权</w:t>
      </w:r>
    </w:p>
    <w:p>
      <w:pPr>
        <w:pStyle w:val="BodyText"/>
        <w:spacing w:line="240" w:lineRule="auto" w:before="136"/>
        <w:ind w:left="620" w:right="0"/>
        <w:jc w:val="left"/>
      </w:pPr>
      <w:r>
        <w:rPr/>
        <w:t>截至报告期末</w:t>
      </w:r>
      <w:r>
        <w:rPr>
          <w:spacing w:val="-108"/>
        </w:rPr>
        <w:t>、</w:t>
      </w:r>
      <w:r>
        <w:rPr/>
        <w:t>公司拥有计算机软件著作权共计</w:t>
      </w:r>
      <w:r>
        <w:rPr>
          <w:spacing w:val="-59"/>
        </w:rPr>
        <w:t> </w:t>
      </w:r>
      <w:r>
        <w:rPr>
          <w:rFonts w:ascii="Times New Roman" w:hAnsi="Times New Roman" w:cs="Times New Roman" w:eastAsia="Times New Roman" w:hint="default"/>
        </w:rPr>
        <w:t>9 </w:t>
      </w:r>
      <w:r>
        <w:rPr/>
        <w:t>项</w:t>
      </w:r>
      <w:r>
        <w:rPr>
          <w:spacing w:val="-108"/>
        </w:rPr>
        <w:t>，</w:t>
      </w:r>
      <w:r>
        <w:rPr/>
        <w:t>具体信息如下表所示：</w:t>
      </w:r>
    </w:p>
    <w:p>
      <w:pPr>
        <w:spacing w:line="240" w:lineRule="auto" w:before="4"/>
        <w:rPr>
          <w:rFonts w:ascii="宋体" w:hAnsi="宋体" w:cs="宋体" w:eastAsia="宋体" w:hint="default"/>
          <w:sz w:val="13"/>
          <w:szCs w:val="13"/>
        </w:rPr>
      </w:pPr>
    </w:p>
    <w:tbl>
      <w:tblPr>
        <w:tblW w:w="0" w:type="auto"/>
        <w:jc w:val="left"/>
        <w:tblInd w:w="418" w:type="dxa"/>
        <w:tblLayout w:type="fixed"/>
        <w:tblCellMar>
          <w:top w:w="0" w:type="dxa"/>
          <w:left w:w="0" w:type="dxa"/>
          <w:bottom w:w="0" w:type="dxa"/>
          <w:right w:w="0" w:type="dxa"/>
        </w:tblCellMar>
        <w:tblLook w:val="01E0"/>
      </w:tblPr>
      <w:tblGrid>
        <w:gridCol w:w="732"/>
        <w:gridCol w:w="3761"/>
        <w:gridCol w:w="1791"/>
        <w:gridCol w:w="1719"/>
      </w:tblGrid>
      <w:tr>
        <w:trPr>
          <w:trHeight w:val="535" w:hRule="exact"/>
        </w:trPr>
        <w:tc>
          <w:tcPr>
            <w:tcW w:w="73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76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3"/>
              <w:ind w:left="823" w:right="0"/>
              <w:jc w:val="left"/>
              <w:rPr>
                <w:rFonts w:ascii="宋体" w:hAnsi="宋体" w:cs="宋体" w:eastAsia="宋体" w:hint="default"/>
                <w:sz w:val="21"/>
                <w:szCs w:val="21"/>
              </w:rPr>
            </w:pPr>
            <w:r>
              <w:rPr>
                <w:rFonts w:ascii="宋体" w:hAnsi="宋体" w:cs="宋体" w:eastAsia="宋体" w:hint="default"/>
                <w:b/>
                <w:bCs/>
                <w:sz w:val="21"/>
                <w:szCs w:val="21"/>
              </w:rPr>
              <w:t>自主知识产权产品名称</w:t>
            </w:r>
            <w:r>
              <w:rPr>
                <w:rFonts w:ascii="宋体" w:hAnsi="宋体" w:cs="宋体" w:eastAsia="宋体" w:hint="default"/>
                <w:sz w:val="21"/>
                <w:szCs w:val="21"/>
              </w:rPr>
            </w:r>
          </w:p>
        </w:tc>
        <w:tc>
          <w:tcPr>
            <w:tcW w:w="179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b/>
                <w:bCs/>
                <w:sz w:val="21"/>
                <w:szCs w:val="21"/>
              </w:rPr>
              <w:t>登记号</w:t>
            </w:r>
            <w:r>
              <w:rPr>
                <w:rFonts w:ascii="宋体" w:hAnsi="宋体" w:cs="宋体" w:eastAsia="宋体" w:hint="default"/>
                <w:sz w:val="21"/>
                <w:szCs w:val="21"/>
              </w:rPr>
            </w:r>
          </w:p>
        </w:tc>
        <w:tc>
          <w:tcPr>
            <w:tcW w:w="171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3"/>
              <w:ind w:left="326" w:right="0"/>
              <w:jc w:val="left"/>
              <w:rPr>
                <w:rFonts w:ascii="宋体" w:hAnsi="宋体" w:cs="宋体" w:eastAsia="宋体" w:hint="default"/>
                <w:sz w:val="21"/>
                <w:szCs w:val="21"/>
              </w:rPr>
            </w:pPr>
            <w:r>
              <w:rPr>
                <w:rFonts w:ascii="宋体" w:hAnsi="宋体" w:cs="宋体" w:eastAsia="宋体" w:hint="default"/>
                <w:b/>
                <w:bCs/>
                <w:sz w:val="21"/>
                <w:szCs w:val="21"/>
              </w:rPr>
              <w:t>首次发表日</w:t>
            </w:r>
            <w:r>
              <w:rPr>
                <w:rFonts w:ascii="宋体" w:hAnsi="宋体" w:cs="宋体" w:eastAsia="宋体" w:hint="default"/>
                <w:sz w:val="21"/>
                <w:szCs w:val="21"/>
              </w:rPr>
            </w:r>
          </w:p>
        </w:tc>
      </w:tr>
      <w:tr>
        <w:trPr>
          <w:trHeight w:val="52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w w:val="100"/>
                <w:sz w:val="21"/>
              </w:rPr>
              <w:t>1</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“国产化制造资源规划”软件（</w:t>
            </w:r>
            <w:r>
              <w:rPr>
                <w:rFonts w:ascii="Times New Roman" w:hAnsi="Times New Roman" w:cs="Times New Roman" w:eastAsia="Times New Roman" w:hint="default"/>
                <w:sz w:val="21"/>
                <w:szCs w:val="21"/>
              </w:rPr>
              <w:t>MAS</w:t>
            </w:r>
            <w:r>
              <w:rPr>
                <w:rFonts w:ascii="宋体" w:hAnsi="宋体" w:cs="宋体" w:eastAsia="宋体" w:hint="default"/>
                <w:sz w:val="21"/>
                <w:szCs w:val="21"/>
              </w:rPr>
              <w:t>）</w:t>
            </w:r>
          </w:p>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V2.0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2004SR08306</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79" w:right="0"/>
              <w:jc w:val="left"/>
              <w:rPr>
                <w:rFonts w:ascii="Times New Roman" w:hAnsi="Times New Roman" w:cs="Times New Roman" w:eastAsia="Times New Roman" w:hint="default"/>
                <w:sz w:val="21"/>
                <w:szCs w:val="21"/>
              </w:rPr>
            </w:pPr>
            <w:r>
              <w:rPr>
                <w:rFonts w:ascii="Times New Roman"/>
                <w:sz w:val="21"/>
              </w:rPr>
              <w:t>1994.11.28</w:t>
            </w:r>
          </w:p>
        </w:tc>
      </w:tr>
      <w:tr>
        <w:trPr>
          <w:trHeight w:val="55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w w:val="100"/>
                <w:sz w:val="21"/>
              </w:rPr>
              <w:t>2</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9"/>
                <w:sz w:val="21"/>
                <w:szCs w:val="21"/>
              </w:rPr>
              <w:t>“汉得人力资源管理</w:t>
            </w:r>
            <w:r>
              <w:rPr>
                <w:rFonts w:ascii="宋体" w:hAnsi="宋体" w:cs="宋体" w:eastAsia="宋体" w:hint="default"/>
                <w:spacing w:val="-32"/>
                <w:sz w:val="21"/>
                <w:szCs w:val="21"/>
              </w:rPr>
              <w:t> </w:t>
            </w:r>
            <w:r>
              <w:rPr>
                <w:rFonts w:ascii="宋体" w:hAnsi="宋体" w:cs="宋体" w:eastAsia="宋体" w:hint="default"/>
                <w:spacing w:val="35"/>
                <w:sz w:val="21"/>
                <w:szCs w:val="21"/>
              </w:rPr>
              <w:t>系统”软件</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9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HAND-HRMS</w:t>
            </w:r>
            <w:r>
              <w:rPr>
                <w:rFonts w:ascii="宋体" w:hAnsi="宋体" w:cs="宋体" w:eastAsia="宋体" w:hint="default"/>
                <w:sz w:val="21"/>
                <w:szCs w:val="21"/>
              </w:rPr>
              <w:t>）</w:t>
            </w:r>
            <w:r>
              <w:rPr>
                <w:rFonts w:ascii="Times New Roman" w:hAnsi="Times New Roman" w:cs="Times New Roman" w:eastAsia="Times New Roman" w:hint="default"/>
                <w:sz w:val="21"/>
                <w:szCs w:val="21"/>
              </w:rPr>
              <w:t>V1.0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2004SR08844</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79" w:right="0"/>
              <w:jc w:val="left"/>
              <w:rPr>
                <w:rFonts w:ascii="Times New Roman" w:hAnsi="Times New Roman" w:cs="Times New Roman" w:eastAsia="Times New Roman" w:hint="default"/>
                <w:sz w:val="21"/>
                <w:szCs w:val="21"/>
              </w:rPr>
            </w:pPr>
            <w:r>
              <w:rPr>
                <w:rFonts w:ascii="Times New Roman"/>
                <w:sz w:val="21"/>
              </w:rPr>
              <w:t>2003.12.31</w:t>
            </w:r>
          </w:p>
        </w:tc>
      </w:tr>
      <w:tr>
        <w:trPr>
          <w:trHeight w:val="5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w w:val="100"/>
                <w:sz w:val="21"/>
              </w:rPr>
              <w:t>3</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全富汉得现代管理应用软件（</w:t>
            </w:r>
            <w:r>
              <w:rPr>
                <w:rFonts w:ascii="Times New Roman" w:hAnsi="Times New Roman" w:cs="Times New Roman" w:eastAsia="Times New Roman" w:hint="default"/>
                <w:spacing w:val="6"/>
                <w:sz w:val="21"/>
                <w:szCs w:val="21"/>
              </w:rPr>
              <w:t>MAS</w:t>
            </w:r>
            <w:r>
              <w:rPr>
                <w:rFonts w:ascii="宋体" w:hAnsi="宋体" w:cs="宋体" w:eastAsia="宋体" w:hint="default"/>
                <w:spacing w:val="6"/>
                <w:sz w:val="21"/>
                <w:szCs w:val="21"/>
              </w:rPr>
              <w:t>）</w:t>
            </w:r>
          </w:p>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z w:val="21"/>
              </w:rPr>
              <w:t>V6.0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2008SR23547</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79" w:right="0"/>
              <w:jc w:val="left"/>
              <w:rPr>
                <w:rFonts w:ascii="Times New Roman" w:hAnsi="Times New Roman" w:cs="Times New Roman" w:eastAsia="Times New Roman" w:hint="default"/>
                <w:sz w:val="21"/>
                <w:szCs w:val="21"/>
              </w:rPr>
            </w:pPr>
            <w:r>
              <w:rPr>
                <w:rFonts w:ascii="Times New Roman"/>
                <w:sz w:val="21"/>
              </w:rPr>
              <w:t>2004.03.01</w:t>
            </w:r>
          </w:p>
        </w:tc>
      </w:tr>
      <w:tr>
        <w:trPr>
          <w:trHeight w:val="37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w w:val="100"/>
                <w:sz w:val="21"/>
              </w:rPr>
              <w:t>4</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宋体" w:hAnsi="宋体" w:cs="宋体" w:eastAsia="宋体" w:hint="default"/>
                <w:spacing w:val="-7"/>
                <w:sz w:val="21"/>
                <w:szCs w:val="21"/>
              </w:rPr>
              <w:t>汉得供应商门户软件（</w:t>
            </w:r>
            <w:r>
              <w:rPr>
                <w:rFonts w:ascii="Times New Roman" w:hAnsi="Times New Roman" w:cs="Times New Roman" w:eastAsia="Times New Roman" w:hint="default"/>
                <w:spacing w:val="-7"/>
                <w:sz w:val="21"/>
                <w:szCs w:val="21"/>
              </w:rPr>
              <w:t>HAND</w:t>
            </w:r>
            <w:r>
              <w:rPr>
                <w:rFonts w:ascii="Times New Roman" w:hAnsi="Times New Roman" w:cs="Times New Roman" w:eastAsia="Times New Roman" w:hint="default"/>
                <w:spacing w:val="32"/>
                <w:sz w:val="21"/>
                <w:szCs w:val="21"/>
              </w:rPr>
              <w:t> </w:t>
            </w:r>
            <w:r>
              <w:rPr>
                <w:rFonts w:ascii="Times New Roman" w:hAnsi="Times New Roman" w:cs="Times New Roman" w:eastAsia="Times New Roman" w:hint="default"/>
                <w:spacing w:val="-10"/>
                <w:sz w:val="21"/>
                <w:szCs w:val="21"/>
              </w:rPr>
              <w:t>ISP</w:t>
            </w:r>
            <w:r>
              <w:rPr>
                <w:rFonts w:ascii="宋体" w:hAnsi="宋体" w:cs="宋体" w:eastAsia="宋体" w:hint="default"/>
                <w:spacing w:val="-10"/>
                <w:sz w:val="21"/>
                <w:szCs w:val="21"/>
              </w:rPr>
              <w:t>）</w:t>
            </w:r>
            <w:r>
              <w:rPr>
                <w:rFonts w:ascii="Times New Roman" w:hAnsi="Times New Roman" w:cs="Times New Roman" w:eastAsia="Times New Roman" w:hint="default"/>
                <w:spacing w:val="-10"/>
                <w:sz w:val="21"/>
                <w:szCs w:val="21"/>
              </w:rPr>
              <w:t>V2.0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sz w:val="21"/>
              </w:rPr>
              <w:t>2009SR056858</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79" w:right="0"/>
              <w:jc w:val="left"/>
              <w:rPr>
                <w:rFonts w:ascii="Times New Roman" w:hAnsi="Times New Roman" w:cs="Times New Roman" w:eastAsia="Times New Roman" w:hint="default"/>
                <w:sz w:val="21"/>
                <w:szCs w:val="21"/>
              </w:rPr>
            </w:pPr>
            <w:r>
              <w:rPr>
                <w:rFonts w:ascii="Times New Roman"/>
                <w:sz w:val="21"/>
              </w:rPr>
              <w:t>2009.01.10</w:t>
            </w:r>
          </w:p>
        </w:tc>
      </w:tr>
      <w:tr>
        <w:trPr>
          <w:trHeight w:val="52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w w:val="100"/>
                <w:sz w:val="21"/>
              </w:rPr>
              <w:t>5</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1"/>
              <w:ind w:left="103" w:right="97"/>
              <w:jc w:val="left"/>
              <w:rPr>
                <w:rFonts w:ascii="Times New Roman" w:hAnsi="Times New Roman" w:cs="Times New Roman" w:eastAsia="Times New Roman" w:hint="default"/>
                <w:sz w:val="21"/>
                <w:szCs w:val="21"/>
              </w:rPr>
            </w:pPr>
            <w:r>
              <w:rPr>
                <w:rFonts w:ascii="宋体" w:hAnsi="宋体" w:cs="宋体" w:eastAsia="宋体" w:hint="default"/>
                <w:sz w:val="21"/>
                <w:szCs w:val="21"/>
              </w:rPr>
              <w:t>汉得现代管理应用软件（</w:t>
            </w:r>
            <w:r>
              <w:rPr>
                <w:rFonts w:ascii="Times New Roman" w:hAnsi="Times New Roman" w:cs="Times New Roman" w:eastAsia="Times New Roman" w:hint="default"/>
                <w:sz w:val="21"/>
                <w:szCs w:val="21"/>
              </w:rPr>
              <w:t>MAS</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pacing w:val="-3"/>
                <w:sz w:val="21"/>
                <w:szCs w:val="21"/>
              </w:rPr>
              <w:t>ERP</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V</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7.0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2009SR056932</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79" w:right="0"/>
              <w:jc w:val="left"/>
              <w:rPr>
                <w:rFonts w:ascii="Times New Roman" w:hAnsi="Times New Roman" w:cs="Times New Roman" w:eastAsia="Times New Roman" w:hint="default"/>
                <w:sz w:val="21"/>
                <w:szCs w:val="21"/>
              </w:rPr>
            </w:pPr>
            <w:r>
              <w:rPr>
                <w:rFonts w:ascii="Times New Roman"/>
                <w:sz w:val="21"/>
              </w:rPr>
              <w:t>2009.03.15</w:t>
            </w:r>
          </w:p>
        </w:tc>
      </w:tr>
      <w:tr>
        <w:trPr>
          <w:trHeight w:val="52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Times New Roman" w:hAnsi="Times New Roman" w:cs="Times New Roman" w:eastAsia="Times New Roman" w:hint="default"/>
                <w:sz w:val="21"/>
                <w:szCs w:val="21"/>
              </w:rPr>
            </w:pPr>
            <w:r>
              <w:rPr>
                <w:rFonts w:ascii="Times New Roman"/>
                <w:w w:val="100"/>
                <w:sz w:val="21"/>
              </w:rPr>
              <w:t>6</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1"/>
              <w:ind w:left="103" w:right="-5"/>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汉得营销渠道管理软件（</w:t>
            </w:r>
            <w:r>
              <w:rPr>
                <w:rFonts w:ascii="Times New Roman" w:hAnsi="Times New Roman" w:cs="Times New Roman" w:eastAsia="Times New Roman" w:hint="default"/>
                <w:spacing w:val="-6"/>
                <w:sz w:val="21"/>
                <w:szCs w:val="21"/>
              </w:rPr>
              <w:t>HAND</w:t>
            </w:r>
            <w:r>
              <w:rPr>
                <w:rFonts w:ascii="Times New Roman" w:hAnsi="Times New Roman" w:cs="Times New Roman" w:eastAsia="Times New Roman" w:hint="default"/>
                <w:spacing w:val="15"/>
                <w:sz w:val="21"/>
                <w:szCs w:val="21"/>
              </w:rPr>
              <w:t> </w:t>
            </w:r>
            <w:r>
              <w:rPr>
                <w:rFonts w:ascii="Times New Roman" w:hAnsi="Times New Roman" w:cs="Times New Roman" w:eastAsia="Times New Roman" w:hint="default"/>
                <w:sz w:val="21"/>
                <w:szCs w:val="21"/>
              </w:rPr>
              <w:t>FSMS</w:t>
            </w:r>
            <w:r>
              <w:rPr>
                <w:rFonts w:ascii="宋体" w:hAnsi="宋体" w:cs="宋体" w:eastAsia="宋体" w:hint="default"/>
                <w:sz w:val="21"/>
                <w:szCs w:val="21"/>
              </w:rPr>
              <w:t>）</w:t>
            </w:r>
            <w:r>
              <w:rPr>
                <w:rFonts w:ascii="宋体" w:hAnsi="宋体" w:cs="宋体" w:eastAsia="宋体" w:hint="default"/>
                <w:spacing w:val="-100"/>
                <w:sz w:val="21"/>
                <w:szCs w:val="21"/>
              </w:rPr>
              <w:t> </w:t>
            </w:r>
            <w:r>
              <w:rPr>
                <w:rFonts w:ascii="Times New Roman" w:hAnsi="Times New Roman" w:cs="Times New Roman" w:eastAsia="Times New Roman" w:hint="default"/>
                <w:sz w:val="21"/>
                <w:szCs w:val="21"/>
              </w:rPr>
              <w:t>V2.0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Times New Roman" w:hAnsi="Times New Roman" w:cs="Times New Roman" w:eastAsia="Times New Roman" w:hint="default"/>
                <w:sz w:val="21"/>
                <w:szCs w:val="21"/>
              </w:rPr>
            </w:pPr>
            <w:r>
              <w:rPr>
                <w:rFonts w:ascii="Times New Roman"/>
                <w:sz w:val="21"/>
              </w:rPr>
              <w:t>2009SR056934</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379" w:right="0"/>
              <w:jc w:val="left"/>
              <w:rPr>
                <w:rFonts w:ascii="Times New Roman" w:hAnsi="Times New Roman" w:cs="Times New Roman" w:eastAsia="Times New Roman" w:hint="default"/>
                <w:sz w:val="21"/>
                <w:szCs w:val="21"/>
              </w:rPr>
            </w:pPr>
            <w:r>
              <w:rPr>
                <w:rFonts w:ascii="Times New Roman"/>
                <w:sz w:val="21"/>
              </w:rPr>
              <w:t>2009.02.16</w:t>
            </w:r>
          </w:p>
        </w:tc>
      </w:tr>
      <w:tr>
        <w:trPr>
          <w:trHeight w:val="37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w w:val="100"/>
                <w:sz w:val="21"/>
              </w:rPr>
              <w:t>7</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汉得协同制造软件（</w:t>
            </w:r>
            <w:r>
              <w:rPr>
                <w:rFonts w:ascii="Times New Roman" w:hAnsi="Times New Roman" w:cs="Times New Roman" w:eastAsia="Times New Roman" w:hint="default"/>
                <w:sz w:val="21"/>
                <w:szCs w:val="21"/>
              </w:rPr>
              <w:t>HCM</w:t>
            </w:r>
            <w:r>
              <w:rPr>
                <w:rFonts w:ascii="宋体" w:hAnsi="宋体" w:cs="宋体" w:eastAsia="宋体" w:hint="default"/>
                <w:sz w:val="21"/>
                <w:szCs w:val="21"/>
              </w:rPr>
              <w:t>）</w:t>
            </w:r>
            <w:r>
              <w:rPr>
                <w:rFonts w:ascii="Times New Roman" w:hAnsi="Times New Roman" w:cs="Times New Roman" w:eastAsia="Times New Roman" w:hint="default"/>
                <w:sz w:val="21"/>
                <w:szCs w:val="21"/>
              </w:rPr>
              <w:t>V3.0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sz w:val="21"/>
              </w:rPr>
              <w:t>2009SR056935</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79" w:right="0"/>
              <w:jc w:val="left"/>
              <w:rPr>
                <w:rFonts w:ascii="Times New Roman" w:hAnsi="Times New Roman" w:cs="Times New Roman" w:eastAsia="Times New Roman" w:hint="default"/>
                <w:sz w:val="21"/>
                <w:szCs w:val="21"/>
              </w:rPr>
            </w:pPr>
            <w:r>
              <w:rPr>
                <w:rFonts w:ascii="Times New Roman"/>
                <w:sz w:val="21"/>
              </w:rPr>
              <w:t>2008.10.01</w:t>
            </w:r>
          </w:p>
        </w:tc>
      </w:tr>
      <w:tr>
        <w:trPr>
          <w:trHeight w:val="52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w w:val="100"/>
                <w:sz w:val="21"/>
              </w:rPr>
              <w:t>8</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9"/>
              <w:ind w:left="103" w:right="-3"/>
              <w:jc w:val="left"/>
              <w:rPr>
                <w:rFonts w:ascii="Times New Roman" w:hAnsi="Times New Roman" w:cs="Times New Roman" w:eastAsia="Times New Roman" w:hint="default"/>
                <w:sz w:val="21"/>
                <w:szCs w:val="21"/>
              </w:rPr>
            </w:pPr>
            <w:r>
              <w:rPr>
                <w:rFonts w:ascii="宋体" w:hAnsi="宋体" w:cs="宋体" w:eastAsia="宋体" w:hint="default"/>
                <w:sz w:val="21"/>
                <w:szCs w:val="21"/>
              </w:rPr>
              <w:t>汉得客户关系管理软件（</w:t>
            </w:r>
            <w:r>
              <w:rPr>
                <w:rFonts w:ascii="Times New Roman" w:hAnsi="Times New Roman" w:cs="Times New Roman" w:eastAsia="Times New Roman" w:hint="default"/>
                <w:sz w:val="21"/>
                <w:szCs w:val="21"/>
              </w:rPr>
              <w:t>HAND</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CRM</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V2.0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2009SR056936</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79" w:right="0"/>
              <w:jc w:val="left"/>
              <w:rPr>
                <w:rFonts w:ascii="Times New Roman" w:hAnsi="Times New Roman" w:cs="Times New Roman" w:eastAsia="Times New Roman" w:hint="default"/>
                <w:sz w:val="21"/>
                <w:szCs w:val="21"/>
              </w:rPr>
            </w:pPr>
            <w:r>
              <w:rPr>
                <w:rFonts w:ascii="Times New Roman"/>
                <w:sz w:val="21"/>
              </w:rPr>
              <w:t>2009.05.01</w:t>
            </w:r>
          </w:p>
        </w:tc>
      </w:tr>
      <w:tr>
        <w:trPr>
          <w:trHeight w:val="37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w w:val="100"/>
                <w:sz w:val="21"/>
              </w:rPr>
              <w:t>9</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汉得人力资源管理软件（</w:t>
            </w:r>
            <w:r>
              <w:rPr>
                <w:rFonts w:ascii="Times New Roman" w:hAnsi="Times New Roman" w:cs="Times New Roman" w:eastAsia="Times New Roman" w:hint="default"/>
                <w:sz w:val="21"/>
                <w:szCs w:val="21"/>
              </w:rPr>
              <w:t>HRMS</w:t>
            </w:r>
            <w:r>
              <w:rPr>
                <w:rFonts w:ascii="宋体" w:hAnsi="宋体" w:cs="宋体" w:eastAsia="宋体" w:hint="default"/>
                <w:sz w:val="21"/>
                <w:szCs w:val="21"/>
              </w:rPr>
              <w:t>）</w:t>
            </w:r>
            <w:r>
              <w:rPr>
                <w:rFonts w:ascii="Times New Roman" w:hAnsi="Times New Roman" w:cs="Times New Roman" w:eastAsia="Times New Roman" w:hint="default"/>
                <w:sz w:val="21"/>
                <w:szCs w:val="21"/>
              </w:rPr>
              <w:t>V3.0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2009SR056981</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79" w:right="0"/>
              <w:jc w:val="left"/>
              <w:rPr>
                <w:rFonts w:ascii="Times New Roman" w:hAnsi="Times New Roman" w:cs="Times New Roman" w:eastAsia="Times New Roman" w:hint="default"/>
                <w:sz w:val="21"/>
                <w:szCs w:val="21"/>
              </w:rPr>
            </w:pPr>
            <w:r>
              <w:rPr>
                <w:rFonts w:ascii="Times New Roman"/>
                <w:sz w:val="21"/>
              </w:rPr>
              <w:t>2005.06.01</w:t>
            </w:r>
          </w:p>
        </w:tc>
      </w:tr>
    </w:tbl>
    <w:p>
      <w:pPr>
        <w:spacing w:line="240" w:lineRule="auto" w:before="6"/>
        <w:rPr>
          <w:rFonts w:ascii="宋体" w:hAnsi="宋体" w:cs="宋体" w:eastAsia="宋体" w:hint="default"/>
          <w:sz w:val="26"/>
          <w:szCs w:val="26"/>
        </w:rPr>
      </w:pPr>
    </w:p>
    <w:p>
      <w:pPr>
        <w:pStyle w:val="BodyText"/>
        <w:spacing w:line="338" w:lineRule="auto" w:before="26"/>
        <w:ind w:left="620" w:right="2506" w:hanging="60"/>
        <w:jc w:val="left"/>
      </w:pPr>
      <w:r>
        <w:rPr/>
        <w:t>（</w:t>
      </w:r>
      <w:r>
        <w:rPr>
          <w:rFonts w:ascii="Times New Roman" w:hAnsi="Times New Roman" w:cs="Times New Roman" w:eastAsia="Times New Roman" w:hint="default"/>
        </w:rPr>
        <w:t>3</w:t>
      </w:r>
      <w:r>
        <w:rPr/>
        <w:t>） 专利 截至报告期末，公司拥有自主研发的发明专利一项：</w:t>
      </w:r>
    </w:p>
    <w:p>
      <w:pPr>
        <w:spacing w:line="240" w:lineRule="auto" w:before="2"/>
        <w:rPr>
          <w:rFonts w:ascii="宋体" w:hAnsi="宋体" w:cs="宋体" w:eastAsia="宋体" w:hint="default"/>
          <w:sz w:val="7"/>
          <w:szCs w:val="7"/>
        </w:rPr>
      </w:pPr>
    </w:p>
    <w:tbl>
      <w:tblPr>
        <w:tblW w:w="0" w:type="auto"/>
        <w:jc w:val="left"/>
        <w:tblInd w:w="418" w:type="dxa"/>
        <w:tblLayout w:type="fixed"/>
        <w:tblCellMar>
          <w:top w:w="0" w:type="dxa"/>
          <w:left w:w="0" w:type="dxa"/>
          <w:bottom w:w="0" w:type="dxa"/>
          <w:right w:w="0" w:type="dxa"/>
        </w:tblCellMar>
        <w:tblLook w:val="01E0"/>
      </w:tblPr>
      <w:tblGrid>
        <w:gridCol w:w="2000"/>
        <w:gridCol w:w="1116"/>
        <w:gridCol w:w="1736"/>
        <w:gridCol w:w="1423"/>
        <w:gridCol w:w="1729"/>
      </w:tblGrid>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6"/>
              <w:ind w:left="573" w:right="0"/>
              <w:jc w:val="left"/>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11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b/>
                <w:bCs/>
                <w:sz w:val="21"/>
                <w:szCs w:val="21"/>
              </w:rPr>
              <w:t>专利类型</w:t>
            </w:r>
            <w:r>
              <w:rPr>
                <w:rFonts w:ascii="宋体" w:hAnsi="宋体" w:cs="宋体" w:eastAsia="宋体" w:hint="default"/>
                <w:sz w:val="21"/>
                <w:szCs w:val="21"/>
              </w:rPr>
            </w:r>
          </w:p>
        </w:tc>
        <w:tc>
          <w:tcPr>
            <w:tcW w:w="173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6"/>
              <w:ind w:left="544" w:right="0"/>
              <w:jc w:val="left"/>
              <w:rPr>
                <w:rFonts w:ascii="宋体" w:hAnsi="宋体" w:cs="宋体" w:eastAsia="宋体" w:hint="default"/>
                <w:sz w:val="21"/>
                <w:szCs w:val="21"/>
              </w:rPr>
            </w:pPr>
            <w:r>
              <w:rPr>
                <w:rFonts w:ascii="宋体" w:hAnsi="宋体" w:cs="宋体" w:eastAsia="宋体" w:hint="default"/>
                <w:b/>
                <w:bCs/>
                <w:sz w:val="21"/>
                <w:szCs w:val="21"/>
              </w:rPr>
              <w:t>专利号</w:t>
            </w:r>
            <w:r>
              <w:rPr>
                <w:rFonts w:ascii="宋体" w:hAnsi="宋体" w:cs="宋体" w:eastAsia="宋体" w:hint="default"/>
                <w:sz w:val="21"/>
                <w:szCs w:val="21"/>
              </w:rPr>
            </w:r>
          </w:p>
        </w:tc>
        <w:tc>
          <w:tcPr>
            <w:tcW w:w="142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b/>
                <w:bCs/>
                <w:sz w:val="21"/>
                <w:szCs w:val="21"/>
              </w:rPr>
              <w:t>申请日期</w:t>
            </w:r>
            <w:r>
              <w:rPr>
                <w:rFonts w:ascii="宋体" w:hAnsi="宋体" w:cs="宋体" w:eastAsia="宋体" w:hint="default"/>
                <w:sz w:val="21"/>
                <w:szCs w:val="21"/>
              </w:rPr>
            </w:r>
          </w:p>
        </w:tc>
        <w:tc>
          <w:tcPr>
            <w:tcW w:w="172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6"/>
              <w:ind w:right="435"/>
              <w:jc w:val="right"/>
              <w:rPr>
                <w:rFonts w:ascii="宋体" w:hAnsi="宋体" w:cs="宋体" w:eastAsia="宋体" w:hint="default"/>
                <w:sz w:val="21"/>
                <w:szCs w:val="21"/>
              </w:rPr>
            </w:pPr>
            <w:r>
              <w:rPr>
                <w:rFonts w:ascii="宋体" w:hAnsi="宋体" w:cs="宋体" w:eastAsia="宋体" w:hint="default"/>
                <w:b/>
                <w:bCs/>
                <w:sz w:val="21"/>
                <w:szCs w:val="21"/>
              </w:rPr>
              <w:t>保护期限</w:t>
            </w:r>
            <w:r>
              <w:rPr>
                <w:rFonts w:ascii="宋体" w:hAnsi="宋体" w:cs="宋体" w:eastAsia="宋体" w:hint="default"/>
                <w:sz w:val="21"/>
                <w:szCs w:val="21"/>
              </w:rPr>
            </w:r>
          </w:p>
        </w:tc>
      </w:tr>
      <w:tr>
        <w:trPr>
          <w:trHeight w:val="1100"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Oracle Form9i</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和</w:t>
            </w:r>
          </w:p>
          <w:p>
            <w:pPr>
              <w:pStyle w:val="TableParagraph"/>
              <w:spacing w:line="272" w:lineRule="exact" w:before="19"/>
              <w:ind w:left="153" w:right="151" w:hanging="1"/>
              <w:jc w:val="center"/>
              <w:rPr>
                <w:rFonts w:ascii="宋体" w:hAnsi="宋体" w:cs="宋体" w:eastAsia="宋体" w:hint="default"/>
                <w:sz w:val="21"/>
                <w:szCs w:val="21"/>
              </w:rPr>
            </w:pPr>
            <w:r>
              <w:rPr>
                <w:rFonts w:ascii="Times New Roman" w:hAnsi="Times New Roman" w:cs="Times New Roman" w:eastAsia="Times New Roman" w:hint="default"/>
                <w:sz w:val="21"/>
                <w:szCs w:val="21"/>
              </w:rPr>
              <w:t>Microsoft Excel </w:t>
            </w:r>
            <w:r>
              <w:rPr>
                <w:rFonts w:ascii="宋体" w:hAnsi="宋体" w:cs="宋体" w:eastAsia="宋体" w:hint="default"/>
                <w:sz w:val="21"/>
                <w:szCs w:val="21"/>
              </w:rPr>
              <w:t>透</w:t>
            </w:r>
            <w:r>
              <w:rPr>
                <w:rFonts w:ascii="宋体" w:hAnsi="宋体" w:cs="宋体" w:eastAsia="宋体" w:hint="default"/>
                <w:w w:val="100"/>
                <w:sz w:val="21"/>
                <w:szCs w:val="21"/>
              </w:rPr>
              <w:t> </w:t>
            </w:r>
            <w:r>
              <w:rPr>
                <w:rFonts w:ascii="宋体" w:hAnsi="宋体" w:cs="宋体" w:eastAsia="宋体" w:hint="default"/>
                <w:spacing w:val="-2"/>
                <w:sz w:val="21"/>
                <w:szCs w:val="21"/>
              </w:rPr>
              <w:t>视表的自动转换的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方法</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15" w:right="413" w:firstLine="55"/>
              <w:jc w:val="left"/>
              <w:rPr>
                <w:rFonts w:ascii="Times New Roman" w:hAnsi="Times New Roman" w:cs="Times New Roman" w:eastAsia="Times New Roman" w:hint="default"/>
                <w:sz w:val="21"/>
                <w:szCs w:val="21"/>
              </w:rPr>
            </w:pPr>
            <w:r>
              <w:rPr>
                <w:rFonts w:ascii="Times New Roman"/>
                <w:sz w:val="21"/>
              </w:rPr>
              <w:t>ZL20051</w:t>
            </w:r>
            <w:r>
              <w:rPr>
                <w:rFonts w:ascii="Times New Roman"/>
                <w:w w:val="100"/>
                <w:sz w:val="21"/>
              </w:rPr>
              <w:t> </w:t>
            </w:r>
            <w:r>
              <w:rPr>
                <w:rFonts w:ascii="Times New Roman"/>
                <w:sz w:val="21"/>
              </w:rPr>
              <w:t>0024604.0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2" w:right="0"/>
              <w:jc w:val="center"/>
              <w:rPr>
                <w:rFonts w:ascii="Times New Roman" w:hAnsi="Times New Roman" w:cs="Times New Roman" w:eastAsia="Times New Roman" w:hint="default"/>
                <w:sz w:val="21"/>
                <w:szCs w:val="21"/>
              </w:rPr>
            </w:pPr>
            <w:r>
              <w:rPr>
                <w:rFonts w:ascii="Times New Roman"/>
                <w:sz w:val="21"/>
              </w:rPr>
              <w:t>2005/3/24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430"/>
              <w:jc w:val="right"/>
              <w:rPr>
                <w:rFonts w:ascii="Times New Roman" w:hAnsi="Times New Roman" w:cs="Times New Roman" w:eastAsia="Times New Roman" w:hint="default"/>
                <w:sz w:val="21"/>
                <w:szCs w:val="21"/>
              </w:rPr>
            </w:pPr>
            <w:r>
              <w:rPr>
                <w:rFonts w:ascii="Times New Roman"/>
                <w:spacing w:val="-1"/>
                <w:sz w:val="21"/>
              </w:rPr>
              <w:t>2025/3/24</w:t>
            </w:r>
          </w:p>
        </w:tc>
      </w:tr>
    </w:tbl>
    <w:p>
      <w:pPr>
        <w:spacing w:line="240" w:lineRule="auto" w:before="9"/>
        <w:rPr>
          <w:rFonts w:ascii="宋体" w:hAnsi="宋体" w:cs="宋体" w:eastAsia="宋体" w:hint="default"/>
          <w:sz w:val="26"/>
          <w:szCs w:val="26"/>
        </w:rPr>
      </w:pPr>
    </w:p>
    <w:p>
      <w:pPr>
        <w:pStyle w:val="BodyText"/>
        <w:spacing w:line="336" w:lineRule="auto" w:before="26"/>
        <w:ind w:left="620" w:right="3466" w:hanging="60"/>
        <w:jc w:val="left"/>
      </w:pPr>
      <w:r>
        <w:rPr/>
        <w:t>（</w:t>
      </w:r>
      <w:r>
        <w:rPr>
          <w:rFonts w:ascii="Times New Roman" w:hAnsi="Times New Roman" w:cs="Times New Roman" w:eastAsia="Times New Roman" w:hint="default"/>
        </w:rPr>
        <w:t>4</w:t>
      </w:r>
      <w:r>
        <w:rPr/>
        <w:t>） 域名 截至报告期末，公司拥有的主要域名如下：</w:t>
      </w:r>
    </w:p>
    <w:p>
      <w:pPr>
        <w:spacing w:line="240" w:lineRule="auto" w:before="7"/>
        <w:rPr>
          <w:rFonts w:ascii="宋体" w:hAnsi="宋体" w:cs="宋体" w:eastAsia="宋体" w:hint="default"/>
          <w:sz w:val="7"/>
          <w:szCs w:val="7"/>
        </w:rPr>
      </w:pPr>
    </w:p>
    <w:tbl>
      <w:tblPr>
        <w:tblW w:w="0" w:type="auto"/>
        <w:jc w:val="left"/>
        <w:tblInd w:w="418" w:type="dxa"/>
        <w:tblLayout w:type="fixed"/>
        <w:tblCellMar>
          <w:top w:w="0" w:type="dxa"/>
          <w:left w:w="0" w:type="dxa"/>
          <w:bottom w:w="0" w:type="dxa"/>
          <w:right w:w="0" w:type="dxa"/>
        </w:tblCellMar>
        <w:tblLook w:val="01E0"/>
      </w:tblPr>
      <w:tblGrid>
        <w:gridCol w:w="2410"/>
        <w:gridCol w:w="2102"/>
        <w:gridCol w:w="1491"/>
        <w:gridCol w:w="2000"/>
      </w:tblGrid>
      <w:tr>
        <w:trPr>
          <w:trHeight w:val="425" w:hRule="exact"/>
        </w:trPr>
        <w:tc>
          <w:tcPr>
            <w:tcW w:w="241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b/>
                <w:bCs/>
                <w:sz w:val="21"/>
                <w:szCs w:val="21"/>
              </w:rPr>
              <w:t>域名</w:t>
            </w:r>
            <w:r>
              <w:rPr>
                <w:rFonts w:ascii="宋体" w:hAnsi="宋体" w:cs="宋体" w:eastAsia="宋体" w:hint="default"/>
                <w:sz w:val="21"/>
                <w:szCs w:val="21"/>
              </w:rPr>
            </w:r>
          </w:p>
        </w:tc>
        <w:tc>
          <w:tcPr>
            <w:tcW w:w="210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b/>
                <w:bCs/>
                <w:sz w:val="21"/>
                <w:szCs w:val="21"/>
              </w:rPr>
              <w:t>性质</w:t>
            </w:r>
            <w:r>
              <w:rPr>
                <w:rFonts w:ascii="宋体" w:hAnsi="宋体" w:cs="宋体" w:eastAsia="宋体" w:hint="default"/>
                <w:sz w:val="21"/>
                <w:szCs w:val="21"/>
              </w:rPr>
            </w:r>
          </w:p>
        </w:tc>
        <w:tc>
          <w:tcPr>
            <w:tcW w:w="149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38"/>
              <w:ind w:left="573" w:right="0"/>
              <w:jc w:val="left"/>
              <w:rPr>
                <w:rFonts w:ascii="宋体" w:hAnsi="宋体" w:cs="宋体" w:eastAsia="宋体" w:hint="default"/>
                <w:sz w:val="21"/>
                <w:szCs w:val="21"/>
              </w:rPr>
            </w:pPr>
            <w:r>
              <w:rPr>
                <w:rFonts w:ascii="宋体" w:hAnsi="宋体" w:cs="宋体" w:eastAsia="宋体" w:hint="default"/>
                <w:b/>
                <w:bCs/>
                <w:sz w:val="21"/>
                <w:szCs w:val="21"/>
              </w:rPr>
              <w:t>到期日期</w:t>
            </w:r>
            <w:r>
              <w:rPr>
                <w:rFonts w:ascii="宋体" w:hAnsi="宋体" w:cs="宋体" w:eastAsia="宋体" w:hint="default"/>
                <w:sz w:val="21"/>
                <w:szCs w:val="21"/>
              </w:rPr>
            </w:r>
          </w:p>
        </w:tc>
      </w:tr>
      <w:tr>
        <w:trPr>
          <w:trHeight w:val="41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hand-china.com</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国际英文域名</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注册</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15" w:right="0"/>
              <w:jc w:val="left"/>
              <w:rPr>
                <w:rFonts w:ascii="Times New Roman" w:hAnsi="Times New Roman" w:cs="Times New Roman" w:eastAsia="Times New Roman" w:hint="default"/>
                <w:sz w:val="21"/>
                <w:szCs w:val="21"/>
              </w:rPr>
            </w:pPr>
            <w:r>
              <w:rPr>
                <w:rFonts w:ascii="Times New Roman"/>
                <w:sz w:val="21"/>
              </w:rPr>
              <w:t>2013/12/07</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5"/>
        <w:spacing w:line="240" w:lineRule="auto" w:before="26"/>
        <w:ind w:right="138"/>
        <w:jc w:val="left"/>
        <w:rPr>
          <w:b w:val="0"/>
          <w:bCs w:val="0"/>
        </w:rPr>
      </w:pPr>
      <w:r>
        <w:rPr/>
        <w:t>（十）公司核心竞争力</w:t>
      </w:r>
      <w:r>
        <w:rPr>
          <w:b w:val="0"/>
          <w:bCs w:val="0"/>
        </w:rPr>
      </w:r>
    </w:p>
    <w:p>
      <w:pPr>
        <w:spacing w:line="336" w:lineRule="auto" w:before="75"/>
        <w:ind w:left="620" w:right="138" w:hanging="8"/>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、丰富的实施服务经验</w:t>
      </w:r>
      <w:r>
        <w:rPr>
          <w:rFonts w:ascii="宋体" w:hAnsi="宋体" w:cs="宋体" w:eastAsia="宋体" w:hint="default"/>
          <w:b/>
          <w:bCs/>
          <w:w w:val="99"/>
          <w:sz w:val="24"/>
          <w:szCs w:val="24"/>
        </w:rPr>
        <w:t> </w:t>
      </w:r>
      <w:r>
        <w:rPr>
          <w:rFonts w:ascii="宋体" w:hAnsi="宋体" w:cs="宋体" w:eastAsia="宋体" w:hint="default"/>
          <w:spacing w:val="-1"/>
          <w:sz w:val="24"/>
          <w:szCs w:val="24"/>
        </w:rPr>
        <w:t>公司长期从事</w:t>
      </w:r>
      <w:r>
        <w:rPr>
          <w:rFonts w:ascii="Times New Roman" w:hAnsi="Times New Roman" w:cs="Times New Roman" w:eastAsia="Times New Roman" w:hint="default"/>
          <w:spacing w:val="-1"/>
          <w:sz w:val="24"/>
          <w:szCs w:val="24"/>
        </w:rPr>
        <w:t>ERP</w:t>
      </w:r>
      <w:r>
        <w:rPr>
          <w:rFonts w:ascii="宋体" w:hAnsi="宋体" w:cs="宋体" w:eastAsia="宋体" w:hint="default"/>
          <w:spacing w:val="-1"/>
          <w:sz w:val="24"/>
          <w:szCs w:val="24"/>
        </w:rPr>
        <w:t>实施服务业务，自成立伊始，公司就非常重视</w:t>
      </w:r>
      <w:r>
        <w:rPr>
          <w:rFonts w:ascii="Times New Roman" w:hAnsi="Times New Roman" w:cs="Times New Roman" w:eastAsia="Times New Roman" w:hint="default"/>
          <w:spacing w:val="-1"/>
          <w:sz w:val="24"/>
          <w:szCs w:val="24"/>
        </w:rPr>
        <w:t>ERP</w:t>
      </w:r>
      <w:r>
        <w:rPr>
          <w:rFonts w:ascii="宋体" w:hAnsi="宋体" w:cs="宋体" w:eastAsia="宋体" w:hint="default"/>
          <w:spacing w:val="-1"/>
          <w:sz w:val="24"/>
          <w:szCs w:val="24"/>
        </w:rPr>
        <w:t>实施服</w:t>
      </w:r>
    </w:p>
    <w:p>
      <w:pPr>
        <w:pStyle w:val="BodyText"/>
        <w:spacing w:line="355" w:lineRule="auto" w:before="29"/>
        <w:ind w:right="211"/>
        <w:jc w:val="left"/>
      </w:pPr>
      <w:r>
        <w:rPr>
          <w:spacing w:val="-3"/>
        </w:rPr>
        <w:t>务实施方法论和解决方案的系统总结和应用，并通过有序引进、持续培训等方式</w:t>
      </w:r>
      <w:r>
        <w:rPr>
          <w:spacing w:val="-112"/>
        </w:rPr>
        <w:t> </w:t>
      </w:r>
      <w:r>
        <w:rPr>
          <w:spacing w:val="-112"/>
        </w:rPr>
      </w:r>
      <w:r>
        <w:rPr/>
        <w:t>逐步完善项目服务团队，为项目的正常运行和质量提供了保障。</w:t>
      </w:r>
    </w:p>
    <w:p>
      <w:pPr>
        <w:spacing w:after="0" w:line="355" w:lineRule="auto"/>
        <w:jc w:val="left"/>
        <w:sectPr>
          <w:pgSz w:w="11910" w:h="16840"/>
          <w:pgMar w:header="884" w:footer="980" w:top="1140" w:bottom="1160" w:left="1660" w:right="1580"/>
        </w:sectPr>
      </w:pPr>
    </w:p>
    <w:p>
      <w:pPr>
        <w:spacing w:line="240" w:lineRule="auto" w:before="5"/>
        <w:rPr>
          <w:rFonts w:ascii="宋体" w:hAnsi="宋体" w:cs="宋体" w:eastAsia="宋体" w:hint="default"/>
          <w:sz w:val="16"/>
          <w:szCs w:val="16"/>
        </w:rPr>
      </w:pPr>
    </w:p>
    <w:p>
      <w:pPr>
        <w:pStyle w:val="BodyText"/>
        <w:spacing w:line="348" w:lineRule="auto" w:before="26"/>
        <w:ind w:right="0" w:firstLine="479"/>
        <w:jc w:val="left"/>
      </w:pPr>
      <w:r>
        <w:rPr/>
        <w:t>公司主要针对</w:t>
      </w:r>
      <w:r>
        <w:rPr>
          <w:rFonts w:ascii="Times New Roman" w:hAnsi="Times New Roman" w:cs="Times New Roman" w:eastAsia="Times New Roman" w:hint="default"/>
        </w:rPr>
        <w:t>Oracle</w:t>
      </w:r>
      <w:r>
        <w:rPr>
          <w:rFonts w:ascii="Times New Roman" w:hAnsi="Times New Roman" w:cs="Times New Roman" w:eastAsia="Times New Roman" w:hint="default"/>
          <w:spacing w:val="57"/>
        </w:rPr>
        <w:t> </w:t>
      </w:r>
      <w:r>
        <w:rPr/>
        <w:t>、</w:t>
      </w:r>
      <w:r>
        <w:rPr>
          <w:rFonts w:ascii="Times New Roman" w:hAnsi="Times New Roman" w:cs="Times New Roman" w:eastAsia="Times New Roman" w:hint="default"/>
        </w:rPr>
        <w:t>SAP</w:t>
      </w:r>
      <w:r>
        <w:rPr/>
        <w:t>等高端</w:t>
      </w:r>
      <w:r>
        <w:rPr>
          <w:rFonts w:ascii="Times New Roman" w:hAnsi="Times New Roman" w:cs="Times New Roman" w:eastAsia="Times New Roman" w:hint="default"/>
        </w:rPr>
        <w:t>ERP</w:t>
      </w:r>
      <w:r>
        <w:rPr/>
        <w:t>软件提供实施服务。</w:t>
      </w:r>
      <w:r>
        <w:rPr>
          <w:rFonts w:ascii="Times New Roman" w:hAnsi="Times New Roman" w:cs="Times New Roman" w:eastAsia="Times New Roman" w:hint="default"/>
        </w:rPr>
        <w:t>Oracle</w:t>
      </w:r>
      <w:r>
        <w:rPr/>
        <w:t>与</w:t>
      </w:r>
      <w:r>
        <w:rPr>
          <w:rFonts w:ascii="Times New Roman" w:hAnsi="Times New Roman" w:cs="Times New Roman" w:eastAsia="Times New Roman" w:hint="default"/>
        </w:rPr>
        <w:t>SAP</w:t>
      </w:r>
      <w:r>
        <w:rPr/>
        <w:t>的 </w:t>
      </w:r>
      <w:r>
        <w:rPr>
          <w:rFonts w:ascii="Times New Roman" w:hAnsi="Times New Roman" w:cs="Times New Roman" w:eastAsia="Times New Roman" w:hint="default"/>
        </w:rPr>
        <w:t>ERP</w:t>
      </w:r>
      <w:r>
        <w:rPr/>
        <w:t>软件产品是目前世界上功能最为全面、技术最为先进的高端</w:t>
      </w:r>
      <w:r>
        <w:rPr>
          <w:rFonts w:ascii="Times New Roman" w:hAnsi="Times New Roman" w:cs="Times New Roman" w:eastAsia="Times New Roman" w:hint="default"/>
        </w:rPr>
        <w:t>ERP</w:t>
      </w:r>
      <w:r>
        <w:rPr/>
        <w:t>软件，公司 </w:t>
      </w:r>
      <w:r>
        <w:rPr>
          <w:spacing w:val="-3"/>
        </w:rPr>
        <w:t>在长期的实施过程中经过不断的消化、提炼和完善对其产品内涵形成了十分深刻</w:t>
      </w:r>
      <w:r>
        <w:rPr>
          <w:spacing w:val="-109"/>
        </w:rPr>
        <w:t> </w:t>
      </w:r>
      <w:r>
        <w:rPr>
          <w:spacing w:val="-109"/>
        </w:rPr>
      </w:r>
      <w:r>
        <w:rPr>
          <w:spacing w:val="-3"/>
        </w:rPr>
        <w:t>的理解，并在其实施服务领域中积累了丰富的实战经验。与国内同行相比，由于</w:t>
      </w:r>
      <w:r>
        <w:rPr>
          <w:spacing w:val="-112"/>
        </w:rPr>
        <w:t> </w:t>
      </w:r>
      <w:r>
        <w:rPr>
          <w:spacing w:val="-112"/>
        </w:rPr>
      </w:r>
      <w:r>
        <w:rPr>
          <w:spacing w:val="-7"/>
        </w:rPr>
        <w:t>公司的客户众多，行业分布广泛，加之公司自身的知识库和方法论整理及时有效，</w:t>
      </w:r>
      <w:r>
        <w:rPr>
          <w:spacing w:val="-85"/>
        </w:rPr>
        <w:t> </w:t>
      </w:r>
      <w:r>
        <w:rPr>
          <w:spacing w:val="-85"/>
        </w:rPr>
      </w:r>
      <w:r>
        <w:rPr/>
        <w:t>因此公司在高端</w:t>
      </w:r>
      <w:r>
        <w:rPr>
          <w:rFonts w:ascii="Times New Roman" w:hAnsi="Times New Roman" w:cs="Times New Roman" w:eastAsia="Times New Roman" w:hint="default"/>
        </w:rPr>
        <w:t>ERP</w:t>
      </w:r>
      <w:r>
        <w:rPr/>
        <w:t>实施服务的经验方面具有明显的优势。</w:t>
      </w:r>
    </w:p>
    <w:p>
      <w:pPr>
        <w:pStyle w:val="BodyText"/>
        <w:spacing w:line="338" w:lineRule="auto" w:before="13"/>
        <w:ind w:right="164" w:firstLine="479"/>
        <w:jc w:val="both"/>
      </w:pPr>
      <w:r>
        <w:rPr>
          <w:spacing w:val="-2"/>
        </w:rPr>
        <w:t>公司基于对不同</w:t>
      </w:r>
      <w:r>
        <w:rPr>
          <w:rFonts w:ascii="Times New Roman" w:hAnsi="Times New Roman" w:cs="Times New Roman" w:eastAsia="Times New Roman" w:hint="default"/>
          <w:spacing w:val="-2"/>
        </w:rPr>
        <w:t>ERP</w:t>
      </w:r>
      <w:r>
        <w:rPr>
          <w:spacing w:val="-2"/>
        </w:rPr>
        <w:t>软件产品内涵的理解，结合客户差异化的经营业务内容</w:t>
      </w:r>
      <w:r>
        <w:rPr/>
        <w:t> </w:t>
      </w:r>
      <w:r>
        <w:rPr>
          <w:spacing w:val="-2"/>
        </w:rPr>
        <w:t>为国内大量企业提供了度身定制的</w:t>
      </w:r>
      <w:r>
        <w:rPr>
          <w:rFonts w:ascii="Times New Roman" w:hAnsi="Times New Roman" w:cs="Times New Roman" w:eastAsia="Times New Roman" w:hint="default"/>
          <w:spacing w:val="-2"/>
        </w:rPr>
        <w:t>ERP</w:t>
      </w:r>
      <w:r>
        <w:rPr>
          <w:spacing w:val="-2"/>
        </w:rPr>
        <w:t>实施服务，并在通过大量成功实施服务经</w:t>
      </w:r>
      <w:r>
        <w:rPr>
          <w:spacing w:val="-104"/>
        </w:rPr>
        <w:t> </w:t>
      </w:r>
      <w:r>
        <w:rPr>
          <w:spacing w:val="-104"/>
        </w:rPr>
      </w:r>
      <w:r>
        <w:rPr/>
        <w:t>验的总结形成了自己的</w:t>
      </w:r>
      <w:r>
        <w:rPr>
          <w:rFonts w:ascii="Times New Roman" w:hAnsi="Times New Roman" w:cs="Times New Roman" w:eastAsia="Times New Roman" w:hint="default"/>
        </w:rPr>
        <w:t>Quick-HAND</w:t>
      </w:r>
      <w:r>
        <w:rPr>
          <w:rFonts w:ascii="Times New Roman" w:hAnsi="Times New Roman" w:cs="Times New Roman" w:eastAsia="Times New Roman" w:hint="default"/>
          <w:spacing w:val="-18"/>
        </w:rPr>
        <w:t> </w:t>
      </w:r>
      <w:r>
        <w:rPr>
          <w:rFonts w:ascii="Times New Roman" w:hAnsi="Times New Roman" w:cs="Times New Roman" w:eastAsia="Times New Roman" w:hint="default"/>
        </w:rPr>
        <w:t>ERP</w:t>
      </w:r>
      <w:r>
        <w:rPr/>
        <w:t>实施方法论和多项业内领先、适应性强 </w:t>
      </w:r>
      <w:r>
        <w:rPr>
          <w:spacing w:val="-2"/>
        </w:rPr>
        <w:t>的</w:t>
      </w:r>
      <w:r>
        <w:rPr>
          <w:rFonts w:ascii="Times New Roman" w:hAnsi="Times New Roman" w:cs="Times New Roman" w:eastAsia="Times New Roman" w:hint="default"/>
          <w:spacing w:val="-2"/>
        </w:rPr>
        <w:t>ERP</w:t>
      </w:r>
      <w:r>
        <w:rPr>
          <w:spacing w:val="-2"/>
        </w:rPr>
        <w:t>实施行业解决方案。经过多年实施服务经验的积累，公司目前具备为客户</w:t>
      </w:r>
      <w:r>
        <w:rPr>
          <w:spacing w:val="-105"/>
        </w:rPr>
        <w:t> </w:t>
      </w:r>
      <w:r>
        <w:rPr>
          <w:spacing w:val="-105"/>
        </w:rPr>
      </w:r>
      <w:r>
        <w:rPr/>
        <w:t>提供全面的高端</w:t>
      </w:r>
      <w:r>
        <w:rPr>
          <w:rFonts w:ascii="Times New Roman" w:hAnsi="Times New Roman" w:cs="Times New Roman" w:eastAsia="Times New Roman" w:hint="default"/>
        </w:rPr>
        <w:t>ERP</w:t>
      </w:r>
      <w:r>
        <w:rPr/>
        <w:t>实施服务的能力，可有效保障企业向管理全面信息化过渡， 提升企业的管理与经营效率。</w:t>
      </w:r>
    </w:p>
    <w:p>
      <w:pPr>
        <w:pStyle w:val="BodyText"/>
        <w:spacing w:line="338" w:lineRule="auto" w:before="53"/>
        <w:ind w:right="216" w:firstLine="479"/>
        <w:jc w:val="both"/>
      </w:pPr>
      <w:r>
        <w:rPr>
          <w:rFonts w:ascii="Times New Roman" w:hAnsi="Times New Roman" w:cs="Times New Roman" w:eastAsia="Times New Roman" w:hint="default"/>
        </w:rPr>
        <w:t>Quick-HAND</w:t>
      </w:r>
      <w:r>
        <w:rPr>
          <w:rFonts w:ascii="Times New Roman" w:hAnsi="Times New Roman" w:cs="Times New Roman" w:eastAsia="Times New Roman" w:hint="default"/>
          <w:spacing w:val="-2"/>
        </w:rPr>
        <w:t> </w:t>
      </w:r>
      <w:r>
        <w:rPr>
          <w:rFonts w:ascii="Times New Roman" w:hAnsi="Times New Roman" w:cs="Times New Roman" w:eastAsia="Times New Roman" w:hint="default"/>
        </w:rPr>
        <w:t>ERP</w:t>
      </w:r>
      <w:r>
        <w:rPr/>
        <w:t>实施方法论严格界定了</w:t>
      </w:r>
      <w:r>
        <w:rPr>
          <w:rFonts w:ascii="Times New Roman" w:hAnsi="Times New Roman" w:cs="Times New Roman" w:eastAsia="Times New Roman" w:hint="default"/>
        </w:rPr>
        <w:t>ERP</w:t>
      </w:r>
      <w:r>
        <w:rPr/>
        <w:t>实施的过程与阶段、每个阶段 </w:t>
      </w:r>
      <w:r>
        <w:rPr>
          <w:spacing w:val="-2"/>
        </w:rPr>
        <w:t>中的具体工作以及工作模板方法。公司所有的</w:t>
      </w:r>
      <w:r>
        <w:rPr>
          <w:rFonts w:ascii="Times New Roman" w:hAnsi="Times New Roman" w:cs="Times New Roman" w:eastAsia="Times New Roman" w:hint="default"/>
          <w:spacing w:val="-2"/>
        </w:rPr>
        <w:t>ERP</w:t>
      </w:r>
      <w:r>
        <w:rPr>
          <w:spacing w:val="-2"/>
        </w:rPr>
        <w:t>实施咨询项目均采用这样的方</w:t>
      </w:r>
      <w:r>
        <w:rPr>
          <w:spacing w:val="-104"/>
        </w:rPr>
        <w:t> </w:t>
      </w:r>
      <w:r>
        <w:rPr>
          <w:spacing w:val="-104"/>
        </w:rPr>
      </w:r>
      <w:r>
        <w:rPr>
          <w:spacing w:val="-2"/>
        </w:rPr>
        <w:t>法，非常有效地帮助公司及其客户在</w:t>
      </w:r>
      <w:r>
        <w:rPr>
          <w:rFonts w:ascii="Times New Roman" w:hAnsi="Times New Roman" w:cs="Times New Roman" w:eastAsia="Times New Roman" w:hint="default"/>
          <w:spacing w:val="-2"/>
        </w:rPr>
        <w:t>ERP</w:t>
      </w:r>
      <w:r>
        <w:rPr>
          <w:spacing w:val="-2"/>
        </w:rPr>
        <w:t>实施时进行良好的计划安排、进度控制</w:t>
      </w:r>
      <w:r>
        <w:rPr>
          <w:spacing w:val="-105"/>
        </w:rPr>
        <w:t> </w:t>
      </w:r>
      <w:r>
        <w:rPr>
          <w:spacing w:val="-105"/>
        </w:rPr>
      </w:r>
      <w:r>
        <w:rPr/>
        <w:t>和风险管理。</w:t>
      </w:r>
    </w:p>
    <w:p>
      <w:pPr>
        <w:pStyle w:val="BodyText"/>
        <w:spacing w:line="352" w:lineRule="auto" w:before="55"/>
        <w:ind w:right="211" w:firstLine="479"/>
        <w:jc w:val="left"/>
      </w:pPr>
      <w:r>
        <w:rPr/>
        <w:t>基于丰富行业经验的解决方案使得汉得能够为客户提供更加契合客户需求 </w:t>
      </w:r>
      <w:r>
        <w:rPr>
          <w:spacing w:val="-3"/>
        </w:rPr>
        <w:t>的信息化解决方案，帮助客户真正实现有别于共性需求的特定管理目标，从而为</w:t>
      </w:r>
      <w:r>
        <w:rPr>
          <w:spacing w:val="-111"/>
        </w:rPr>
        <w:t> </w:t>
      </w:r>
      <w:r>
        <w:rPr>
          <w:spacing w:val="-111"/>
        </w:rPr>
      </w:r>
      <w:r>
        <w:rPr>
          <w:spacing w:val="-3"/>
        </w:rPr>
        <w:t>客户创造更多价值。行业解决方案的总结和不断完善也为汉得带来了有别于一般</w:t>
      </w:r>
      <w:r>
        <w:rPr>
          <w:spacing w:val="-109"/>
        </w:rPr>
        <w:t> </w:t>
      </w:r>
      <w:r>
        <w:rPr>
          <w:spacing w:val="-109"/>
        </w:rPr>
      </w:r>
      <w:r>
        <w:rPr>
          <w:rFonts w:ascii="Times New Roman" w:hAnsi="Times New Roman" w:cs="Times New Roman" w:eastAsia="Times New Roman" w:hint="default"/>
          <w:spacing w:val="-2"/>
        </w:rPr>
        <w:t>ERP</w:t>
      </w:r>
      <w:r>
        <w:rPr>
          <w:spacing w:val="-2"/>
        </w:rPr>
        <w:t>实施服务提供商的差别化竞争力，更多优质的客户和项目又为汉得加强和优</w:t>
      </w:r>
      <w:r>
        <w:rPr>
          <w:spacing w:val="-104"/>
        </w:rPr>
        <w:t> </w:t>
      </w:r>
      <w:r>
        <w:rPr>
          <w:spacing w:val="-104"/>
        </w:rPr>
      </w:r>
      <w:r>
        <w:rPr>
          <w:spacing w:val="-3"/>
        </w:rPr>
        <w:t>化解决方案提供了丰富的实践土壤。随着汉得客户群的不断扩大，汉得在解决方</w:t>
      </w:r>
      <w:r>
        <w:rPr>
          <w:spacing w:val="-111"/>
        </w:rPr>
        <w:t> </w:t>
      </w:r>
      <w:r>
        <w:rPr>
          <w:spacing w:val="-111"/>
        </w:rPr>
      </w:r>
      <w:r>
        <w:rPr/>
        <w:t>案的总结和发展方面已经进入一个快速发展的良性循环。</w:t>
      </w:r>
    </w:p>
    <w:p>
      <w:pPr>
        <w:spacing w:line="336" w:lineRule="auto" w:before="41"/>
        <w:ind w:left="620" w:right="205" w:hanging="8"/>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、丰富优质的客户资源，为公司带来良好口碑和持续发展动力</w:t>
      </w:r>
      <w:r>
        <w:rPr>
          <w:rFonts w:ascii="宋体" w:hAnsi="宋体" w:cs="宋体" w:eastAsia="宋体" w:hint="default"/>
          <w:b/>
          <w:bCs/>
          <w:w w:val="99"/>
          <w:sz w:val="24"/>
          <w:szCs w:val="24"/>
        </w:rPr>
        <w:t> </w:t>
      </w:r>
      <w:r>
        <w:rPr>
          <w:rFonts w:ascii="宋体" w:hAnsi="宋体" w:cs="宋体" w:eastAsia="宋体" w:hint="default"/>
          <w:spacing w:val="-3"/>
          <w:sz w:val="24"/>
          <w:szCs w:val="24"/>
        </w:rPr>
        <w:t>目前，公司提供的实施服务覆盖了全国范围的客户，并且涉及到了各类行业</w:t>
      </w:r>
    </w:p>
    <w:p>
      <w:pPr>
        <w:pStyle w:val="BodyText"/>
        <w:spacing w:line="348" w:lineRule="auto" w:before="58"/>
        <w:ind w:right="216"/>
        <w:jc w:val="both"/>
      </w:pPr>
      <w:r>
        <w:rPr>
          <w:spacing w:val="-3"/>
        </w:rPr>
        <w:t>专业领域。自公司成立以来，始终坚持贴近客户的策略，通过优质和全面的服务</w:t>
      </w:r>
      <w:r>
        <w:rPr>
          <w:spacing w:val="-110"/>
        </w:rPr>
        <w:t> </w:t>
      </w:r>
      <w:r>
        <w:rPr>
          <w:spacing w:val="-110"/>
        </w:rPr>
      </w:r>
      <w:r>
        <w:rPr/>
        <w:t>与客户建立了长期的合作关系。公司在</w:t>
      </w:r>
      <w:r>
        <w:rPr>
          <w:rFonts w:ascii="Times New Roman" w:hAnsi="Times New Roman" w:cs="Times New Roman" w:eastAsia="Times New Roman" w:hint="default"/>
        </w:rPr>
        <w:t>Oracle</w:t>
      </w:r>
      <w:r>
        <w:rPr/>
        <w:t>和</w:t>
      </w:r>
      <w:r>
        <w:rPr>
          <w:rFonts w:ascii="Times New Roman" w:hAnsi="Times New Roman" w:cs="Times New Roman" w:eastAsia="Times New Roman" w:hint="default"/>
        </w:rPr>
        <w:t>SAP</w:t>
      </w:r>
      <w:r>
        <w:rPr/>
        <w:t>等高端</w:t>
      </w:r>
      <w:r>
        <w:rPr>
          <w:rFonts w:ascii="Times New Roman" w:hAnsi="Times New Roman" w:cs="Times New Roman" w:eastAsia="Times New Roman" w:hint="default"/>
        </w:rPr>
        <w:t>ERP</w:t>
      </w:r>
      <w:r>
        <w:rPr/>
        <w:t>实施服务市场中 均拥有稳定的客户基础。</w:t>
      </w:r>
    </w:p>
    <w:p>
      <w:pPr>
        <w:pStyle w:val="BodyText"/>
        <w:spacing w:line="338" w:lineRule="auto" w:before="43"/>
        <w:ind w:right="211" w:firstLine="479"/>
        <w:jc w:val="left"/>
      </w:pPr>
      <w:r>
        <w:rPr/>
        <w:t>自成立至今，公司已成功为近</w:t>
      </w:r>
      <w:r>
        <w:rPr>
          <w:rFonts w:ascii="Times New Roman" w:hAnsi="Times New Roman" w:cs="Times New Roman" w:eastAsia="Times New Roman" w:hint="default"/>
        </w:rPr>
        <w:t>700</w:t>
      </w:r>
      <w:r>
        <w:rPr/>
        <w:t>家公司提供</w:t>
      </w:r>
      <w:r>
        <w:rPr>
          <w:rFonts w:ascii="Times New Roman" w:hAnsi="Times New Roman" w:cs="Times New Roman" w:eastAsia="Times New Roman" w:hint="default"/>
        </w:rPr>
        <w:t>ERP</w:t>
      </w:r>
      <w:r>
        <w:rPr/>
        <w:t>实施服务。公司发展初期 </w:t>
      </w:r>
      <w:r>
        <w:rPr>
          <w:spacing w:val="-3"/>
        </w:rPr>
        <w:t>以制造业客户为主要实施服务对象，在制造业内形成了较大的品牌影响力。公司</w:t>
      </w:r>
    </w:p>
    <w:p>
      <w:pPr>
        <w:spacing w:after="0" w:line="338" w:lineRule="auto"/>
        <w:jc w:val="left"/>
        <w:sectPr>
          <w:pgSz w:w="11910" w:h="16840"/>
          <w:pgMar w:header="884" w:footer="980" w:top="1140" w:bottom="1160" w:left="1660" w:right="1580"/>
        </w:sectPr>
      </w:pPr>
    </w:p>
    <w:p>
      <w:pPr>
        <w:spacing w:line="240" w:lineRule="auto" w:before="5"/>
        <w:rPr>
          <w:rFonts w:ascii="宋体" w:hAnsi="宋体" w:cs="宋体" w:eastAsia="宋体" w:hint="default"/>
          <w:sz w:val="16"/>
          <w:szCs w:val="16"/>
        </w:rPr>
      </w:pPr>
    </w:p>
    <w:p>
      <w:pPr>
        <w:pStyle w:val="BodyText"/>
        <w:spacing w:line="357" w:lineRule="auto" w:before="26"/>
        <w:ind w:right="191"/>
        <w:jc w:val="left"/>
      </w:pPr>
      <w:r>
        <w:rPr>
          <w:spacing w:val="-3"/>
        </w:rPr>
        <w:t>在随后发展过程中逐步实现了客户群体的拓展，在其他众多行业内也树立了良好</w:t>
      </w:r>
      <w:r>
        <w:rPr>
          <w:spacing w:val="-110"/>
        </w:rPr>
        <w:t> </w:t>
      </w:r>
      <w:r>
        <w:rPr>
          <w:spacing w:val="-110"/>
        </w:rPr>
      </w:r>
      <w:r>
        <w:rPr/>
        <w:t>的品牌形象。</w:t>
      </w:r>
    </w:p>
    <w:p>
      <w:pPr>
        <w:pStyle w:val="BodyText"/>
        <w:spacing w:line="352" w:lineRule="auto" w:before="34"/>
        <w:ind w:right="86" w:firstLine="479"/>
        <w:jc w:val="left"/>
      </w:pPr>
      <w:r>
        <w:rPr>
          <w:spacing w:val="-3"/>
        </w:rPr>
        <w:t>企业信息化建设具有长期性、持续性和较高用户粘度的特点。随着企业信息</w:t>
      </w:r>
      <w:r>
        <w:rPr/>
        <w:t> </w:t>
      </w:r>
      <w:r>
        <w:rPr>
          <w:spacing w:val="-3"/>
        </w:rPr>
        <w:t>化程度和管理水平的不断提升，越来越多的信息化需求会被企业发掘并作为新的</w:t>
      </w:r>
      <w:r>
        <w:rPr>
          <w:spacing w:val="-109"/>
        </w:rPr>
        <w:t> </w:t>
      </w:r>
      <w:r>
        <w:rPr>
          <w:spacing w:val="-109"/>
        </w:rPr>
      </w:r>
      <w:r>
        <w:rPr/>
        <w:t>信息化目标。目前汉得的实施服务收入中大约</w:t>
      </w:r>
      <w:r>
        <w:rPr>
          <w:rFonts w:ascii="Times New Roman" w:hAnsi="Times New Roman" w:cs="Times New Roman" w:eastAsia="Times New Roman" w:hint="default"/>
        </w:rPr>
        <w:t>70%</w:t>
      </w:r>
      <w:r>
        <w:rPr/>
        <w:t>来自老客户的新项目。不断扩 大的老客户规模，为汉得带来了长期、稳定的收入来源和不断提升的业界口碑， 也为汉得的长足发展奠定了坚固的基础。</w:t>
      </w:r>
    </w:p>
    <w:p>
      <w:pPr>
        <w:spacing w:line="336" w:lineRule="auto" w:before="41"/>
        <w:ind w:left="620" w:right="185" w:hanging="8"/>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、稳定的人力资源优势</w:t>
      </w:r>
      <w:r>
        <w:rPr>
          <w:rFonts w:ascii="宋体" w:hAnsi="宋体" w:cs="宋体" w:eastAsia="宋体" w:hint="default"/>
          <w:b/>
          <w:bCs/>
          <w:w w:val="99"/>
          <w:sz w:val="24"/>
          <w:szCs w:val="24"/>
        </w:rPr>
        <w:t> </w:t>
      </w:r>
      <w:r>
        <w:rPr>
          <w:rFonts w:ascii="宋体" w:hAnsi="宋体" w:cs="宋体" w:eastAsia="宋体" w:hint="default"/>
          <w:spacing w:val="-3"/>
          <w:sz w:val="24"/>
          <w:szCs w:val="24"/>
        </w:rPr>
        <w:t>作为具备人力资本密集特性的现代高科技服务类企业，公司十分重视企业文</w:t>
      </w:r>
    </w:p>
    <w:p>
      <w:pPr>
        <w:pStyle w:val="BodyText"/>
        <w:spacing w:line="350" w:lineRule="auto" w:before="58"/>
        <w:ind w:right="191"/>
        <w:jc w:val="left"/>
      </w:pPr>
      <w:r>
        <w:rPr/>
        <w:t>化的建设，积极倡导“</w:t>
      </w:r>
      <w:r>
        <w:rPr>
          <w:rFonts w:ascii="Times New Roman" w:hAnsi="Times New Roman" w:cs="Times New Roman" w:eastAsia="Times New Roman" w:hint="default"/>
        </w:rPr>
        <w:t>Better</w:t>
      </w:r>
      <w:r>
        <w:rPr>
          <w:rFonts w:ascii="Times New Roman" w:hAnsi="Times New Roman" w:cs="Times New Roman" w:eastAsia="Times New Roman" w:hint="default"/>
          <w:spacing w:val="-2"/>
        </w:rPr>
        <w:t> </w:t>
      </w:r>
      <w:r>
        <w:rPr>
          <w:rFonts w:ascii="Times New Roman" w:hAnsi="Times New Roman" w:cs="Times New Roman" w:eastAsia="Times New Roman" w:hint="default"/>
        </w:rPr>
        <w:t>Experience</w:t>
      </w:r>
      <w:r>
        <w:rPr/>
        <w:t>，更好体验”的经营理念，构建企业感 </w:t>
      </w:r>
      <w:r>
        <w:rPr>
          <w:spacing w:val="-3"/>
        </w:rPr>
        <w:t>恩文化，努力为客户提供更好服务体验，为员工提供更好的工作体验。通过实施</w:t>
      </w:r>
      <w:r>
        <w:rPr>
          <w:spacing w:val="-111"/>
        </w:rPr>
        <w:t> </w:t>
      </w:r>
      <w:r>
        <w:rPr>
          <w:spacing w:val="-111"/>
        </w:rPr>
      </w:r>
      <w:r>
        <w:rPr>
          <w:spacing w:val="-3"/>
        </w:rPr>
        <w:t>经验的积累和标准化实践，公司在人才梯队建设方面取得了良好成果。公司在人</w:t>
      </w:r>
      <w:r>
        <w:rPr>
          <w:spacing w:val="-111"/>
        </w:rPr>
        <w:t> </w:t>
      </w:r>
      <w:r>
        <w:rPr>
          <w:spacing w:val="-111"/>
        </w:rPr>
      </w:r>
      <w:r>
        <w:rPr/>
        <w:t>才招聘、人才培养和激励等方面采取了一系列的措施，包括：</w:t>
      </w:r>
    </w:p>
    <w:p>
      <w:pPr>
        <w:pStyle w:val="BodyText"/>
        <w:spacing w:line="240" w:lineRule="auto" w:before="43"/>
        <w:ind w:left="620" w:right="182"/>
        <w:jc w:val="left"/>
      </w:pPr>
      <w:r>
        <w:rPr/>
        <w:t>（</w:t>
      </w:r>
      <w:r>
        <w:rPr>
          <w:rFonts w:ascii="Times New Roman" w:hAnsi="Times New Roman" w:cs="Times New Roman" w:eastAsia="Times New Roman" w:hint="default"/>
        </w:rPr>
        <w:t>1</w:t>
      </w:r>
      <w:r>
        <w:rPr/>
        <w:t>）核心员工拥有企业的股权，使其得以共享企业发展带来的收益；</w:t>
      </w:r>
    </w:p>
    <w:p>
      <w:pPr>
        <w:pStyle w:val="BodyText"/>
        <w:spacing w:line="240" w:lineRule="auto" w:before="133"/>
        <w:ind w:left="620" w:right="182"/>
        <w:jc w:val="left"/>
      </w:pPr>
      <w:r>
        <w:rPr/>
        <w:t>（</w:t>
      </w:r>
      <w:r>
        <w:rPr>
          <w:rFonts w:ascii="Times New Roman" w:hAnsi="Times New Roman" w:cs="Times New Roman" w:eastAsia="Times New Roman" w:hint="default"/>
        </w:rPr>
        <w:t>2</w:t>
      </w:r>
      <w:r>
        <w:rPr/>
        <w:t>）具有完善的培训与考核体制，为人才的进一步发展提供良好的平台；</w:t>
      </w:r>
    </w:p>
    <w:p>
      <w:pPr>
        <w:pStyle w:val="BodyText"/>
        <w:spacing w:line="338" w:lineRule="auto" w:before="135"/>
        <w:ind w:left="620" w:right="185"/>
        <w:jc w:val="left"/>
      </w:pPr>
      <w:r>
        <w:rPr/>
        <w:t>（</w:t>
      </w:r>
      <w:r>
        <w:rPr>
          <w:rFonts w:ascii="Times New Roman" w:hAnsi="Times New Roman" w:cs="Times New Roman" w:eastAsia="Times New Roman" w:hint="default"/>
        </w:rPr>
        <w:t>3</w:t>
      </w:r>
      <w:r>
        <w:rPr/>
        <w:t>）加强企业文化建设，为员工提供良好的工作氛围。 </w:t>
      </w:r>
      <w:r>
        <w:rPr>
          <w:spacing w:val="-3"/>
        </w:rPr>
        <w:t>通过上述一系列措施的实施，公司的高级顾问和核心员工的稳定度高，新进</w:t>
      </w:r>
    </w:p>
    <w:p>
      <w:pPr>
        <w:pStyle w:val="BodyText"/>
        <w:spacing w:line="240" w:lineRule="auto" w:before="53"/>
        <w:ind w:right="182"/>
        <w:jc w:val="left"/>
      </w:pPr>
      <w:r>
        <w:rPr/>
        <w:t>员工的成长快速，为企业的持续发展提供了有力的保障。</w:t>
      </w:r>
    </w:p>
    <w:p>
      <w:pPr>
        <w:pStyle w:val="BodyText"/>
        <w:spacing w:line="352" w:lineRule="auto"/>
        <w:ind w:right="187" w:firstLine="479"/>
        <w:jc w:val="both"/>
      </w:pPr>
      <w:r>
        <w:rPr>
          <w:rFonts w:ascii="Times New Roman" w:hAnsi="Times New Roman" w:cs="Times New Roman" w:eastAsia="Times New Roman" w:hint="default"/>
        </w:rPr>
        <w:t>ERP </w:t>
      </w:r>
      <w:r>
        <w:rPr/>
        <w:t>实施服务行业属于人力资本密集型行业，尽管 </w:t>
      </w:r>
      <w:r>
        <w:rPr>
          <w:rFonts w:ascii="Times New Roman" w:hAnsi="Times New Roman" w:cs="Times New Roman" w:eastAsia="Times New Roman" w:hint="default"/>
        </w:rPr>
        <w:t>ERP</w:t>
      </w:r>
      <w:r>
        <w:rPr>
          <w:rFonts w:ascii="Times New Roman" w:hAnsi="Times New Roman" w:cs="Times New Roman" w:eastAsia="Times New Roman" w:hint="default"/>
          <w:spacing w:val="-16"/>
        </w:rPr>
        <w:t> </w:t>
      </w:r>
      <w:r>
        <w:rPr/>
        <w:t>实施服务公司都会</w:t>
      </w:r>
      <w:r>
        <w:rPr>
          <w:w w:val="99"/>
        </w:rPr>
        <w:t> </w:t>
      </w:r>
      <w:r>
        <w:rPr>
          <w:spacing w:val="-3"/>
        </w:rPr>
        <w:t>通过各种方式来吸引与挽留人才，但由于行业内部企业激烈的竞争、同行业内不</w:t>
      </w:r>
      <w:r>
        <w:rPr>
          <w:spacing w:val="-112"/>
        </w:rPr>
        <w:t> </w:t>
      </w:r>
      <w:r>
        <w:rPr>
          <w:spacing w:val="-112"/>
        </w:rPr>
      </w:r>
      <w:r>
        <w:rPr>
          <w:spacing w:val="12"/>
        </w:rPr>
        <w:t>同企业业务模式的相似性以及顾问自身职业发展理念的不同等因素都导致了</w:t>
      </w:r>
      <w:r>
        <w:rPr>
          <w:spacing w:val="12"/>
          <w:w w:val="99"/>
        </w:rPr>
        <w:t> </w:t>
      </w:r>
      <w:r>
        <w:rPr>
          <w:rFonts w:ascii="Times New Roman" w:hAnsi="Times New Roman" w:cs="Times New Roman" w:eastAsia="Times New Roman" w:hint="default"/>
        </w:rPr>
        <w:t>ERP</w:t>
      </w:r>
      <w:r>
        <w:rPr>
          <w:rFonts w:ascii="Times New Roman" w:hAnsi="Times New Roman" w:cs="Times New Roman" w:eastAsia="Times New Roman" w:hint="default"/>
          <w:spacing w:val="10"/>
        </w:rPr>
        <w:t> </w:t>
      </w:r>
      <w:r>
        <w:rPr>
          <w:spacing w:val="-4"/>
        </w:rPr>
        <w:t>实施服务行业相比其他传统行业具有较高的人员流动率。针对公司来说，相</w:t>
      </w:r>
      <w:r>
        <w:rPr>
          <w:spacing w:val="-117"/>
        </w:rPr>
        <w:t> </w:t>
      </w:r>
      <w:r>
        <w:rPr>
          <w:spacing w:val="-117"/>
        </w:rPr>
      </w:r>
      <w:r>
        <w:rPr>
          <w:spacing w:val="-3"/>
        </w:rPr>
        <w:t>比级别较低顾问的流失，公司核心技术人员的流失一般会对公司项目运转效率与</w:t>
      </w:r>
      <w:r>
        <w:rPr>
          <w:spacing w:val="-110"/>
        </w:rPr>
        <w:t> </w:t>
      </w:r>
      <w:r>
        <w:rPr>
          <w:spacing w:val="-110"/>
        </w:rPr>
      </w:r>
      <w:r>
        <w:rPr>
          <w:spacing w:val="-3"/>
        </w:rPr>
        <w:t>项目承揽能力造成更大的影响。然而，由于公司核心技术人员流动率较低，加之</w:t>
      </w:r>
      <w:r>
        <w:rPr>
          <w:spacing w:val="-112"/>
        </w:rPr>
        <w:t> </w:t>
      </w:r>
      <w:r>
        <w:rPr>
          <w:spacing w:val="-112"/>
        </w:rPr>
      </w:r>
      <w:r>
        <w:rPr>
          <w:spacing w:val="-3"/>
        </w:rPr>
        <w:t>公司核心技术人员储备充足，且公司定期会通过内部培养的方式来选拔优秀人才</w:t>
      </w:r>
      <w:r>
        <w:rPr>
          <w:spacing w:val="-110"/>
        </w:rPr>
        <w:t> </w:t>
      </w:r>
      <w:r>
        <w:rPr>
          <w:spacing w:val="-110"/>
        </w:rPr>
      </w:r>
      <w:r>
        <w:rPr>
          <w:spacing w:val="-3"/>
        </w:rPr>
        <w:t>以扩充核心技术人员队伍，因此报告期内公司核心技术人员的流动并未对公司各</w:t>
      </w:r>
      <w:r>
        <w:rPr>
          <w:spacing w:val="-111"/>
        </w:rPr>
        <w:t> </w:t>
      </w:r>
      <w:r>
        <w:rPr>
          <w:spacing w:val="-111"/>
        </w:rPr>
      </w:r>
      <w:r>
        <w:rPr/>
        <w:t>期经营造成重大影响，属于日常经营过程中人员的正常流动。</w:t>
      </w:r>
    </w:p>
    <w:p>
      <w:pPr>
        <w:pStyle w:val="BodyText"/>
        <w:spacing w:line="357" w:lineRule="auto" w:before="38"/>
        <w:ind w:right="186" w:firstLine="479"/>
        <w:jc w:val="left"/>
      </w:pPr>
      <w:r>
        <w:rPr>
          <w:spacing w:val="-3"/>
        </w:rPr>
        <w:t>鉴于核心技术人员对于公司经营发展的重要作用，公司制定了如下一些措施</w:t>
      </w:r>
      <w:r>
        <w:rPr/>
        <w:t> 来防止与降低核心人员的流失：</w:t>
      </w:r>
    </w:p>
    <w:p>
      <w:pPr>
        <w:spacing w:after="0" w:line="357" w:lineRule="auto"/>
        <w:jc w:val="left"/>
        <w:sectPr>
          <w:pgSz w:w="11910" w:h="16840"/>
          <w:pgMar w:header="884" w:footer="980" w:top="1140" w:bottom="1160" w:left="1660" w:right="1600"/>
        </w:sectPr>
      </w:pPr>
    </w:p>
    <w:p>
      <w:pPr>
        <w:spacing w:line="240" w:lineRule="auto" w:before="5"/>
        <w:rPr>
          <w:rFonts w:ascii="宋体" w:hAnsi="宋体" w:cs="宋体" w:eastAsia="宋体" w:hint="default"/>
          <w:sz w:val="16"/>
          <w:szCs w:val="16"/>
        </w:rPr>
      </w:pPr>
    </w:p>
    <w:p>
      <w:pPr>
        <w:pStyle w:val="BodyText"/>
        <w:spacing w:line="355" w:lineRule="auto" w:before="26"/>
        <w:ind w:right="82" w:firstLine="479"/>
        <w:jc w:val="left"/>
      </w:pPr>
      <w:r>
        <w:rPr/>
        <w:t>（</w:t>
      </w:r>
      <w:r>
        <w:rPr>
          <w:rFonts w:ascii="Times New Roman" w:hAnsi="Times New Roman" w:cs="Times New Roman" w:eastAsia="Times New Roman" w:hint="default"/>
        </w:rPr>
        <w:t>1</w:t>
      </w:r>
      <w:r>
        <w:rPr/>
        <w:t>）作为服务咨询类企业，公司积极构建客户导向的感恩型企业文化，对 </w:t>
      </w:r>
      <w:r>
        <w:rPr>
          <w:spacing w:val="-3"/>
        </w:rPr>
        <w:t>客户在合作中给予公司的充分信任与支持心怀感恩。这种感恩型的企业文化增强</w:t>
      </w:r>
      <w:r>
        <w:rPr>
          <w:spacing w:val="-109"/>
        </w:rPr>
        <w:t> </w:t>
      </w:r>
      <w:r>
        <w:rPr>
          <w:spacing w:val="-109"/>
        </w:rPr>
      </w:r>
      <w:r>
        <w:rPr>
          <w:spacing w:val="-3"/>
        </w:rPr>
        <w:t>了公司顾问的责任感与使命感，促进公司内部形成以客户实施项目的圆满完成为</w:t>
      </w:r>
      <w:r>
        <w:rPr>
          <w:spacing w:val="-109"/>
        </w:rPr>
        <w:t> </w:t>
      </w:r>
      <w:r>
        <w:rPr>
          <w:spacing w:val="-109"/>
        </w:rPr>
      </w:r>
      <w:r>
        <w:rPr>
          <w:spacing w:val="-6"/>
        </w:rPr>
        <w:t>己任的团队文化，客户对实施项目满意度越高，员工个人的事业成就感也就越强，</w:t>
      </w:r>
      <w:r>
        <w:rPr/>
        <w:t> </w:t>
      </w:r>
      <w:r>
        <w:rPr>
          <w:spacing w:val="-3"/>
        </w:rPr>
        <w:t>从而使得员工能够与公司的利益高度一致，共享公司发展过程中遇到的困难与取</w:t>
      </w:r>
      <w:r>
        <w:rPr>
          <w:spacing w:val="-109"/>
        </w:rPr>
        <w:t> </w:t>
      </w:r>
      <w:r>
        <w:rPr>
          <w:spacing w:val="-109"/>
        </w:rPr>
      </w:r>
      <w:r>
        <w:rPr>
          <w:spacing w:val="-3"/>
        </w:rPr>
        <w:t>得的成绩。目前，公司主要通过自主培养而非市场配置、长期雇佣而非临时外包</w:t>
      </w:r>
      <w:r>
        <w:rPr>
          <w:spacing w:val="-111"/>
        </w:rPr>
        <w:t> </w:t>
      </w:r>
      <w:r>
        <w:rPr>
          <w:spacing w:val="-111"/>
        </w:rPr>
      </w:r>
      <w:r>
        <w:rPr>
          <w:spacing w:val="-3"/>
        </w:rPr>
        <w:t>的方式招聘与培养员工，从而使得员工的服务精神与个人理想更容易和公司感恩</w:t>
      </w:r>
      <w:r>
        <w:rPr>
          <w:spacing w:val="-109"/>
        </w:rPr>
        <w:t> </w:t>
      </w:r>
      <w:r>
        <w:rPr>
          <w:spacing w:val="-109"/>
        </w:rPr>
      </w:r>
      <w:r>
        <w:rPr/>
        <w:t>型的企业文化合拍，为公司人员稳定奠定坚实基础。</w:t>
      </w:r>
    </w:p>
    <w:p>
      <w:pPr>
        <w:pStyle w:val="BodyText"/>
        <w:spacing w:line="352" w:lineRule="auto" w:before="115"/>
        <w:ind w:right="216" w:firstLine="479"/>
        <w:jc w:val="both"/>
      </w:pPr>
      <w:r>
        <w:rPr>
          <w:spacing w:val="-3"/>
        </w:rPr>
        <w:t>（</w:t>
      </w:r>
      <w:r>
        <w:rPr>
          <w:rFonts w:ascii="Times New Roman" w:hAnsi="Times New Roman" w:cs="Times New Roman" w:eastAsia="Times New Roman" w:hint="default"/>
          <w:spacing w:val="-3"/>
        </w:rPr>
        <w:t>2</w:t>
      </w:r>
      <w:r>
        <w:rPr>
          <w:spacing w:val="-3"/>
        </w:rPr>
        <w:t>）公司目前处于快速发展期，业务所涉及的</w:t>
      </w:r>
      <w:r>
        <w:rPr>
          <w:spacing w:val="-57"/>
        </w:rPr>
        <w:t> </w:t>
      </w:r>
      <w:r>
        <w:rPr>
          <w:rFonts w:ascii="Times New Roman" w:hAnsi="Times New Roman" w:cs="Times New Roman" w:eastAsia="Times New Roman" w:hint="default"/>
        </w:rPr>
        <w:t>ERP</w:t>
      </w:r>
      <w:r>
        <w:rPr>
          <w:rFonts w:ascii="Times New Roman" w:hAnsi="Times New Roman" w:cs="Times New Roman" w:eastAsia="Times New Roman" w:hint="default"/>
          <w:spacing w:val="3"/>
        </w:rPr>
        <w:t> </w:t>
      </w:r>
      <w:r>
        <w:rPr/>
        <w:t>模块以及行业领域均不 </w:t>
      </w:r>
      <w:r>
        <w:rPr>
          <w:spacing w:val="-3"/>
        </w:rPr>
        <w:t>断深化与拓展，公司内部员工规模与部门设置也不断扩展，从而能够给予员工个</w:t>
      </w:r>
      <w:r>
        <w:rPr>
          <w:spacing w:val="-111"/>
        </w:rPr>
        <w:t> </w:t>
      </w:r>
      <w:r>
        <w:rPr>
          <w:spacing w:val="-111"/>
        </w:rPr>
      </w:r>
      <w:r>
        <w:rPr>
          <w:spacing w:val="-3"/>
        </w:rPr>
        <w:t>人较大的能力施展与成长的空间。同时，公司在项目管理体制设定中赋予了核心</w:t>
      </w:r>
      <w:r>
        <w:rPr>
          <w:spacing w:val="-109"/>
        </w:rPr>
        <w:t> </w:t>
      </w:r>
      <w:r>
        <w:rPr>
          <w:spacing w:val="-109"/>
        </w:rPr>
      </w:r>
      <w:r>
        <w:rPr>
          <w:spacing w:val="-3"/>
        </w:rPr>
        <w:t>技术人员较大的决策权，提高核心技术人员工作积极性与成就感的同时有效提高</w:t>
      </w:r>
      <w:r>
        <w:rPr>
          <w:spacing w:val="-109"/>
        </w:rPr>
        <w:t> </w:t>
      </w:r>
      <w:r>
        <w:rPr>
          <w:spacing w:val="-109"/>
        </w:rPr>
      </w:r>
      <w:r>
        <w:rPr/>
        <w:t>了公司经营业绩。</w:t>
      </w:r>
    </w:p>
    <w:p>
      <w:pPr>
        <w:pStyle w:val="BodyText"/>
        <w:spacing w:line="352" w:lineRule="auto" w:before="41"/>
        <w:ind w:right="217" w:firstLine="479"/>
        <w:jc w:val="both"/>
      </w:pPr>
      <w:r>
        <w:rPr/>
        <w:t>（</w:t>
      </w:r>
      <w:r>
        <w:rPr>
          <w:rFonts w:ascii="Times New Roman" w:hAnsi="Times New Roman" w:cs="Times New Roman" w:eastAsia="Times New Roman" w:hint="default"/>
        </w:rPr>
        <w:t>3</w:t>
      </w:r>
      <w:r>
        <w:rPr/>
        <w:t>）公司重视员工薪酬待遇，通过有效的薪酬体系设计与优化不断提高员 </w:t>
      </w:r>
      <w:r>
        <w:rPr>
          <w:spacing w:val="-3"/>
        </w:rPr>
        <w:t>工薪酬水平。一方面，公司通过每半年一次的员工级别评定定期为员工提高工薪</w:t>
      </w:r>
      <w:r>
        <w:rPr>
          <w:spacing w:val="-109"/>
        </w:rPr>
        <w:t> </w:t>
      </w:r>
      <w:r>
        <w:rPr>
          <w:spacing w:val="-109"/>
        </w:rPr>
      </w:r>
      <w:r>
        <w:rPr>
          <w:spacing w:val="-3"/>
        </w:rPr>
        <w:t>水平，另一方面，公司也制定了绩效奖金制度，提高项目组核心技术人员工作积</w:t>
      </w:r>
      <w:r>
        <w:rPr>
          <w:spacing w:val="-111"/>
        </w:rPr>
        <w:t> </w:t>
      </w:r>
      <w:r>
        <w:rPr>
          <w:spacing w:val="-111"/>
        </w:rPr>
      </w:r>
      <w:r>
        <w:rPr>
          <w:spacing w:val="-3"/>
        </w:rPr>
        <w:t>极性的同时提高了核心技术人员的薪酬水平，使得员工可以共享公司发展带来的</w:t>
      </w:r>
      <w:r>
        <w:rPr>
          <w:spacing w:val="-109"/>
        </w:rPr>
        <w:t> </w:t>
      </w:r>
      <w:r>
        <w:rPr>
          <w:spacing w:val="-109"/>
        </w:rPr>
      </w:r>
      <w:r>
        <w:rPr/>
        <w:t>业绩增长。</w:t>
      </w:r>
    </w:p>
    <w:p>
      <w:pPr>
        <w:pStyle w:val="BodyText"/>
        <w:spacing w:line="294" w:lineRule="exact" w:before="0"/>
        <w:ind w:right="0" w:firstLine="479"/>
        <w:jc w:val="both"/>
      </w:pPr>
      <w:r>
        <w:rPr/>
        <w:t>（</w:t>
      </w:r>
      <w:r>
        <w:rPr>
          <w:rFonts w:ascii="Times New Roman" w:hAnsi="Times New Roman" w:cs="Times New Roman" w:eastAsia="Times New Roman" w:hint="default"/>
        </w:rPr>
        <w:t>4</w:t>
      </w:r>
      <w:r>
        <w:rPr/>
        <w:t>）除开公开发行前部分公司高级管理人员及核心技术人员通过设立投资</w:t>
      </w:r>
    </w:p>
    <w:p>
      <w:pPr>
        <w:pStyle w:val="BodyText"/>
        <w:spacing w:line="240" w:lineRule="auto" w:before="135"/>
        <w:ind w:right="0"/>
        <w:jc w:val="both"/>
      </w:pPr>
      <w:r>
        <w:rPr>
          <w:spacing w:val="3"/>
        </w:rPr>
        <w:t>公司间接成为公司股东。报告期内，公司实施了限制性股票激励计划，向共计</w:t>
      </w:r>
    </w:p>
    <w:p>
      <w:pPr>
        <w:pStyle w:val="BodyText"/>
        <w:spacing w:line="240" w:lineRule="auto" w:before="151"/>
        <w:ind w:right="0"/>
        <w:jc w:val="both"/>
      </w:pPr>
      <w:r>
        <w:rPr>
          <w:rFonts w:ascii="Times New Roman" w:hAnsi="Times New Roman" w:cs="Times New Roman" w:eastAsia="Times New Roman" w:hint="default"/>
        </w:rPr>
        <w:t>314</w:t>
      </w:r>
      <w:r>
        <w:rPr>
          <w:rFonts w:ascii="Times New Roman" w:hAnsi="Times New Roman" w:cs="Times New Roman" w:eastAsia="Times New Roman" w:hint="default"/>
          <w:spacing w:val="2"/>
        </w:rPr>
        <w:t> </w:t>
      </w:r>
      <w:r>
        <w:rPr/>
        <w:t>名核心技术人员定向发行</w:t>
      </w:r>
      <w:r>
        <w:rPr>
          <w:spacing w:val="-57"/>
        </w:rPr>
        <w:t> </w:t>
      </w:r>
      <w:r>
        <w:rPr>
          <w:rFonts w:ascii="宋体" w:hAnsi="宋体" w:cs="宋体" w:eastAsia="宋体" w:hint="default"/>
        </w:rPr>
        <w:t>5,993,500</w:t>
      </w:r>
      <w:r>
        <w:rPr>
          <w:rFonts w:ascii="宋体" w:hAnsi="宋体" w:cs="宋体" w:eastAsia="宋体" w:hint="default"/>
          <w:spacing w:val="-57"/>
        </w:rPr>
        <w:t> </w:t>
      </w:r>
      <w:r>
        <w:rPr>
          <w:spacing w:val="-3"/>
        </w:rPr>
        <w:t>股限制性股票，激励对象获授限制性股</w:t>
      </w:r>
    </w:p>
    <w:p>
      <w:pPr>
        <w:pStyle w:val="BodyText"/>
        <w:spacing w:line="240" w:lineRule="auto" w:before="135"/>
        <w:ind w:right="0"/>
        <w:jc w:val="both"/>
      </w:pPr>
      <w:r>
        <w:rPr/>
        <w:t>票之日起</w:t>
      </w:r>
      <w:r>
        <w:rPr>
          <w:spacing w:val="-57"/>
        </w:rPr>
        <w:t> </w:t>
      </w:r>
      <w:r>
        <w:rPr>
          <w:rFonts w:ascii="宋体" w:hAnsi="宋体" w:cs="宋体" w:eastAsia="宋体" w:hint="default"/>
        </w:rPr>
        <w:t>12</w:t>
      </w:r>
      <w:r>
        <w:rPr>
          <w:rFonts w:ascii="宋体" w:hAnsi="宋体" w:cs="宋体" w:eastAsia="宋体" w:hint="default"/>
          <w:spacing w:val="-56"/>
        </w:rPr>
        <w:t> </w:t>
      </w:r>
      <w:r>
        <w:rPr/>
        <w:t>个月内为锁定期。在锁定期内，激励对象根据本计划获授的限制性</w:t>
      </w:r>
    </w:p>
    <w:p>
      <w:pPr>
        <w:pStyle w:val="BodyText"/>
        <w:spacing w:line="357" w:lineRule="auto" w:before="151"/>
        <w:ind w:right="100"/>
        <w:jc w:val="both"/>
      </w:pPr>
      <w:r>
        <w:rPr/>
        <w:t>股票予以锁定，不得转让。授予后的限制性股票锁定期后</w:t>
      </w:r>
      <w:r>
        <w:rPr>
          <w:spacing w:val="-51"/>
        </w:rPr>
        <w:t> </w:t>
      </w:r>
      <w:r>
        <w:rPr>
          <w:rFonts w:ascii="宋体" w:hAnsi="宋体" w:cs="宋体" w:eastAsia="宋体" w:hint="default"/>
        </w:rPr>
        <w:t>36</w:t>
      </w:r>
      <w:r>
        <w:rPr>
          <w:rFonts w:ascii="宋体" w:hAnsi="宋体" w:cs="宋体" w:eastAsia="宋体" w:hint="default"/>
          <w:spacing w:val="-57"/>
        </w:rPr>
        <w:t> </w:t>
      </w:r>
      <w:r>
        <w:rPr/>
        <w:t>个月为解锁期。在</w:t>
      </w:r>
      <w:r>
        <w:rPr>
          <w:spacing w:val="-116"/>
        </w:rPr>
        <w:t> </w:t>
      </w:r>
      <w:r>
        <w:rPr>
          <w:spacing w:val="-116"/>
        </w:rPr>
      </w:r>
      <w:r>
        <w:rPr>
          <w:spacing w:val="3"/>
        </w:rPr>
        <w:t>解锁期内，若达到本计划规定的限制性股票的解锁条件，激励对象可在授予日</w:t>
      </w:r>
      <w:r>
        <w:rPr>
          <w:spacing w:val="-105"/>
        </w:rPr>
        <w:t> </w:t>
      </w:r>
      <w:r>
        <w:rPr>
          <w:spacing w:val="-105"/>
        </w:rPr>
      </w:r>
      <w:r>
        <w:rPr/>
        <w:t>起</w:t>
      </w:r>
      <w:r>
        <w:rPr>
          <w:spacing w:val="-31"/>
        </w:rPr>
        <w:t> </w:t>
      </w:r>
      <w:r>
        <w:rPr>
          <w:rFonts w:ascii="宋体" w:hAnsi="宋体" w:cs="宋体" w:eastAsia="宋体" w:hint="default"/>
        </w:rPr>
        <w:t>12</w:t>
      </w:r>
      <w:r>
        <w:rPr>
          <w:rFonts w:ascii="宋体" w:hAnsi="宋体" w:cs="宋体" w:eastAsia="宋体" w:hint="default"/>
          <w:spacing w:val="-31"/>
        </w:rPr>
        <w:t> </w:t>
      </w:r>
      <w:r>
        <w:rPr/>
        <w:t>个月后、</w:t>
      </w:r>
      <w:r>
        <w:rPr>
          <w:rFonts w:ascii="宋体" w:hAnsi="宋体" w:cs="宋体" w:eastAsia="宋体" w:hint="default"/>
        </w:rPr>
        <w:t>24</w:t>
      </w:r>
      <w:r>
        <w:rPr>
          <w:rFonts w:ascii="宋体" w:hAnsi="宋体" w:cs="宋体" w:eastAsia="宋体" w:hint="default"/>
          <w:spacing w:val="-31"/>
        </w:rPr>
        <w:t> </w:t>
      </w:r>
      <w:r>
        <w:rPr/>
        <w:t>个月后、</w:t>
      </w:r>
      <w:r>
        <w:rPr>
          <w:rFonts w:ascii="宋体" w:hAnsi="宋体" w:cs="宋体" w:eastAsia="宋体" w:hint="default"/>
        </w:rPr>
        <w:t>36</w:t>
      </w:r>
      <w:r>
        <w:rPr>
          <w:rFonts w:ascii="宋体" w:hAnsi="宋体" w:cs="宋体" w:eastAsia="宋体" w:hint="default"/>
          <w:spacing w:val="-31"/>
        </w:rPr>
        <w:t> </w:t>
      </w:r>
      <w:r>
        <w:rPr/>
        <w:t>个月后分三期分别申请解锁所获授限制性股票总</w:t>
      </w:r>
      <w:r>
        <w:rPr>
          <w:spacing w:val="-106"/>
        </w:rPr>
        <w:t> </w:t>
      </w:r>
      <w:r>
        <w:rPr>
          <w:spacing w:val="-106"/>
        </w:rPr>
      </w:r>
      <w:r>
        <w:rPr/>
        <w:t>量的 </w:t>
      </w:r>
      <w:r>
        <w:rPr>
          <w:rFonts w:ascii="宋体" w:hAnsi="宋体" w:cs="宋体" w:eastAsia="宋体" w:hint="default"/>
        </w:rPr>
        <w:t>30%</w:t>
      </w:r>
      <w:r>
        <w:rPr/>
        <w:t>、</w:t>
      </w:r>
      <w:r>
        <w:rPr>
          <w:rFonts w:ascii="宋体" w:hAnsi="宋体" w:cs="宋体" w:eastAsia="宋体" w:hint="default"/>
        </w:rPr>
        <w:t>30%</w:t>
      </w:r>
      <w:r>
        <w:rPr/>
        <w:t>和 </w:t>
      </w:r>
      <w:r>
        <w:rPr>
          <w:rFonts w:ascii="宋体" w:hAnsi="宋体" w:cs="宋体" w:eastAsia="宋体" w:hint="default"/>
        </w:rPr>
        <w:t>40%</w:t>
      </w:r>
      <w:r>
        <w:rPr/>
        <w:t>，解锁后的标的股票可依法自由流通。解锁期的任一年度</w:t>
      </w:r>
      <w:r>
        <w:rPr>
          <w:spacing w:val="-110"/>
        </w:rPr>
        <w:t> </w:t>
      </w:r>
      <w:r>
        <w:rPr>
          <w:spacing w:val="-110"/>
        </w:rPr>
      </w:r>
      <w:r>
        <w:rPr>
          <w:spacing w:val="3"/>
        </w:rPr>
        <w:t>公司绩效条件未达到解锁条件的，该部分股票不得解锁，公司必须回购并注销</w:t>
      </w:r>
      <w:r>
        <w:rPr>
          <w:spacing w:val="-105"/>
        </w:rPr>
        <w:t> </w:t>
      </w:r>
      <w:r>
        <w:rPr>
          <w:spacing w:val="-105"/>
        </w:rPr>
      </w:r>
      <w:r>
        <w:rPr>
          <w:spacing w:val="3"/>
        </w:rPr>
        <w:t>该部分标的股票。上述激励措施可以有效的降低未来三年核心员工的离职率，</w:t>
      </w:r>
      <w:r>
        <w:rPr>
          <w:spacing w:val="-99"/>
        </w:rPr>
        <w:t> </w:t>
      </w:r>
      <w:r>
        <w:rPr>
          <w:spacing w:val="-99"/>
        </w:rPr>
      </w:r>
      <w:r>
        <w:rPr/>
        <w:t>为未来的市场竞争奠定坚实的人才优势，也有利于增强员工的归属感和稳定性。</w:t>
      </w:r>
    </w:p>
    <w:p>
      <w:pPr>
        <w:pStyle w:val="Heading5"/>
        <w:spacing w:line="240" w:lineRule="auto" w:before="34"/>
        <w:ind w:left="613" w:right="138"/>
        <w:jc w:val="left"/>
        <w:rPr>
          <w:b w:val="0"/>
          <w:bCs w:val="0"/>
        </w:rPr>
      </w:pPr>
      <w:r>
        <w:rPr>
          <w:rFonts w:ascii="Times New Roman" w:hAnsi="Times New Roman" w:cs="Times New Roman" w:eastAsia="Times New Roman" w:hint="default"/>
        </w:rPr>
        <w:t>4</w:t>
      </w:r>
      <w:r>
        <w:rPr/>
        <w:t>、在</w:t>
      </w:r>
      <w:r>
        <w:rPr>
          <w:spacing w:val="-60"/>
        </w:rPr>
        <w:t> </w:t>
      </w:r>
      <w:r>
        <w:rPr>
          <w:rFonts w:ascii="Times New Roman" w:hAnsi="Times New Roman" w:cs="Times New Roman" w:eastAsia="Times New Roman" w:hint="default"/>
        </w:rPr>
        <w:t>ERP</w:t>
      </w:r>
      <w:r>
        <w:rPr>
          <w:rFonts w:ascii="Times New Roman" w:hAnsi="Times New Roman" w:cs="Times New Roman" w:eastAsia="Times New Roman" w:hint="default"/>
          <w:spacing w:val="-4"/>
        </w:rPr>
        <w:t> </w:t>
      </w:r>
      <w:r>
        <w:rPr/>
        <w:t>软件外包方面具有先发优势和协同优势</w:t>
      </w:r>
      <w:r>
        <w:rPr>
          <w:b w:val="0"/>
          <w:bCs w:val="0"/>
        </w:rPr>
      </w:r>
    </w:p>
    <w:p>
      <w:pPr>
        <w:spacing w:after="0" w:line="240" w:lineRule="auto"/>
        <w:jc w:val="left"/>
        <w:sectPr>
          <w:pgSz w:w="11910" w:h="16840"/>
          <w:pgMar w:header="884" w:footer="980" w:top="1140" w:bottom="1160" w:left="1660" w:right="1580"/>
        </w:sectPr>
      </w:pPr>
    </w:p>
    <w:p>
      <w:pPr>
        <w:spacing w:line="240" w:lineRule="auto" w:before="5"/>
        <w:rPr>
          <w:rFonts w:ascii="宋体" w:hAnsi="宋体" w:cs="宋体" w:eastAsia="宋体" w:hint="default"/>
          <w:b/>
          <w:bCs/>
          <w:sz w:val="16"/>
          <w:szCs w:val="16"/>
        </w:rPr>
      </w:pPr>
    </w:p>
    <w:p>
      <w:pPr>
        <w:pStyle w:val="BodyText"/>
        <w:spacing w:line="343" w:lineRule="auto" w:before="26"/>
        <w:ind w:right="131" w:firstLine="479"/>
        <w:jc w:val="left"/>
      </w:pPr>
      <w:r>
        <w:rPr>
          <w:spacing w:val="-2"/>
        </w:rPr>
        <w:t>中国对日</w:t>
      </w:r>
      <w:r>
        <w:rPr>
          <w:rFonts w:ascii="Times New Roman" w:hAnsi="Times New Roman" w:cs="Times New Roman" w:eastAsia="Times New Roman" w:hint="default"/>
          <w:spacing w:val="-2"/>
        </w:rPr>
        <w:t>ERP</w:t>
      </w:r>
      <w:r>
        <w:rPr>
          <w:spacing w:val="-2"/>
        </w:rPr>
        <w:t>软件外包市场是一个新兴的市场，根据赛迪顾问的统计，</w:t>
      </w:r>
      <w:r>
        <w:rPr>
          <w:rFonts w:ascii="Times New Roman" w:hAnsi="Times New Roman" w:cs="Times New Roman" w:eastAsia="Times New Roman" w:hint="default"/>
          <w:spacing w:val="-2"/>
        </w:rPr>
        <w:t>2009</w:t>
      </w:r>
      <w:r>
        <w:rPr>
          <w:rFonts w:ascii="Times New Roman" w:hAnsi="Times New Roman" w:cs="Times New Roman" w:eastAsia="Times New Roman" w:hint="default"/>
        </w:rPr>
        <w:t> </w:t>
      </w:r>
      <w:r>
        <w:rPr/>
        <w:t>年该行业实现收入</w:t>
      </w:r>
      <w:r>
        <w:rPr>
          <w:rFonts w:ascii="Times New Roman" w:hAnsi="Times New Roman" w:cs="Times New Roman" w:eastAsia="Times New Roman" w:hint="default"/>
        </w:rPr>
        <w:t>5,300</w:t>
      </w:r>
      <w:r>
        <w:rPr/>
        <w:t>万美元，未来市场增长仍有着巨大的潜力。同时，日本 </w:t>
      </w:r>
      <w:r>
        <w:rPr>
          <w:spacing w:val="-2"/>
        </w:rPr>
        <w:t>将应用软件开发和服务外包到中国的趋势日渐明显，估计未来将会有更多的</w:t>
      </w:r>
      <w:r>
        <w:rPr>
          <w:rFonts w:ascii="Times New Roman" w:hAnsi="Times New Roman" w:cs="Times New Roman" w:eastAsia="Times New Roman" w:hint="default"/>
          <w:spacing w:val="-2"/>
        </w:rPr>
        <w:t>ERP</w:t>
      </w:r>
      <w:r>
        <w:rPr>
          <w:rFonts w:ascii="Times New Roman" w:hAnsi="Times New Roman" w:cs="Times New Roman" w:eastAsia="Times New Roman" w:hint="default"/>
          <w:spacing w:val="-42"/>
        </w:rPr>
        <w:t> </w:t>
      </w:r>
      <w:r>
        <w:rPr>
          <w:spacing w:val="-3"/>
        </w:rPr>
        <w:t>实施服务如二次开发等业务发包到中国市场。这为中国的软件外包厂商，特别是</w:t>
      </w:r>
      <w:r>
        <w:rPr>
          <w:spacing w:val="-111"/>
        </w:rPr>
        <w:t> </w:t>
      </w:r>
      <w:r>
        <w:rPr>
          <w:spacing w:val="-111"/>
        </w:rPr>
      </w:r>
      <w:r>
        <w:rPr>
          <w:rFonts w:ascii="Times New Roman" w:hAnsi="Times New Roman" w:cs="Times New Roman" w:eastAsia="Times New Roman" w:hint="default"/>
        </w:rPr>
        <w:t>ERP</w:t>
      </w:r>
      <w:r>
        <w:rPr/>
        <w:t>领域的专业实施服务商带来新的市场机遇。</w:t>
      </w:r>
    </w:p>
    <w:p>
      <w:pPr>
        <w:pStyle w:val="BodyText"/>
        <w:spacing w:line="345" w:lineRule="auto" w:before="21"/>
        <w:ind w:right="131" w:firstLine="479"/>
        <w:jc w:val="left"/>
      </w:pPr>
      <w:r>
        <w:rPr>
          <w:spacing w:val="-2"/>
        </w:rPr>
        <w:t>公司是较早进入日本</w:t>
      </w:r>
      <w:r>
        <w:rPr>
          <w:rFonts w:ascii="Times New Roman" w:hAnsi="Times New Roman" w:cs="Times New Roman" w:eastAsia="Times New Roman" w:hint="default"/>
          <w:spacing w:val="-2"/>
        </w:rPr>
        <w:t>ERP</w:t>
      </w:r>
      <w:r>
        <w:rPr>
          <w:spacing w:val="-2"/>
        </w:rPr>
        <w:t>外包服务市场的服务供应商之一，占据了一定的先</w:t>
      </w:r>
      <w:r>
        <w:rPr/>
        <w:t> </w:t>
      </w:r>
      <w:r>
        <w:rPr>
          <w:spacing w:val="-2"/>
        </w:rPr>
        <w:t>发优势。经过多年发展，公司在对日</w:t>
      </w:r>
      <w:r>
        <w:rPr>
          <w:rFonts w:ascii="Times New Roman" w:hAnsi="Times New Roman" w:cs="Times New Roman" w:eastAsia="Times New Roman" w:hint="default"/>
          <w:spacing w:val="-2"/>
        </w:rPr>
        <w:t>ERP</w:t>
      </w:r>
      <w:r>
        <w:rPr>
          <w:spacing w:val="-2"/>
        </w:rPr>
        <w:t>外包服务领域内目前已经拥有了一支语</w:t>
      </w:r>
      <w:r>
        <w:rPr>
          <w:spacing w:val="-104"/>
        </w:rPr>
        <w:t> </w:t>
      </w:r>
      <w:r>
        <w:rPr>
          <w:spacing w:val="-104"/>
        </w:rPr>
      </w:r>
      <w:r>
        <w:rPr>
          <w:spacing w:val="-3"/>
        </w:rPr>
        <w:t>言、技术和管理能力兼备的高素质人才队伍和业务需求稳定的优质客户。由于日</w:t>
      </w:r>
      <w:r>
        <w:rPr>
          <w:spacing w:val="-111"/>
        </w:rPr>
        <w:t> </w:t>
      </w:r>
      <w:r>
        <w:rPr>
          <w:spacing w:val="-111"/>
        </w:rPr>
      </w:r>
      <w:r>
        <w:rPr/>
        <w:t>本企业十分重视合作伙伴的口碑，公司以往良好的服务预计会使公司未来对日 </w:t>
      </w:r>
      <w:r>
        <w:rPr>
          <w:rFonts w:ascii="Times New Roman" w:hAnsi="Times New Roman" w:cs="Times New Roman" w:eastAsia="Times New Roman" w:hint="default"/>
          <w:spacing w:val="-2"/>
        </w:rPr>
        <w:t>ERP</w:t>
      </w:r>
      <w:r>
        <w:rPr>
          <w:spacing w:val="-2"/>
        </w:rPr>
        <w:t>外包业务的开展更加顺利，在该领域内取得更大的市场份额与更好的业绩表</w:t>
      </w:r>
      <w:r>
        <w:rPr>
          <w:spacing w:val="-104"/>
        </w:rPr>
        <w:t> </w:t>
      </w:r>
      <w:r>
        <w:rPr>
          <w:spacing w:val="-104"/>
        </w:rPr>
      </w:r>
      <w:r>
        <w:rPr/>
        <w:t>现。</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1"/>
          <w:szCs w:val="21"/>
        </w:rPr>
      </w:pPr>
    </w:p>
    <w:p>
      <w:pPr>
        <w:pStyle w:val="Heading5"/>
        <w:spacing w:line="240" w:lineRule="auto"/>
        <w:ind w:right="0"/>
        <w:jc w:val="both"/>
        <w:rPr>
          <w:b w:val="0"/>
          <w:bCs w:val="0"/>
        </w:rPr>
      </w:pPr>
      <w:r>
        <w:rPr/>
        <w:t>（十一）主要控股子公司的经营情况及业绩</w:t>
      </w:r>
      <w:r>
        <w:rPr>
          <w:b w:val="0"/>
          <w:bCs w:val="0"/>
        </w:rPr>
      </w:r>
    </w:p>
    <w:p>
      <w:pPr>
        <w:pStyle w:val="BodyText"/>
        <w:spacing w:line="336" w:lineRule="auto" w:before="74"/>
        <w:ind w:left="605" w:right="161" w:hanging="39"/>
        <w:jc w:val="left"/>
      </w:pPr>
      <w:r>
        <w:rPr>
          <w:rFonts w:ascii="Times New Roman" w:hAnsi="Times New Roman" w:cs="Times New Roman" w:eastAsia="Times New Roman" w:hint="default"/>
        </w:rPr>
        <w:t>1</w:t>
      </w:r>
      <w:r>
        <w:rPr/>
        <w:t>、</w:t>
      </w:r>
      <w:r>
        <w:rPr>
          <w:spacing w:val="-68"/>
        </w:rPr>
        <w:t> </w:t>
      </w:r>
      <w:r>
        <w:rPr/>
        <w:t>公司名称：汉得日本株式会社</w:t>
      </w:r>
      <w:r>
        <w:rPr/>
        <w:t> 成立日期：</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日，现注册资本</w:t>
      </w:r>
      <w:r>
        <w:rPr>
          <w:rFonts w:ascii="Times New Roman" w:hAnsi="Times New Roman" w:cs="Times New Roman" w:eastAsia="Times New Roman" w:hint="default"/>
        </w:rPr>
        <w:t>1000</w:t>
      </w:r>
      <w:r>
        <w:rPr/>
        <w:t>万日元，是公司全资子公司。</w:t>
      </w:r>
    </w:p>
    <w:p>
      <w:pPr>
        <w:pStyle w:val="BodyText"/>
        <w:spacing w:line="357" w:lineRule="auto" w:before="29"/>
        <w:ind w:right="137"/>
        <w:jc w:val="both"/>
      </w:pPr>
      <w:r>
        <w:rPr>
          <w:spacing w:val="-3"/>
        </w:rPr>
        <w:t>经营范围为：信息系统和软件咨询，信息系统和软件销售，信息系统和软件的设</w:t>
      </w:r>
      <w:r>
        <w:rPr>
          <w:spacing w:val="-112"/>
        </w:rPr>
        <w:t> </w:t>
      </w:r>
      <w:r>
        <w:rPr>
          <w:spacing w:val="-112"/>
        </w:rPr>
      </w:r>
      <w:r>
        <w:rPr>
          <w:spacing w:val="-3"/>
        </w:rPr>
        <w:t>计、开发、构建支持和接受委托，信息系统的运用和软件维护，信息处理技术人</w:t>
      </w:r>
      <w:r>
        <w:rPr>
          <w:spacing w:val="-112"/>
        </w:rPr>
        <w:t> </w:t>
      </w:r>
      <w:r>
        <w:rPr>
          <w:spacing w:val="-112"/>
        </w:rPr>
      </w:r>
      <w:r>
        <w:rPr/>
        <w:t>员的派遣，软件进出口，投资业务。</w:t>
      </w:r>
    </w:p>
    <w:p>
      <w:pPr>
        <w:pStyle w:val="BodyText"/>
        <w:spacing w:line="240" w:lineRule="auto" w:before="113"/>
        <w:ind w:left="620" w:right="0"/>
        <w:jc w:val="left"/>
      </w:pPr>
      <w:r>
        <w:rPr/>
        <w:t>截至</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日，日本汉得总资产</w:t>
      </w:r>
      <w:r>
        <w:rPr>
          <w:spacing w:val="-60"/>
        </w:rPr>
        <w:t> </w:t>
      </w:r>
      <w:r>
        <w:rPr>
          <w:rFonts w:ascii="Times New Roman" w:hAnsi="Times New Roman" w:cs="Times New Roman" w:eastAsia="Times New Roman" w:hint="default"/>
        </w:rPr>
        <w:t>20,429,288.58  </w:t>
      </w:r>
      <w:r>
        <w:rPr/>
        <w:t>元，净资产</w:t>
      </w:r>
    </w:p>
    <w:p>
      <w:pPr>
        <w:pStyle w:val="BodyText"/>
        <w:spacing w:line="240" w:lineRule="auto" w:before="135"/>
        <w:ind w:right="0"/>
        <w:jc w:val="both"/>
        <w:rPr>
          <w:rFonts w:ascii="Times New Roman" w:hAnsi="Times New Roman" w:cs="Times New Roman" w:eastAsia="Times New Roman" w:hint="default"/>
        </w:rPr>
      </w:pPr>
      <w:r>
        <w:rPr>
          <w:rFonts w:ascii="Times New Roman" w:hAnsi="Times New Roman" w:cs="Times New Roman" w:eastAsia="Times New Roman" w:hint="default"/>
        </w:rPr>
        <w:t>-2,109,628.22 </w:t>
      </w:r>
      <w:r>
        <w:rPr/>
        <w:t>元；</w:t>
      </w:r>
      <w:r>
        <w:rPr>
          <w:rFonts w:ascii="Times New Roman" w:hAnsi="Times New Roman" w:cs="Times New Roman" w:eastAsia="Times New Roman" w:hint="default"/>
        </w:rPr>
        <w:t>2011 </w:t>
      </w:r>
      <w:r>
        <w:rPr/>
        <w:t>年度营业收入 </w:t>
      </w:r>
      <w:r>
        <w:rPr>
          <w:rFonts w:ascii="Times New Roman" w:hAnsi="Times New Roman" w:cs="Times New Roman" w:eastAsia="Times New Roman" w:hint="default"/>
        </w:rPr>
        <w:t>34,871,641.73 </w:t>
      </w:r>
      <w:r>
        <w:rPr/>
        <w:t>元，实现净利润</w:t>
      </w:r>
      <w:r>
        <w:rPr>
          <w:spacing w:val="-3"/>
        </w:rPr>
        <w:t> </w:t>
      </w:r>
      <w:r>
        <w:rPr>
          <w:rFonts w:ascii="Times New Roman" w:hAnsi="Times New Roman" w:cs="Times New Roman" w:eastAsia="Times New Roman" w:hint="default"/>
        </w:rPr>
        <w:t>41,463.00</w:t>
      </w:r>
    </w:p>
    <w:p>
      <w:pPr>
        <w:pStyle w:val="BodyText"/>
        <w:spacing w:line="240" w:lineRule="auto" w:before="135"/>
        <w:ind w:right="0"/>
        <w:jc w:val="both"/>
      </w:pPr>
      <w:r>
        <w:rPr/>
        <w:t>元。（以上财务数据已经立信会计师事务所审计）。</w:t>
      </w:r>
    </w:p>
    <w:p>
      <w:pPr>
        <w:spacing w:line="240" w:lineRule="auto" w:before="0"/>
        <w:rPr>
          <w:rFonts w:ascii="宋体" w:hAnsi="宋体" w:cs="宋体" w:eastAsia="宋体" w:hint="default"/>
          <w:sz w:val="24"/>
          <w:szCs w:val="24"/>
        </w:rPr>
      </w:pPr>
    </w:p>
    <w:p>
      <w:pPr>
        <w:spacing w:before="176"/>
        <w:ind w:left="56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w:t>
      </w:r>
      <w:r>
        <w:rPr>
          <w:rFonts w:ascii="宋体" w:hAnsi="宋体" w:cs="宋体" w:eastAsia="宋体" w:hint="default"/>
          <w:spacing w:val="-71"/>
          <w:sz w:val="24"/>
          <w:szCs w:val="24"/>
        </w:rPr>
        <w:t> </w:t>
      </w:r>
      <w:r>
        <w:rPr>
          <w:rFonts w:ascii="宋体" w:hAnsi="宋体" w:cs="宋体" w:eastAsia="宋体" w:hint="default"/>
          <w:sz w:val="24"/>
          <w:szCs w:val="24"/>
        </w:rPr>
        <w:t>公司名称：</w:t>
      </w:r>
      <w:r>
        <w:rPr>
          <w:rFonts w:ascii="Times New Roman" w:hAnsi="Times New Roman" w:cs="Times New Roman" w:eastAsia="Times New Roman" w:hint="default"/>
          <w:sz w:val="21"/>
          <w:szCs w:val="21"/>
        </w:rPr>
        <w:t>HAND</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ENTERPRISE</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SOLUTIONS</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(SINGAPORE)</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PTE.</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LTD.</w:t>
      </w:r>
      <w:r>
        <w:rPr>
          <w:rFonts w:ascii="宋体" w:hAnsi="宋体" w:cs="宋体" w:eastAsia="宋体" w:hint="default"/>
          <w:sz w:val="24"/>
          <w:szCs w:val="24"/>
        </w:rPr>
        <w:t>（汉得</w:t>
      </w:r>
    </w:p>
    <w:p>
      <w:pPr>
        <w:pStyle w:val="BodyText"/>
        <w:spacing w:line="355" w:lineRule="auto" w:before="135"/>
        <w:ind w:left="605" w:right="161" w:firstLine="381"/>
        <w:jc w:val="left"/>
      </w:pPr>
      <w:r>
        <w:rPr>
          <w:spacing w:val="-9"/>
        </w:rPr>
        <w:t>信息技术（新加坡）有限公司）（以下简称“汉得新加坡”）</w:t>
      </w:r>
      <w:r>
        <w:rPr/>
        <w:t> 成立日期：</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19</w:t>
      </w:r>
      <w:r>
        <w:rPr/>
        <w:t>日，现注册资本为</w:t>
      </w:r>
      <w:r>
        <w:rPr>
          <w:rFonts w:ascii="宋体" w:hAnsi="宋体" w:cs="宋体" w:eastAsia="宋体" w:hint="default"/>
        </w:rPr>
        <w:t>399,986</w:t>
      </w:r>
      <w:r>
        <w:rPr/>
        <w:t>美元，为公司全资子公</w:t>
      </w:r>
    </w:p>
    <w:p>
      <w:pPr>
        <w:pStyle w:val="BodyText"/>
        <w:spacing w:line="357" w:lineRule="auto" w:before="39"/>
        <w:ind w:right="137"/>
        <w:jc w:val="both"/>
      </w:pPr>
      <w:r>
        <w:rPr>
          <w:spacing w:val="-3"/>
        </w:rPr>
        <w:t>司。经营范围为：研究、开发和生产计算机软件、信息系统和网络产品，从事信</w:t>
      </w:r>
      <w:r>
        <w:rPr>
          <w:spacing w:val="-115"/>
        </w:rPr>
        <w:t> </w:t>
      </w:r>
      <w:r>
        <w:rPr>
          <w:spacing w:val="-115"/>
        </w:rPr>
      </w:r>
      <w:r>
        <w:rPr>
          <w:spacing w:val="-3"/>
        </w:rPr>
        <w:t>息系统和数据管理系统的安装以及信息系统的集成，提供技术开发、咨询服务以</w:t>
      </w:r>
      <w:r>
        <w:rPr>
          <w:spacing w:val="-109"/>
        </w:rPr>
        <w:t> </w:t>
      </w:r>
      <w:r>
        <w:rPr>
          <w:spacing w:val="-109"/>
        </w:rPr>
      </w:r>
      <w:r>
        <w:rPr>
          <w:spacing w:val="-3"/>
        </w:rPr>
        <w:t>及与该服务相关的客户支援服务，提供整体企业信息系统解决方案，代理和销售</w:t>
      </w:r>
      <w:r>
        <w:rPr>
          <w:spacing w:val="-111"/>
        </w:rPr>
        <w:t> </w:t>
      </w:r>
      <w:r>
        <w:rPr>
          <w:spacing w:val="-111"/>
        </w:rPr>
      </w:r>
      <w:r>
        <w:rPr/>
        <w:t>企业管理软件。报告期内，汉得新加坡尚无任何业务活动。</w:t>
      </w:r>
    </w:p>
    <w:p>
      <w:pPr>
        <w:pStyle w:val="Heading5"/>
        <w:spacing w:line="240" w:lineRule="auto" w:before="115"/>
        <w:ind w:right="0"/>
        <w:jc w:val="both"/>
        <w:rPr>
          <w:b w:val="0"/>
          <w:bCs w:val="0"/>
        </w:rPr>
      </w:pPr>
      <w:r>
        <w:rPr/>
        <w:t>（十二）公司控制的特殊目的主体情况</w:t>
      </w:r>
      <w:r>
        <w:rPr>
          <w:b w:val="0"/>
          <w:bCs w:val="0"/>
        </w:rPr>
      </w:r>
    </w:p>
    <w:p>
      <w:pPr>
        <w:spacing w:after="0" w:line="240" w:lineRule="auto"/>
        <w:jc w:val="both"/>
        <w:sectPr>
          <w:pgSz w:w="11910" w:h="16840"/>
          <w:pgMar w:header="884" w:footer="980" w:top="1140" w:bottom="1160" w:left="1660" w:right="1660"/>
        </w:sectPr>
      </w:pPr>
    </w:p>
    <w:p>
      <w:pPr>
        <w:spacing w:line="240" w:lineRule="auto" w:before="5"/>
        <w:rPr>
          <w:rFonts w:ascii="宋体" w:hAnsi="宋体" w:cs="宋体" w:eastAsia="宋体" w:hint="default"/>
          <w:b/>
          <w:bCs/>
          <w:sz w:val="16"/>
          <w:szCs w:val="16"/>
        </w:rPr>
      </w:pPr>
    </w:p>
    <w:p>
      <w:pPr>
        <w:pStyle w:val="BodyText"/>
        <w:spacing w:line="240" w:lineRule="auto" w:before="26"/>
        <w:ind w:left="620" w:right="863"/>
        <w:jc w:val="left"/>
      </w:pPr>
      <w:r>
        <w:rPr/>
        <w:t>公司未设立特殊目的公司，也无控制的特殊目的公司。</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9"/>
          <w:szCs w:val="29"/>
        </w:rPr>
      </w:pPr>
    </w:p>
    <w:p>
      <w:pPr>
        <w:pStyle w:val="Heading5"/>
        <w:spacing w:line="240" w:lineRule="auto"/>
        <w:ind w:right="3443"/>
        <w:jc w:val="left"/>
        <w:rPr>
          <w:b w:val="0"/>
          <w:bCs w:val="0"/>
        </w:rPr>
      </w:pPr>
      <w:r>
        <w:rPr/>
        <w:t>二、对公司未来发展的展望</w:t>
      </w:r>
      <w:r>
        <w:rPr>
          <w:b w:val="0"/>
          <w:bCs w:val="0"/>
        </w:rPr>
      </w:r>
    </w:p>
    <w:p>
      <w:pPr>
        <w:spacing w:line="297" w:lineRule="auto" w:before="154"/>
        <w:ind w:left="620" w:right="126" w:hanging="480"/>
        <w:jc w:val="left"/>
        <w:rPr>
          <w:rFonts w:ascii="宋体" w:hAnsi="宋体" w:cs="宋体" w:eastAsia="宋体" w:hint="default"/>
          <w:sz w:val="24"/>
          <w:szCs w:val="24"/>
        </w:rPr>
      </w:pPr>
      <w:r>
        <w:rPr>
          <w:rFonts w:ascii="宋体" w:hAnsi="宋体" w:cs="宋体" w:eastAsia="宋体" w:hint="default"/>
          <w:b/>
          <w:bCs/>
          <w:sz w:val="24"/>
          <w:szCs w:val="24"/>
        </w:rPr>
        <w:t>（一）未来既是挑战也是机遇</w:t>
      </w:r>
      <w:r>
        <w:rPr>
          <w:rFonts w:ascii="宋体" w:hAnsi="宋体" w:cs="宋体" w:eastAsia="宋体" w:hint="default"/>
          <w:b/>
          <w:bCs/>
          <w:w w:val="99"/>
          <w:sz w:val="24"/>
          <w:szCs w:val="24"/>
        </w:rPr>
        <w:t> </w:t>
      </w:r>
      <w:r>
        <w:rPr>
          <w:rFonts w:ascii="宋体" w:hAnsi="宋体" w:cs="宋体" w:eastAsia="宋体" w:hint="default"/>
          <w:sz w:val="24"/>
          <w:szCs w:val="24"/>
        </w:rPr>
        <w:t>宏观政策仍然持续利好。“十二五”时期是我国工业转型升级的攻坚时期，</w:t>
      </w:r>
    </w:p>
    <w:p>
      <w:pPr>
        <w:pStyle w:val="BodyText"/>
        <w:spacing w:line="357" w:lineRule="auto" w:before="96"/>
        <w:ind w:right="102"/>
        <w:jc w:val="left"/>
      </w:pPr>
      <w:r>
        <w:rPr>
          <w:spacing w:val="-3"/>
        </w:rPr>
        <w:t>工业转型升级将加快推进，信息化作为科技创新自主创新的重要组成部分，在推</w:t>
      </w:r>
      <w:r>
        <w:rPr>
          <w:spacing w:val="-111"/>
        </w:rPr>
        <w:t> </w:t>
      </w:r>
      <w:r>
        <w:rPr>
          <w:spacing w:val="-111"/>
        </w:rPr>
      </w:r>
      <w:r>
        <w:rPr>
          <w:spacing w:val="-3"/>
        </w:rPr>
        <w:t>进工业转型升级的过程中具有突出的作用，两化融合范围的不断拓宽、融合程度</w:t>
      </w:r>
      <w:r>
        <w:rPr>
          <w:spacing w:val="-111"/>
        </w:rPr>
        <w:t> </w:t>
      </w:r>
      <w:r>
        <w:rPr>
          <w:spacing w:val="-111"/>
        </w:rPr>
      </w:r>
      <w:r>
        <w:rPr>
          <w:spacing w:val="-3"/>
        </w:rPr>
        <w:t>的加深，推动信息技术深度应用，将提高主要行业、大中型企业的信息技术应用</w:t>
      </w:r>
      <w:r>
        <w:rPr>
          <w:spacing w:val="-110"/>
        </w:rPr>
        <w:t> </w:t>
      </w:r>
      <w:r>
        <w:rPr>
          <w:spacing w:val="-110"/>
        </w:rPr>
      </w:r>
      <w:r>
        <w:rPr>
          <w:spacing w:val="-3"/>
        </w:rPr>
        <w:t>水平，为信息产业提供更多的发展空间和增长前景。</w:t>
      </w:r>
      <w:r>
        <w:rPr>
          <w:rFonts w:ascii="宋体" w:hAnsi="宋体" w:cs="宋体" w:eastAsia="宋体" w:hint="default"/>
          <w:spacing w:val="-3"/>
        </w:rPr>
        <w:t>2011</w:t>
      </w:r>
      <w:r>
        <w:rPr>
          <w:spacing w:val="-3"/>
        </w:rPr>
        <w:t>年末上海市经济和信息</w:t>
      </w:r>
      <w:r>
        <w:rPr>
          <w:spacing w:val="-105"/>
        </w:rPr>
        <w:t> </w:t>
      </w:r>
      <w:r>
        <w:rPr>
          <w:spacing w:val="-3"/>
        </w:rPr>
        <w:t>化委员会下发的《上海市信息化与工业化深度融合发展“十二五”规划》，也明</w:t>
      </w:r>
      <w:r>
        <w:rPr>
          <w:spacing w:val="-110"/>
        </w:rPr>
        <w:t> </w:t>
      </w:r>
      <w:r>
        <w:rPr>
          <w:spacing w:val="-110"/>
        </w:rPr>
      </w:r>
      <w:r>
        <w:rPr>
          <w:spacing w:val="-6"/>
        </w:rPr>
        <w:t>确指出将分类推动企业信息化，对于中小企业，建立和完善信息化公共服务平台，</w:t>
      </w:r>
      <w:r>
        <w:rPr/>
        <w:t> </w:t>
      </w:r>
      <w:r>
        <w:rPr>
          <w:spacing w:val="-3"/>
        </w:rPr>
        <w:t>建设中小企业信息化应用服务网络，支持</w:t>
      </w:r>
      <w:r>
        <w:rPr>
          <w:rFonts w:ascii="宋体" w:hAnsi="宋体" w:cs="宋体" w:eastAsia="宋体" w:hint="default"/>
          <w:spacing w:val="-3"/>
        </w:rPr>
        <w:t>IT</w:t>
      </w:r>
      <w:r>
        <w:rPr>
          <w:spacing w:val="-3"/>
        </w:rPr>
        <w:t>企业开发和推广适合中小企业特点的</w:t>
      </w:r>
      <w:r>
        <w:rPr>
          <w:spacing w:val="-106"/>
        </w:rPr>
        <w:t> </w:t>
      </w:r>
      <w:r>
        <w:rPr/>
        <w:t>信息化产品；对于大型企业，鼓励企业实施制造执行系统（</w:t>
      </w:r>
      <w:r>
        <w:rPr>
          <w:rFonts w:ascii="宋体" w:hAnsi="宋体" w:cs="宋体" w:eastAsia="宋体" w:hint="default"/>
        </w:rPr>
        <w:t>MES</w:t>
      </w:r>
      <w:r>
        <w:rPr/>
        <w:t>）、企业资源规 划（</w:t>
      </w:r>
      <w:r>
        <w:rPr>
          <w:rFonts w:ascii="宋体" w:hAnsi="宋体" w:cs="宋体" w:eastAsia="宋体" w:hint="default"/>
        </w:rPr>
        <w:t>ERP</w:t>
      </w:r>
      <w:r>
        <w:rPr/>
        <w:t>）、数据挖掘系统、商业智能和决策支持系统等先进信息系统，加快集 </w:t>
      </w:r>
      <w:r>
        <w:rPr>
          <w:spacing w:val="-3"/>
        </w:rPr>
        <w:t>团管控、系统集成、业务协同和流程再造；对于行业龙头企业，推动建立全球供</w:t>
      </w:r>
      <w:r>
        <w:rPr>
          <w:spacing w:val="-111"/>
        </w:rPr>
        <w:t> </w:t>
      </w:r>
      <w:r>
        <w:rPr>
          <w:spacing w:val="-111"/>
        </w:rPr>
      </w:r>
      <w:r>
        <w:rPr>
          <w:spacing w:val="-3"/>
        </w:rPr>
        <w:t>应链管理、协同研发设计制造系统和跨地域经营管理系统。按照“应用导向、创</w:t>
      </w:r>
      <w:r>
        <w:rPr>
          <w:spacing w:val="-111"/>
        </w:rPr>
        <w:t> </w:t>
      </w:r>
      <w:r>
        <w:rPr>
          <w:spacing w:val="-111"/>
        </w:rPr>
      </w:r>
      <w:r>
        <w:rPr>
          <w:spacing w:val="-3"/>
        </w:rPr>
        <w:t>新驱动、产业升级、环境优化”的基本思路，围绕重点产业、骨干企业、核心区</w:t>
      </w:r>
      <w:r>
        <w:rPr>
          <w:spacing w:val="-115"/>
        </w:rPr>
        <w:t> </w:t>
      </w:r>
      <w:r>
        <w:rPr>
          <w:spacing w:val="-115"/>
        </w:rPr>
      </w:r>
      <w:r>
        <w:rPr>
          <w:spacing w:val="-3"/>
        </w:rPr>
        <w:t>域和关键领域四个层面，着力推进五方面具体任务，加快信息化与工业化深度融</w:t>
      </w:r>
      <w:r>
        <w:rPr>
          <w:spacing w:val="-111"/>
        </w:rPr>
        <w:t> </w:t>
      </w:r>
      <w:r>
        <w:rPr>
          <w:spacing w:val="-111"/>
        </w:rPr>
      </w:r>
      <w:r>
        <w:rPr/>
        <w:t>合。</w:t>
      </w:r>
    </w:p>
    <w:p>
      <w:pPr>
        <w:pStyle w:val="BodyText"/>
        <w:spacing w:line="357" w:lineRule="auto" w:before="36"/>
        <w:ind w:right="126" w:firstLine="479"/>
        <w:jc w:val="left"/>
      </w:pPr>
      <w:r>
        <w:rPr>
          <w:spacing w:val="-3"/>
        </w:rPr>
        <w:t>经济形势未来仍不明朗。国际金融危机对全球经济的影响深远，目前来看调</w:t>
      </w:r>
      <w:r>
        <w:rPr/>
        <w:t> </w:t>
      </w:r>
      <w:r>
        <w:rPr>
          <w:spacing w:val="-3"/>
        </w:rPr>
        <w:t>整仍未见底，全球经济很难在一两年内实现全面复苏，从而进入新的一轮增长周</w:t>
      </w:r>
      <w:r>
        <w:rPr>
          <w:spacing w:val="-112"/>
        </w:rPr>
        <w:t> </w:t>
      </w:r>
      <w:r>
        <w:rPr>
          <w:spacing w:val="-112"/>
        </w:rPr>
      </w:r>
      <w:r>
        <w:rPr>
          <w:spacing w:val="-3"/>
        </w:rPr>
        <w:t>期，而</w:t>
      </w:r>
      <w:r>
        <w:rPr>
          <w:rFonts w:ascii="宋体" w:hAnsi="宋体" w:cs="宋体" w:eastAsia="宋体" w:hint="default"/>
          <w:spacing w:val="-3"/>
        </w:rPr>
        <w:t>2011</w:t>
      </w:r>
      <w:r>
        <w:rPr>
          <w:spacing w:val="-3"/>
        </w:rPr>
        <w:t>年爆发美欧两大债务危机是金融危机的延续发展，又严重的挫伤了世</w:t>
      </w:r>
      <w:r>
        <w:rPr>
          <w:spacing w:val="-106"/>
        </w:rPr>
        <w:t> </w:t>
      </w:r>
      <w:r>
        <w:rPr>
          <w:spacing w:val="-106"/>
        </w:rPr>
      </w:r>
      <w:r>
        <w:rPr>
          <w:spacing w:val="-10"/>
        </w:rPr>
        <w:t>界经济刚刚出现复苏的苗头；与之相对应，我国经济宏观政策上已有所体现，“十</w:t>
      </w:r>
      <w:r>
        <w:rPr>
          <w:spacing w:val="-96"/>
        </w:rPr>
        <w:t> </w:t>
      </w:r>
      <w:r>
        <w:rPr>
          <w:spacing w:val="-96"/>
        </w:rPr>
      </w:r>
      <w:r>
        <w:rPr>
          <w:spacing w:val="-3"/>
        </w:rPr>
        <w:t>二五”规划将平均经济增速目标由“十一五”期间的</w:t>
      </w:r>
      <w:r>
        <w:rPr>
          <w:rFonts w:ascii="宋体" w:hAnsi="宋体" w:cs="宋体" w:eastAsia="宋体" w:hint="default"/>
          <w:spacing w:val="-3"/>
        </w:rPr>
        <w:t>7.5%</w:t>
      </w:r>
      <w:r>
        <w:rPr>
          <w:spacing w:val="-3"/>
        </w:rPr>
        <w:t>调整至</w:t>
      </w:r>
      <w:r>
        <w:rPr>
          <w:rFonts w:ascii="宋体" w:hAnsi="宋体" w:cs="宋体" w:eastAsia="宋体" w:hint="default"/>
          <w:spacing w:val="-3"/>
        </w:rPr>
        <w:t>7%</w:t>
      </w:r>
      <w:r>
        <w:rPr>
          <w:spacing w:val="-3"/>
        </w:rPr>
        <w:t>，未来几年我</w:t>
      </w:r>
      <w:r>
        <w:rPr>
          <w:spacing w:val="-102"/>
        </w:rPr>
        <w:t> </w:t>
      </w:r>
      <w:r>
        <w:rPr>
          <w:spacing w:val="-102"/>
        </w:rPr>
      </w:r>
      <w:r>
        <w:rPr/>
        <w:t>国面临经济产业结构转型的压力仍然很大，尤其是传统行业仍然面临转型困局，</w:t>
      </w:r>
      <w:r>
        <w:rPr/>
        <w:t> 国内宏观经济增速可能存在一定下滑的不确定性。</w:t>
      </w:r>
    </w:p>
    <w:p>
      <w:pPr>
        <w:pStyle w:val="BodyText"/>
        <w:spacing w:line="355" w:lineRule="auto" w:before="36"/>
        <w:ind w:right="238" w:firstLine="479"/>
        <w:jc w:val="both"/>
      </w:pPr>
      <w:r>
        <w:rPr/>
        <w:t>对于公司所处的</w:t>
      </w:r>
      <w:r>
        <w:rPr>
          <w:rFonts w:ascii="宋体" w:hAnsi="宋体" w:cs="宋体" w:eastAsia="宋体" w:hint="default"/>
        </w:rPr>
        <w:t>ERP</w:t>
      </w:r>
      <w:r>
        <w:rPr/>
        <w:t>咨询乃至</w:t>
      </w:r>
      <w:r>
        <w:rPr>
          <w:rFonts w:ascii="宋体" w:hAnsi="宋体" w:cs="宋体" w:eastAsia="宋体" w:hint="default"/>
        </w:rPr>
        <w:t>IT</w:t>
      </w:r>
      <w:r>
        <w:rPr/>
        <w:t>服务领域而言，后危机时代既是机遇也是挑 </w:t>
      </w:r>
      <w:r>
        <w:rPr>
          <w:spacing w:val="-3"/>
        </w:rPr>
        <w:t>战，并且机遇大于挑战。一方面，经过这一轮残酷的市场洗礼，使更多的企业认</w:t>
      </w:r>
      <w:r>
        <w:rPr>
          <w:spacing w:val="-112"/>
        </w:rPr>
        <w:t> </w:t>
      </w:r>
      <w:r>
        <w:rPr>
          <w:spacing w:val="-112"/>
        </w:rPr>
      </w:r>
      <w:r>
        <w:rPr>
          <w:spacing w:val="-3"/>
        </w:rPr>
        <w:t>识到了管理的重要性，会有更多的企业加快管理提升和企业经营模式的转型。向</w:t>
      </w:r>
      <w:r>
        <w:rPr>
          <w:spacing w:val="-110"/>
        </w:rPr>
        <w:t> </w:t>
      </w:r>
      <w:r>
        <w:rPr>
          <w:spacing w:val="-110"/>
        </w:rPr>
      </w:r>
      <w:r>
        <w:rPr>
          <w:spacing w:val="-3"/>
        </w:rPr>
        <w:t>管理和效率要效益，已经成为现在很多企业的共识。信息化作为一种不断发展的</w:t>
      </w:r>
    </w:p>
    <w:p>
      <w:pPr>
        <w:spacing w:after="0" w:line="355" w:lineRule="auto"/>
        <w:jc w:val="both"/>
        <w:sectPr>
          <w:pgSz w:w="11910" w:h="16840"/>
          <w:pgMar w:header="884" w:footer="980" w:top="1140" w:bottom="1160" w:left="1660" w:right="1560"/>
        </w:sectPr>
      </w:pPr>
    </w:p>
    <w:p>
      <w:pPr>
        <w:spacing w:line="240" w:lineRule="auto" w:before="5"/>
        <w:rPr>
          <w:rFonts w:ascii="宋体" w:hAnsi="宋体" w:cs="宋体" w:eastAsia="宋体" w:hint="default"/>
          <w:sz w:val="16"/>
          <w:szCs w:val="16"/>
        </w:rPr>
      </w:pPr>
    </w:p>
    <w:p>
      <w:pPr>
        <w:pStyle w:val="BodyText"/>
        <w:spacing w:line="357" w:lineRule="auto" w:before="26"/>
        <w:ind w:right="196"/>
        <w:jc w:val="both"/>
      </w:pPr>
      <w:r>
        <w:rPr>
          <w:spacing w:val="-3"/>
        </w:rPr>
        <w:t>管理和经营模式必然会被越来越多靠粗放式经营、低人力成本、低原料成本的中</w:t>
      </w:r>
      <w:r>
        <w:rPr>
          <w:spacing w:val="-109"/>
        </w:rPr>
        <w:t> </w:t>
      </w:r>
      <w:r>
        <w:rPr>
          <w:spacing w:val="-109"/>
        </w:rPr>
      </w:r>
      <w:r>
        <w:rPr>
          <w:spacing w:val="-3"/>
        </w:rPr>
        <w:t>国企业所认识和接受，公司所处的</w:t>
      </w:r>
      <w:r>
        <w:rPr>
          <w:rFonts w:ascii="宋体" w:hAnsi="宋体" w:cs="宋体" w:eastAsia="宋体" w:hint="default"/>
          <w:spacing w:val="-3"/>
        </w:rPr>
        <w:t>IT</w:t>
      </w:r>
      <w:r>
        <w:rPr>
          <w:spacing w:val="-3"/>
        </w:rPr>
        <w:t>服务行业可能迎来逆势增长的良机；另一方</w:t>
      </w:r>
      <w:r>
        <w:rPr>
          <w:spacing w:val="-109"/>
        </w:rPr>
        <w:t> </w:t>
      </w:r>
      <w:r>
        <w:rPr>
          <w:spacing w:val="-109"/>
        </w:rPr>
      </w:r>
      <w:r>
        <w:rPr>
          <w:spacing w:val="-3"/>
        </w:rPr>
        <w:t>面，从发达国家如美国的发展经验来看，经济转型期间</w:t>
      </w:r>
      <w:r>
        <w:rPr>
          <w:rFonts w:ascii="宋体" w:hAnsi="宋体" w:cs="宋体" w:eastAsia="宋体" w:hint="default"/>
          <w:spacing w:val="-3"/>
        </w:rPr>
        <w:t>IT</w:t>
      </w:r>
      <w:r>
        <w:rPr>
          <w:spacing w:val="-3"/>
        </w:rPr>
        <w:t>信息化产业是经济转型</w:t>
      </w:r>
      <w:r>
        <w:rPr>
          <w:spacing w:val="-108"/>
        </w:rPr>
        <w:t> </w:t>
      </w:r>
      <w:r>
        <w:rPr/>
        <w:t>期增长最快的几个行业之一，公司作为行业本土领军企业，在高端</w:t>
      </w:r>
      <w:r>
        <w:rPr>
          <w:rFonts w:ascii="宋体" w:hAnsi="宋体" w:cs="宋体" w:eastAsia="宋体" w:hint="default"/>
        </w:rPr>
        <w:t>ERP</w:t>
      </w:r>
      <w:r>
        <w:rPr/>
        <w:t>实施领域 </w:t>
      </w:r>
      <w:r>
        <w:rPr>
          <w:spacing w:val="-3"/>
        </w:rPr>
        <w:t>具有先发优势和一定的人才积累，并已基本全面布局行业解决方案，凭借登陆资</w:t>
      </w:r>
      <w:r>
        <w:rPr>
          <w:spacing w:val="-111"/>
        </w:rPr>
        <w:t> </w:t>
      </w:r>
      <w:r>
        <w:rPr>
          <w:spacing w:val="-111"/>
        </w:rPr>
      </w:r>
      <w:r>
        <w:rPr/>
        <w:t>本市场带来的品牌美誉及资金优势，公司未来仍具有相当广阔的发展空间。</w:t>
      </w:r>
    </w:p>
    <w:p>
      <w:pPr>
        <w:pStyle w:val="Heading5"/>
        <w:spacing w:line="240" w:lineRule="auto" w:before="113"/>
        <w:ind w:right="0"/>
        <w:jc w:val="both"/>
        <w:rPr>
          <w:b w:val="0"/>
          <w:bCs w:val="0"/>
        </w:rPr>
      </w:pPr>
      <w:r>
        <w:rPr/>
        <w:t>（二）公司发展战略及</w:t>
      </w:r>
      <w:r>
        <w:rPr>
          <w:spacing w:val="-6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年经营计划</w:t>
      </w:r>
      <w:r>
        <w:rPr>
          <w:b w:val="0"/>
          <w:bCs w:val="0"/>
        </w:rPr>
      </w:r>
    </w:p>
    <w:p>
      <w:pPr>
        <w:pStyle w:val="Heading5"/>
        <w:spacing w:line="240" w:lineRule="auto" w:before="135"/>
        <w:ind w:left="260" w:right="182"/>
        <w:jc w:val="left"/>
        <w:rPr>
          <w:b w:val="0"/>
          <w:bCs w:val="0"/>
        </w:rPr>
      </w:pPr>
      <w:r>
        <w:rPr>
          <w:rFonts w:ascii="Times New Roman" w:hAnsi="Times New Roman" w:cs="Times New Roman" w:eastAsia="Times New Roman" w:hint="default"/>
        </w:rPr>
        <w:t>1</w:t>
      </w:r>
      <w:r>
        <w:rPr/>
        <w:t>、战略定位</w:t>
      </w:r>
      <w:r>
        <w:rPr>
          <w:b w:val="0"/>
          <w:bCs w:val="0"/>
        </w:rPr>
      </w:r>
    </w:p>
    <w:p>
      <w:pPr>
        <w:pStyle w:val="BodyText"/>
        <w:spacing w:line="348" w:lineRule="auto" w:before="56"/>
        <w:ind w:right="103" w:firstLine="479"/>
        <w:jc w:val="both"/>
      </w:pP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咨询业是管理咨询和</w:t>
      </w:r>
      <w:r>
        <w:rPr>
          <w:spacing w:val="-59"/>
        </w:rPr>
        <w:t> </w:t>
      </w:r>
      <w:r>
        <w:rPr>
          <w:rFonts w:ascii="Times New Roman" w:hAnsi="Times New Roman" w:cs="Times New Roman" w:eastAsia="Times New Roman" w:hint="default"/>
          <w:spacing w:val="-3"/>
        </w:rPr>
        <w:t>IT </w:t>
      </w:r>
      <w:r>
        <w:rPr/>
        <w:t>信息技术相结合的产业。随着我国信息化建设的</w:t>
      </w:r>
      <w:r>
        <w:rPr>
          <w:w w:val="99"/>
        </w:rPr>
        <w:t> </w:t>
      </w:r>
      <w:r>
        <w:rPr>
          <w:spacing w:val="-3"/>
        </w:rPr>
        <w:t>深入，中国企业的信息化需求也将不断深化，企业对信息化供应商的需求不再仅</w:t>
      </w:r>
      <w:r>
        <w:rPr>
          <w:spacing w:val="-112"/>
        </w:rPr>
        <w:t> </w:t>
      </w:r>
      <w:r>
        <w:rPr>
          <w:spacing w:val="-112"/>
        </w:rPr>
      </w:r>
      <w:r>
        <w:rPr>
          <w:spacing w:val="3"/>
        </w:rPr>
        <w:t>仅局限于技术实现而更需要信息化供应商结合企业所处行业属性与企业自身业</w:t>
      </w:r>
      <w:r>
        <w:rPr>
          <w:spacing w:val="-99"/>
        </w:rPr>
        <w:t> </w:t>
      </w:r>
      <w:r>
        <w:rPr>
          <w:spacing w:val="-99"/>
        </w:rPr>
      </w:r>
      <w:r>
        <w:rPr/>
        <w:t>务特性，为企业提供全面个性化的 </w:t>
      </w:r>
      <w:r>
        <w:rPr>
          <w:rFonts w:ascii="Times New Roman" w:hAnsi="Times New Roman" w:cs="Times New Roman" w:eastAsia="Times New Roman" w:hint="default"/>
        </w:rPr>
        <w:t>ERP</w:t>
      </w:r>
      <w:r>
        <w:rPr>
          <w:rFonts w:ascii="Times New Roman" w:hAnsi="Times New Roman" w:cs="Times New Roman" w:eastAsia="Times New Roman" w:hint="default"/>
          <w:spacing w:val="7"/>
        </w:rPr>
        <w:t> </w:t>
      </w:r>
      <w:r>
        <w:rPr/>
        <w:t>实施服务解决方案。国内企业这一信息</w:t>
      </w:r>
      <w:r>
        <w:rPr>
          <w:w w:val="99"/>
        </w:rPr>
        <w:t> </w:t>
      </w:r>
      <w:r>
        <w:rPr/>
        <w:t>化需求深化对于信息化供应商而言，既是一种挑战，同时也是重要的发展机会。</w:t>
      </w:r>
    </w:p>
    <w:p>
      <w:pPr>
        <w:pStyle w:val="BodyText"/>
        <w:spacing w:line="343" w:lineRule="auto" w:before="46"/>
        <w:ind w:right="193" w:firstLine="479"/>
        <w:jc w:val="both"/>
      </w:pPr>
      <w:r>
        <w:rPr/>
        <w:t>作为国内 </w:t>
      </w:r>
      <w:r>
        <w:rPr>
          <w:rFonts w:ascii="Times New Roman" w:hAnsi="Times New Roman" w:cs="Times New Roman" w:eastAsia="Times New Roman" w:hint="default"/>
        </w:rPr>
        <w:t>ERP</w:t>
      </w:r>
      <w:r>
        <w:rPr>
          <w:rFonts w:ascii="Times New Roman" w:hAnsi="Times New Roman" w:cs="Times New Roman" w:eastAsia="Times New Roman" w:hint="default"/>
          <w:spacing w:val="5"/>
        </w:rPr>
        <w:t> </w:t>
      </w:r>
      <w:r>
        <w:rPr/>
        <w:t>实施服务行业最早的进入者之一，公司核心团队经过多年的 </w:t>
      </w:r>
      <w:r>
        <w:rPr>
          <w:spacing w:val="-3"/>
        </w:rPr>
        <w:t>业务实践，对于国内不同类型企业的业务特点及相应的信息化解决方案均具有深</w:t>
      </w:r>
      <w:r>
        <w:rPr>
          <w:spacing w:val="-110"/>
        </w:rPr>
        <w:t> </w:t>
      </w:r>
      <w:r>
        <w:rPr>
          <w:spacing w:val="-110"/>
        </w:rPr>
      </w:r>
      <w:r>
        <w:rPr>
          <w:spacing w:val="-4"/>
        </w:rPr>
        <w:t>刻理解，并积累了大量成功实施案例，在此基础之上，公司根据自身丰富的</w:t>
      </w:r>
      <w:r>
        <w:rPr>
          <w:spacing w:val="-48"/>
        </w:rPr>
        <w:t> </w:t>
      </w:r>
      <w:r>
        <w:rPr>
          <w:rFonts w:ascii="Times New Roman" w:hAnsi="Times New Roman" w:cs="Times New Roman" w:eastAsia="Times New Roman" w:hint="default"/>
        </w:rPr>
        <w:t>ERP</w:t>
      </w:r>
      <w:r>
        <w:rPr>
          <w:rFonts w:ascii="Times New Roman" w:hAnsi="Times New Roman" w:cs="Times New Roman" w:eastAsia="Times New Roman" w:hint="default"/>
          <w:spacing w:val="-58"/>
        </w:rPr>
        <w:t> </w:t>
      </w:r>
      <w:r>
        <w:rPr>
          <w:spacing w:val="-3"/>
        </w:rPr>
        <w:t>实施服务经验与稳固的客户关系确立了未来的战略定位：进一步巩固公司在国内</w:t>
      </w:r>
      <w:r>
        <w:rPr>
          <w:spacing w:val="-110"/>
        </w:rPr>
        <w:t> </w:t>
      </w:r>
      <w:r>
        <w:rPr>
          <w:spacing w:val="-110"/>
        </w:rPr>
      </w:r>
      <w:r>
        <w:rPr>
          <w:rFonts w:ascii="Times New Roman" w:hAnsi="Times New Roman" w:cs="Times New Roman" w:eastAsia="Times New Roman" w:hint="default"/>
        </w:rPr>
        <w:t>ERP </w:t>
      </w:r>
      <w:r>
        <w:rPr>
          <w:spacing w:val="-4"/>
        </w:rPr>
        <w:t>实施服务供应商中的领导地位，并同时在部分行业建立相对所有国内外</w:t>
      </w:r>
      <w:r>
        <w:rPr>
          <w:spacing w:val="-72"/>
        </w:rPr>
        <w:t> </w:t>
      </w:r>
      <w:r>
        <w:rPr>
          <w:rFonts w:ascii="Times New Roman" w:hAnsi="Times New Roman" w:cs="Times New Roman" w:eastAsia="Times New Roman" w:hint="default"/>
        </w:rPr>
        <w:t>ERP </w:t>
      </w:r>
      <w:r>
        <w:rPr/>
        <w:t>实施服务供应商的优势地位，努力成为具有中华民族品牌的世界知名 </w:t>
      </w:r>
      <w:r>
        <w:rPr>
          <w:rFonts w:ascii="Times New Roman" w:hAnsi="Times New Roman" w:cs="Times New Roman" w:eastAsia="Times New Roman" w:hint="default"/>
        </w:rPr>
        <w:t>ERP</w:t>
      </w:r>
      <w:r>
        <w:rPr>
          <w:rFonts w:ascii="Times New Roman" w:hAnsi="Times New Roman" w:cs="Times New Roman" w:eastAsia="Times New Roman" w:hint="default"/>
          <w:spacing w:val="9"/>
        </w:rPr>
        <w:t> </w:t>
      </w:r>
      <w:r>
        <w:rPr/>
        <w:t>实施 服务提供商。</w:t>
      </w:r>
    </w:p>
    <w:p>
      <w:pPr>
        <w:pStyle w:val="Heading5"/>
        <w:spacing w:line="240" w:lineRule="auto" w:before="130"/>
        <w:ind w:right="0"/>
        <w:jc w:val="both"/>
        <w:rPr>
          <w:b w:val="0"/>
          <w:bCs w:val="0"/>
        </w:rPr>
      </w:pPr>
      <w:r>
        <w:rPr>
          <w:rFonts w:ascii="Times New Roman" w:hAnsi="Times New Roman" w:cs="Times New Roman" w:eastAsia="Times New Roman" w:hint="default"/>
        </w:rPr>
        <w:t>2</w:t>
      </w:r>
      <w:r>
        <w:rPr/>
        <w:t>、发展规划</w:t>
      </w:r>
      <w:r>
        <w:rPr>
          <w:b w:val="0"/>
          <w:bCs w:val="0"/>
        </w:rPr>
      </w:r>
    </w:p>
    <w:p>
      <w:pPr>
        <w:pStyle w:val="BodyText"/>
        <w:spacing w:line="336" w:lineRule="auto" w:before="56"/>
        <w:ind w:left="620" w:right="185" w:hanging="240"/>
        <w:jc w:val="left"/>
      </w:pPr>
      <w:r>
        <w:rPr/>
        <w:t>（</w:t>
      </w:r>
      <w:r>
        <w:rPr>
          <w:rFonts w:ascii="Times New Roman" w:hAnsi="Times New Roman" w:cs="Times New Roman" w:eastAsia="Times New Roman" w:hint="default"/>
        </w:rPr>
        <w:t>1</w:t>
      </w:r>
      <w:r>
        <w:rPr/>
        <w:t>）行业化：深化行业经验，扩大行业范围 </w:t>
      </w:r>
      <w:r>
        <w:rPr>
          <w:spacing w:val="-3"/>
        </w:rPr>
        <w:t>公司已在一些行业如机械及工业制品、家用电器、快速消费品等领域内具备</w:t>
      </w:r>
    </w:p>
    <w:p>
      <w:pPr>
        <w:pStyle w:val="BodyText"/>
        <w:spacing w:line="355" w:lineRule="auto" w:before="58"/>
        <w:ind w:right="103"/>
        <w:jc w:val="both"/>
      </w:pPr>
      <w:r>
        <w:rPr>
          <w:spacing w:val="-3"/>
        </w:rPr>
        <w:t>了一定的优势，但其具体解决方案还需加强。同时还需在另外一些特定行业如保</w:t>
      </w:r>
      <w:r>
        <w:rPr>
          <w:spacing w:val="-111"/>
        </w:rPr>
        <w:t> </w:t>
      </w:r>
      <w:r>
        <w:rPr>
          <w:spacing w:val="-111"/>
        </w:rPr>
      </w:r>
      <w:r>
        <w:rPr/>
        <w:t>险等研发相应解决方案，巩固公司的领先竞争优势，树立公司良好的品牌形象。</w:t>
      </w:r>
    </w:p>
    <w:p>
      <w:pPr>
        <w:pStyle w:val="BodyText"/>
        <w:spacing w:line="240" w:lineRule="auto" w:before="39"/>
        <w:ind w:left="500" w:right="182"/>
        <w:jc w:val="left"/>
      </w:pPr>
      <w:r>
        <w:rPr/>
        <w:t>（</w:t>
      </w:r>
      <w:r>
        <w:rPr>
          <w:rFonts w:ascii="Times New Roman" w:hAnsi="Times New Roman" w:cs="Times New Roman" w:eastAsia="Times New Roman" w:hint="default"/>
        </w:rPr>
        <w:t>2</w:t>
      </w:r>
      <w:r>
        <w:rPr/>
        <w:t>）专业化：扩大信息化覆盖的范围</w:t>
      </w:r>
    </w:p>
    <w:p>
      <w:pPr>
        <w:pStyle w:val="BodyText"/>
        <w:spacing w:line="338" w:lineRule="auto" w:before="133"/>
        <w:ind w:right="196" w:firstLine="479"/>
        <w:jc w:val="both"/>
      </w:pPr>
      <w:r>
        <w:rPr/>
        <w:t>随着 </w:t>
      </w:r>
      <w:r>
        <w:rPr>
          <w:rFonts w:ascii="Times New Roman" w:hAnsi="Times New Roman" w:cs="Times New Roman" w:eastAsia="Times New Roman" w:hint="default"/>
        </w:rPr>
        <w:t>ERP</w:t>
      </w:r>
      <w:r>
        <w:rPr>
          <w:rFonts w:ascii="Times New Roman" w:hAnsi="Times New Roman" w:cs="Times New Roman" w:eastAsia="Times New Roman" w:hint="default"/>
          <w:spacing w:val="5"/>
        </w:rPr>
        <w:t> </w:t>
      </w:r>
      <w:r>
        <w:rPr/>
        <w:t>外延的不断扩展，除了传统的财务、营销、供应链外，客户关系 管理、全面预算管理、人力资源管理等也早已属于 </w:t>
      </w:r>
      <w:r>
        <w:rPr>
          <w:rFonts w:ascii="Times New Roman" w:hAnsi="Times New Roman" w:cs="Times New Roman" w:eastAsia="Times New Roman" w:hint="default"/>
        </w:rPr>
        <w:t>ERP</w:t>
      </w:r>
      <w:r>
        <w:rPr>
          <w:rFonts w:ascii="Times New Roman" w:hAnsi="Times New Roman" w:cs="Times New Roman" w:eastAsia="Times New Roman" w:hint="default"/>
          <w:spacing w:val="6"/>
        </w:rPr>
        <w:t> </w:t>
      </w:r>
      <w:r>
        <w:rPr/>
        <w:t>范畴，同时更多的管理 内容也纳入了</w:t>
      </w:r>
      <w:r>
        <w:rPr>
          <w:spacing w:val="-66"/>
        </w:rPr>
        <w:t> </w:t>
      </w:r>
      <w:r>
        <w:rPr>
          <w:rFonts w:ascii="Times New Roman" w:hAnsi="Times New Roman" w:cs="Times New Roman" w:eastAsia="Times New Roman" w:hint="default"/>
        </w:rPr>
        <w:t>ERP</w:t>
      </w:r>
      <w:r>
        <w:rPr>
          <w:rFonts w:ascii="Times New Roman" w:hAnsi="Times New Roman" w:cs="Times New Roman" w:eastAsia="Times New Roman" w:hint="default"/>
          <w:spacing w:val="-4"/>
        </w:rPr>
        <w:t> </w:t>
      </w:r>
      <w:r>
        <w:rPr/>
        <w:t>范围。这给公司在同一行业或客户内，进行更多的</w:t>
      </w:r>
      <w:r>
        <w:rPr>
          <w:spacing w:val="-65"/>
        </w:rPr>
        <w:t> </w:t>
      </w:r>
      <w:r>
        <w:rPr>
          <w:rFonts w:ascii="Times New Roman" w:hAnsi="Times New Roman" w:cs="Times New Roman" w:eastAsia="Times New Roman" w:hint="default"/>
        </w:rPr>
        <w:t>ERP</w:t>
      </w:r>
      <w:r>
        <w:rPr>
          <w:rFonts w:ascii="Times New Roman" w:hAnsi="Times New Roman" w:cs="Times New Roman" w:eastAsia="Times New Roman" w:hint="default"/>
          <w:spacing w:val="-3"/>
        </w:rPr>
        <w:t> </w:t>
      </w:r>
      <w:r>
        <w:rPr/>
        <w:t>建设 内容提供了可能。</w:t>
      </w:r>
    </w:p>
    <w:p>
      <w:pPr>
        <w:spacing w:after="0" w:line="338" w:lineRule="auto"/>
        <w:jc w:val="both"/>
        <w:sectPr>
          <w:pgSz w:w="11910" w:h="16840"/>
          <w:pgMar w:header="884" w:footer="980" w:top="1140" w:bottom="1160" w:left="1660" w:right="1600"/>
        </w:sectPr>
      </w:pPr>
    </w:p>
    <w:p>
      <w:pPr>
        <w:spacing w:line="240" w:lineRule="auto" w:before="6"/>
        <w:rPr>
          <w:rFonts w:ascii="宋体" w:hAnsi="宋体" w:cs="宋体" w:eastAsia="宋体" w:hint="default"/>
          <w:sz w:val="22"/>
          <w:szCs w:val="22"/>
        </w:rPr>
      </w:pPr>
    </w:p>
    <w:p>
      <w:pPr>
        <w:pStyle w:val="Heading5"/>
        <w:spacing w:line="240" w:lineRule="auto" w:before="26"/>
        <w:ind w:left="260" w:right="138"/>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年经营计划</w:t>
      </w:r>
      <w:r>
        <w:rPr>
          <w:b w:val="0"/>
          <w:bCs w:val="0"/>
        </w:rPr>
      </w:r>
    </w:p>
    <w:p>
      <w:pPr>
        <w:pStyle w:val="BodyText"/>
        <w:spacing w:line="240" w:lineRule="auto" w:before="57"/>
        <w:ind w:left="610" w:right="138"/>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ERP</w:t>
      </w:r>
      <w:r>
        <w:rPr>
          <w:rFonts w:ascii="Times New Roman" w:hAnsi="Times New Roman" w:cs="Times New Roman" w:eastAsia="Times New Roman" w:hint="default"/>
          <w:spacing w:val="-2"/>
        </w:rPr>
        <w:t> </w:t>
      </w:r>
      <w:r>
        <w:rPr/>
        <w:t>实施服务能力提升计划</w:t>
      </w:r>
    </w:p>
    <w:p>
      <w:pPr>
        <w:pStyle w:val="BodyText"/>
        <w:spacing w:line="336" w:lineRule="auto" w:before="135"/>
        <w:ind w:right="216" w:firstLine="479"/>
        <w:jc w:val="both"/>
      </w:pPr>
      <w:r>
        <w:rPr/>
        <w:t>高标准、高质量的</w:t>
      </w:r>
      <w:r>
        <w:rPr>
          <w:spacing w:val="-61"/>
        </w:rPr>
        <w:t> </w:t>
      </w:r>
      <w:r>
        <w:rPr>
          <w:rFonts w:ascii="Times New Roman" w:hAnsi="Times New Roman" w:cs="Times New Roman" w:eastAsia="Times New Roman" w:hint="default"/>
        </w:rPr>
        <w:t>ERP</w:t>
      </w:r>
      <w:r>
        <w:rPr>
          <w:rFonts w:ascii="Times New Roman" w:hAnsi="Times New Roman" w:cs="Times New Roman" w:eastAsia="Times New Roman" w:hint="default"/>
          <w:spacing w:val="-1"/>
        </w:rPr>
        <w:t> </w:t>
      </w:r>
      <w:r>
        <w:rPr/>
        <w:t>实施服务是目前公司立足于市场的基础，而公司优 秀的</w:t>
      </w:r>
      <w:r>
        <w:rPr>
          <w:spacing w:val="-62"/>
        </w:rPr>
        <w:t> </w:t>
      </w:r>
      <w:r>
        <w:rPr>
          <w:rFonts w:ascii="Times New Roman" w:hAnsi="Times New Roman" w:cs="Times New Roman" w:eastAsia="Times New Roman" w:hint="default"/>
        </w:rPr>
        <w:t>ERP </w:t>
      </w:r>
      <w:r>
        <w:rPr/>
        <w:t>实施服务能力是对高质量服务的最好保障。为了能够高效、快速的适 应</w:t>
      </w:r>
      <w:r>
        <w:rPr>
          <w:spacing w:val="-66"/>
        </w:rPr>
        <w:t> </w:t>
      </w:r>
      <w:r>
        <w:rPr>
          <w:rFonts w:ascii="Times New Roman" w:hAnsi="Times New Roman" w:cs="Times New Roman" w:eastAsia="Times New Roman" w:hint="default"/>
        </w:rPr>
        <w:t>ERP</w:t>
      </w:r>
      <w:r>
        <w:rPr>
          <w:rFonts w:ascii="Times New Roman" w:hAnsi="Times New Roman" w:cs="Times New Roman" w:eastAsia="Times New Roman" w:hint="default"/>
          <w:spacing w:val="-4"/>
        </w:rPr>
        <w:t> </w:t>
      </w:r>
      <w:r>
        <w:rPr/>
        <w:t>技术的发展和不同企业的差异化需求，公司十分重视对于</w:t>
      </w:r>
      <w:r>
        <w:rPr>
          <w:spacing w:val="-64"/>
        </w:rPr>
        <w:t> </w:t>
      </w:r>
      <w:r>
        <w:rPr>
          <w:rFonts w:ascii="Times New Roman" w:hAnsi="Times New Roman" w:cs="Times New Roman" w:eastAsia="Times New Roman" w:hint="default"/>
        </w:rPr>
        <w:t>ERP</w:t>
      </w:r>
      <w:r>
        <w:rPr>
          <w:rFonts w:ascii="Times New Roman" w:hAnsi="Times New Roman" w:cs="Times New Roman" w:eastAsia="Times New Roman" w:hint="default"/>
          <w:spacing w:val="-4"/>
        </w:rPr>
        <w:t> </w:t>
      </w:r>
      <w:r>
        <w:rPr/>
        <w:t>实施服务 能力的进一步提升。</w:t>
      </w:r>
    </w:p>
    <w:p>
      <w:pPr>
        <w:pStyle w:val="BodyText"/>
        <w:spacing w:line="345" w:lineRule="auto" w:before="58"/>
        <w:ind w:right="216" w:firstLine="479"/>
        <w:jc w:val="both"/>
      </w:pPr>
      <w:r>
        <w:rPr>
          <w:rFonts w:ascii="Times New Roman" w:hAnsi="Times New Roman" w:cs="Times New Roman" w:eastAsia="Times New Roman" w:hint="default"/>
        </w:rPr>
        <w:t>ERP </w:t>
      </w:r>
      <w:r>
        <w:rPr/>
        <w:t>实施服务业务的技术创新与研发是公司多年来不断优化自身</w:t>
      </w:r>
      <w:r>
        <w:rPr>
          <w:spacing w:val="-61"/>
        </w:rPr>
        <w:t> </w:t>
      </w:r>
      <w:r>
        <w:rPr>
          <w:rFonts w:ascii="Times New Roman" w:hAnsi="Times New Roman" w:cs="Times New Roman" w:eastAsia="Times New Roman" w:hint="default"/>
        </w:rPr>
        <w:t>ERP</w:t>
      </w:r>
      <w:r>
        <w:rPr>
          <w:rFonts w:ascii="Times New Roman" w:hAnsi="Times New Roman" w:cs="Times New Roman" w:eastAsia="Times New Roman" w:hint="default"/>
          <w:spacing w:val="1"/>
        </w:rPr>
        <w:t> </w:t>
      </w:r>
      <w:r>
        <w:rPr/>
        <w:t>实施</w:t>
      </w:r>
      <w:r>
        <w:rPr>
          <w:w w:val="99"/>
        </w:rPr>
        <w:t> </w:t>
      </w:r>
      <w:r>
        <w:rPr/>
        <w:t>服务能力的主要方式之一，</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年，公司将继续进行</w:t>
      </w:r>
      <w:r>
        <w:rPr>
          <w:spacing w:val="-62"/>
        </w:rPr>
        <w:t> </w:t>
      </w:r>
      <w:r>
        <w:rPr>
          <w:rFonts w:ascii="Times New Roman" w:hAnsi="Times New Roman" w:cs="Times New Roman" w:eastAsia="Times New Roman" w:hint="default"/>
        </w:rPr>
        <w:t>ERP</w:t>
      </w:r>
      <w:r>
        <w:rPr>
          <w:rFonts w:ascii="Times New Roman" w:hAnsi="Times New Roman" w:cs="Times New Roman" w:eastAsia="Times New Roman" w:hint="default"/>
          <w:spacing w:val="-1"/>
        </w:rPr>
        <w:t> </w:t>
      </w:r>
      <w:r>
        <w:rPr/>
        <w:t>实施技术领域内的创</w:t>
      </w:r>
      <w:r>
        <w:rPr>
          <w:w w:val="99"/>
        </w:rPr>
        <w:t> </w:t>
      </w:r>
      <w:r>
        <w:rPr>
          <w:spacing w:val="-3"/>
        </w:rPr>
        <w:t>新研发工作：加强新型实施方法论的研发和创新；完善公司实施标准化框架，进</w:t>
      </w:r>
      <w:r>
        <w:rPr>
          <w:spacing w:val="-111"/>
        </w:rPr>
        <w:t> </w:t>
      </w:r>
      <w:r>
        <w:rPr>
          <w:spacing w:val="-111"/>
        </w:rPr>
      </w:r>
      <w:r>
        <w:rPr/>
        <w:t>一步把</w:t>
      </w:r>
      <w:r>
        <w:rPr>
          <w:spacing w:val="-65"/>
        </w:rPr>
        <w:t> </w:t>
      </w:r>
      <w:r>
        <w:rPr>
          <w:rFonts w:ascii="Times New Roman" w:hAnsi="Times New Roman" w:cs="Times New Roman" w:eastAsia="Times New Roman" w:hint="default"/>
        </w:rPr>
        <w:t>ERP</w:t>
      </w:r>
      <w:r>
        <w:rPr>
          <w:rFonts w:ascii="Times New Roman" w:hAnsi="Times New Roman" w:cs="Times New Roman" w:eastAsia="Times New Roman" w:hint="default"/>
          <w:spacing w:val="-4"/>
        </w:rPr>
        <w:t> </w:t>
      </w:r>
      <w:r>
        <w:rPr/>
        <w:t>项目实施过程中所获得的实施经验和业务管理经验转化为对</w:t>
      </w:r>
      <w:r>
        <w:rPr>
          <w:spacing w:val="-64"/>
        </w:rPr>
        <w:t> </w:t>
      </w:r>
      <w:r>
        <w:rPr>
          <w:rFonts w:ascii="Times New Roman" w:hAnsi="Times New Roman" w:cs="Times New Roman" w:eastAsia="Times New Roman" w:hint="default"/>
        </w:rPr>
        <w:t>ERP</w:t>
      </w:r>
      <w:r>
        <w:rPr>
          <w:rFonts w:ascii="Times New Roman" w:hAnsi="Times New Roman" w:cs="Times New Roman" w:eastAsia="Times New Roman" w:hint="default"/>
          <w:spacing w:val="-4"/>
        </w:rPr>
        <w:t> </w:t>
      </w:r>
      <w:r>
        <w:rPr/>
        <w:t>项 </w:t>
      </w:r>
      <w:r>
        <w:rPr>
          <w:spacing w:val="-3"/>
        </w:rPr>
        <w:t>目实施过程的标准化指导，从而缩短实施周期，降低实施成本；进行远程实施服</w:t>
      </w:r>
      <w:r>
        <w:rPr>
          <w:spacing w:val="-111"/>
        </w:rPr>
        <w:t> </w:t>
      </w:r>
      <w:r>
        <w:rPr>
          <w:spacing w:val="-111"/>
        </w:rPr>
      </w:r>
      <w:r>
        <w:rPr/>
        <w:t>务中心建设，提高公司的综合服务效率。</w:t>
      </w:r>
    </w:p>
    <w:p>
      <w:pPr>
        <w:pStyle w:val="BodyText"/>
        <w:spacing w:line="240" w:lineRule="auto" w:before="48"/>
        <w:ind w:left="610" w:right="138"/>
        <w:jc w:val="left"/>
      </w:pPr>
      <w:r>
        <w:rPr/>
        <w:t>（</w:t>
      </w:r>
      <w:r>
        <w:rPr>
          <w:rFonts w:ascii="Times New Roman" w:hAnsi="Times New Roman" w:cs="Times New Roman" w:eastAsia="Times New Roman" w:hint="default"/>
        </w:rPr>
        <w:t>2</w:t>
      </w:r>
      <w:r>
        <w:rPr/>
        <w:t>）业务拓展计划</w:t>
      </w:r>
    </w:p>
    <w:p>
      <w:pPr>
        <w:pStyle w:val="BodyText"/>
        <w:spacing w:line="240" w:lineRule="auto" w:before="133"/>
        <w:ind w:left="567" w:right="138"/>
        <w:jc w:val="left"/>
      </w:pPr>
      <w:r>
        <w:rPr/>
        <w:t>●解决方案产品化计划</w:t>
      </w:r>
    </w:p>
    <w:p>
      <w:pPr>
        <w:pStyle w:val="BodyText"/>
        <w:spacing w:line="348" w:lineRule="auto"/>
        <w:ind w:right="90" w:firstLine="479"/>
        <w:jc w:val="left"/>
      </w:pPr>
      <w:r>
        <w:rPr>
          <w:rFonts w:ascii="Times New Roman" w:hAnsi="Times New Roman" w:cs="Times New Roman" w:eastAsia="Times New Roman" w:hint="default"/>
        </w:rPr>
        <w:t>ERP</w:t>
      </w:r>
      <w:r>
        <w:rPr>
          <w:rFonts w:ascii="Times New Roman" w:hAnsi="Times New Roman" w:cs="Times New Roman" w:eastAsia="Times New Roman" w:hint="default"/>
          <w:spacing w:val="-3"/>
        </w:rPr>
        <w:t> </w:t>
      </w:r>
      <w:r>
        <w:rPr/>
        <w:t>实施服务过程需要充分考虑企业经营业务属性与流程的差异性，因而，</w:t>
      </w:r>
      <w:r>
        <w:rPr>
          <w:w w:val="99"/>
        </w:rPr>
        <w:t> </w:t>
      </w:r>
      <w:r>
        <w:rPr/>
        <w:t>同行业内企业</w:t>
      </w:r>
      <w:r>
        <w:rPr>
          <w:spacing w:val="-62"/>
        </w:rPr>
        <w:t> </w:t>
      </w:r>
      <w:r>
        <w:rPr>
          <w:rFonts w:ascii="Times New Roman" w:hAnsi="Times New Roman" w:cs="Times New Roman" w:eastAsia="Times New Roman" w:hint="default"/>
        </w:rPr>
        <w:t>ERP </w:t>
      </w:r>
      <w:r>
        <w:rPr/>
        <w:t>实施服务流程往往具有一定的相似性。公司在多年实施服务</w:t>
      </w:r>
      <w:r>
        <w:rPr>
          <w:w w:val="99"/>
        </w:rPr>
        <w:t> </w:t>
      </w:r>
      <w:r>
        <w:rPr>
          <w:spacing w:val="-3"/>
        </w:rPr>
        <w:t>经验总结基础之上，初步形成了关于大型设备制造、机械、汽车制造、流通、证</w:t>
      </w:r>
      <w:r>
        <w:rPr>
          <w:spacing w:val="-115"/>
        </w:rPr>
        <w:t> </w:t>
      </w:r>
      <w:r>
        <w:rPr>
          <w:spacing w:val="-115"/>
        </w:rPr>
      </w:r>
      <w:r>
        <w:rPr/>
        <w:t>券等行业的</w:t>
      </w:r>
      <w:r>
        <w:rPr>
          <w:spacing w:val="-61"/>
        </w:rPr>
        <w:t> </w:t>
      </w:r>
      <w:r>
        <w:rPr>
          <w:rFonts w:ascii="Times New Roman" w:hAnsi="Times New Roman" w:cs="Times New Roman" w:eastAsia="Times New Roman" w:hint="default"/>
        </w:rPr>
        <w:t>ERP </w:t>
      </w:r>
      <w:r>
        <w:rPr/>
        <w:t>实施解决方案，在项目实施过程中解决方案的运用较大程度上</w:t>
      </w:r>
      <w:r>
        <w:rPr>
          <w:w w:val="99"/>
        </w:rPr>
        <w:t> </w:t>
      </w:r>
      <w:r>
        <w:rPr>
          <w:spacing w:val="-3"/>
        </w:rPr>
        <w:t>简化了公司的实施流程，提高了实施效率。以目前在实施服务中运用较多一些行</w:t>
      </w:r>
      <w:r>
        <w:rPr>
          <w:spacing w:val="-110"/>
        </w:rPr>
        <w:t> </w:t>
      </w:r>
      <w:r>
        <w:rPr>
          <w:spacing w:val="-110"/>
        </w:rPr>
      </w:r>
      <w:r>
        <w:rPr>
          <w:spacing w:val="-3"/>
        </w:rPr>
        <w:t>业解决方案为基础通过进一步的研发与标准化形成程序或软件产品，并向客户直</w:t>
      </w:r>
      <w:r>
        <w:rPr>
          <w:spacing w:val="-110"/>
        </w:rPr>
        <w:t> </w:t>
      </w:r>
      <w:r>
        <w:rPr>
          <w:spacing w:val="-110"/>
        </w:rPr>
      </w:r>
      <w:r>
        <w:rPr/>
        <w:t>接销售产品化解决方案，从而简化公司实施服务流程，提升实施服务竞争力。</w:t>
      </w:r>
    </w:p>
    <w:p>
      <w:pPr>
        <w:pStyle w:val="BodyText"/>
        <w:spacing w:line="336" w:lineRule="auto" w:before="46"/>
        <w:ind w:left="620" w:right="205" w:hanging="53"/>
        <w:jc w:val="left"/>
      </w:pPr>
      <w:r>
        <w:rPr/>
        <w:t>●海外</w:t>
      </w:r>
      <w:r>
        <w:rPr>
          <w:rFonts w:ascii="Times New Roman" w:hAnsi="Times New Roman" w:cs="Times New Roman" w:eastAsia="Times New Roman" w:hint="default"/>
        </w:rPr>
        <w:t>ERP</w:t>
      </w:r>
      <w:r>
        <w:rPr/>
        <w:t>软件外包拓展计划 </w:t>
      </w:r>
      <w:r>
        <w:rPr>
          <w:spacing w:val="-3"/>
        </w:rPr>
        <w:t>日本是我国目前最大的软件离岸外包市场，公司通过成立海外事业部、收购</w:t>
      </w:r>
    </w:p>
    <w:p>
      <w:pPr>
        <w:pStyle w:val="BodyText"/>
        <w:spacing w:line="338" w:lineRule="auto" w:before="58"/>
        <w:ind w:right="219"/>
        <w:jc w:val="both"/>
      </w:pPr>
      <w:r>
        <w:rPr/>
        <w:t>日本汉得的方式初步进入该市场，开展对日</w:t>
      </w:r>
      <w:r>
        <w:rPr>
          <w:spacing w:val="-62"/>
        </w:rPr>
        <w:t> </w:t>
      </w:r>
      <w:r>
        <w:rPr>
          <w:rFonts w:ascii="Times New Roman" w:hAnsi="Times New Roman" w:cs="Times New Roman" w:eastAsia="Times New Roman" w:hint="default"/>
        </w:rPr>
        <w:t>ERP</w:t>
      </w:r>
      <w:r>
        <w:rPr>
          <w:rFonts w:ascii="Times New Roman" w:hAnsi="Times New Roman" w:cs="Times New Roman" w:eastAsia="Times New Roman" w:hint="default"/>
          <w:spacing w:val="-1"/>
        </w:rPr>
        <w:t> </w:t>
      </w:r>
      <w:r>
        <w:rPr/>
        <w:t>外包服务。公司是较早进入日 本</w:t>
      </w:r>
      <w:r>
        <w:rPr>
          <w:spacing w:val="-62"/>
        </w:rPr>
        <w:t> </w:t>
      </w:r>
      <w:r>
        <w:rPr>
          <w:rFonts w:ascii="Times New Roman" w:hAnsi="Times New Roman" w:cs="Times New Roman" w:eastAsia="Times New Roman" w:hint="default"/>
        </w:rPr>
        <w:t>ERP </w:t>
      </w:r>
      <w:r>
        <w:rPr/>
        <w:t>外包服务市场的服务供应商，占据了一定的先发优势，具备进一步扩大 对日</w:t>
      </w:r>
      <w:r>
        <w:rPr>
          <w:spacing w:val="-66"/>
        </w:rPr>
        <w:t> </w:t>
      </w:r>
      <w:r>
        <w:rPr>
          <w:rFonts w:ascii="Times New Roman" w:hAnsi="Times New Roman" w:cs="Times New Roman" w:eastAsia="Times New Roman" w:hint="default"/>
        </w:rPr>
        <w:t>ERP</w:t>
      </w:r>
      <w:r>
        <w:rPr>
          <w:rFonts w:ascii="Times New Roman" w:hAnsi="Times New Roman" w:cs="Times New Roman" w:eastAsia="Times New Roman" w:hint="default"/>
          <w:spacing w:val="-4"/>
        </w:rPr>
        <w:t> </w:t>
      </w:r>
      <w:r>
        <w:rPr/>
        <w:t>实施服务外包市场份额的实力。因此，基于公司在</w:t>
      </w:r>
      <w:r>
        <w:rPr>
          <w:spacing w:val="-65"/>
        </w:rPr>
        <w:t> </w:t>
      </w:r>
      <w:r>
        <w:rPr>
          <w:rFonts w:ascii="Times New Roman" w:hAnsi="Times New Roman" w:cs="Times New Roman" w:eastAsia="Times New Roman" w:hint="default"/>
        </w:rPr>
        <w:t>ERP</w:t>
      </w:r>
      <w:r>
        <w:rPr>
          <w:rFonts w:ascii="Times New Roman" w:hAnsi="Times New Roman" w:cs="Times New Roman" w:eastAsia="Times New Roman" w:hint="default"/>
          <w:spacing w:val="-6"/>
        </w:rPr>
        <w:t> </w:t>
      </w:r>
      <w:r>
        <w:rPr/>
        <w:t>实施服务领域 的专业经验与技术优势，公司计划大力拓展对日</w:t>
      </w:r>
      <w:r>
        <w:rPr>
          <w:spacing w:val="-61"/>
        </w:rPr>
        <w:t> </w:t>
      </w:r>
      <w:r>
        <w:rPr>
          <w:rFonts w:ascii="Times New Roman" w:hAnsi="Times New Roman" w:cs="Times New Roman" w:eastAsia="Times New Roman" w:hint="default"/>
        </w:rPr>
        <w:t>ERP </w:t>
      </w:r>
      <w:r>
        <w:rPr/>
        <w:t>软件外包业务，实现公司 在主营业务领域内向海外市场的延伸。</w:t>
      </w:r>
    </w:p>
    <w:p>
      <w:pPr>
        <w:pStyle w:val="BodyText"/>
        <w:spacing w:line="240" w:lineRule="auto" w:before="53"/>
        <w:ind w:left="567" w:right="138"/>
        <w:jc w:val="left"/>
      </w:pPr>
      <w:r>
        <w:rPr/>
        <w:t>●运维服务市场拓展计划</w:t>
      </w:r>
    </w:p>
    <w:p>
      <w:pPr>
        <w:spacing w:after="0" w:line="240" w:lineRule="auto"/>
        <w:jc w:val="left"/>
        <w:sectPr>
          <w:pgSz w:w="11910" w:h="16840"/>
          <w:pgMar w:header="884" w:footer="980" w:top="1140" w:bottom="1160" w:left="1660" w:right="1580"/>
        </w:sectPr>
      </w:pPr>
    </w:p>
    <w:p>
      <w:pPr>
        <w:spacing w:line="240" w:lineRule="auto" w:before="5"/>
        <w:rPr>
          <w:rFonts w:ascii="宋体" w:hAnsi="宋体" w:cs="宋体" w:eastAsia="宋体" w:hint="default"/>
          <w:sz w:val="16"/>
          <w:szCs w:val="16"/>
        </w:rPr>
      </w:pPr>
    </w:p>
    <w:p>
      <w:pPr>
        <w:pStyle w:val="BodyText"/>
        <w:spacing w:line="345" w:lineRule="auto" w:before="26"/>
        <w:ind w:right="196" w:firstLine="479"/>
        <w:jc w:val="both"/>
      </w:pPr>
      <w:r>
        <w:rPr/>
        <w:t>企业</w:t>
      </w:r>
      <w:r>
        <w:rPr>
          <w:spacing w:val="-61"/>
        </w:rPr>
        <w:t> </w:t>
      </w:r>
      <w:r>
        <w:rPr>
          <w:rFonts w:ascii="Times New Roman" w:hAnsi="Times New Roman" w:cs="Times New Roman" w:eastAsia="Times New Roman" w:hint="default"/>
        </w:rPr>
        <w:t>ERP </w:t>
      </w:r>
      <w:r>
        <w:rPr/>
        <w:t>系统实施并非一劳永逸，在日常经营过程中往往会因业务变更、 业务拓展或不当操作等原因需要对企业</w:t>
      </w:r>
      <w:r>
        <w:rPr>
          <w:spacing w:val="-60"/>
        </w:rPr>
        <w:t> </w:t>
      </w:r>
      <w:r>
        <w:rPr>
          <w:rFonts w:ascii="Times New Roman" w:hAnsi="Times New Roman" w:cs="Times New Roman" w:eastAsia="Times New Roman" w:hint="default"/>
        </w:rPr>
        <w:t>ERP</w:t>
      </w:r>
      <w:r>
        <w:rPr>
          <w:rFonts w:ascii="Times New Roman" w:hAnsi="Times New Roman" w:cs="Times New Roman" w:eastAsia="Times New Roman" w:hint="default"/>
          <w:spacing w:val="-1"/>
        </w:rPr>
        <w:t> </w:t>
      </w:r>
      <w:r>
        <w:rPr/>
        <w:t>系统进行长期跟踪和运维支持，企 </w:t>
      </w:r>
      <w:r>
        <w:rPr>
          <w:spacing w:val="-3"/>
        </w:rPr>
        <w:t>业若自行承担该部分日常维护，成本往往会超出收益，因此，客户运维服务这一</w:t>
      </w:r>
      <w:r>
        <w:rPr>
          <w:spacing w:val="-111"/>
        </w:rPr>
        <w:t> </w:t>
      </w:r>
      <w:r>
        <w:rPr>
          <w:spacing w:val="-111"/>
        </w:rPr>
      </w:r>
      <w:r>
        <w:rPr/>
        <w:t>细分市场越来越成为</w:t>
      </w:r>
      <w:r>
        <w:rPr>
          <w:spacing w:val="-62"/>
        </w:rPr>
        <w:t> </w:t>
      </w:r>
      <w:r>
        <w:rPr>
          <w:rFonts w:ascii="Times New Roman" w:hAnsi="Times New Roman" w:cs="Times New Roman" w:eastAsia="Times New Roman" w:hint="default"/>
        </w:rPr>
        <w:t>ERP</w:t>
      </w:r>
      <w:r>
        <w:rPr>
          <w:rFonts w:ascii="Times New Roman" w:hAnsi="Times New Roman" w:cs="Times New Roman" w:eastAsia="Times New Roman" w:hint="default"/>
          <w:spacing w:val="-1"/>
        </w:rPr>
        <w:t> </w:t>
      </w:r>
      <w:r>
        <w:rPr/>
        <w:t>专业实施服务机构重要的业务来源。因此，公司计划 </w:t>
      </w:r>
      <w:r>
        <w:rPr>
          <w:spacing w:val="-3"/>
        </w:rPr>
        <w:t>显著提高公司响应客户运维需求的能力，大力拓展这一细分市场，实现公司经营</w:t>
      </w:r>
      <w:r>
        <w:rPr>
          <w:spacing w:val="-111"/>
        </w:rPr>
        <w:t> </w:t>
      </w:r>
      <w:r>
        <w:rPr>
          <w:spacing w:val="-111"/>
        </w:rPr>
      </w:r>
      <w:r>
        <w:rPr/>
        <w:t>业绩增长与市场份额扩张的目标。</w:t>
      </w:r>
    </w:p>
    <w:p>
      <w:pPr>
        <w:pStyle w:val="BodyText"/>
        <w:spacing w:line="338" w:lineRule="auto" w:before="46"/>
        <w:ind w:left="620" w:right="185" w:hanging="10"/>
        <w:jc w:val="left"/>
      </w:pPr>
      <w:r>
        <w:rPr/>
        <w:t>（</w:t>
      </w:r>
      <w:r>
        <w:rPr>
          <w:rFonts w:ascii="Times New Roman" w:hAnsi="Times New Roman" w:cs="Times New Roman" w:eastAsia="Times New Roman" w:hint="default"/>
        </w:rPr>
        <w:t>3</w:t>
      </w:r>
      <w:r>
        <w:rPr/>
        <w:t>）营销计划 </w:t>
      </w:r>
      <w:r>
        <w:rPr>
          <w:spacing w:val="-3"/>
        </w:rPr>
        <w:t>公司除了通过实施能力的提升来保障与强化公司服务质量之外，也计划通过</w:t>
      </w:r>
    </w:p>
    <w:p>
      <w:pPr>
        <w:pStyle w:val="BodyText"/>
        <w:spacing w:line="357" w:lineRule="auto" w:before="53"/>
        <w:ind w:right="86"/>
        <w:jc w:val="left"/>
      </w:pPr>
      <w:r>
        <w:rPr>
          <w:spacing w:val="-3"/>
        </w:rPr>
        <w:t>增加营销投入来深化公司的专业品牌形象，具体营销方案计划包括：增加广告投</w:t>
      </w:r>
      <w:r>
        <w:rPr>
          <w:spacing w:val="-112"/>
        </w:rPr>
        <w:t> </w:t>
      </w:r>
      <w:r>
        <w:rPr>
          <w:spacing w:val="-112"/>
        </w:rPr>
      </w:r>
      <w:r>
        <w:rPr/>
        <w:t>入，重点推介公司的专业实施服务经验以及与各行业标杆客户合作的成功案例；</w:t>
      </w:r>
      <w:r>
        <w:rPr/>
        <w:t> </w:t>
      </w:r>
      <w:r>
        <w:rPr>
          <w:spacing w:val="-3"/>
        </w:rPr>
        <w:t>优化公司内部期刊，并向主要客户定期邮寄；加快运维呼叫中心的建设，为客户</w:t>
      </w:r>
      <w:r>
        <w:rPr>
          <w:spacing w:val="-111"/>
        </w:rPr>
        <w:t> </w:t>
      </w:r>
      <w:r>
        <w:rPr>
          <w:spacing w:val="-111"/>
        </w:rPr>
      </w:r>
      <w:r>
        <w:rPr/>
        <w:t>提供更及时、更全面的电话、在线支持服务。</w:t>
      </w:r>
    </w:p>
    <w:p>
      <w:pPr>
        <w:pStyle w:val="BodyText"/>
        <w:spacing w:line="338" w:lineRule="auto" w:before="34"/>
        <w:ind w:left="620" w:right="185" w:hanging="10"/>
        <w:jc w:val="left"/>
      </w:pPr>
      <w:r>
        <w:rPr/>
        <w:t>（</w:t>
      </w:r>
      <w:r>
        <w:rPr>
          <w:rFonts w:ascii="Times New Roman" w:hAnsi="Times New Roman" w:cs="Times New Roman" w:eastAsia="Times New Roman" w:hint="default"/>
        </w:rPr>
        <w:t>4</w:t>
      </w:r>
      <w:r>
        <w:rPr/>
        <w:t>）团队建设计划 </w:t>
      </w:r>
      <w:r>
        <w:rPr>
          <w:spacing w:val="-3"/>
        </w:rPr>
        <w:t>作为成长型企业，公司未来业务的迅速发展对于公司经营和顾问团队建设也</w:t>
      </w:r>
    </w:p>
    <w:p>
      <w:pPr>
        <w:pStyle w:val="BodyText"/>
        <w:spacing w:line="352" w:lineRule="auto" w:before="53"/>
        <w:ind w:right="197"/>
        <w:jc w:val="both"/>
      </w:pPr>
      <w:r>
        <w:rPr>
          <w:spacing w:val="-3"/>
        </w:rPr>
        <w:t>是一项重大考验。为实现公司发展规划与经营目标，公司需要招募与培训更多的</w:t>
      </w:r>
      <w:r>
        <w:rPr>
          <w:spacing w:val="-111"/>
        </w:rPr>
        <w:t> </w:t>
      </w:r>
      <w:r>
        <w:rPr>
          <w:spacing w:val="-111"/>
        </w:rPr>
      </w:r>
      <w:r>
        <w:rPr>
          <w:spacing w:val="-3"/>
        </w:rPr>
        <w:t>实施顾问和技术人才，而人员的扩张也直接导致公司需要不断调整和优化管理体</w:t>
      </w:r>
      <w:r>
        <w:rPr>
          <w:spacing w:val="-110"/>
        </w:rPr>
        <w:t> </w:t>
      </w:r>
      <w:r>
        <w:rPr>
          <w:spacing w:val="-110"/>
        </w:rPr>
      </w:r>
      <w:r>
        <w:rPr/>
        <w:t>系。为此，公司将进一步强化已经获得市场认可的、符合</w:t>
      </w:r>
      <w:r>
        <w:rPr>
          <w:spacing w:val="-62"/>
        </w:rPr>
        <w:t> </w:t>
      </w:r>
      <w:r>
        <w:rPr>
          <w:rFonts w:ascii="Times New Roman" w:hAnsi="Times New Roman" w:cs="Times New Roman" w:eastAsia="Times New Roman" w:hint="default"/>
        </w:rPr>
        <w:t>ERP</w:t>
      </w:r>
      <w:r>
        <w:rPr>
          <w:rFonts w:ascii="Times New Roman" w:hAnsi="Times New Roman" w:cs="Times New Roman" w:eastAsia="Times New Roman" w:hint="default"/>
          <w:spacing w:val="-2"/>
        </w:rPr>
        <w:t> </w:t>
      </w:r>
      <w:r>
        <w:rPr/>
        <w:t>实施服务行业特 </w:t>
      </w:r>
      <w:r>
        <w:rPr>
          <w:spacing w:val="-3"/>
        </w:rPr>
        <w:t>点的项目组管理架构，并不断完善公司内部的组织架构，从而更好的支撑公司业</w:t>
      </w:r>
      <w:r>
        <w:rPr>
          <w:spacing w:val="-111"/>
        </w:rPr>
        <w:t> </w:t>
      </w:r>
      <w:r>
        <w:rPr>
          <w:spacing w:val="-111"/>
        </w:rPr>
      </w:r>
      <w:r>
        <w:rPr/>
        <w:t>务发展。</w:t>
      </w:r>
    </w:p>
    <w:p>
      <w:pPr>
        <w:pStyle w:val="BodyText"/>
        <w:spacing w:line="352" w:lineRule="auto" w:before="38"/>
        <w:ind w:right="191" w:firstLine="479"/>
        <w:jc w:val="left"/>
      </w:pPr>
      <w:r>
        <w:rPr>
          <w:rFonts w:ascii="Times New Roman" w:hAnsi="Times New Roman" w:cs="Times New Roman" w:eastAsia="Times New Roman" w:hint="default"/>
        </w:rPr>
        <w:t>ERP</w:t>
      </w:r>
      <w:r>
        <w:rPr>
          <w:rFonts w:ascii="Times New Roman" w:hAnsi="Times New Roman" w:cs="Times New Roman" w:eastAsia="Times New Roman" w:hint="default"/>
          <w:spacing w:val="-1"/>
        </w:rPr>
        <w:t> </w:t>
      </w:r>
      <w:r>
        <w:rPr/>
        <w:t>实施服务行业资深顾问和软件开发技术人才是公司经营发展重要的战</w:t>
      </w:r>
      <w:r>
        <w:rPr>
          <w:w w:val="99"/>
        </w:rPr>
        <w:t> </w:t>
      </w:r>
      <w:r>
        <w:rPr>
          <w:spacing w:val="-3"/>
        </w:rPr>
        <w:t>略性资源。公司将继续坚持重视人才的企业文化理念，进一步完善人才培养、引</w:t>
      </w:r>
      <w:r>
        <w:rPr>
          <w:spacing w:val="-112"/>
        </w:rPr>
        <w:t> </w:t>
      </w:r>
      <w:r>
        <w:rPr>
          <w:spacing w:val="-112"/>
        </w:rPr>
      </w:r>
      <w:r>
        <w:rPr>
          <w:spacing w:val="-3"/>
        </w:rPr>
        <w:t>进和激励机制，以广阔的职业发展空间、富有竞争力的薪酬体系和良好的工作环</w:t>
      </w:r>
      <w:r>
        <w:rPr>
          <w:spacing w:val="-112"/>
        </w:rPr>
        <w:t> </w:t>
      </w:r>
      <w:r>
        <w:rPr>
          <w:spacing w:val="-112"/>
        </w:rPr>
      </w:r>
      <w:r>
        <w:rPr>
          <w:spacing w:val="-3"/>
        </w:rPr>
        <w:t>境大力吸引并留住人才，在配合公司业务拓展计划的基础上为公司建立充足的人</w:t>
      </w:r>
      <w:r>
        <w:rPr>
          <w:spacing w:val="-110"/>
        </w:rPr>
        <w:t> </w:t>
      </w:r>
      <w:r>
        <w:rPr>
          <w:spacing w:val="-110"/>
        </w:rPr>
      </w:r>
      <w:r>
        <w:rPr/>
        <w:t>才资源储备。</w:t>
      </w:r>
    </w:p>
    <w:p>
      <w:pPr>
        <w:pStyle w:val="BodyText"/>
        <w:spacing w:line="240" w:lineRule="auto" w:before="41"/>
        <w:ind w:left="610" w:right="182"/>
        <w:jc w:val="left"/>
      </w:pPr>
      <w:r>
        <w:rPr/>
        <w:t>（</w:t>
      </w:r>
      <w:r>
        <w:rPr>
          <w:rFonts w:ascii="Times New Roman" w:hAnsi="Times New Roman" w:cs="Times New Roman" w:eastAsia="Times New Roman" w:hint="default"/>
        </w:rPr>
        <w:t>5</w:t>
      </w:r>
      <w:r>
        <w:rPr/>
        <w:t>）收购兼并计划</w:t>
      </w:r>
    </w:p>
    <w:p>
      <w:pPr>
        <w:pStyle w:val="BodyText"/>
        <w:spacing w:line="352" w:lineRule="auto" w:before="134"/>
        <w:ind w:right="196" w:firstLine="479"/>
        <w:jc w:val="both"/>
      </w:pPr>
      <w:r>
        <w:rPr/>
        <w:t>国内</w:t>
      </w:r>
      <w:r>
        <w:rPr>
          <w:spacing w:val="-61"/>
        </w:rPr>
        <w:t> </w:t>
      </w:r>
      <w:r>
        <w:rPr>
          <w:rFonts w:ascii="Times New Roman" w:hAnsi="Times New Roman" w:cs="Times New Roman" w:eastAsia="Times New Roman" w:hint="default"/>
        </w:rPr>
        <w:t>ERP </w:t>
      </w:r>
      <w:r>
        <w:rPr/>
        <w:t>实施服务市场是竞争性市场，不存在政策性或资源性垄断。目前 </w:t>
      </w:r>
      <w:r>
        <w:rPr>
          <w:spacing w:val="-3"/>
        </w:rPr>
        <w:t>该市场集中度较低，尚未发展成熟，一些规模较小且面临较大业务拓展瓶颈的企</w:t>
      </w:r>
      <w:r>
        <w:rPr>
          <w:spacing w:val="-111"/>
        </w:rPr>
        <w:t> </w:t>
      </w:r>
      <w:r>
        <w:rPr>
          <w:spacing w:val="-111"/>
        </w:rPr>
      </w:r>
      <w:r>
        <w:rPr>
          <w:spacing w:val="-3"/>
        </w:rPr>
        <w:t>业将在未来的市场竞争中被逐渐淘汰与兼并。在未来发展过程中，公司会从发展</w:t>
      </w:r>
      <w:r>
        <w:rPr>
          <w:spacing w:val="-111"/>
        </w:rPr>
        <w:t> </w:t>
      </w:r>
      <w:r>
        <w:rPr>
          <w:spacing w:val="-111"/>
        </w:rPr>
      </w:r>
      <w:r>
        <w:rPr>
          <w:spacing w:val="-3"/>
        </w:rPr>
        <w:t>战略规划角度出发，选择适当时机进行适度的收购兼并，从而实现公司扩大业务</w:t>
      </w:r>
      <w:r>
        <w:rPr>
          <w:spacing w:val="-111"/>
        </w:rPr>
        <w:t> </w:t>
      </w:r>
      <w:r>
        <w:rPr>
          <w:spacing w:val="-111"/>
        </w:rPr>
      </w:r>
      <w:r>
        <w:rPr>
          <w:spacing w:val="-3"/>
        </w:rPr>
        <w:t>规模、加快市场份额提升、补充现有业务空白等战略目标。目前公司在收购兼并</w:t>
      </w:r>
    </w:p>
    <w:p>
      <w:pPr>
        <w:spacing w:after="0" w:line="352" w:lineRule="auto"/>
        <w:jc w:val="both"/>
        <w:sectPr>
          <w:pgSz w:w="11910" w:h="16840"/>
          <w:pgMar w:header="884" w:footer="980" w:top="1140" w:bottom="1160" w:left="1660" w:right="1600"/>
        </w:sectPr>
      </w:pPr>
    </w:p>
    <w:p>
      <w:pPr>
        <w:spacing w:line="240" w:lineRule="auto" w:before="5"/>
        <w:rPr>
          <w:rFonts w:ascii="宋体" w:hAnsi="宋体" w:cs="宋体" w:eastAsia="宋体" w:hint="default"/>
          <w:sz w:val="16"/>
          <w:szCs w:val="16"/>
        </w:rPr>
      </w:pPr>
    </w:p>
    <w:p>
      <w:pPr>
        <w:pStyle w:val="BodyText"/>
        <w:spacing w:line="357" w:lineRule="auto" w:before="26"/>
        <w:ind w:right="186"/>
        <w:jc w:val="left"/>
      </w:pPr>
      <w:r>
        <w:rPr/>
        <w:t>方面已有部分进展，</w:t>
      </w:r>
      <w:r>
        <w:rPr>
          <w:rFonts w:ascii="宋体" w:hAnsi="宋体" w:cs="宋体" w:eastAsia="宋体" w:hint="default"/>
        </w:rPr>
        <w:t>2012</w:t>
      </w:r>
      <w:r>
        <w:rPr>
          <w:rFonts w:ascii="宋体" w:hAnsi="宋体" w:cs="宋体" w:eastAsia="宋体" w:hint="default"/>
          <w:spacing w:val="-68"/>
        </w:rPr>
        <w:t> </w:t>
      </w:r>
      <w:r>
        <w:rPr/>
        <w:t>年</w:t>
      </w:r>
      <w:r>
        <w:rPr>
          <w:spacing w:val="-68"/>
        </w:rPr>
        <w:t> </w:t>
      </w:r>
      <w:r>
        <w:rPr>
          <w:rFonts w:ascii="宋体" w:hAnsi="宋体" w:cs="宋体" w:eastAsia="宋体" w:hint="default"/>
        </w:rPr>
        <w:t>2</w:t>
      </w:r>
      <w:r>
        <w:rPr>
          <w:rFonts w:ascii="宋体" w:hAnsi="宋体" w:cs="宋体" w:eastAsia="宋体" w:hint="default"/>
          <w:spacing w:val="-68"/>
        </w:rPr>
        <w:t> </w:t>
      </w:r>
      <w:r>
        <w:rPr/>
        <w:t>月</w:t>
      </w:r>
      <w:r>
        <w:rPr>
          <w:spacing w:val="-68"/>
        </w:rPr>
        <w:t> </w:t>
      </w:r>
      <w:r>
        <w:rPr>
          <w:rFonts w:ascii="宋体" w:hAnsi="宋体" w:cs="宋体" w:eastAsia="宋体" w:hint="default"/>
        </w:rPr>
        <w:t>27</w:t>
      </w:r>
      <w:r>
        <w:rPr>
          <w:rFonts w:ascii="宋体" w:hAnsi="宋体" w:cs="宋体" w:eastAsia="宋体" w:hint="default"/>
          <w:spacing w:val="-68"/>
        </w:rPr>
        <w:t> </w:t>
      </w:r>
      <w:r>
        <w:rPr/>
        <w:t>日，公司与交易对手方自然人黄火德、陈平 </w:t>
      </w:r>
      <w:r>
        <w:rPr>
          <w:spacing w:val="-3"/>
        </w:rPr>
        <w:t>签订了《股权收购协议》。公司拟使用超募资金收购自然人黄火德和陈平持有的</w:t>
      </w:r>
      <w:r>
        <w:rPr>
          <w:spacing w:val="-111"/>
        </w:rPr>
        <w:t> </w:t>
      </w:r>
      <w:r>
        <w:rPr>
          <w:spacing w:val="-111"/>
        </w:rPr>
      </w:r>
      <w:r>
        <w:rPr/>
        <w:t>上海夏尔软件有限公司</w:t>
      </w:r>
      <w:r>
        <w:rPr>
          <w:spacing w:val="-61"/>
        </w:rPr>
        <w:t> </w:t>
      </w:r>
      <w:r>
        <w:rPr>
          <w:rFonts w:ascii="宋体" w:hAnsi="宋体" w:cs="宋体" w:eastAsia="宋体" w:hint="default"/>
        </w:rPr>
        <w:t>100%</w:t>
      </w:r>
      <w:r>
        <w:rPr/>
        <w:t>股权，收购完成后，夏尔软件将成为汉得信息的全 </w:t>
      </w:r>
      <w:r>
        <w:rPr>
          <w:spacing w:val="-3"/>
        </w:rPr>
        <w:t>资子公司，该项收购事宜目前正在双方内部审议过程中，后续事项公司将依据相</w:t>
      </w:r>
      <w:r>
        <w:rPr>
          <w:spacing w:val="-111"/>
        </w:rPr>
        <w:t> </w:t>
      </w:r>
      <w:r>
        <w:rPr>
          <w:spacing w:val="-111"/>
        </w:rPr>
      </w:r>
      <w:r>
        <w:rPr/>
        <w:t>关法律法规的规定进行后续的信息披露。</w:t>
      </w:r>
    </w:p>
    <w:p>
      <w:pPr>
        <w:pStyle w:val="BodyText"/>
        <w:spacing w:line="240" w:lineRule="auto" w:before="115"/>
        <w:ind w:left="500" w:right="182"/>
        <w:jc w:val="left"/>
      </w:pPr>
      <w:r>
        <w:rPr/>
        <w:t>（</w:t>
      </w:r>
      <w:r>
        <w:rPr>
          <w:rFonts w:ascii="Times New Roman" w:hAnsi="Times New Roman" w:cs="Times New Roman" w:eastAsia="Times New Roman" w:hint="default"/>
        </w:rPr>
        <w:t>6</w:t>
      </w:r>
      <w:r>
        <w:rPr/>
        <w:t>）募集资金投资项目建设</w:t>
      </w:r>
    </w:p>
    <w:p>
      <w:pPr>
        <w:pStyle w:val="BodyText"/>
        <w:spacing w:line="240" w:lineRule="auto" w:before="56"/>
        <w:ind w:left="620" w:right="182"/>
        <w:jc w:val="left"/>
      </w:pPr>
      <w:r>
        <w:rPr/>
        <w:t>截至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日，公司已累计使用募集资金投入募投项目</w:t>
      </w:r>
    </w:p>
    <w:p>
      <w:pPr>
        <w:pStyle w:val="BodyText"/>
        <w:spacing w:line="345" w:lineRule="auto" w:before="151"/>
        <w:ind w:right="180"/>
        <w:jc w:val="left"/>
      </w:pPr>
      <w:r>
        <w:rPr>
          <w:rFonts w:ascii="Times New Roman" w:hAnsi="Times New Roman" w:cs="Times New Roman" w:eastAsia="Times New Roman" w:hint="default"/>
        </w:rPr>
        <w:t>24,506,364.03</w:t>
      </w:r>
      <w:r>
        <w:rPr>
          <w:rFonts w:ascii="Times New Roman" w:hAnsi="Times New Roman" w:cs="Times New Roman" w:eastAsia="Times New Roman" w:hint="default"/>
          <w:spacing w:val="-1"/>
        </w:rPr>
        <w:t> </w:t>
      </w:r>
      <w:r>
        <w:rPr/>
        <w:t>元，“</w:t>
      </w:r>
      <w:r>
        <w:rPr>
          <w:rFonts w:ascii="宋体" w:hAnsi="宋体" w:cs="宋体" w:eastAsia="宋体" w:hint="default"/>
        </w:rPr>
        <w:t>ERP</w:t>
      </w:r>
      <w:r>
        <w:rPr>
          <w:rFonts w:ascii="宋体" w:hAnsi="宋体" w:cs="宋体" w:eastAsia="宋体" w:hint="default"/>
          <w:spacing w:val="-60"/>
        </w:rPr>
        <w:t> </w:t>
      </w:r>
      <w:r>
        <w:rPr/>
        <w:t>实施服务平台建设项目”使用募集资金</w:t>
      </w:r>
      <w:r>
        <w:rPr>
          <w:spacing w:val="-60"/>
        </w:rPr>
        <w:t> </w:t>
      </w:r>
      <w:r>
        <w:rPr>
          <w:rFonts w:ascii="Times New Roman" w:hAnsi="Times New Roman" w:cs="Times New Roman" w:eastAsia="Times New Roman" w:hint="default"/>
        </w:rPr>
        <w:t>15,125,432.85 </w:t>
      </w:r>
      <w:r>
        <w:rPr>
          <w:spacing w:val="-23"/>
        </w:rPr>
        <w:t>元，“海外</w:t>
      </w:r>
      <w:r>
        <w:rPr>
          <w:spacing w:val="-60"/>
        </w:rPr>
        <w:t> </w:t>
      </w:r>
      <w:r>
        <w:rPr>
          <w:rFonts w:ascii="宋体" w:hAnsi="宋体" w:cs="宋体" w:eastAsia="宋体" w:hint="default"/>
        </w:rPr>
        <w:t>ERP</w:t>
      </w:r>
      <w:r>
        <w:rPr>
          <w:rFonts w:ascii="宋体" w:hAnsi="宋体" w:cs="宋体" w:eastAsia="宋体" w:hint="default"/>
          <w:spacing w:val="-59"/>
        </w:rPr>
        <w:t> </w:t>
      </w:r>
      <w:r>
        <w:rPr>
          <w:spacing w:val="-3"/>
        </w:rPr>
        <w:t>软件外包开发中心建设项目”使用募集资金</w:t>
      </w:r>
      <w:r>
        <w:rPr>
          <w:spacing w:val="-58"/>
        </w:rPr>
        <w:t> </w:t>
      </w:r>
      <w:r>
        <w:rPr>
          <w:rFonts w:ascii="Times New Roman" w:hAnsi="Times New Roman" w:cs="Times New Roman" w:eastAsia="Times New Roman" w:hint="default"/>
        </w:rPr>
        <w:t>1,392,290.61</w:t>
      </w:r>
      <w:r>
        <w:rPr>
          <w:rFonts w:ascii="Times New Roman" w:hAnsi="Times New Roman" w:cs="Times New Roman" w:eastAsia="Times New Roman" w:hint="default"/>
          <w:spacing w:val="1"/>
        </w:rPr>
        <w:t> </w:t>
      </w:r>
      <w:r>
        <w:rPr>
          <w:spacing w:val="-28"/>
        </w:rPr>
        <w:t>元，“应</w:t>
      </w:r>
      <w:r>
        <w:rPr/>
        <w:t> 用产品解决方案项目”使用募集资金</w:t>
      </w:r>
      <w:r>
        <w:rPr>
          <w:spacing w:val="-60"/>
        </w:rPr>
        <w:t> </w:t>
      </w:r>
      <w:r>
        <w:rPr>
          <w:rFonts w:ascii="Times New Roman" w:hAnsi="Times New Roman" w:cs="Times New Roman" w:eastAsia="Times New Roman" w:hint="default"/>
        </w:rPr>
        <w:t>6,473,257.35 </w:t>
      </w:r>
      <w:r>
        <w:rPr/>
        <w:t>元，“</w:t>
      </w:r>
      <w:r>
        <w:rPr>
          <w:rFonts w:ascii="宋体" w:hAnsi="宋体" w:cs="宋体" w:eastAsia="宋体" w:hint="default"/>
        </w:rPr>
        <w:t>ERP</w:t>
      </w:r>
      <w:r>
        <w:rPr>
          <w:rFonts w:ascii="宋体" w:hAnsi="宋体" w:cs="宋体" w:eastAsia="宋体" w:hint="default"/>
          <w:spacing w:val="-60"/>
        </w:rPr>
        <w:t> </w:t>
      </w:r>
      <w:r>
        <w:rPr/>
        <w:t>运维服务中心建设 项目”使用募集资金</w:t>
      </w:r>
      <w:r>
        <w:rPr>
          <w:spacing w:val="-77"/>
        </w:rPr>
        <w:t> </w:t>
      </w:r>
      <w:r>
        <w:rPr>
          <w:rFonts w:ascii="Times New Roman" w:hAnsi="Times New Roman" w:cs="Times New Roman" w:eastAsia="Times New Roman" w:hint="default"/>
        </w:rPr>
        <w:t>1,515,383.21</w:t>
      </w:r>
      <w:r>
        <w:rPr>
          <w:rFonts w:ascii="Times New Roman" w:hAnsi="Times New Roman" w:cs="Times New Roman" w:eastAsia="Times New Roman" w:hint="default"/>
          <w:spacing w:val="-17"/>
        </w:rPr>
        <w:t> </w:t>
      </w:r>
      <w:r>
        <w:rPr/>
        <w:t>元。公司已经为募投项目的顺利实施，进行了 </w:t>
      </w:r>
      <w:r>
        <w:rPr>
          <w:spacing w:val="-3"/>
        </w:rPr>
        <w:t>人力、资金和技术等多方面的准备，通过募集资金项目的建设，公司一方面将进</w:t>
      </w:r>
      <w:r>
        <w:rPr>
          <w:spacing w:val="-112"/>
        </w:rPr>
        <w:t> </w:t>
      </w:r>
      <w:r>
        <w:rPr>
          <w:spacing w:val="-112"/>
        </w:rPr>
      </w:r>
      <w:r>
        <w:rPr/>
        <w:t>一步提高研发和创新能力，巩固在</w:t>
      </w:r>
      <w:r>
        <w:rPr>
          <w:spacing w:val="-65"/>
        </w:rPr>
        <w:t> </w:t>
      </w:r>
      <w:r>
        <w:rPr>
          <w:rFonts w:ascii="Times New Roman" w:hAnsi="Times New Roman" w:cs="Times New Roman" w:eastAsia="Times New Roman" w:hint="default"/>
        </w:rPr>
        <w:t>ERP</w:t>
      </w:r>
      <w:r>
        <w:rPr>
          <w:rFonts w:ascii="Times New Roman" w:hAnsi="Times New Roman" w:cs="Times New Roman" w:eastAsia="Times New Roman" w:hint="default"/>
          <w:spacing w:val="-4"/>
        </w:rPr>
        <w:t> </w:t>
      </w:r>
      <w:r>
        <w:rPr/>
        <w:t>实施服务领域的领先优势，提升</w:t>
      </w:r>
      <w:r>
        <w:rPr>
          <w:spacing w:val="-64"/>
        </w:rPr>
        <w:t> </w:t>
      </w:r>
      <w:r>
        <w:rPr>
          <w:rFonts w:ascii="Times New Roman" w:hAnsi="Times New Roman" w:cs="Times New Roman" w:eastAsia="Times New Roman" w:hint="default"/>
        </w:rPr>
        <w:t>ERP</w:t>
      </w:r>
      <w:r>
        <w:rPr>
          <w:rFonts w:ascii="Times New Roman" w:hAnsi="Times New Roman" w:cs="Times New Roman" w:eastAsia="Times New Roman" w:hint="default"/>
          <w:spacing w:val="-4"/>
        </w:rPr>
        <w:t> </w:t>
      </w:r>
      <w:r>
        <w:rPr/>
        <w:t>实 </w:t>
      </w:r>
      <w:r>
        <w:rPr>
          <w:spacing w:val="-3"/>
        </w:rPr>
        <w:t>施服务能力，另一方面将进一步提高公司在解决方案和外包开发等领域内的服务</w:t>
      </w:r>
      <w:r>
        <w:rPr>
          <w:spacing w:val="-109"/>
        </w:rPr>
        <w:t> </w:t>
      </w:r>
      <w:r>
        <w:rPr>
          <w:spacing w:val="-109"/>
        </w:rPr>
      </w:r>
      <w:r>
        <w:rPr>
          <w:spacing w:val="-3"/>
        </w:rPr>
        <w:t>能力，拓展实施服务的业务范围，推动公司业绩的快速增长，从而实现公司增强</w:t>
      </w:r>
      <w:r>
        <w:rPr>
          <w:spacing w:val="-111"/>
        </w:rPr>
        <w:t> </w:t>
      </w:r>
      <w:r>
        <w:rPr>
          <w:spacing w:val="-111"/>
        </w:rPr>
      </w:r>
      <w:r>
        <w:rPr/>
        <w:t>核心竞争实力，提升品牌形象，提高市场占有率的经营目标。</w:t>
      </w:r>
    </w:p>
    <w:p>
      <w:pPr>
        <w:pStyle w:val="BodyText"/>
        <w:spacing w:line="240" w:lineRule="auto" w:before="48"/>
        <w:ind w:left="620" w:right="182"/>
        <w:jc w:val="left"/>
      </w:pP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7</w:t>
      </w:r>
      <w:r>
        <w:rPr>
          <w:rFonts w:ascii="宋体" w:hAnsi="宋体" w:cs="宋体" w:eastAsia="宋体" w:hint="default"/>
          <w:spacing w:val="-60"/>
        </w:rPr>
        <w:t> </w:t>
      </w:r>
      <w:r>
        <w:rPr/>
        <w:t>日，公司第一届董事会第二十四次（临时）会议决议通过了</w:t>
      </w:r>
    </w:p>
    <w:p>
      <w:pPr>
        <w:pStyle w:val="BodyText"/>
        <w:spacing w:line="357" w:lineRule="auto" w:before="152"/>
        <w:ind w:right="86"/>
        <w:jc w:val="left"/>
      </w:pPr>
      <w:r>
        <w:rPr>
          <w:spacing w:val="-3"/>
        </w:rPr>
        <w:t>《关于变更部分募投项目实施方式并使用部分超募资金的议案》，拟将部分募投</w:t>
      </w:r>
      <w:r>
        <w:rPr>
          <w:spacing w:val="-109"/>
        </w:rPr>
        <w:t> </w:t>
      </w:r>
      <w:r>
        <w:rPr>
          <w:spacing w:val="-109"/>
        </w:rPr>
      </w:r>
      <w:r>
        <w:rPr/>
        <w:t>项目中办公场地的置办方式由购置现成场所变更为获取国有土地使用权后自主 建设；</w:t>
      </w:r>
      <w:r>
        <w:rPr>
          <w:rFonts w:ascii="宋体" w:hAnsi="宋体" w:cs="宋体" w:eastAsia="宋体" w:hint="default"/>
        </w:rPr>
        <w:t>2012</w:t>
      </w:r>
      <w:r>
        <w:rPr>
          <w:rFonts w:ascii="宋体" w:hAnsi="宋体" w:cs="宋体" w:eastAsia="宋体" w:hint="default"/>
          <w:spacing w:val="-61"/>
        </w:rPr>
        <w:t> </w:t>
      </w:r>
      <w:r>
        <w:rPr/>
        <w:t>年</w:t>
      </w:r>
      <w:r>
        <w:rPr>
          <w:spacing w:val="-61"/>
        </w:rPr>
        <w:t> </w:t>
      </w:r>
      <w:r>
        <w:rPr>
          <w:rFonts w:ascii="宋体" w:hAnsi="宋体" w:cs="宋体" w:eastAsia="宋体" w:hint="default"/>
        </w:rPr>
        <w:t>2</w:t>
      </w:r>
      <w:r>
        <w:rPr>
          <w:rFonts w:ascii="宋体" w:hAnsi="宋体" w:cs="宋体" w:eastAsia="宋体" w:hint="default"/>
          <w:spacing w:val="-61"/>
        </w:rPr>
        <w:t> </w:t>
      </w:r>
      <w:r>
        <w:rPr/>
        <w:t>月</w:t>
      </w:r>
      <w:r>
        <w:rPr>
          <w:spacing w:val="-61"/>
        </w:rPr>
        <w:t> </w:t>
      </w:r>
      <w:r>
        <w:rPr>
          <w:rFonts w:ascii="宋体" w:hAnsi="宋体" w:cs="宋体" w:eastAsia="宋体" w:hint="default"/>
        </w:rPr>
        <w:t>25</w:t>
      </w:r>
      <w:r>
        <w:rPr>
          <w:rFonts w:ascii="宋体" w:hAnsi="宋体" w:cs="宋体" w:eastAsia="宋体" w:hint="default"/>
          <w:spacing w:val="-61"/>
        </w:rPr>
        <w:t> </w:t>
      </w:r>
      <w:r>
        <w:rPr/>
        <w:t>日，公司召开</w:t>
      </w:r>
      <w:r>
        <w:rPr>
          <w:spacing w:val="-61"/>
        </w:rPr>
        <w:t> </w:t>
      </w:r>
      <w:r>
        <w:rPr>
          <w:rFonts w:ascii="宋体" w:hAnsi="宋体" w:cs="宋体" w:eastAsia="宋体" w:hint="default"/>
        </w:rPr>
        <w:t>2012</w:t>
      </w:r>
      <w:r>
        <w:rPr>
          <w:rFonts w:ascii="宋体" w:hAnsi="宋体" w:cs="宋体" w:eastAsia="宋体" w:hint="default"/>
          <w:spacing w:val="-61"/>
        </w:rPr>
        <w:t> </w:t>
      </w:r>
      <w:r>
        <w:rPr/>
        <w:t>年第一次临时股东大会审议通过该项 议案，公司募投项目“</w:t>
      </w:r>
      <w:r>
        <w:rPr>
          <w:rFonts w:ascii="宋体" w:hAnsi="宋体" w:cs="宋体" w:eastAsia="宋体" w:hint="default"/>
        </w:rPr>
        <w:t>ERP</w:t>
      </w:r>
      <w:r>
        <w:rPr>
          <w:rFonts w:ascii="宋体" w:hAnsi="宋体" w:cs="宋体" w:eastAsia="宋体" w:hint="default"/>
          <w:spacing w:val="-68"/>
        </w:rPr>
        <w:t> </w:t>
      </w:r>
      <w:r>
        <w:rPr/>
        <w:t>实施服务平台建设项目”、“海外</w:t>
      </w:r>
      <w:r>
        <w:rPr>
          <w:spacing w:val="-68"/>
        </w:rPr>
        <w:t> </w:t>
      </w:r>
      <w:r>
        <w:rPr>
          <w:rFonts w:ascii="宋体" w:hAnsi="宋体" w:cs="宋体" w:eastAsia="宋体" w:hint="default"/>
        </w:rPr>
        <w:t>ERP</w:t>
      </w:r>
      <w:r>
        <w:rPr>
          <w:rFonts w:ascii="宋体" w:hAnsi="宋体" w:cs="宋体" w:eastAsia="宋体" w:hint="default"/>
          <w:spacing w:val="-68"/>
        </w:rPr>
        <w:t> </w:t>
      </w:r>
      <w:r>
        <w:rPr/>
        <w:t>软件外包开发 </w:t>
      </w:r>
      <w:r>
        <w:rPr>
          <w:spacing w:val="-3"/>
        </w:rPr>
        <w:t>中心建设项目”、“</w:t>
      </w:r>
      <w:r>
        <w:rPr>
          <w:rFonts w:ascii="宋体" w:hAnsi="宋体" w:cs="宋体" w:eastAsia="宋体" w:hint="default"/>
          <w:spacing w:val="-3"/>
        </w:rPr>
        <w:t>ERP</w:t>
      </w:r>
      <w:r>
        <w:rPr>
          <w:rFonts w:ascii="宋体" w:hAnsi="宋体" w:cs="宋体" w:eastAsia="宋体" w:hint="default"/>
          <w:spacing w:val="-61"/>
        </w:rPr>
        <w:t> </w:t>
      </w:r>
      <w:r>
        <w:rPr/>
        <w:t>运维中心建设项目”原计划通过购置办公场地并装修的 </w:t>
      </w:r>
      <w:r>
        <w:rPr>
          <w:spacing w:val="-3"/>
        </w:rPr>
        <w:t>方式满足项目建设需要的办公场地投入，决定将上述募投项目办公场地的实施方</w:t>
      </w:r>
      <w:r>
        <w:rPr>
          <w:spacing w:val="-109"/>
        </w:rPr>
        <w:t> </w:t>
      </w:r>
      <w:r>
        <w:rPr>
          <w:spacing w:val="-109"/>
        </w:rPr>
      </w:r>
      <w:r>
        <w:rPr/>
        <w:t>式变更为自主建设，募投项目及办公楼建设资金来源为募投项目“</w:t>
      </w:r>
      <w:r>
        <w:rPr>
          <w:rFonts w:ascii="宋体" w:hAnsi="宋体" w:cs="宋体" w:eastAsia="宋体" w:hint="default"/>
        </w:rPr>
        <w:t>ERP</w:t>
      </w:r>
      <w:r>
        <w:rPr>
          <w:rFonts w:ascii="宋体" w:hAnsi="宋体" w:cs="宋体" w:eastAsia="宋体" w:hint="default"/>
          <w:spacing w:val="-73"/>
        </w:rPr>
        <w:t> </w:t>
      </w:r>
      <w:r>
        <w:rPr/>
        <w:t>实施服务 平台建设项目”、“海外</w:t>
      </w:r>
      <w:r>
        <w:rPr>
          <w:spacing w:val="-68"/>
        </w:rPr>
        <w:t> </w:t>
      </w:r>
      <w:r>
        <w:rPr>
          <w:rFonts w:ascii="宋体" w:hAnsi="宋体" w:cs="宋体" w:eastAsia="宋体" w:hint="default"/>
        </w:rPr>
        <w:t>ERP</w:t>
      </w:r>
      <w:r>
        <w:rPr>
          <w:rFonts w:ascii="宋体" w:hAnsi="宋体" w:cs="宋体" w:eastAsia="宋体" w:hint="default"/>
          <w:spacing w:val="-68"/>
        </w:rPr>
        <w:t> </w:t>
      </w:r>
      <w:r>
        <w:rPr/>
        <w:t>软件外包开发中心建设项目”、“</w:t>
      </w:r>
      <w:r>
        <w:rPr>
          <w:rFonts w:ascii="宋体" w:hAnsi="宋体" w:cs="宋体" w:eastAsia="宋体" w:hint="default"/>
        </w:rPr>
        <w:t>ERP</w:t>
      </w:r>
      <w:r>
        <w:rPr>
          <w:rFonts w:ascii="宋体" w:hAnsi="宋体" w:cs="宋体" w:eastAsia="宋体" w:hint="default"/>
          <w:spacing w:val="-70"/>
        </w:rPr>
        <w:t> </w:t>
      </w:r>
      <w:r>
        <w:rPr/>
        <w:t>运维中心建 设项目”规划中用于办公场地购置及装修的募集资金，不足部分使用超募资金。 </w:t>
      </w:r>
      <w:r>
        <w:rPr>
          <w:spacing w:val="-3"/>
        </w:rPr>
        <w:t>本次变更部分募投项目实施方式及超募资金的使用，仅用于募投项目建设、公司</w:t>
      </w:r>
      <w:r>
        <w:rPr>
          <w:spacing w:val="-111"/>
        </w:rPr>
        <w:t> </w:t>
      </w:r>
      <w:r>
        <w:rPr>
          <w:spacing w:val="-111"/>
        </w:rPr>
      </w:r>
      <w:r>
        <w:rPr/>
        <w:t>自身扩建或新建项目使用，不出租、不转让也不进行商业开发。</w:t>
      </w:r>
    </w:p>
    <w:p>
      <w:pPr>
        <w:pStyle w:val="BodyText"/>
        <w:spacing w:line="357" w:lineRule="auto" w:before="34"/>
        <w:ind w:right="182" w:firstLine="479"/>
        <w:jc w:val="left"/>
      </w:pPr>
      <w:r>
        <w:rPr>
          <w:spacing w:val="-4"/>
        </w:rPr>
        <w:t>公司原计划采用外购办公楼的方式实施募投，则募投资金到账后</w:t>
      </w:r>
      <w:r>
        <w:rPr>
          <w:spacing w:val="-51"/>
        </w:rPr>
        <w:t> </w:t>
      </w:r>
      <w:r>
        <w:rPr>
          <w:rFonts w:ascii="宋体" w:hAnsi="宋体" w:cs="宋体" w:eastAsia="宋体" w:hint="default"/>
        </w:rPr>
        <w:t>1</w:t>
      </w:r>
      <w:r>
        <w:rPr>
          <w:rFonts w:ascii="宋体" w:hAnsi="宋体" w:cs="宋体" w:eastAsia="宋体" w:hint="default"/>
          <w:spacing w:val="-52"/>
        </w:rPr>
        <w:t> </w:t>
      </w:r>
      <w:r>
        <w:rPr/>
        <w:t>年内办公 </w:t>
      </w:r>
      <w:r>
        <w:rPr>
          <w:spacing w:val="-3"/>
        </w:rPr>
        <w:t>楼即可投入使用，与原计划相比自主建设办公楼的将周期延迟两年。在自主建设</w:t>
      </w:r>
    </w:p>
    <w:p>
      <w:pPr>
        <w:spacing w:after="0" w:line="357" w:lineRule="auto"/>
        <w:jc w:val="left"/>
        <w:sectPr>
          <w:pgSz w:w="11910" w:h="16840"/>
          <w:pgMar w:header="884" w:footer="980" w:top="1140" w:bottom="1160" w:left="1660" w:right="1600"/>
        </w:sectPr>
      </w:pPr>
    </w:p>
    <w:p>
      <w:pPr>
        <w:spacing w:line="240" w:lineRule="auto" w:before="5"/>
        <w:rPr>
          <w:rFonts w:ascii="宋体" w:hAnsi="宋体" w:cs="宋体" w:eastAsia="宋体" w:hint="default"/>
          <w:sz w:val="16"/>
          <w:szCs w:val="16"/>
        </w:rPr>
      </w:pPr>
    </w:p>
    <w:p>
      <w:pPr>
        <w:pStyle w:val="BodyText"/>
        <w:spacing w:line="357" w:lineRule="auto" w:before="26"/>
        <w:ind w:right="236"/>
        <w:jc w:val="both"/>
      </w:pPr>
      <w:r>
        <w:rPr>
          <w:spacing w:val="-3"/>
        </w:rPr>
        <w:t>的办公楼建成前，为了保证募投项目按照原投资进度实施，公司将提高现有场地</w:t>
      </w:r>
      <w:r>
        <w:rPr>
          <w:spacing w:val="-112"/>
        </w:rPr>
        <w:t> </w:t>
      </w:r>
      <w:r>
        <w:rPr>
          <w:spacing w:val="-112"/>
        </w:rPr>
      </w:r>
      <w:r>
        <w:rPr>
          <w:spacing w:val="-3"/>
        </w:rPr>
        <w:t>使用效率及在必要的情况下额外租赁办公场地。因此，部分募投项目实施方式的</w:t>
      </w:r>
      <w:r>
        <w:rPr>
          <w:spacing w:val="-109"/>
        </w:rPr>
        <w:t> </w:t>
      </w:r>
      <w:r>
        <w:rPr>
          <w:spacing w:val="-109"/>
        </w:rPr>
      </w:r>
      <w:r>
        <w:rPr/>
        <w:t>变更虽导致募投建设周期延长，但不会对募投项目实施进度造成重大影响。</w:t>
      </w:r>
    </w:p>
    <w:p>
      <w:pPr>
        <w:pStyle w:val="BodyText"/>
        <w:spacing w:line="240" w:lineRule="auto" w:before="115"/>
        <w:ind w:left="500" w:right="3443"/>
        <w:jc w:val="left"/>
      </w:pPr>
      <w:r>
        <w:rPr/>
        <w:t>（</w:t>
      </w:r>
      <w:r>
        <w:rPr>
          <w:rFonts w:ascii="Times New Roman" w:hAnsi="Times New Roman" w:cs="Times New Roman" w:eastAsia="Times New Roman" w:hint="default"/>
        </w:rPr>
        <w:t>7</w:t>
      </w:r>
      <w:r>
        <w:rPr/>
        <w:t>）公司治理结构建设</w:t>
      </w:r>
    </w:p>
    <w:p>
      <w:pPr>
        <w:pStyle w:val="BodyText"/>
        <w:spacing w:line="348" w:lineRule="auto" w:before="56"/>
        <w:ind w:right="126" w:firstLine="479"/>
        <w:jc w:val="left"/>
      </w:pPr>
      <w:r>
        <w:rPr>
          <w:rFonts w:ascii="Times New Roman" w:hAnsi="Times New Roman" w:cs="Times New Roman" w:eastAsia="Times New Roman" w:hint="default"/>
        </w:rPr>
        <w:t>2012 </w:t>
      </w:r>
      <w:r>
        <w:rPr/>
        <w:t>年，公司将继续完善内部机制，夯实内部基础，完善内部治理结构， 形成更加科学有效的决策机制和激励、约束机制，促进和保障公司持续、稳定、 健康发展，确保公司战略目标的实现。</w:t>
      </w:r>
    </w:p>
    <w:p>
      <w:pPr>
        <w:pStyle w:val="BodyText"/>
        <w:spacing w:line="240" w:lineRule="auto" w:before="122"/>
        <w:ind w:left="500" w:right="3443"/>
        <w:jc w:val="left"/>
      </w:pPr>
      <w:r>
        <w:rPr/>
        <w:t>（</w:t>
      </w:r>
      <w:r>
        <w:rPr>
          <w:rFonts w:ascii="Times New Roman" w:hAnsi="Times New Roman" w:cs="Times New Roman" w:eastAsia="Times New Roman" w:hint="default"/>
        </w:rPr>
        <w:t>8</w:t>
      </w:r>
      <w:r>
        <w:rPr/>
        <w:t>）加强投资者关系建设</w:t>
      </w:r>
    </w:p>
    <w:p>
      <w:pPr>
        <w:pStyle w:val="BodyText"/>
        <w:spacing w:line="352" w:lineRule="auto" w:before="56"/>
        <w:ind w:right="231" w:firstLine="479"/>
        <w:jc w:val="left"/>
      </w:pPr>
      <w:r>
        <w:rPr>
          <w:rFonts w:ascii="Times New Roman" w:hAnsi="Times New Roman" w:cs="Times New Roman" w:eastAsia="Times New Roman" w:hint="default"/>
        </w:rPr>
        <w:t>2012 </w:t>
      </w:r>
      <w:r>
        <w:rPr/>
        <w:t>年公司将参照《深圳证券交易所上市公司投资者关系管理指引》，继 </w:t>
      </w:r>
      <w:r>
        <w:rPr>
          <w:spacing w:val="-3"/>
        </w:rPr>
        <w:t>续加大力度健全投资者关系管理制度，规范投资者关系管理工作。公司董事会秘</w:t>
      </w:r>
      <w:r>
        <w:rPr>
          <w:spacing w:val="-112"/>
        </w:rPr>
        <w:t> </w:t>
      </w:r>
      <w:r>
        <w:rPr>
          <w:spacing w:val="-112"/>
        </w:rPr>
      </w:r>
      <w:r>
        <w:rPr>
          <w:spacing w:val="-3"/>
        </w:rPr>
        <w:t>书作为投资者关系管理负责人，全面负责资者关系管理工作，深入了解公司运作</w:t>
      </w:r>
      <w:r>
        <w:rPr>
          <w:spacing w:val="-111"/>
        </w:rPr>
        <w:t> </w:t>
      </w:r>
      <w:r>
        <w:rPr>
          <w:spacing w:val="-111"/>
        </w:rPr>
      </w:r>
      <w:r>
        <w:rPr>
          <w:spacing w:val="-3"/>
        </w:rPr>
        <w:t>和管理、经营状况、发展战略等情况，负责策划、安排和组织各类投资者关系管</w:t>
      </w:r>
      <w:r>
        <w:rPr>
          <w:spacing w:val="-111"/>
        </w:rPr>
        <w:t> </w:t>
      </w:r>
      <w:r>
        <w:rPr>
          <w:spacing w:val="-111"/>
        </w:rPr>
      </w:r>
      <w:r>
        <w:rPr/>
        <w:t>理活动</w:t>
      </w:r>
      <w:r>
        <w:rPr>
          <w:spacing w:val="-1"/>
        </w:rPr>
        <w:t> </w:t>
      </w:r>
      <w:r>
        <w:rPr/>
        <w:t>，加强与投资者及潜在投资者之间的沟通，增进投资者对公司的了解，</w:t>
      </w:r>
      <w:r>
        <w:rPr/>
        <w:t> 促进公司和投资者之间建立长期、稳定的良好互动关系。</w:t>
      </w:r>
    </w:p>
    <w:p>
      <w:pPr>
        <w:pStyle w:val="Heading5"/>
        <w:spacing w:line="240" w:lineRule="auto" w:before="118"/>
        <w:ind w:right="0"/>
        <w:jc w:val="both"/>
        <w:rPr>
          <w:b w:val="0"/>
          <w:bCs w:val="0"/>
        </w:rPr>
      </w:pPr>
      <w:r>
        <w:rPr/>
        <w:t>（三）对公司未来发展战略和经营目标的实现产生不利影响的风险因素分析</w:t>
      </w:r>
      <w:r>
        <w:rPr>
          <w:b w:val="0"/>
          <w:bCs w:val="0"/>
        </w:rPr>
      </w:r>
    </w:p>
    <w:p>
      <w:pPr>
        <w:spacing w:line="280" w:lineRule="auto" w:before="154"/>
        <w:ind w:left="620" w:right="225" w:hanging="8"/>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、人力成本上升的风险</w:t>
      </w:r>
      <w:r>
        <w:rPr>
          <w:rFonts w:ascii="宋体" w:hAnsi="宋体" w:cs="宋体" w:eastAsia="宋体" w:hint="default"/>
          <w:b/>
          <w:bCs/>
          <w:w w:val="99"/>
          <w:sz w:val="24"/>
          <w:szCs w:val="24"/>
        </w:rPr>
        <w:t> </w:t>
      </w:r>
      <w:r>
        <w:rPr>
          <w:rFonts w:ascii="宋体" w:hAnsi="宋体" w:cs="宋体" w:eastAsia="宋体" w:hint="default"/>
          <w:spacing w:val="-3"/>
          <w:sz w:val="24"/>
          <w:szCs w:val="24"/>
        </w:rPr>
        <w:t>公司最主要的经营成本是人力成本，因此如果平均人力成本的上升速度快于</w:t>
      </w:r>
    </w:p>
    <w:p>
      <w:pPr>
        <w:pStyle w:val="BodyText"/>
        <w:spacing w:line="348" w:lineRule="auto" w:before="113"/>
        <w:ind w:right="235"/>
        <w:jc w:val="both"/>
      </w:pPr>
      <w:r>
        <w:rPr>
          <w:rFonts w:ascii="Times New Roman" w:hAnsi="Times New Roman" w:cs="Times New Roman" w:eastAsia="Times New Roman" w:hint="default"/>
        </w:rPr>
        <w:t>ERP</w:t>
      </w:r>
      <w:r>
        <w:rPr>
          <w:rFonts w:ascii="Times New Roman" w:hAnsi="Times New Roman" w:cs="Times New Roman" w:eastAsia="Times New Roman" w:hint="default"/>
          <w:spacing w:val="11"/>
        </w:rPr>
        <w:t> </w:t>
      </w:r>
      <w:r>
        <w:rPr>
          <w:spacing w:val="-4"/>
        </w:rPr>
        <w:t>实施顾问人均产值的增长速度，则公司的毛利率水平将会有下降的风险。为</w:t>
      </w:r>
      <w:r>
        <w:rPr>
          <w:spacing w:val="-118"/>
        </w:rPr>
        <w:t> </w:t>
      </w:r>
      <w:r>
        <w:rPr>
          <w:spacing w:val="-118"/>
        </w:rPr>
      </w:r>
      <w:r>
        <w:rPr>
          <w:spacing w:val="-4"/>
          <w:w w:val="99"/>
        </w:rPr>
        <w:t>应对该项风险，公司一方面将通过进一步提高服务质量和客户满意度来推动</w:t>
      </w:r>
      <w:r>
        <w:rPr>
          <w:spacing w:val="-44"/>
          <w:w w:val="99"/>
        </w:rPr>
        <w:t> </w:t>
      </w:r>
      <w:r>
        <w:rPr>
          <w:rFonts w:ascii="Times New Roman" w:hAnsi="Times New Roman" w:cs="Times New Roman" w:eastAsia="Times New Roman" w:hint="default"/>
          <w:w w:val="99"/>
        </w:rPr>
        <w:t>ERP</w:t>
      </w:r>
      <w:r>
        <w:rPr>
          <w:rFonts w:ascii="Times New Roman" w:hAnsi="Times New Roman" w:cs="Times New Roman" w:eastAsia="Times New Roman" w:hint="default"/>
          <w:spacing w:val="-58"/>
          <w:w w:val="99"/>
        </w:rPr>
        <w:t> </w:t>
      </w:r>
      <w:r>
        <w:rPr>
          <w:spacing w:val="-3"/>
        </w:rPr>
        <w:t>实施顾问人均产值的持续增长，另一方面，公司凭借总结行业整体解决方案、立</w:t>
      </w:r>
      <w:r>
        <w:rPr>
          <w:spacing w:val="-112"/>
        </w:rPr>
        <w:t> </w:t>
      </w:r>
      <w:r>
        <w:rPr>
          <w:spacing w:val="-112"/>
        </w:rPr>
      </w:r>
      <w:r>
        <w:rPr/>
        <w:t>足于自主培养人才、研发远程化开发支持技术等手段来加速</w:t>
      </w:r>
      <w:r>
        <w:rPr>
          <w:spacing w:val="-62"/>
        </w:rPr>
        <w:t> </w:t>
      </w:r>
      <w:r>
        <w:rPr>
          <w:rFonts w:ascii="Times New Roman" w:hAnsi="Times New Roman" w:cs="Times New Roman" w:eastAsia="Times New Roman" w:hint="default"/>
        </w:rPr>
        <w:t>ERP</w:t>
      </w:r>
      <w:r>
        <w:rPr>
          <w:rFonts w:ascii="Times New Roman" w:hAnsi="Times New Roman" w:cs="Times New Roman" w:eastAsia="Times New Roman" w:hint="default"/>
          <w:spacing w:val="-1"/>
        </w:rPr>
        <w:t> </w:t>
      </w:r>
      <w:r>
        <w:rPr/>
        <w:t>实施顾问的成</w:t>
      </w:r>
      <w:r>
        <w:rPr>
          <w:w w:val="99"/>
        </w:rPr>
        <w:t> </w:t>
      </w:r>
      <w:r>
        <w:rPr>
          <w:spacing w:val="-3"/>
        </w:rPr>
        <w:t>长，维系核心人员的稳定，提高人员利用率，从而缓解人力成本上升的压力。虽</w:t>
      </w:r>
      <w:r>
        <w:rPr>
          <w:spacing w:val="-112"/>
        </w:rPr>
        <w:t> </w:t>
      </w:r>
      <w:r>
        <w:rPr>
          <w:spacing w:val="-112"/>
        </w:rPr>
      </w:r>
      <w:r>
        <w:rPr>
          <w:spacing w:val="-3"/>
        </w:rPr>
        <w:t>然如此，但未来随着经济的发展、城市生活成本的上升、竞争对手对专业人才的</w:t>
      </w:r>
      <w:r>
        <w:rPr>
          <w:spacing w:val="-112"/>
        </w:rPr>
        <w:t> </w:t>
      </w:r>
      <w:r>
        <w:rPr>
          <w:spacing w:val="-112"/>
        </w:rPr>
      </w:r>
      <w:r>
        <w:rPr>
          <w:spacing w:val="-3"/>
        </w:rPr>
        <w:t>争夺以及政府部门对社会保障体系相关政策的调整，公司的人力成本可能存在大</w:t>
      </w:r>
      <w:r>
        <w:rPr>
          <w:spacing w:val="-110"/>
        </w:rPr>
        <w:t> </w:t>
      </w:r>
      <w:r>
        <w:rPr>
          <w:spacing w:val="-110"/>
        </w:rPr>
      </w:r>
      <w:r>
        <w:rPr/>
        <w:t>幅增加的风险。</w:t>
      </w:r>
    </w:p>
    <w:p>
      <w:pPr>
        <w:pStyle w:val="Heading5"/>
        <w:spacing w:line="240" w:lineRule="auto" w:before="123"/>
        <w:ind w:left="613" w:right="3443"/>
        <w:jc w:val="left"/>
        <w:rPr>
          <w:b w:val="0"/>
          <w:bCs w:val="0"/>
        </w:rPr>
      </w:pPr>
      <w:r>
        <w:rPr>
          <w:rFonts w:ascii="Times New Roman" w:hAnsi="Times New Roman" w:cs="Times New Roman" w:eastAsia="Times New Roman" w:hint="default"/>
        </w:rPr>
        <w:t>2</w:t>
      </w:r>
      <w:r>
        <w:rPr/>
        <w:t>、人员流失的风险</w:t>
      </w:r>
      <w:r>
        <w:rPr>
          <w:b w:val="0"/>
          <w:bCs w:val="0"/>
        </w:rPr>
      </w:r>
    </w:p>
    <w:p>
      <w:pPr>
        <w:pStyle w:val="BodyText"/>
        <w:spacing w:line="343" w:lineRule="auto" w:before="56"/>
        <w:ind w:right="102" w:firstLine="479"/>
        <w:jc w:val="left"/>
      </w:pPr>
      <w:r>
        <w:rPr>
          <w:rFonts w:ascii="Times New Roman" w:hAnsi="Times New Roman" w:cs="Times New Roman" w:eastAsia="Times New Roman" w:hint="default"/>
        </w:rPr>
        <w:t>ERP </w:t>
      </w:r>
      <w:r>
        <w:rPr>
          <w:spacing w:val="-8"/>
        </w:rPr>
        <w:t>实施行业属于智力、人才密集型行业。</w:t>
      </w:r>
      <w:r>
        <w:rPr>
          <w:rFonts w:ascii="Times New Roman" w:hAnsi="Times New Roman" w:cs="Times New Roman" w:eastAsia="Times New Roman" w:hint="default"/>
          <w:spacing w:val="-8"/>
        </w:rPr>
        <w:t>ERP </w:t>
      </w:r>
      <w:r>
        <w:rPr/>
        <w:t>实施顾问不仅需要精通</w:t>
      </w:r>
      <w:r>
        <w:rPr>
          <w:spacing w:val="-51"/>
        </w:rPr>
        <w:t> </w:t>
      </w:r>
      <w:r>
        <w:rPr>
          <w:rFonts w:ascii="Times New Roman" w:hAnsi="Times New Roman" w:cs="Times New Roman" w:eastAsia="Times New Roman" w:hint="default"/>
        </w:rPr>
        <w:t>ERP </w:t>
      </w:r>
      <w:r>
        <w:rPr>
          <w:spacing w:val="-6"/>
        </w:rPr>
        <w:t>软件的设置、调试和应用，还要具备系统、全面的企业管理理论知识和实践经验。</w:t>
      </w:r>
      <w:r>
        <w:rPr>
          <w:spacing w:val="-118"/>
        </w:rPr>
        <w:t> </w:t>
      </w:r>
      <w:r>
        <w:rPr>
          <w:spacing w:val="-118"/>
        </w:rPr>
      </w:r>
      <w:r>
        <w:rPr/>
        <w:t>优秀的</w:t>
      </w:r>
      <w:r>
        <w:rPr>
          <w:spacing w:val="-62"/>
        </w:rPr>
        <w:t> </w:t>
      </w:r>
      <w:r>
        <w:rPr>
          <w:rFonts w:ascii="Times New Roman" w:hAnsi="Times New Roman" w:cs="Times New Roman" w:eastAsia="Times New Roman" w:hint="default"/>
        </w:rPr>
        <w:t>ERP </w:t>
      </w:r>
      <w:r>
        <w:rPr/>
        <w:t>实施顾问更是集良好的沟通能力、缜密的分析能力、出色的表达能 </w:t>
      </w:r>
      <w:r>
        <w:rPr>
          <w:spacing w:val="-3"/>
        </w:rPr>
        <w:t>力、优秀的写作能力、周密的计划能力和快速的学习能力等特质于一身。掌握这</w:t>
      </w:r>
    </w:p>
    <w:p>
      <w:pPr>
        <w:spacing w:after="0" w:line="343" w:lineRule="auto"/>
        <w:jc w:val="left"/>
        <w:sectPr>
          <w:pgSz w:w="11910" w:h="16840"/>
          <w:pgMar w:header="884" w:footer="980" w:top="1140" w:bottom="1160" w:left="1660" w:right="1560"/>
        </w:sectPr>
      </w:pPr>
    </w:p>
    <w:p>
      <w:pPr>
        <w:spacing w:line="240" w:lineRule="auto" w:before="5"/>
        <w:rPr>
          <w:rFonts w:ascii="宋体" w:hAnsi="宋体" w:cs="宋体" w:eastAsia="宋体" w:hint="default"/>
          <w:sz w:val="16"/>
          <w:szCs w:val="16"/>
        </w:rPr>
      </w:pPr>
    </w:p>
    <w:p>
      <w:pPr>
        <w:pStyle w:val="BodyText"/>
        <w:spacing w:line="345" w:lineRule="auto" w:before="26"/>
        <w:ind w:right="137"/>
        <w:jc w:val="both"/>
      </w:pPr>
      <w:r>
        <w:rPr/>
        <w:t>些技术和能力无疑需要长期的积累和历练。由于</w:t>
      </w:r>
      <w:r>
        <w:rPr>
          <w:spacing w:val="-61"/>
        </w:rPr>
        <w:t> </w:t>
      </w:r>
      <w:r>
        <w:rPr>
          <w:rFonts w:ascii="Times New Roman" w:hAnsi="Times New Roman" w:cs="Times New Roman" w:eastAsia="Times New Roman" w:hint="default"/>
        </w:rPr>
        <w:t>ERP </w:t>
      </w:r>
      <w:r>
        <w:rPr/>
        <w:t>实施顾问在行业内流动较 为容易，因此如果本公司不能对核心</w:t>
      </w:r>
      <w:r>
        <w:rPr>
          <w:spacing w:val="-61"/>
        </w:rPr>
        <w:t> </w:t>
      </w:r>
      <w:r>
        <w:rPr>
          <w:rFonts w:ascii="Times New Roman" w:hAnsi="Times New Roman" w:cs="Times New Roman" w:eastAsia="Times New Roman" w:hint="default"/>
        </w:rPr>
        <w:t>ERP </w:t>
      </w:r>
      <w:r>
        <w:rPr/>
        <w:t>实施顾问实行有效的激励和约束，该 </w:t>
      </w:r>
      <w:r>
        <w:rPr>
          <w:spacing w:val="-3"/>
        </w:rPr>
        <w:t>类人员的大量流失将对公司经营造成重大不利影响。尽管公司已经采取了骨干员</w:t>
      </w:r>
      <w:r>
        <w:rPr>
          <w:spacing w:val="-109"/>
        </w:rPr>
        <w:t> </w:t>
      </w:r>
      <w:r>
        <w:rPr>
          <w:spacing w:val="-109"/>
        </w:rPr>
      </w:r>
      <w:r>
        <w:rPr/>
        <w:t>工持股等一系列激励措施来稳定公司</w:t>
      </w:r>
      <w:r>
        <w:rPr>
          <w:spacing w:val="-61"/>
        </w:rPr>
        <w:t> </w:t>
      </w:r>
      <w:r>
        <w:rPr>
          <w:rFonts w:ascii="Times New Roman" w:hAnsi="Times New Roman" w:cs="Times New Roman" w:eastAsia="Times New Roman" w:hint="default"/>
        </w:rPr>
        <w:t>ERP </w:t>
      </w:r>
      <w:r>
        <w:rPr/>
        <w:t>实施顾问核心团队，但未来公司是否 </w:t>
      </w:r>
      <w:r>
        <w:rPr>
          <w:spacing w:val="-3"/>
        </w:rPr>
        <w:t>能保持现有顾问骨干队伍的稳定，同时能否不断吸纳和培养出公司发展所需的技</w:t>
      </w:r>
      <w:r>
        <w:rPr>
          <w:spacing w:val="-109"/>
        </w:rPr>
        <w:t> </w:t>
      </w:r>
      <w:r>
        <w:rPr>
          <w:spacing w:val="-109"/>
        </w:rPr>
      </w:r>
      <w:r>
        <w:rPr/>
        <w:t>术和管理人才构成了公司经营过程中潜在的人才风险。</w:t>
      </w:r>
    </w:p>
    <w:p>
      <w:pPr>
        <w:spacing w:line="338" w:lineRule="auto" w:before="46"/>
        <w:ind w:left="620" w:right="187" w:hanging="8"/>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、生产经营场地依靠租赁的风险</w:t>
      </w:r>
      <w:r>
        <w:rPr>
          <w:rFonts w:ascii="宋体" w:hAnsi="宋体" w:cs="宋体" w:eastAsia="宋体" w:hint="default"/>
          <w:b/>
          <w:bCs/>
          <w:w w:val="99"/>
          <w:sz w:val="24"/>
          <w:szCs w:val="24"/>
        </w:rPr>
        <w:t> </w:t>
      </w:r>
      <w:r>
        <w:rPr>
          <w:rFonts w:ascii="宋体" w:hAnsi="宋体" w:cs="宋体" w:eastAsia="宋体" w:hint="default"/>
          <w:sz w:val="24"/>
          <w:szCs w:val="24"/>
        </w:rPr>
        <w:t>目前，本公司经营场地均是通过租赁方式解决。尽管由于</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ERP </w:t>
      </w:r>
      <w:r>
        <w:rPr>
          <w:rFonts w:ascii="宋体" w:hAnsi="宋体" w:cs="宋体" w:eastAsia="宋体" w:hint="default"/>
          <w:sz w:val="24"/>
          <w:szCs w:val="24"/>
        </w:rPr>
        <w:t>实施行业业</w:t>
      </w:r>
    </w:p>
    <w:p>
      <w:pPr>
        <w:pStyle w:val="BodyText"/>
        <w:spacing w:line="357" w:lineRule="auto" w:before="24"/>
        <w:ind w:right="137"/>
        <w:jc w:val="both"/>
      </w:pPr>
      <w:r>
        <w:rPr>
          <w:spacing w:val="-3"/>
        </w:rPr>
        <w:t>务的开展不需要特殊的场地设施条件，而且可供选择的办公写字楼租赁市场供给</w:t>
      </w:r>
      <w:r>
        <w:rPr>
          <w:spacing w:val="-109"/>
        </w:rPr>
        <w:t> </w:t>
      </w:r>
      <w:r>
        <w:rPr>
          <w:spacing w:val="-109"/>
        </w:rPr>
      </w:r>
      <w:r>
        <w:rPr>
          <w:spacing w:val="-3"/>
        </w:rPr>
        <w:t>充分，目前公司所租赁的办公楼使用状况良好，租赁关系较为稳定，但也不排除</w:t>
      </w:r>
      <w:r>
        <w:rPr>
          <w:spacing w:val="-111"/>
        </w:rPr>
        <w:t> </w:t>
      </w:r>
      <w:r>
        <w:rPr>
          <w:spacing w:val="-111"/>
        </w:rPr>
      </w:r>
      <w:r>
        <w:rPr/>
        <w:t>租赁期满后租金上涨或无法继续租赁从而需要搬迁的风险。</w:t>
      </w:r>
    </w:p>
    <w:p>
      <w:pPr>
        <w:spacing w:line="280" w:lineRule="auto" w:before="115"/>
        <w:ind w:left="620" w:right="125"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、税率变动带来的风险</w:t>
      </w:r>
      <w:r>
        <w:rPr>
          <w:rFonts w:ascii="宋体" w:hAnsi="宋体" w:cs="宋体" w:eastAsia="宋体" w:hint="default"/>
          <w:b/>
          <w:bCs/>
          <w:w w:val="99"/>
          <w:sz w:val="24"/>
          <w:szCs w:val="24"/>
        </w:rPr>
        <w:t> </w:t>
      </w:r>
      <w:r>
        <w:rPr>
          <w:rFonts w:ascii="宋体" w:hAnsi="宋体" w:cs="宋体" w:eastAsia="宋体" w:hint="default"/>
          <w:spacing w:val="-3"/>
          <w:sz w:val="24"/>
          <w:szCs w:val="24"/>
        </w:rPr>
        <w:t>根据国家相关政策，本公司享受一定的税收优惠。虽然税收优惠占净利润的</w:t>
      </w:r>
    </w:p>
    <w:p>
      <w:pPr>
        <w:pStyle w:val="BodyText"/>
        <w:spacing w:line="357" w:lineRule="auto" w:before="110"/>
        <w:ind w:right="137"/>
        <w:jc w:val="both"/>
      </w:pPr>
      <w:r>
        <w:rPr>
          <w:spacing w:val="-3"/>
        </w:rPr>
        <w:t>比重逐年下降，对本公司的净利润影响相对较小。但如果公司未来不能保持国家</w:t>
      </w:r>
      <w:r>
        <w:rPr>
          <w:spacing w:val="-112"/>
        </w:rPr>
        <w:t> </w:t>
      </w:r>
      <w:r>
        <w:rPr>
          <w:spacing w:val="-112"/>
        </w:rPr>
      </w:r>
      <w:r>
        <w:rPr>
          <w:spacing w:val="-3"/>
        </w:rPr>
        <w:t>规划布局内重点软件企业的资格，或者国家根据宏观经济形势和产业政策的变化</w:t>
      </w:r>
      <w:r>
        <w:rPr>
          <w:spacing w:val="-109"/>
        </w:rPr>
        <w:t> </w:t>
      </w:r>
      <w:r>
        <w:rPr>
          <w:spacing w:val="-109"/>
        </w:rPr>
      </w:r>
      <w:r>
        <w:rPr/>
        <w:t>调整相关的税收优惠政策，将会影响公司未来的收益情况。</w:t>
      </w:r>
    </w:p>
    <w:p>
      <w:pPr>
        <w:spacing w:line="240" w:lineRule="auto" w:before="9"/>
        <w:rPr>
          <w:rFonts w:ascii="宋体" w:hAnsi="宋体" w:cs="宋体" w:eastAsia="宋体" w:hint="default"/>
          <w:sz w:val="26"/>
          <w:szCs w:val="26"/>
        </w:rPr>
      </w:pPr>
    </w:p>
    <w:p>
      <w:pPr>
        <w:pStyle w:val="Heading5"/>
        <w:spacing w:line="240" w:lineRule="auto"/>
        <w:ind w:right="0"/>
        <w:jc w:val="both"/>
        <w:rPr>
          <w:b w:val="0"/>
          <w:bCs w:val="0"/>
        </w:rPr>
      </w:pPr>
      <w:r>
        <w:rPr/>
        <w:t>（四）公司面临的机会和挑战</w:t>
      </w:r>
      <w:r>
        <w:rPr>
          <w:b w:val="0"/>
          <w:bCs w:val="0"/>
        </w:rPr>
      </w:r>
    </w:p>
    <w:p>
      <w:pPr>
        <w:pStyle w:val="BodyText"/>
        <w:spacing w:line="350" w:lineRule="auto" w:before="77"/>
        <w:ind w:right="136" w:firstLine="479"/>
        <w:jc w:val="both"/>
      </w:pPr>
      <w:r>
        <w:rPr/>
        <w:t>自 </w:t>
      </w:r>
      <w:r>
        <w:rPr>
          <w:rFonts w:ascii="Times New Roman" w:hAnsi="Times New Roman" w:cs="Times New Roman" w:eastAsia="Times New Roman" w:hint="default"/>
        </w:rPr>
        <w:t>2011</w:t>
      </w:r>
      <w:r>
        <w:rPr>
          <w:rFonts w:ascii="Times New Roman" w:hAnsi="Times New Roman" w:cs="Times New Roman" w:eastAsia="Times New Roman" w:hint="default"/>
          <w:spacing w:val="-35"/>
        </w:rPr>
        <w:t> </w:t>
      </w:r>
      <w:r>
        <w:rPr/>
        <w:t>年初以来，我国企业信息化需求出现较快速增长的态势。随着行业 </w:t>
      </w:r>
      <w:r>
        <w:rPr>
          <w:spacing w:val="-3"/>
        </w:rPr>
        <w:t>的较快增长，公司业绩也取得了较好的成绩。在良好的行业背景下，为了保持公</w:t>
      </w:r>
      <w:r>
        <w:rPr>
          <w:spacing w:val="-111"/>
        </w:rPr>
        <w:t> </w:t>
      </w:r>
      <w:r>
        <w:rPr>
          <w:spacing w:val="-111"/>
        </w:rPr>
      </w:r>
      <w:r>
        <w:rPr>
          <w:spacing w:val="-3"/>
        </w:rPr>
        <w:t>司可持续、较快水平发展，着力解决长期以来公司交付能力不足的问题，公司在</w:t>
      </w:r>
      <w:r>
        <w:rPr>
          <w:spacing w:val="-111"/>
        </w:rPr>
        <w:t> </w:t>
      </w:r>
      <w:r>
        <w:rPr>
          <w:spacing w:val="-111"/>
        </w:rPr>
      </w: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t>年加快了业务人员增速，实现了较快的人员增长。随着</w:t>
      </w:r>
      <w:r>
        <w:rPr>
          <w:spacing w:val="-7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年新入职业务</w:t>
      </w:r>
    </w:p>
    <w:p>
      <w:pPr>
        <w:pStyle w:val="BodyText"/>
        <w:spacing w:line="338" w:lineRule="auto" w:before="13"/>
        <w:ind w:right="140"/>
        <w:jc w:val="both"/>
      </w:pPr>
      <w:r>
        <w:rPr/>
        <w:t>人员的培训、转正以及项目实习，预计到 </w:t>
      </w:r>
      <w:r>
        <w:rPr>
          <w:rFonts w:ascii="Times New Roman" w:hAnsi="Times New Roman" w:cs="Times New Roman" w:eastAsia="Times New Roman" w:hint="default"/>
        </w:rPr>
        <w:t>2012</w:t>
      </w:r>
      <w:r>
        <w:rPr>
          <w:rFonts w:ascii="Times New Roman" w:hAnsi="Times New Roman" w:cs="Times New Roman" w:eastAsia="Times New Roman" w:hint="default"/>
          <w:spacing w:val="-36"/>
        </w:rPr>
        <w:t> </w:t>
      </w:r>
      <w:r>
        <w:rPr/>
        <w:t>年公司整体交付能力将实现较大 提升。</w:t>
      </w:r>
    </w:p>
    <w:p>
      <w:pPr>
        <w:pStyle w:val="BodyText"/>
        <w:spacing w:line="357" w:lineRule="auto" w:before="55"/>
        <w:ind w:right="135" w:firstLine="479"/>
        <w:jc w:val="both"/>
      </w:pPr>
      <w:r>
        <w:rPr>
          <w:spacing w:val="-3"/>
        </w:rPr>
        <w:t>随着国家宏观调控的加强，宏观经济下行风险逐步加大。虽然企业信息化建</w:t>
      </w:r>
      <w:r>
        <w:rPr/>
        <w:t> </w:t>
      </w:r>
      <w:r>
        <w:rPr>
          <w:spacing w:val="-3"/>
        </w:rPr>
        <w:t>设作为企业的一项关键战略在企业的发展中具有相当的长期性和重要性，但我们</w:t>
      </w:r>
      <w:r>
        <w:rPr>
          <w:spacing w:val="-109"/>
        </w:rPr>
        <w:t> </w:t>
      </w:r>
      <w:r>
        <w:rPr>
          <w:spacing w:val="-109"/>
        </w:rPr>
      </w:r>
      <w:r>
        <w:rPr>
          <w:spacing w:val="3"/>
        </w:rPr>
        <w:t>也看到一部分公司在宏观经济形式不明朗的情况下对企业信息化建设投入的时</w:t>
      </w:r>
      <w:r>
        <w:rPr>
          <w:spacing w:val="-99"/>
        </w:rPr>
        <w:t> </w:t>
      </w:r>
      <w:r>
        <w:rPr>
          <w:spacing w:val="-99"/>
        </w:rPr>
      </w:r>
      <w:r>
        <w:rPr/>
        <w:t>间、规模存在一定的调整。</w:t>
      </w:r>
    </w:p>
    <w:p>
      <w:pPr>
        <w:spacing w:after="0" w:line="357" w:lineRule="auto"/>
        <w:jc w:val="both"/>
        <w:sectPr>
          <w:pgSz w:w="11910" w:h="16840"/>
          <w:pgMar w:header="884" w:footer="980" w:top="1140" w:bottom="1160" w:left="1660" w:right="1660"/>
        </w:sectPr>
      </w:pPr>
    </w:p>
    <w:p>
      <w:pPr>
        <w:spacing w:line="240" w:lineRule="auto" w:before="6"/>
        <w:rPr>
          <w:rFonts w:ascii="宋体" w:hAnsi="宋体" w:cs="宋体" w:eastAsia="宋体" w:hint="default"/>
          <w:sz w:val="22"/>
          <w:szCs w:val="22"/>
        </w:rPr>
      </w:pPr>
    </w:p>
    <w:p>
      <w:pPr>
        <w:pStyle w:val="BodyText"/>
        <w:spacing w:line="357" w:lineRule="auto" w:before="26"/>
        <w:ind w:right="137" w:firstLine="479"/>
        <w:jc w:val="both"/>
      </w:pPr>
      <w:r>
        <w:rPr>
          <w:spacing w:val="-3"/>
        </w:rPr>
        <w:t>公司是高端信息服务业，人力成本相对较高。所以，公司当前面临的主要挑</w:t>
      </w:r>
      <w:r>
        <w:rPr/>
        <w:t> </w:t>
      </w:r>
      <w:r>
        <w:rPr>
          <w:spacing w:val="-3"/>
        </w:rPr>
        <w:t>战是如何在宏观经济形势不明朗的情况下，充分挖掘市场需求，提高业务人员的</w:t>
      </w:r>
      <w:r>
        <w:rPr>
          <w:spacing w:val="-111"/>
        </w:rPr>
        <w:t> </w:t>
      </w:r>
      <w:r>
        <w:rPr>
          <w:spacing w:val="-111"/>
        </w:rPr>
      </w:r>
      <w:r>
        <w:rPr/>
        <w:t>利用效率，实现公司的成长目标。</w:t>
      </w:r>
    </w:p>
    <w:p>
      <w:pPr>
        <w:spacing w:line="240" w:lineRule="auto" w:before="0"/>
        <w:rPr>
          <w:rFonts w:ascii="宋体" w:hAnsi="宋体" w:cs="宋体" w:eastAsia="宋体" w:hint="default"/>
          <w:sz w:val="24"/>
          <w:szCs w:val="24"/>
        </w:rPr>
      </w:pPr>
    </w:p>
    <w:p>
      <w:pPr>
        <w:pStyle w:val="Heading5"/>
        <w:spacing w:line="240" w:lineRule="auto" w:before="190"/>
        <w:ind w:right="0"/>
        <w:jc w:val="both"/>
        <w:rPr>
          <w:b w:val="0"/>
          <w:bCs w:val="0"/>
        </w:rPr>
      </w:pPr>
      <w:r>
        <w:rPr/>
        <w:t>三、报告期内公司投资情况</w:t>
      </w:r>
      <w:r>
        <w:rPr>
          <w:b w:val="0"/>
          <w:bCs w:val="0"/>
        </w:rPr>
      </w:r>
    </w:p>
    <w:p>
      <w:pPr>
        <w:pStyle w:val="BodyText"/>
        <w:spacing w:line="357" w:lineRule="auto"/>
        <w:ind w:left="620" w:right="4586" w:hanging="480"/>
        <w:jc w:val="left"/>
      </w:pPr>
      <w:r>
        <w:rPr/>
        <w:t>（一）报告期内，募集资金投资情况 </w:t>
      </w:r>
      <w:r>
        <w:rPr>
          <w:rFonts w:ascii="宋体" w:hAnsi="宋体" w:cs="宋体" w:eastAsia="宋体" w:hint="default"/>
        </w:rPr>
        <w:t>1</w:t>
      </w:r>
      <w:r>
        <w:rPr/>
        <w:t>、</w:t>
      </w:r>
      <w:r>
        <w:rPr>
          <w:spacing w:val="-60"/>
        </w:rPr>
        <w:t> </w:t>
      </w:r>
      <w:r>
        <w:rPr/>
        <w:t>募集资金到位情况</w:t>
      </w:r>
    </w:p>
    <w:p>
      <w:pPr>
        <w:pStyle w:val="BodyText"/>
        <w:spacing w:line="352" w:lineRule="auto" w:before="36"/>
        <w:ind w:right="135" w:firstLine="479"/>
        <w:jc w:val="both"/>
        <w:rPr>
          <w:rFonts w:ascii="Times New Roman" w:hAnsi="Times New Roman" w:cs="Times New Roman" w:eastAsia="Times New Roman" w:hint="default"/>
        </w:rPr>
      </w:pPr>
      <w:r>
        <w:rPr/>
        <w:t>经中国证券监督管理委员会“证监许可</w:t>
      </w:r>
      <w:r>
        <w:rPr>
          <w:rFonts w:ascii="宋体" w:hAnsi="宋体" w:cs="宋体" w:eastAsia="宋体" w:hint="default"/>
        </w:rPr>
        <w:t>[2010]1835</w:t>
      </w:r>
      <w:r>
        <w:rPr>
          <w:rFonts w:ascii="宋体" w:hAnsi="宋体" w:cs="宋体" w:eastAsia="宋体" w:hint="default"/>
          <w:spacing w:val="18"/>
        </w:rPr>
        <w:t> </w:t>
      </w:r>
      <w:r>
        <w:rPr/>
        <w:t>号”文核准，并经深圳 </w:t>
      </w:r>
      <w:r>
        <w:rPr>
          <w:spacing w:val="-3"/>
        </w:rPr>
        <w:t>证券交易所《关于上海汉得信息技术股份有限公司人民币普通股股票在创业板上</w:t>
      </w:r>
      <w:r>
        <w:rPr>
          <w:spacing w:val="-109"/>
        </w:rPr>
        <w:t> </w:t>
      </w:r>
      <w:r>
        <w:rPr>
          <w:spacing w:val="-109"/>
        </w:rPr>
      </w:r>
      <w:r>
        <w:rPr/>
        <w:t>市的通知》（深证上【</w:t>
      </w:r>
      <w:r>
        <w:rPr>
          <w:rFonts w:ascii="宋体" w:hAnsi="宋体" w:cs="宋体" w:eastAsia="宋体" w:hint="default"/>
        </w:rPr>
        <w:t>2011</w:t>
      </w:r>
      <w:r>
        <w:rPr/>
        <w:t>】</w:t>
      </w:r>
      <w:r>
        <w:rPr>
          <w:rFonts w:ascii="宋体" w:hAnsi="宋体" w:cs="宋体" w:eastAsia="宋体" w:hint="default"/>
        </w:rPr>
        <w:t>38</w:t>
      </w:r>
      <w:r>
        <w:rPr>
          <w:rFonts w:ascii="宋体" w:hAnsi="宋体" w:cs="宋体" w:eastAsia="宋体" w:hint="default"/>
          <w:spacing w:val="16"/>
        </w:rPr>
        <w:t> </w:t>
      </w:r>
      <w:r>
        <w:rPr/>
        <w:t>号）同意，公司本次发行由主承销商兴业证券</w:t>
      </w:r>
      <w:r>
        <w:rPr>
          <w:spacing w:val="-118"/>
        </w:rPr>
        <w:t> </w:t>
      </w:r>
      <w:r>
        <w:rPr>
          <w:spacing w:val="-118"/>
        </w:rPr>
      </w:r>
      <w:r>
        <w:rPr>
          <w:spacing w:val="3"/>
        </w:rPr>
        <w:t>股份有限公司采用网下向询价对象配售与网上向社会公众投资者定价发行相结</w:t>
      </w:r>
      <w:r>
        <w:rPr>
          <w:spacing w:val="-99"/>
        </w:rPr>
        <w:t> </w:t>
      </w:r>
      <w:r>
        <w:rPr>
          <w:spacing w:val="-99"/>
        </w:rPr>
      </w:r>
      <w:r>
        <w:rPr/>
        <w:t>合的方式向社会公开发行人民币普通股（</w:t>
      </w:r>
      <w:r>
        <w:rPr>
          <w:rFonts w:ascii="宋体" w:hAnsi="宋体" w:cs="宋体" w:eastAsia="宋体" w:hint="default"/>
        </w:rPr>
        <w:t>A</w:t>
      </w:r>
      <w:r>
        <w:rPr>
          <w:rFonts w:ascii="宋体" w:hAnsi="宋体" w:cs="宋体" w:eastAsia="宋体" w:hint="default"/>
          <w:spacing w:val="-66"/>
        </w:rPr>
        <w:t> </w:t>
      </w:r>
      <w:r>
        <w:rPr>
          <w:spacing w:val="-4"/>
        </w:rPr>
        <w:t>股）</w:t>
      </w:r>
      <w:r>
        <w:rPr>
          <w:rFonts w:ascii="Times New Roman" w:hAnsi="Times New Roman" w:cs="Times New Roman" w:eastAsia="Times New Roman" w:hint="default"/>
          <w:spacing w:val="-4"/>
        </w:rPr>
        <w:t>3,000</w:t>
      </w:r>
      <w:r>
        <w:rPr>
          <w:rFonts w:ascii="Times New Roman" w:hAnsi="Times New Roman" w:cs="Times New Roman" w:eastAsia="Times New Roman" w:hint="default"/>
          <w:spacing w:val="-6"/>
        </w:rPr>
        <w:t> </w:t>
      </w:r>
      <w:r>
        <w:rPr>
          <w:spacing w:val="-5"/>
        </w:rPr>
        <w:t>万股，其中：网下配售</w:t>
      </w:r>
      <w:r>
        <w:rPr>
          <w:spacing w:val="-66"/>
        </w:rPr>
        <w:t> </w:t>
      </w:r>
      <w:r>
        <w:rPr>
          <w:rFonts w:ascii="Times New Roman" w:hAnsi="Times New Roman" w:cs="Times New Roman" w:eastAsia="Times New Roman" w:hint="default"/>
        </w:rPr>
        <w:t>585 </w:t>
      </w:r>
      <w:r>
        <w:rPr/>
        <w:t>万股，网上定价发行</w:t>
      </w:r>
      <w:r>
        <w:rPr>
          <w:spacing w:val="-60"/>
        </w:rPr>
        <w:t> </w:t>
      </w:r>
      <w:r>
        <w:rPr>
          <w:rFonts w:ascii="Times New Roman" w:hAnsi="Times New Roman" w:cs="Times New Roman" w:eastAsia="Times New Roman" w:hint="default"/>
        </w:rPr>
        <w:t>2,415</w:t>
      </w:r>
    </w:p>
    <w:p>
      <w:pPr>
        <w:pStyle w:val="BodyText"/>
        <w:spacing w:line="338" w:lineRule="auto" w:before="11"/>
        <w:ind w:right="136"/>
        <w:jc w:val="both"/>
        <w:rPr>
          <w:rFonts w:ascii="Times New Roman" w:hAnsi="Times New Roman" w:cs="Times New Roman" w:eastAsia="Times New Roman" w:hint="default"/>
        </w:rPr>
      </w:pPr>
      <w:r>
        <w:rPr/>
        <w:t>万股，发行价格为</w:t>
      </w:r>
      <w:r>
        <w:rPr>
          <w:spacing w:val="-57"/>
        </w:rPr>
        <w:t> </w:t>
      </w:r>
      <w:r>
        <w:rPr>
          <w:rFonts w:ascii="Times New Roman" w:hAnsi="Times New Roman" w:cs="Times New Roman" w:eastAsia="Times New Roman" w:hint="default"/>
        </w:rPr>
        <w:t>25.32</w:t>
      </w:r>
      <w:r>
        <w:rPr>
          <w:rFonts w:ascii="Times New Roman" w:hAnsi="Times New Roman" w:cs="Times New Roman" w:eastAsia="Times New Roman" w:hint="default"/>
          <w:spacing w:val="58"/>
        </w:rPr>
        <w:t> </w:t>
      </w:r>
      <w:r>
        <w:rPr/>
        <w:t>元</w:t>
      </w:r>
      <w:r>
        <w:rPr>
          <w:rFonts w:ascii="宋体" w:hAnsi="宋体" w:cs="宋体" w:eastAsia="宋体" w:hint="default"/>
        </w:rPr>
        <w:t>/</w:t>
      </w:r>
      <w:r>
        <w:rPr/>
        <w:t>股。截至</w:t>
      </w:r>
      <w:r>
        <w:rPr>
          <w:spacing w:val="-57"/>
        </w:rPr>
        <w:t> </w:t>
      </w:r>
      <w:r>
        <w:rPr>
          <w:rFonts w:ascii="宋体" w:hAnsi="宋体" w:cs="宋体" w:eastAsia="宋体" w:hint="default"/>
        </w:rPr>
        <w:t>2011</w:t>
      </w:r>
      <w:r>
        <w:rPr>
          <w:rFonts w:ascii="宋体" w:hAnsi="宋体" w:cs="宋体" w:eastAsia="宋体" w:hint="default"/>
          <w:spacing w:val="-59"/>
        </w:rPr>
        <w:t> </w:t>
      </w:r>
      <w:r>
        <w:rPr/>
        <w:t>年</w:t>
      </w:r>
      <w:r>
        <w:rPr>
          <w:spacing w:val="-56"/>
        </w:rPr>
        <w:t> </w:t>
      </w:r>
      <w:r>
        <w:rPr>
          <w:rFonts w:ascii="宋体" w:hAnsi="宋体" w:cs="宋体" w:eastAsia="宋体" w:hint="default"/>
        </w:rPr>
        <w:t>1</w:t>
      </w:r>
      <w:r>
        <w:rPr>
          <w:rFonts w:ascii="宋体" w:hAnsi="宋体" w:cs="宋体" w:eastAsia="宋体" w:hint="default"/>
          <w:spacing w:val="-57"/>
        </w:rPr>
        <w:t> </w:t>
      </w:r>
      <w:r>
        <w:rPr/>
        <w:t>月</w:t>
      </w:r>
      <w:r>
        <w:rPr>
          <w:spacing w:val="-57"/>
        </w:rPr>
        <w:t> </w:t>
      </w:r>
      <w:r>
        <w:rPr>
          <w:rFonts w:ascii="宋体" w:hAnsi="宋体" w:cs="宋体" w:eastAsia="宋体" w:hint="default"/>
        </w:rPr>
        <w:t>27</w:t>
      </w:r>
      <w:r>
        <w:rPr>
          <w:rFonts w:ascii="宋体" w:hAnsi="宋体" w:cs="宋体" w:eastAsia="宋体" w:hint="default"/>
          <w:spacing w:val="-57"/>
        </w:rPr>
        <w:t> </w:t>
      </w:r>
      <w:r>
        <w:rPr/>
        <w:t>日止，公司实际已发行人 民币普通股（</w:t>
      </w:r>
      <w:r>
        <w:rPr>
          <w:rFonts w:ascii="宋体" w:hAnsi="宋体" w:cs="宋体" w:eastAsia="宋体" w:hint="default"/>
        </w:rPr>
        <w:t>A</w:t>
      </w:r>
      <w:r>
        <w:rPr>
          <w:rFonts w:ascii="宋体" w:hAnsi="宋体" w:cs="宋体" w:eastAsia="宋体" w:hint="default"/>
          <w:spacing w:val="-40"/>
        </w:rPr>
        <w:t> </w:t>
      </w:r>
      <w:r>
        <w:rPr/>
        <w:t>股）</w:t>
      </w:r>
      <w:r>
        <w:rPr>
          <w:rFonts w:ascii="Times New Roman" w:hAnsi="Times New Roman" w:cs="Times New Roman" w:eastAsia="Times New Roman" w:hint="default"/>
        </w:rPr>
        <w:t>30,000,000</w:t>
      </w:r>
      <w:r>
        <w:rPr>
          <w:rFonts w:ascii="Times New Roman" w:hAnsi="Times New Roman" w:cs="Times New Roman" w:eastAsia="Times New Roman" w:hint="default"/>
          <w:spacing w:val="20"/>
        </w:rPr>
        <w:t> </w:t>
      </w:r>
      <w:r>
        <w:rPr/>
        <w:t>股，募集资金总额为</w:t>
      </w:r>
      <w:r>
        <w:rPr>
          <w:spacing w:val="-39"/>
        </w:rPr>
        <w:t> </w:t>
      </w:r>
      <w:r>
        <w:rPr>
          <w:rFonts w:ascii="Times New Roman" w:hAnsi="Times New Roman" w:cs="Times New Roman" w:eastAsia="Times New Roman" w:hint="default"/>
        </w:rPr>
        <w:t>759,600,000.00</w:t>
      </w:r>
      <w:r>
        <w:rPr>
          <w:rFonts w:ascii="Times New Roman" w:hAnsi="Times New Roman" w:cs="Times New Roman" w:eastAsia="Times New Roman" w:hint="default"/>
          <w:spacing w:val="20"/>
        </w:rPr>
        <w:t> </w:t>
      </w:r>
      <w:r>
        <w:rPr/>
        <w:t>元，扣除承 </w:t>
      </w:r>
      <w:r>
        <w:rPr>
          <w:spacing w:val="-9"/>
        </w:rPr>
        <w:t>销机构的承销、保荐费用人民币</w:t>
      </w:r>
      <w:r>
        <w:rPr>
          <w:spacing w:val="-69"/>
        </w:rPr>
        <w:t> </w:t>
      </w:r>
      <w:r>
        <w:rPr>
          <w:rFonts w:ascii="Times New Roman" w:hAnsi="Times New Roman" w:cs="Times New Roman" w:eastAsia="Times New Roman" w:hint="default"/>
        </w:rPr>
        <w:t>38,076,000.00</w:t>
      </w:r>
      <w:r>
        <w:rPr>
          <w:rFonts w:ascii="Times New Roman" w:hAnsi="Times New Roman" w:cs="Times New Roman" w:eastAsia="Times New Roman" w:hint="default"/>
          <w:spacing w:val="-7"/>
        </w:rPr>
        <w:t> </w:t>
      </w:r>
      <w:r>
        <w:rPr>
          <w:spacing w:val="-14"/>
        </w:rPr>
        <w:t>元，公司收到人民币</w:t>
      </w:r>
      <w:r>
        <w:rPr>
          <w:spacing w:val="-69"/>
        </w:rPr>
        <w:t> </w:t>
      </w:r>
      <w:r>
        <w:rPr>
          <w:rFonts w:ascii="Times New Roman" w:hAnsi="Times New Roman" w:cs="Times New Roman" w:eastAsia="Times New Roman" w:hint="default"/>
        </w:rPr>
        <w:t>721,524,000.00</w:t>
      </w:r>
    </w:p>
    <w:p>
      <w:pPr>
        <w:pStyle w:val="BodyText"/>
        <w:spacing w:line="240" w:lineRule="auto" w:before="27"/>
        <w:ind w:right="0"/>
        <w:jc w:val="both"/>
      </w:pPr>
      <w:r>
        <w:rPr>
          <w:spacing w:val="-5"/>
        </w:rPr>
        <w:t>元，已由主承销商兴业证券股份有限公司于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日汇入本公司开立在</w:t>
      </w:r>
    </w:p>
    <w:p>
      <w:pPr>
        <w:pStyle w:val="BodyText"/>
        <w:spacing w:line="240" w:lineRule="auto"/>
        <w:ind w:right="0"/>
        <w:jc w:val="both"/>
      </w:pPr>
      <w:r>
        <w:rPr/>
        <w:t>招商银行上海分行张江支行账号为</w:t>
      </w:r>
      <w:r>
        <w:rPr>
          <w:spacing w:val="-59"/>
        </w:rPr>
        <w:t> </w:t>
      </w:r>
      <w:r>
        <w:rPr>
          <w:rFonts w:ascii="Times New Roman" w:hAnsi="Times New Roman" w:cs="Times New Roman" w:eastAsia="Times New Roman" w:hint="default"/>
        </w:rPr>
        <w:t>121904631510808</w:t>
      </w:r>
      <w:r>
        <w:rPr>
          <w:rFonts w:ascii="Times New Roman" w:hAnsi="Times New Roman" w:cs="Times New Roman" w:eastAsia="Times New Roman" w:hint="default"/>
          <w:spacing w:val="1"/>
        </w:rPr>
        <w:t> </w:t>
      </w:r>
      <w:r>
        <w:rPr>
          <w:spacing w:val="-8"/>
        </w:rPr>
        <w:t>人民币账户内，扣除其他上</w:t>
      </w:r>
    </w:p>
    <w:p>
      <w:pPr>
        <w:pStyle w:val="BodyText"/>
        <w:spacing w:line="240" w:lineRule="auto" w:before="135"/>
        <w:ind w:right="0"/>
        <w:jc w:val="both"/>
      </w:pPr>
      <w:r>
        <w:rPr/>
        <w:t>市费用人民币</w:t>
      </w:r>
      <w:r>
        <w:rPr>
          <w:spacing w:val="-53"/>
        </w:rPr>
        <w:t> </w:t>
      </w:r>
      <w:r>
        <w:rPr>
          <w:rFonts w:ascii="Times New Roman" w:hAnsi="Times New Roman" w:cs="Times New Roman" w:eastAsia="Times New Roman" w:hint="default"/>
        </w:rPr>
        <w:t>7,790,880.32</w:t>
      </w:r>
      <w:r>
        <w:rPr>
          <w:rFonts w:ascii="Times New Roman" w:hAnsi="Times New Roman" w:cs="Times New Roman" w:eastAsia="Times New Roman" w:hint="default"/>
          <w:spacing w:val="7"/>
        </w:rPr>
        <w:t> </w:t>
      </w:r>
      <w:r>
        <w:rPr/>
        <w:t>元，实际募集资金净额为</w:t>
      </w:r>
      <w:r>
        <w:rPr>
          <w:spacing w:val="-53"/>
        </w:rPr>
        <w:t> </w:t>
      </w:r>
      <w:r>
        <w:rPr>
          <w:rFonts w:ascii="Times New Roman" w:hAnsi="Times New Roman" w:cs="Times New Roman" w:eastAsia="Times New Roman" w:hint="default"/>
        </w:rPr>
        <w:t>713,733,119.68</w:t>
      </w:r>
      <w:r>
        <w:rPr>
          <w:rFonts w:ascii="Times New Roman" w:hAnsi="Times New Roman" w:cs="Times New Roman" w:eastAsia="Times New Roman" w:hint="default"/>
          <w:spacing w:val="4"/>
        </w:rPr>
        <w:t> </w:t>
      </w:r>
      <w:r>
        <w:rPr/>
        <w:t>元。上述资</w:t>
      </w:r>
    </w:p>
    <w:p>
      <w:pPr>
        <w:pStyle w:val="BodyText"/>
        <w:spacing w:line="357" w:lineRule="auto" w:before="135"/>
        <w:ind w:right="136"/>
        <w:jc w:val="both"/>
      </w:pPr>
      <w:r>
        <w:rPr>
          <w:spacing w:val="-8"/>
        </w:rPr>
        <w:t>金到位情况已经立信会计师事务所验证，并由其出具信会师报字（</w:t>
      </w:r>
      <w:r>
        <w:rPr>
          <w:rFonts w:ascii="宋体" w:hAnsi="宋体" w:cs="宋体" w:eastAsia="宋体" w:hint="default"/>
          <w:spacing w:val="-8"/>
        </w:rPr>
        <w:t>2011</w:t>
      </w:r>
      <w:r>
        <w:rPr>
          <w:spacing w:val="-8"/>
        </w:rPr>
        <w:t>）第</w:t>
      </w:r>
      <w:r>
        <w:rPr>
          <w:spacing w:val="-57"/>
        </w:rPr>
        <w:t> </w:t>
      </w:r>
      <w:r>
        <w:rPr>
          <w:rFonts w:ascii="宋体" w:hAnsi="宋体" w:cs="宋体" w:eastAsia="宋体" w:hint="default"/>
        </w:rPr>
        <w:t>10264 </w:t>
      </w:r>
      <w:r>
        <w:rPr/>
        <w:t>号《验资报告》。公司对募集资金采取了专户存储制度。</w:t>
      </w:r>
    </w:p>
    <w:p>
      <w:pPr>
        <w:pStyle w:val="BodyText"/>
        <w:spacing w:line="240" w:lineRule="auto" w:before="36"/>
        <w:ind w:left="620" w:right="0"/>
        <w:jc w:val="left"/>
      </w:pPr>
      <w:r>
        <w:rPr>
          <w:rFonts w:ascii="宋体" w:hAnsi="宋体" w:cs="宋体" w:eastAsia="宋体" w:hint="default"/>
        </w:rPr>
        <w:t>2</w:t>
      </w:r>
      <w:r>
        <w:rPr/>
        <w:t>、</w:t>
      </w:r>
      <w:r>
        <w:rPr>
          <w:spacing w:val="-60"/>
        </w:rPr>
        <w:t> </w:t>
      </w:r>
      <w:r>
        <w:rPr/>
        <w:t>募集资金存放和管理情况</w:t>
      </w:r>
    </w:p>
    <w:p>
      <w:pPr>
        <w:pStyle w:val="BodyText"/>
        <w:spacing w:line="357" w:lineRule="auto"/>
        <w:ind w:left="620" w:right="125"/>
        <w:jc w:val="left"/>
      </w:pPr>
      <w:r>
        <w:rPr>
          <w:rFonts w:ascii="宋体" w:hAnsi="宋体" w:cs="宋体" w:eastAsia="宋体" w:hint="default"/>
        </w:rPr>
        <w:t>1) </w:t>
      </w:r>
      <w:r>
        <w:rPr/>
        <w:t>募集资金的管理情况 </w:t>
      </w:r>
      <w:r>
        <w:rPr>
          <w:spacing w:val="-3"/>
        </w:rPr>
        <w:t>为了规范公司募集资金的管理和运用，保护公司股东权益，根据《深交所创</w:t>
      </w:r>
    </w:p>
    <w:p>
      <w:pPr>
        <w:pStyle w:val="BodyText"/>
        <w:spacing w:line="357" w:lineRule="auto" w:before="36"/>
        <w:ind w:right="137"/>
        <w:jc w:val="both"/>
      </w:pPr>
      <w:r>
        <w:rPr>
          <w:spacing w:val="-3"/>
        </w:rPr>
        <w:t>业板上市规则》、《深交所上市公司募集资金管理办法》等相关法律法规，以及</w:t>
      </w:r>
      <w:r>
        <w:rPr>
          <w:spacing w:val="-112"/>
        </w:rPr>
        <w:t> </w:t>
      </w:r>
      <w:r>
        <w:rPr>
          <w:spacing w:val="-112"/>
        </w:rPr>
      </w:r>
      <w:r>
        <w:rPr>
          <w:spacing w:val="-3"/>
        </w:rPr>
        <w:t>公司《募集资金管理办法》的有关规定，公司设立募集资金专项账户用于存放募</w:t>
      </w:r>
      <w:r>
        <w:rPr>
          <w:spacing w:val="-111"/>
        </w:rPr>
        <w:t> </w:t>
      </w:r>
      <w:r>
        <w:rPr>
          <w:spacing w:val="-111"/>
        </w:rPr>
      </w:r>
      <w:r>
        <w:rPr>
          <w:spacing w:val="-3"/>
        </w:rPr>
        <w:t>集资金，并严格履行审批手续，对募集资金的管理和使用进行监督，保证专款专</w:t>
      </w:r>
      <w:r>
        <w:rPr>
          <w:spacing w:val="-111"/>
        </w:rPr>
        <w:t> </w:t>
      </w:r>
      <w:r>
        <w:rPr>
          <w:spacing w:val="-111"/>
        </w:rPr>
      </w:r>
      <w:r>
        <w:rPr/>
        <w:t>用。公司、保荐机构兴业证券股份有限公司（以下简称“兴业证券”）</w:t>
      </w:r>
      <w:r>
        <w:rPr>
          <w:spacing w:val="19"/>
        </w:rPr>
        <w:t> </w:t>
      </w:r>
      <w:r>
        <w:rPr/>
        <w:t>分别于</w:t>
      </w:r>
      <w:r>
        <w:rPr/>
        <w:t> </w:t>
      </w:r>
      <w:r>
        <w:rPr>
          <w:rFonts w:ascii="宋体" w:hAnsi="宋体" w:cs="宋体" w:eastAsia="宋体" w:hint="default"/>
        </w:rPr>
        <w:t>2011</w:t>
      </w:r>
      <w:r>
        <w:rPr>
          <w:rFonts w:ascii="宋体" w:hAnsi="宋体" w:cs="宋体" w:eastAsia="宋体" w:hint="default"/>
          <w:spacing w:val="-25"/>
        </w:rPr>
        <w:t> </w:t>
      </w:r>
      <w:r>
        <w:rPr/>
        <w:t>年 </w:t>
      </w:r>
      <w:r>
        <w:rPr>
          <w:rFonts w:ascii="宋体" w:hAnsi="宋体" w:cs="宋体" w:eastAsia="宋体" w:hint="default"/>
        </w:rPr>
        <w:t>1</w:t>
      </w:r>
      <w:r>
        <w:rPr>
          <w:rFonts w:ascii="宋体" w:hAnsi="宋体" w:cs="宋体" w:eastAsia="宋体" w:hint="default"/>
          <w:spacing w:val="-24"/>
        </w:rPr>
        <w:t> </w:t>
      </w:r>
      <w:r>
        <w:rPr/>
        <w:t>月</w:t>
      </w:r>
      <w:r>
        <w:rPr>
          <w:spacing w:val="-24"/>
        </w:rPr>
        <w:t> </w:t>
      </w:r>
      <w:r>
        <w:rPr>
          <w:rFonts w:ascii="宋体" w:hAnsi="宋体" w:cs="宋体" w:eastAsia="宋体" w:hint="default"/>
        </w:rPr>
        <w:t>23</w:t>
      </w:r>
      <w:r>
        <w:rPr>
          <w:rFonts w:ascii="宋体" w:hAnsi="宋体" w:cs="宋体" w:eastAsia="宋体" w:hint="default"/>
          <w:spacing w:val="-24"/>
        </w:rPr>
        <w:t> </w:t>
      </w:r>
      <w:r>
        <w:rPr/>
        <w:t>日与招商银行股份有限公司上海张江支行（以下简称“招商银</w:t>
      </w:r>
    </w:p>
    <w:p>
      <w:pPr>
        <w:spacing w:after="0" w:line="357" w:lineRule="auto"/>
        <w:jc w:val="both"/>
        <w:sectPr>
          <w:pgSz w:w="11910" w:h="16840"/>
          <w:pgMar w:header="884" w:footer="980" w:top="1140" w:bottom="1160" w:left="1660" w:right="1660"/>
        </w:sectPr>
      </w:pPr>
    </w:p>
    <w:p>
      <w:pPr>
        <w:spacing w:line="240" w:lineRule="auto" w:before="6"/>
        <w:rPr>
          <w:rFonts w:ascii="宋体" w:hAnsi="宋体" w:cs="宋体" w:eastAsia="宋体" w:hint="default"/>
          <w:sz w:val="22"/>
          <w:szCs w:val="22"/>
        </w:rPr>
      </w:pPr>
    </w:p>
    <w:p>
      <w:pPr>
        <w:pStyle w:val="BodyText"/>
        <w:spacing w:line="357" w:lineRule="auto" w:before="26"/>
        <w:ind w:left="220" w:right="104"/>
        <w:jc w:val="left"/>
      </w:pPr>
      <w:r>
        <w:rPr/>
        <w:t>行”）、中国民生银行股份有限公司上海静安支行（以下简称“民生银行”）、 </w:t>
      </w:r>
      <w:r>
        <w:rPr>
          <w:spacing w:val="-3"/>
        </w:rPr>
        <w:t>深圳发展银行股份有限公司上海分行（以下简称“深发展银行”）、宁波银行股</w:t>
      </w:r>
      <w:r>
        <w:rPr>
          <w:spacing w:val="-112"/>
        </w:rPr>
        <w:t> </w:t>
      </w:r>
      <w:r>
        <w:rPr>
          <w:spacing w:val="-112"/>
        </w:rPr>
      </w:r>
      <w:r>
        <w:rPr>
          <w:spacing w:val="-3"/>
        </w:rPr>
        <w:t>份有限公司上海徐汇（以下简称“宁波银行”）支行签订了《募集资金三方监管</w:t>
      </w:r>
      <w:r>
        <w:rPr>
          <w:spacing w:val="-115"/>
        </w:rPr>
        <w:t> </w:t>
      </w:r>
      <w:r>
        <w:rPr>
          <w:spacing w:val="-115"/>
        </w:rPr>
      </w:r>
      <w:r>
        <w:rPr>
          <w:spacing w:val="-23"/>
        </w:rPr>
        <w:t>协议》；于</w:t>
      </w:r>
      <w:r>
        <w:rPr>
          <w:spacing w:val="-61"/>
        </w:rPr>
        <w:t> </w:t>
      </w:r>
      <w:r>
        <w:rPr>
          <w:rFonts w:ascii="宋体" w:hAnsi="宋体" w:cs="宋体" w:eastAsia="宋体" w:hint="default"/>
        </w:rPr>
        <w:t>2011</w:t>
      </w:r>
      <w:r>
        <w:rPr>
          <w:rFonts w:ascii="宋体" w:hAnsi="宋体" w:cs="宋体" w:eastAsia="宋体" w:hint="default"/>
          <w:spacing w:val="-60"/>
        </w:rPr>
        <w:t> </w:t>
      </w:r>
      <w:r>
        <w:rPr/>
        <w:t>年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23</w:t>
      </w:r>
      <w:r>
        <w:rPr>
          <w:rFonts w:ascii="宋体" w:hAnsi="宋体" w:cs="宋体" w:eastAsia="宋体" w:hint="default"/>
          <w:spacing w:val="-60"/>
        </w:rPr>
        <w:t> </w:t>
      </w:r>
      <w:r>
        <w:rPr>
          <w:spacing w:val="-7"/>
        </w:rPr>
        <w:t>日与兴业银行股份有限公司（以下简称“兴业银行”）</w:t>
      </w:r>
      <w:r>
        <w:rPr/>
        <w:t> 签订了《募集资金三方监管协议》。招商银行专户仅用于“</w:t>
      </w:r>
      <w:r>
        <w:rPr>
          <w:rFonts w:ascii="宋体" w:hAnsi="宋体" w:cs="宋体" w:eastAsia="宋体" w:hint="default"/>
        </w:rPr>
        <w:t>ERP</w:t>
      </w:r>
      <w:r>
        <w:rPr>
          <w:rFonts w:ascii="宋体" w:hAnsi="宋体" w:cs="宋体" w:eastAsia="宋体" w:hint="default"/>
          <w:spacing w:val="-71"/>
        </w:rPr>
        <w:t> </w:t>
      </w:r>
      <w:r>
        <w:rPr/>
        <w:t>实施服务平台建 </w:t>
      </w:r>
      <w:r>
        <w:rPr>
          <w:spacing w:val="-25"/>
        </w:rPr>
        <w:t>设项目”、“海外</w:t>
      </w:r>
      <w:r>
        <w:rPr>
          <w:spacing w:val="-55"/>
        </w:rPr>
        <w:t> </w:t>
      </w:r>
      <w:r>
        <w:rPr>
          <w:rFonts w:ascii="宋体" w:hAnsi="宋体" w:cs="宋体" w:eastAsia="宋体" w:hint="default"/>
        </w:rPr>
        <w:t>ERP</w:t>
      </w:r>
      <w:r>
        <w:rPr>
          <w:rFonts w:ascii="宋体" w:hAnsi="宋体" w:cs="宋体" w:eastAsia="宋体" w:hint="default"/>
          <w:spacing w:val="-53"/>
        </w:rPr>
        <w:t> </w:t>
      </w:r>
      <w:r>
        <w:rPr>
          <w:spacing w:val="-10"/>
        </w:rPr>
        <w:t>软件外包开发中心建设项目”、“应用产品解决方案项目”、</w:t>
      </w:r>
      <w:r>
        <w:rPr/>
        <w:t> “</w:t>
      </w:r>
      <w:r>
        <w:rPr>
          <w:rFonts w:ascii="宋体" w:hAnsi="宋体" w:cs="宋体" w:eastAsia="宋体" w:hint="default"/>
        </w:rPr>
        <w:t>ERP</w:t>
      </w:r>
      <w:r>
        <w:rPr>
          <w:rFonts w:ascii="宋体" w:hAnsi="宋体" w:cs="宋体" w:eastAsia="宋体" w:hint="default"/>
          <w:spacing w:val="-72"/>
        </w:rPr>
        <w:t> </w:t>
      </w:r>
      <w:r>
        <w:rPr/>
        <w:t>运维服务中心建设项目”及“其他与主营业务相关的营运资金项目”的存 </w:t>
      </w:r>
      <w:r>
        <w:rPr>
          <w:spacing w:val="-3"/>
        </w:rPr>
        <w:t>储和使用，不得用作其他用途；民生银行、深发展银行、宁波银行、兴业银行专</w:t>
      </w:r>
      <w:r>
        <w:rPr>
          <w:spacing w:val="-115"/>
        </w:rPr>
        <w:t> </w:t>
      </w:r>
      <w:r>
        <w:rPr>
          <w:spacing w:val="-115"/>
        </w:rPr>
      </w:r>
      <w:r>
        <w:rPr>
          <w:spacing w:val="-3"/>
        </w:rPr>
        <w:t>户仅用于“其他与主营业务相关的营运资金项目”的存储和使用，不得用作其他</w:t>
      </w:r>
      <w:r>
        <w:rPr>
          <w:spacing w:val="-111"/>
        </w:rPr>
        <w:t> </w:t>
      </w:r>
      <w:r>
        <w:rPr>
          <w:spacing w:val="-111"/>
        </w:rPr>
      </w:r>
      <w:r>
        <w:rPr/>
        <w:t>用途。截止报告期末，三方监管协议履行情况良好。</w:t>
      </w:r>
    </w:p>
    <w:p>
      <w:pPr>
        <w:pStyle w:val="BodyText"/>
        <w:spacing w:line="240" w:lineRule="auto" w:before="36"/>
        <w:ind w:left="700" w:right="246"/>
        <w:jc w:val="left"/>
      </w:pPr>
      <w:r>
        <w:rPr>
          <w:rFonts w:ascii="宋体" w:hAnsi="宋体" w:cs="宋体" w:eastAsia="宋体" w:hint="default"/>
        </w:rPr>
        <w:t>2) </w:t>
      </w:r>
      <w:r>
        <w:rPr/>
        <w:t>募集资金专户存储情况</w:t>
      </w:r>
    </w:p>
    <w:p>
      <w:pPr>
        <w:pStyle w:val="BodyText"/>
        <w:spacing w:line="240" w:lineRule="auto"/>
        <w:ind w:left="700" w:right="0"/>
        <w:jc w:val="left"/>
      </w:pPr>
      <w:r>
        <w:rPr/>
        <w:t>截至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4"/>
        </w:rPr>
        <w:t>日，公司签订监管协议的募集资金专项账户存储如下：</w:t>
      </w:r>
    </w:p>
    <w:p>
      <w:pPr>
        <w:spacing w:line="240" w:lineRule="auto" w:before="1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141"/>
        <w:gridCol w:w="2377"/>
        <w:gridCol w:w="1716"/>
        <w:gridCol w:w="1111"/>
        <w:gridCol w:w="1179"/>
      </w:tblGrid>
      <w:tr>
        <w:trPr>
          <w:trHeight w:val="63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85" w:right="0"/>
              <w:jc w:val="left"/>
              <w:rPr>
                <w:rFonts w:ascii="宋体" w:hAnsi="宋体" w:cs="宋体" w:eastAsia="宋体" w:hint="default"/>
                <w:sz w:val="24"/>
                <w:szCs w:val="24"/>
              </w:rPr>
            </w:pPr>
            <w:r>
              <w:rPr>
                <w:rFonts w:ascii="宋体" w:hAnsi="宋体" w:cs="宋体" w:eastAsia="宋体" w:hint="default"/>
                <w:sz w:val="24"/>
                <w:szCs w:val="24"/>
              </w:rPr>
              <w:t>银行名称</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银行账号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72" w:right="0"/>
              <w:jc w:val="left"/>
              <w:rPr>
                <w:rFonts w:ascii="宋体" w:hAnsi="宋体" w:cs="宋体" w:eastAsia="宋体" w:hint="default"/>
                <w:sz w:val="24"/>
                <w:szCs w:val="24"/>
              </w:rPr>
            </w:pPr>
            <w:r>
              <w:rPr>
                <w:rFonts w:ascii="宋体" w:hAnsi="宋体" w:cs="宋体" w:eastAsia="宋体" w:hint="default"/>
                <w:sz w:val="24"/>
                <w:szCs w:val="24"/>
              </w:rPr>
              <w:t>年末余额</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存储形</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式</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hAnsi="宋体" w:cs="宋体" w:eastAsia="宋体" w:hint="default"/>
                <w:sz w:val="24"/>
                <w:szCs w:val="24"/>
              </w:rPr>
              <w:t>期限</w:t>
            </w:r>
          </w:p>
        </w:tc>
      </w:tr>
      <w:tr>
        <w:trPr>
          <w:trHeight w:val="634" w:hRule="exact"/>
        </w:trPr>
        <w:tc>
          <w:tcPr>
            <w:tcW w:w="21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312" w:lineRule="exact"/>
              <w:ind w:left="105" w:right="103"/>
              <w:jc w:val="left"/>
              <w:rPr>
                <w:rFonts w:ascii="宋体" w:hAnsi="宋体" w:cs="宋体" w:eastAsia="宋体" w:hint="default"/>
                <w:sz w:val="24"/>
                <w:szCs w:val="24"/>
              </w:rPr>
            </w:pPr>
            <w:r>
              <w:rPr>
                <w:rFonts w:ascii="宋体" w:hAnsi="宋体" w:cs="宋体" w:eastAsia="宋体" w:hint="default"/>
                <w:sz w:val="24"/>
                <w:szCs w:val="24"/>
              </w:rPr>
              <w:t>招商银行股份有限 公司上海张江支行</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18"/>
              <w:jc w:val="center"/>
              <w:rPr>
                <w:rFonts w:ascii="Times New Roman" w:hAnsi="Times New Roman" w:cs="Times New Roman" w:eastAsia="Times New Roman" w:hint="default"/>
                <w:sz w:val="24"/>
                <w:szCs w:val="24"/>
              </w:rPr>
            </w:pPr>
            <w:r>
              <w:rPr>
                <w:rFonts w:ascii="Times New Roman"/>
                <w:sz w:val="24"/>
              </w:rPr>
              <w:t>12190463158011441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10,215,272.66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18"/>
              <w:jc w:val="center"/>
              <w:rPr>
                <w:rFonts w:ascii="Times New Roman" w:hAnsi="Times New Roman" w:cs="Times New Roman" w:eastAsia="Times New Roman" w:hint="default"/>
                <w:sz w:val="24"/>
                <w:szCs w:val="24"/>
              </w:rPr>
            </w:pPr>
            <w:r>
              <w:rPr>
                <w:rFonts w:ascii="Times New Roman"/>
                <w:sz w:val="24"/>
              </w:rPr>
              <w:t>12190463158011455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10,215,272.66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3 </w:t>
            </w:r>
            <w:r>
              <w:rPr>
                <w:rFonts w:ascii="宋体" w:hAnsi="宋体" w:cs="宋体" w:eastAsia="宋体" w:hint="default"/>
                <w:sz w:val="24"/>
                <w:szCs w:val="24"/>
              </w:rPr>
              <w:t>个月</w:t>
            </w:r>
          </w:p>
        </w:tc>
      </w:tr>
      <w:tr>
        <w:trPr>
          <w:trHeight w:val="636"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118"/>
              <w:jc w:val="center"/>
              <w:rPr>
                <w:rFonts w:ascii="Times New Roman" w:hAnsi="Times New Roman" w:cs="Times New Roman" w:eastAsia="Times New Roman" w:hint="default"/>
                <w:sz w:val="24"/>
                <w:szCs w:val="24"/>
              </w:rPr>
            </w:pPr>
            <w:r>
              <w:rPr>
                <w:rFonts w:ascii="Times New Roman"/>
                <w:sz w:val="24"/>
              </w:rPr>
              <w:t>12190463158011856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101"/>
              <w:jc w:val="right"/>
              <w:rPr>
                <w:rFonts w:ascii="Times New Roman" w:hAnsi="Times New Roman" w:cs="Times New Roman" w:eastAsia="Times New Roman" w:hint="default"/>
                <w:sz w:val="24"/>
                <w:szCs w:val="24"/>
              </w:rPr>
            </w:pPr>
            <w:r>
              <w:rPr>
                <w:rFonts w:ascii="Times New Roman"/>
                <w:sz w:val="24"/>
              </w:rPr>
              <w:t>20,155,000.00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3 </w:t>
            </w:r>
            <w:r>
              <w:rPr>
                <w:rFonts w:ascii="宋体" w:hAnsi="宋体" w:cs="宋体" w:eastAsia="宋体" w:hint="default"/>
                <w:sz w:val="24"/>
                <w:szCs w:val="24"/>
              </w:rPr>
              <w:t>个月</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18"/>
              <w:jc w:val="center"/>
              <w:rPr>
                <w:rFonts w:ascii="Times New Roman" w:hAnsi="Times New Roman" w:cs="Times New Roman" w:eastAsia="Times New Roman" w:hint="default"/>
                <w:sz w:val="24"/>
                <w:szCs w:val="24"/>
              </w:rPr>
            </w:pPr>
            <w:r>
              <w:rPr>
                <w:rFonts w:ascii="Times New Roman"/>
                <w:sz w:val="24"/>
              </w:rPr>
              <w:t>12190463158011633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18"/>
              <w:jc w:val="center"/>
              <w:rPr>
                <w:rFonts w:ascii="Times New Roman" w:hAnsi="Times New Roman" w:cs="Times New Roman" w:eastAsia="Times New Roman" w:hint="default"/>
                <w:sz w:val="24"/>
                <w:szCs w:val="24"/>
              </w:rPr>
            </w:pPr>
            <w:r>
              <w:rPr>
                <w:rFonts w:ascii="Times New Roman"/>
                <w:sz w:val="24"/>
              </w:rPr>
              <w:t>12190463158011647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18"/>
              <w:jc w:val="center"/>
              <w:rPr>
                <w:rFonts w:ascii="Times New Roman" w:hAnsi="Times New Roman" w:cs="Times New Roman" w:eastAsia="Times New Roman" w:hint="default"/>
                <w:sz w:val="24"/>
                <w:szCs w:val="24"/>
              </w:rPr>
            </w:pPr>
            <w:r>
              <w:rPr>
                <w:rFonts w:ascii="Times New Roman"/>
                <w:sz w:val="24"/>
              </w:rPr>
              <w:t>12190463158011650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18"/>
              <w:jc w:val="center"/>
              <w:rPr>
                <w:rFonts w:ascii="Times New Roman" w:hAnsi="Times New Roman" w:cs="Times New Roman" w:eastAsia="Times New Roman" w:hint="default"/>
                <w:sz w:val="24"/>
                <w:szCs w:val="24"/>
              </w:rPr>
            </w:pPr>
            <w:r>
              <w:rPr>
                <w:rFonts w:ascii="Times New Roman"/>
                <w:sz w:val="24"/>
              </w:rPr>
              <w:t>12190463158011664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18"/>
              <w:jc w:val="center"/>
              <w:rPr>
                <w:rFonts w:ascii="Times New Roman" w:hAnsi="Times New Roman" w:cs="Times New Roman" w:eastAsia="Times New Roman" w:hint="default"/>
                <w:sz w:val="24"/>
                <w:szCs w:val="24"/>
              </w:rPr>
            </w:pPr>
            <w:r>
              <w:rPr>
                <w:rFonts w:ascii="Times New Roman"/>
                <w:sz w:val="24"/>
              </w:rPr>
              <w:t>12190463158011678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w:t>
            </w:r>
          </w:p>
        </w:tc>
      </w:tr>
      <w:tr>
        <w:trPr>
          <w:trHeight w:val="637"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118"/>
              <w:jc w:val="center"/>
              <w:rPr>
                <w:rFonts w:ascii="Times New Roman" w:hAnsi="Times New Roman" w:cs="Times New Roman" w:eastAsia="Times New Roman" w:hint="default"/>
                <w:sz w:val="24"/>
                <w:szCs w:val="24"/>
              </w:rPr>
            </w:pPr>
            <w:r>
              <w:rPr>
                <w:rFonts w:ascii="Times New Roman"/>
                <w:sz w:val="24"/>
              </w:rPr>
              <w:t>12190463158011681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18"/>
              <w:jc w:val="center"/>
              <w:rPr>
                <w:rFonts w:ascii="Times New Roman" w:hAnsi="Times New Roman" w:cs="Times New Roman" w:eastAsia="Times New Roman" w:hint="default"/>
                <w:sz w:val="24"/>
                <w:szCs w:val="24"/>
              </w:rPr>
            </w:pPr>
            <w:r>
              <w:rPr>
                <w:rFonts w:ascii="Times New Roman"/>
                <w:sz w:val="24"/>
              </w:rPr>
              <w:t>12190463158011695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18"/>
              <w:jc w:val="center"/>
              <w:rPr>
                <w:rFonts w:ascii="Times New Roman" w:hAnsi="Times New Roman" w:cs="Times New Roman" w:eastAsia="Times New Roman" w:hint="default"/>
                <w:sz w:val="24"/>
                <w:szCs w:val="24"/>
              </w:rPr>
            </w:pPr>
            <w:r>
              <w:rPr>
                <w:rFonts w:ascii="Times New Roman"/>
                <w:sz w:val="24"/>
              </w:rPr>
              <w:t>12190463158011705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w:t>
            </w:r>
          </w:p>
        </w:tc>
      </w:tr>
      <w:tr>
        <w:trPr>
          <w:trHeight w:val="634" w:hRule="exact"/>
        </w:trPr>
        <w:tc>
          <w:tcPr>
            <w:tcW w:w="2141" w:type="dxa"/>
            <w:vMerge/>
            <w:tcBorders>
              <w:left w:val="single" w:sz="4" w:space="0" w:color="000000"/>
              <w:bottom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18"/>
              <w:jc w:val="center"/>
              <w:rPr>
                <w:rFonts w:ascii="Times New Roman" w:hAnsi="Times New Roman" w:cs="Times New Roman" w:eastAsia="Times New Roman" w:hint="default"/>
                <w:sz w:val="24"/>
                <w:szCs w:val="24"/>
              </w:rPr>
            </w:pPr>
            <w:r>
              <w:rPr>
                <w:rFonts w:ascii="Times New Roman"/>
                <w:sz w:val="24"/>
              </w:rPr>
              <w:t>12190463158011719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w:t>
            </w:r>
          </w:p>
        </w:tc>
      </w:tr>
    </w:tbl>
    <w:p>
      <w:pPr>
        <w:spacing w:after="0" w:line="240" w:lineRule="auto"/>
        <w:jc w:val="center"/>
        <w:rPr>
          <w:rFonts w:ascii="宋体" w:hAnsi="宋体" w:cs="宋体" w:eastAsia="宋体" w:hint="default"/>
          <w:sz w:val="24"/>
          <w:szCs w:val="24"/>
        </w:rPr>
        <w:sectPr>
          <w:pgSz w:w="11910" w:h="16840"/>
          <w:pgMar w:header="884" w:footer="980" w:top="1140" w:bottom="1160" w:left="1580" w:right="1560"/>
        </w:sectPr>
      </w:pPr>
    </w:p>
    <w:p>
      <w:pPr>
        <w:spacing w:line="240" w:lineRule="auto" w:before="5"/>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2141"/>
        <w:gridCol w:w="2377"/>
        <w:gridCol w:w="1716"/>
        <w:gridCol w:w="1111"/>
        <w:gridCol w:w="1179"/>
      </w:tblGrid>
      <w:tr>
        <w:trPr>
          <w:trHeight w:val="634" w:hRule="exact"/>
        </w:trPr>
        <w:tc>
          <w:tcPr>
            <w:tcW w:w="2141" w:type="dxa"/>
            <w:vMerge w:val="restart"/>
            <w:tcBorders>
              <w:top w:val="single" w:sz="4" w:space="0" w:color="000000"/>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12190463158011722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12190463158011736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12190463158011753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年</w:t>
            </w:r>
          </w:p>
        </w:tc>
      </w:tr>
      <w:tr>
        <w:trPr>
          <w:trHeight w:val="636"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103" w:right="0"/>
              <w:jc w:val="left"/>
              <w:rPr>
                <w:rFonts w:ascii="Times New Roman" w:hAnsi="Times New Roman" w:cs="Times New Roman" w:eastAsia="Times New Roman" w:hint="default"/>
                <w:sz w:val="24"/>
                <w:szCs w:val="24"/>
              </w:rPr>
            </w:pPr>
            <w:r>
              <w:rPr>
                <w:rFonts w:ascii="Times New Roman"/>
                <w:sz w:val="24"/>
              </w:rPr>
              <w:t>12190463158011767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12190463158011770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12190463158011784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12190463158011798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12190463158011808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12190463158011825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年</w:t>
            </w:r>
          </w:p>
        </w:tc>
      </w:tr>
      <w:tr>
        <w:trPr>
          <w:trHeight w:val="636"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103" w:right="0"/>
              <w:jc w:val="left"/>
              <w:rPr>
                <w:rFonts w:ascii="Times New Roman" w:hAnsi="Times New Roman" w:cs="Times New Roman" w:eastAsia="Times New Roman" w:hint="default"/>
                <w:sz w:val="24"/>
                <w:szCs w:val="24"/>
              </w:rPr>
            </w:pPr>
            <w:r>
              <w:rPr>
                <w:rFonts w:ascii="Times New Roman"/>
                <w:sz w:val="24"/>
              </w:rPr>
              <w:t>12190463158011839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12190463158011842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12190463158011811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12190463158011860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40,000,000.00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年</w:t>
            </w:r>
          </w:p>
        </w:tc>
      </w:tr>
      <w:tr>
        <w:trPr>
          <w:trHeight w:val="322" w:hRule="exact"/>
        </w:trPr>
        <w:tc>
          <w:tcPr>
            <w:tcW w:w="2141" w:type="dxa"/>
            <w:vMerge/>
            <w:tcBorders>
              <w:left w:val="single" w:sz="4" w:space="0" w:color="000000"/>
              <w:bottom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Times New Roman" w:hAnsi="Times New Roman" w:cs="Times New Roman" w:eastAsia="Times New Roman" w:hint="default"/>
                <w:sz w:val="24"/>
                <w:szCs w:val="24"/>
              </w:rPr>
            </w:pPr>
            <w:r>
              <w:rPr>
                <w:rFonts w:ascii="Times New Roman"/>
                <w:sz w:val="24"/>
              </w:rPr>
              <w:t>121904631510808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24"/>
                <w:szCs w:val="24"/>
              </w:rPr>
            </w:pPr>
            <w:r>
              <w:rPr>
                <w:rFonts w:ascii="Times New Roman"/>
                <w:sz w:val="24"/>
              </w:rPr>
              <w:t>3,904,519.17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活期</w:t>
            </w:r>
          </w:p>
        </w:tc>
        <w:tc>
          <w:tcPr>
            <w:tcW w:w="11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1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30"/>
                <w:szCs w:val="30"/>
              </w:rPr>
            </w:pPr>
          </w:p>
          <w:p>
            <w:pPr>
              <w:pStyle w:val="TableParagraph"/>
              <w:spacing w:line="312" w:lineRule="exact"/>
              <w:ind w:left="105" w:right="103"/>
              <w:jc w:val="center"/>
              <w:rPr>
                <w:rFonts w:ascii="宋体" w:hAnsi="宋体" w:cs="宋体" w:eastAsia="宋体" w:hint="default"/>
                <w:sz w:val="24"/>
                <w:szCs w:val="24"/>
              </w:rPr>
            </w:pPr>
            <w:r>
              <w:rPr>
                <w:rFonts w:ascii="宋体" w:hAnsi="宋体" w:cs="宋体" w:eastAsia="宋体" w:hint="default"/>
                <w:sz w:val="24"/>
                <w:szCs w:val="24"/>
              </w:rPr>
              <w:t>中国民生银行股份 有限公司上海静安 支行</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0211014280001432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w:t>
            </w:r>
          </w:p>
        </w:tc>
      </w:tr>
      <w:tr>
        <w:trPr>
          <w:trHeight w:val="636"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103" w:right="0"/>
              <w:jc w:val="left"/>
              <w:rPr>
                <w:rFonts w:ascii="Times New Roman" w:hAnsi="Times New Roman" w:cs="Times New Roman" w:eastAsia="Times New Roman" w:hint="default"/>
                <w:sz w:val="24"/>
                <w:szCs w:val="24"/>
              </w:rPr>
            </w:pPr>
            <w:r>
              <w:rPr>
                <w:rFonts w:ascii="Times New Roman"/>
                <w:sz w:val="24"/>
              </w:rPr>
              <w:t>0211014280001416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0211014280001457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w:t>
            </w:r>
          </w:p>
        </w:tc>
      </w:tr>
      <w:tr>
        <w:trPr>
          <w:trHeight w:val="322" w:hRule="exact"/>
        </w:trPr>
        <w:tc>
          <w:tcPr>
            <w:tcW w:w="2141" w:type="dxa"/>
            <w:vMerge/>
            <w:tcBorders>
              <w:left w:val="single" w:sz="4" w:space="0" w:color="000000"/>
              <w:bottom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Times New Roman" w:hAnsi="Times New Roman" w:cs="Times New Roman" w:eastAsia="Times New Roman" w:hint="default"/>
                <w:sz w:val="24"/>
                <w:szCs w:val="24"/>
              </w:rPr>
            </w:pPr>
            <w:r>
              <w:rPr>
                <w:rFonts w:ascii="Times New Roman"/>
                <w:sz w:val="24"/>
              </w:rPr>
              <w:t>0211014180001976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24"/>
                <w:szCs w:val="24"/>
              </w:rPr>
            </w:pPr>
            <w:r>
              <w:rPr>
                <w:rFonts w:ascii="Times New Roman"/>
                <w:sz w:val="24"/>
              </w:rPr>
              <w:t>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活期</w:t>
            </w:r>
          </w:p>
        </w:tc>
        <w:tc>
          <w:tcPr>
            <w:tcW w:w="11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1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34"/>
                <w:szCs w:val="34"/>
              </w:rPr>
            </w:pPr>
          </w:p>
          <w:p>
            <w:pPr>
              <w:pStyle w:val="TableParagraph"/>
              <w:spacing w:line="312" w:lineRule="exact"/>
              <w:ind w:left="105" w:right="103"/>
              <w:jc w:val="center"/>
              <w:rPr>
                <w:rFonts w:ascii="宋体" w:hAnsi="宋体" w:cs="宋体" w:eastAsia="宋体" w:hint="default"/>
                <w:sz w:val="24"/>
                <w:szCs w:val="24"/>
              </w:rPr>
            </w:pPr>
            <w:r>
              <w:rPr>
                <w:rFonts w:ascii="宋体" w:hAnsi="宋体" w:cs="宋体" w:eastAsia="宋体" w:hint="default"/>
                <w:sz w:val="24"/>
                <w:szCs w:val="24"/>
              </w:rPr>
              <w:t>深圳发展银行股份 有限公司上海分行 陆家嘴支行</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12-0118605790-01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12-0118605790-01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12-0118605790-01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w:t>
            </w:r>
          </w:p>
        </w:tc>
      </w:tr>
      <w:tr>
        <w:trPr>
          <w:trHeight w:val="636"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103" w:right="0"/>
              <w:jc w:val="left"/>
              <w:rPr>
                <w:rFonts w:ascii="Times New Roman" w:hAnsi="Times New Roman" w:cs="Times New Roman" w:eastAsia="Times New Roman" w:hint="default"/>
                <w:sz w:val="24"/>
                <w:szCs w:val="24"/>
              </w:rPr>
            </w:pPr>
            <w:r>
              <w:rPr>
                <w:rFonts w:ascii="Times New Roman"/>
                <w:sz w:val="24"/>
              </w:rPr>
              <w:t>12-0118605790-01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年</w:t>
            </w:r>
          </w:p>
        </w:tc>
      </w:tr>
      <w:tr>
        <w:trPr>
          <w:trHeight w:val="322" w:hRule="exact"/>
        </w:trPr>
        <w:tc>
          <w:tcPr>
            <w:tcW w:w="2141" w:type="dxa"/>
            <w:vMerge/>
            <w:tcBorders>
              <w:left w:val="single" w:sz="4" w:space="0" w:color="000000"/>
              <w:bottom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Times New Roman" w:hAnsi="Times New Roman" w:cs="Times New Roman" w:eastAsia="Times New Roman" w:hint="default"/>
                <w:sz w:val="24"/>
                <w:szCs w:val="24"/>
              </w:rPr>
            </w:pPr>
            <w:r>
              <w:rPr>
                <w:rFonts w:ascii="Times New Roman"/>
                <w:sz w:val="24"/>
              </w:rPr>
              <w:t>12-0118605790-01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年</w:t>
            </w:r>
          </w:p>
        </w:tc>
      </w:tr>
    </w:tbl>
    <w:p>
      <w:pPr>
        <w:spacing w:after="0" w:line="292" w:lineRule="exact"/>
        <w:jc w:val="center"/>
        <w:rPr>
          <w:rFonts w:ascii="宋体" w:hAnsi="宋体" w:cs="宋体" w:eastAsia="宋体" w:hint="default"/>
          <w:sz w:val="24"/>
          <w:szCs w:val="24"/>
        </w:rPr>
        <w:sectPr>
          <w:pgSz w:w="11910" w:h="16840"/>
          <w:pgMar w:header="884" w:footer="980" w:top="1140" w:bottom="1160" w:left="1580" w:right="1580"/>
        </w:sectPr>
      </w:pPr>
    </w:p>
    <w:p>
      <w:pPr>
        <w:spacing w:line="240" w:lineRule="auto" w:before="5"/>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2141"/>
        <w:gridCol w:w="2377"/>
        <w:gridCol w:w="1716"/>
        <w:gridCol w:w="1111"/>
        <w:gridCol w:w="1179"/>
      </w:tblGrid>
      <w:tr>
        <w:trPr>
          <w:trHeight w:val="322" w:hRule="exact"/>
        </w:trPr>
        <w:tc>
          <w:tcPr>
            <w:tcW w:w="2141" w:type="dxa"/>
            <w:vMerge w:val="restart"/>
            <w:tcBorders>
              <w:top w:val="single" w:sz="4" w:space="0" w:color="000000"/>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12-0118605790-01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12-0118605790-01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年</w:t>
            </w:r>
          </w:p>
        </w:tc>
      </w:tr>
      <w:tr>
        <w:trPr>
          <w:trHeight w:val="636"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103" w:right="0"/>
              <w:jc w:val="left"/>
              <w:rPr>
                <w:rFonts w:ascii="Times New Roman" w:hAnsi="Times New Roman" w:cs="Times New Roman" w:eastAsia="Times New Roman" w:hint="default"/>
                <w:sz w:val="24"/>
                <w:szCs w:val="24"/>
              </w:rPr>
            </w:pPr>
            <w:r>
              <w:rPr>
                <w:rFonts w:ascii="Times New Roman"/>
                <w:sz w:val="24"/>
              </w:rPr>
              <w:t>12-0118605790-01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年</w:t>
            </w:r>
          </w:p>
        </w:tc>
      </w:tr>
      <w:tr>
        <w:trPr>
          <w:trHeight w:val="322" w:hRule="exact"/>
        </w:trPr>
        <w:tc>
          <w:tcPr>
            <w:tcW w:w="2141" w:type="dxa"/>
            <w:vMerge/>
            <w:tcBorders>
              <w:left w:val="single" w:sz="4" w:space="0" w:color="000000"/>
              <w:bottom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Times New Roman" w:hAnsi="Times New Roman" w:cs="Times New Roman" w:eastAsia="Times New Roman" w:hint="default"/>
                <w:sz w:val="24"/>
                <w:szCs w:val="24"/>
              </w:rPr>
            </w:pPr>
            <w:r>
              <w:rPr>
                <w:rFonts w:ascii="Times New Roman"/>
                <w:sz w:val="24"/>
              </w:rPr>
              <w:t>11011860579001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24"/>
                <w:szCs w:val="24"/>
              </w:rPr>
            </w:pPr>
            <w:r>
              <w:rPr>
                <w:rFonts w:ascii="Times New Roman"/>
                <w:sz w:val="24"/>
              </w:rPr>
              <w:t>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活期</w:t>
            </w:r>
          </w:p>
        </w:tc>
        <w:tc>
          <w:tcPr>
            <w:tcW w:w="11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1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before="164"/>
              <w:ind w:left="105" w:right="103"/>
              <w:jc w:val="left"/>
              <w:rPr>
                <w:rFonts w:ascii="宋体" w:hAnsi="宋体" w:cs="宋体" w:eastAsia="宋体" w:hint="default"/>
                <w:sz w:val="24"/>
                <w:szCs w:val="24"/>
              </w:rPr>
            </w:pPr>
            <w:r>
              <w:rPr>
                <w:rFonts w:ascii="宋体" w:hAnsi="宋体" w:cs="宋体" w:eastAsia="宋体" w:hint="default"/>
                <w:sz w:val="24"/>
                <w:szCs w:val="24"/>
              </w:rPr>
              <w:t>宁波银行股份有限 公司上海徐汇支行</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70030122000259002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70030122000258944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70030122000258888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70030122000258317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年</w:t>
            </w:r>
          </w:p>
        </w:tc>
      </w:tr>
      <w:tr>
        <w:trPr>
          <w:trHeight w:val="636"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103" w:right="0"/>
              <w:jc w:val="left"/>
              <w:rPr>
                <w:rFonts w:ascii="Times New Roman" w:hAnsi="Times New Roman" w:cs="Times New Roman" w:eastAsia="Times New Roman" w:hint="default"/>
                <w:sz w:val="24"/>
                <w:szCs w:val="24"/>
              </w:rPr>
            </w:pPr>
            <w:r>
              <w:rPr>
                <w:rFonts w:ascii="Times New Roman"/>
                <w:sz w:val="24"/>
              </w:rPr>
              <w:t>70030122000258470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70030122000258526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70030122000258679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70030122000258735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年</w:t>
            </w:r>
          </w:p>
        </w:tc>
      </w:tr>
      <w:tr>
        <w:trPr>
          <w:trHeight w:val="322" w:hRule="exact"/>
        </w:trPr>
        <w:tc>
          <w:tcPr>
            <w:tcW w:w="2141" w:type="dxa"/>
            <w:vMerge/>
            <w:tcBorders>
              <w:left w:val="single" w:sz="4" w:space="0" w:color="000000"/>
              <w:bottom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Times New Roman" w:hAnsi="Times New Roman" w:cs="Times New Roman" w:eastAsia="Times New Roman" w:hint="default"/>
                <w:sz w:val="24"/>
                <w:szCs w:val="24"/>
              </w:rPr>
            </w:pPr>
            <w:r>
              <w:rPr>
                <w:rFonts w:ascii="Times New Roman"/>
                <w:sz w:val="24"/>
              </w:rPr>
              <w:t>70030122000258052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24"/>
                <w:szCs w:val="24"/>
              </w:rPr>
            </w:pPr>
            <w:r>
              <w:rPr>
                <w:rFonts w:ascii="Times New Roman"/>
                <w:sz w:val="24"/>
              </w:rPr>
              <w:t>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活期</w:t>
            </w:r>
          </w:p>
        </w:tc>
        <w:tc>
          <w:tcPr>
            <w:tcW w:w="11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1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2" w:lineRule="exact"/>
              <w:ind w:left="105" w:right="103"/>
              <w:jc w:val="center"/>
              <w:rPr>
                <w:rFonts w:ascii="宋体" w:hAnsi="宋体" w:cs="宋体" w:eastAsia="宋体" w:hint="default"/>
                <w:sz w:val="24"/>
                <w:szCs w:val="24"/>
              </w:rPr>
            </w:pPr>
            <w:r>
              <w:rPr>
                <w:rFonts w:ascii="宋体" w:hAnsi="宋体" w:cs="宋体" w:eastAsia="宋体" w:hint="default"/>
                <w:sz w:val="24"/>
                <w:szCs w:val="24"/>
              </w:rPr>
              <w:t>兴业银行股份有限 公司上海金沙江支 行</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216280100200050389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30,000,000.00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w:t>
            </w:r>
          </w:p>
        </w:tc>
      </w:tr>
      <w:tr>
        <w:trPr>
          <w:trHeight w:val="636"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103" w:right="0"/>
              <w:jc w:val="left"/>
              <w:rPr>
                <w:rFonts w:ascii="Times New Roman" w:hAnsi="Times New Roman" w:cs="Times New Roman" w:eastAsia="Times New Roman" w:hint="default"/>
                <w:sz w:val="24"/>
                <w:szCs w:val="24"/>
              </w:rPr>
            </w:pPr>
            <w:r>
              <w:rPr>
                <w:rFonts w:ascii="Times New Roman"/>
                <w:sz w:val="24"/>
              </w:rPr>
              <w:t>216280100200049881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101"/>
              <w:jc w:val="right"/>
              <w:rPr>
                <w:rFonts w:ascii="Times New Roman" w:hAnsi="Times New Roman" w:cs="Times New Roman" w:eastAsia="Times New Roman" w:hint="default"/>
                <w:sz w:val="24"/>
                <w:szCs w:val="24"/>
              </w:rPr>
            </w:pPr>
            <w:r>
              <w:rPr>
                <w:rFonts w:ascii="Times New Roman"/>
                <w:sz w:val="24"/>
              </w:rPr>
              <w:t>30,000,000.00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216280100200049909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30,000,000.00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216280100200050268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30,000,000.00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216280100200050147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30,000,000.00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216280100200050403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30,000,000.00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w:t>
            </w:r>
          </w:p>
        </w:tc>
      </w:tr>
      <w:tr>
        <w:trPr>
          <w:trHeight w:val="634" w:hRule="exact"/>
        </w:trPr>
        <w:tc>
          <w:tcPr>
            <w:tcW w:w="2141" w:type="dxa"/>
            <w:vMerge/>
            <w:tcBorders>
              <w:left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216280100200050029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30,000,000.00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定期存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单</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w:t>
            </w:r>
          </w:p>
        </w:tc>
      </w:tr>
      <w:tr>
        <w:trPr>
          <w:trHeight w:val="324" w:hRule="exact"/>
        </w:trPr>
        <w:tc>
          <w:tcPr>
            <w:tcW w:w="2141" w:type="dxa"/>
            <w:vMerge/>
            <w:tcBorders>
              <w:left w:val="single" w:sz="4" w:space="0" w:color="000000"/>
              <w:bottom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Times New Roman" w:hAnsi="Times New Roman" w:cs="Times New Roman" w:eastAsia="Times New Roman" w:hint="default"/>
                <w:sz w:val="24"/>
                <w:szCs w:val="24"/>
              </w:rPr>
            </w:pPr>
            <w:r>
              <w:rPr>
                <w:rFonts w:ascii="Times New Roman"/>
                <w:sz w:val="24"/>
              </w:rPr>
              <w:t>216280100100095802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4"/>
                <w:szCs w:val="24"/>
              </w:rPr>
            </w:pPr>
            <w:r>
              <w:rPr>
                <w:rFonts w:ascii="Times New Roman"/>
                <w:sz w:val="24"/>
              </w:rPr>
              <w:t>21.88</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活期</w:t>
            </w:r>
          </w:p>
        </w:tc>
        <w:tc>
          <w:tcPr>
            <w:tcW w:w="11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37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24"/>
                <w:szCs w:val="24"/>
              </w:rPr>
            </w:pPr>
            <w:r>
              <w:rPr>
                <w:rFonts w:ascii="Times New Roman"/>
                <w:sz w:val="24"/>
              </w:rPr>
              <w:t>694,490,086.37</w:t>
            </w:r>
          </w:p>
        </w:tc>
        <w:tc>
          <w:tcPr>
            <w:tcW w:w="1111"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39"/>
        <w:ind w:left="686" w:right="205"/>
        <w:jc w:val="left"/>
      </w:pPr>
      <w:r>
        <w:rPr>
          <w:rFonts w:ascii="宋体" w:hAnsi="宋体" w:cs="宋体" w:eastAsia="宋体" w:hint="default"/>
        </w:rPr>
        <w:t>3</w:t>
      </w:r>
      <w:r>
        <w:rPr/>
        <w:t>、募集资金使用情况如下表</w:t>
      </w:r>
    </w:p>
    <w:p>
      <w:pPr>
        <w:spacing w:line="240" w:lineRule="auto" w:before="10"/>
        <w:rPr>
          <w:rFonts w:ascii="宋体" w:hAnsi="宋体" w:cs="宋体" w:eastAsia="宋体" w:hint="default"/>
          <w:sz w:val="15"/>
          <w:szCs w:val="15"/>
        </w:rPr>
      </w:pPr>
    </w:p>
    <w:p>
      <w:pPr>
        <w:spacing w:before="44"/>
        <w:ind w:left="0" w:right="1116" w:firstLine="0"/>
        <w:jc w:val="right"/>
        <w:rPr>
          <w:rFonts w:ascii="宋体" w:hAnsi="宋体" w:cs="宋体" w:eastAsia="宋体" w:hint="default"/>
          <w:sz w:val="18"/>
          <w:szCs w:val="18"/>
        </w:rPr>
      </w:pPr>
      <w:r>
        <w:rPr>
          <w:rFonts w:ascii="宋体" w:hAnsi="宋体" w:cs="宋体" w:eastAsia="宋体" w:hint="default"/>
          <w:sz w:val="18"/>
          <w:szCs w:val="18"/>
        </w:rPr>
        <w:t>单位：人民币万元</w:t>
      </w:r>
    </w:p>
    <w:p>
      <w:pPr>
        <w:spacing w:after="0"/>
        <w:jc w:val="right"/>
        <w:rPr>
          <w:rFonts w:ascii="宋体" w:hAnsi="宋体" w:cs="宋体" w:eastAsia="宋体" w:hint="default"/>
          <w:sz w:val="18"/>
          <w:szCs w:val="18"/>
        </w:rPr>
        <w:sectPr>
          <w:pgSz w:w="11910" w:h="16840"/>
          <w:pgMar w:header="884" w:footer="980" w:top="1140" w:bottom="1160" w:left="1580" w:right="1580"/>
        </w:sectPr>
      </w:pPr>
    </w:p>
    <w:p>
      <w:pPr>
        <w:spacing w:line="240" w:lineRule="auto" w:before="5"/>
        <w:rPr>
          <w:rFonts w:ascii="Times New Roman" w:hAnsi="Times New Roman" w:cs="Times New Roman" w:eastAsia="Times New Roman"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946"/>
        <w:gridCol w:w="653"/>
        <w:gridCol w:w="1016"/>
        <w:gridCol w:w="1015"/>
        <w:gridCol w:w="917"/>
        <w:gridCol w:w="917"/>
        <w:gridCol w:w="1010"/>
        <w:gridCol w:w="744"/>
        <w:gridCol w:w="415"/>
        <w:gridCol w:w="418"/>
        <w:gridCol w:w="487"/>
      </w:tblGrid>
      <w:tr>
        <w:trPr>
          <w:trHeight w:val="1620" w:hRule="exact"/>
        </w:trPr>
        <w:tc>
          <w:tcPr>
            <w:tcW w:w="2614" w:type="dxa"/>
            <w:gridSpan w:val="3"/>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12" w:right="0"/>
              <w:jc w:val="left"/>
              <w:rPr>
                <w:rFonts w:ascii="宋体" w:hAnsi="宋体" w:cs="宋体" w:eastAsia="宋体" w:hint="default"/>
                <w:sz w:val="20"/>
                <w:szCs w:val="20"/>
              </w:rPr>
            </w:pPr>
            <w:r>
              <w:rPr>
                <w:rFonts w:ascii="宋体" w:hAnsi="宋体" w:cs="宋体" w:eastAsia="宋体" w:hint="default"/>
                <w:sz w:val="20"/>
                <w:szCs w:val="20"/>
              </w:rPr>
              <w:t>募集资金总额</w:t>
            </w:r>
          </w:p>
        </w:tc>
        <w:tc>
          <w:tcPr>
            <w:tcW w:w="2849"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right="103"/>
              <w:jc w:val="right"/>
              <w:rPr>
                <w:rFonts w:ascii="Times New Roman" w:hAnsi="Times New Roman" w:cs="Times New Roman" w:eastAsia="Times New Roman" w:hint="default"/>
                <w:sz w:val="20"/>
                <w:szCs w:val="20"/>
              </w:rPr>
            </w:pPr>
            <w:r>
              <w:rPr>
                <w:rFonts w:ascii="Times New Roman"/>
                <w:w w:val="95"/>
                <w:sz w:val="20"/>
              </w:rPr>
              <w:t>71,373.31</w:t>
            </w:r>
            <w:r>
              <w:rPr>
                <w:rFonts w:ascii="Times New Roman"/>
                <w:sz w:val="20"/>
              </w:rPr>
            </w:r>
          </w:p>
        </w:tc>
        <w:tc>
          <w:tcPr>
            <w:tcW w:w="1010" w:type="dxa"/>
            <w:tcBorders>
              <w:top w:val="single" w:sz="12" w:space="0" w:color="000000"/>
              <w:left w:val="dotted" w:sz="4" w:space="0" w:color="000000"/>
              <w:bottom w:val="dotted" w:sz="4" w:space="0" w:color="000000"/>
              <w:right w:val="dotted" w:sz="4" w:space="0" w:color="000000"/>
            </w:tcBorders>
          </w:tcPr>
          <w:p>
            <w:pPr>
              <w:pStyle w:val="TableParagraph"/>
              <w:spacing w:line="367" w:lineRule="auto" w:before="109"/>
              <w:ind w:left="201" w:right="199"/>
              <w:jc w:val="both"/>
              <w:rPr>
                <w:rFonts w:ascii="宋体" w:hAnsi="宋体" w:cs="宋体" w:eastAsia="宋体" w:hint="default"/>
                <w:sz w:val="20"/>
                <w:szCs w:val="20"/>
              </w:rPr>
            </w:pPr>
            <w:r>
              <w:rPr>
                <w:rFonts w:ascii="宋体" w:hAnsi="宋体" w:cs="宋体" w:eastAsia="宋体" w:hint="default"/>
                <w:sz w:val="20"/>
                <w:szCs w:val="20"/>
              </w:rPr>
              <w:t>本年度</w:t>
            </w:r>
            <w:r>
              <w:rPr>
                <w:rFonts w:ascii="宋体" w:hAnsi="宋体" w:cs="宋体" w:eastAsia="宋体" w:hint="default"/>
                <w:w w:val="99"/>
                <w:sz w:val="20"/>
                <w:szCs w:val="20"/>
              </w:rPr>
              <w:t> </w:t>
            </w:r>
            <w:r>
              <w:rPr>
                <w:rFonts w:ascii="宋体" w:hAnsi="宋体" w:cs="宋体" w:eastAsia="宋体" w:hint="default"/>
                <w:sz w:val="20"/>
                <w:szCs w:val="20"/>
              </w:rPr>
              <w:t>投入募</w:t>
            </w:r>
            <w:r>
              <w:rPr>
                <w:rFonts w:ascii="宋体" w:hAnsi="宋体" w:cs="宋体" w:eastAsia="宋体" w:hint="default"/>
                <w:w w:val="99"/>
                <w:sz w:val="20"/>
                <w:szCs w:val="20"/>
              </w:rPr>
              <w:t> </w:t>
            </w:r>
            <w:r>
              <w:rPr>
                <w:rFonts w:ascii="宋体" w:hAnsi="宋体" w:cs="宋体" w:eastAsia="宋体" w:hint="default"/>
                <w:sz w:val="20"/>
                <w:szCs w:val="20"/>
              </w:rPr>
              <w:t>集资金</w:t>
            </w:r>
          </w:p>
          <w:p>
            <w:pPr>
              <w:pStyle w:val="TableParagraph"/>
              <w:spacing w:line="240" w:lineRule="auto" w:before="33"/>
              <w:ind w:left="300" w:right="0"/>
              <w:jc w:val="both"/>
              <w:rPr>
                <w:rFonts w:ascii="宋体" w:hAnsi="宋体" w:cs="宋体" w:eastAsia="宋体" w:hint="default"/>
                <w:sz w:val="20"/>
                <w:szCs w:val="20"/>
              </w:rPr>
            </w:pPr>
            <w:r>
              <w:rPr>
                <w:rFonts w:ascii="宋体" w:hAnsi="宋体" w:cs="宋体" w:eastAsia="宋体" w:hint="default"/>
                <w:sz w:val="20"/>
                <w:szCs w:val="20"/>
              </w:rPr>
              <w:t>总额</w:t>
            </w:r>
          </w:p>
        </w:tc>
        <w:tc>
          <w:tcPr>
            <w:tcW w:w="2065"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775" w:right="0"/>
              <w:jc w:val="left"/>
              <w:rPr>
                <w:rFonts w:ascii="Times New Roman" w:hAnsi="Times New Roman" w:cs="Times New Roman" w:eastAsia="Times New Roman" w:hint="default"/>
                <w:sz w:val="20"/>
                <w:szCs w:val="20"/>
              </w:rPr>
            </w:pPr>
            <w:r>
              <w:rPr>
                <w:rFonts w:ascii="Times New Roman"/>
                <w:sz w:val="20"/>
              </w:rPr>
              <w:t>2,450.64</w:t>
            </w:r>
          </w:p>
        </w:tc>
      </w:tr>
      <w:tr>
        <w:trPr>
          <w:trHeight w:val="811" w:hRule="exact"/>
        </w:trPr>
        <w:tc>
          <w:tcPr>
            <w:tcW w:w="2614" w:type="dxa"/>
            <w:gridSpan w:val="3"/>
            <w:tcBorders>
              <w:top w:val="dotted" w:sz="4" w:space="0" w:color="000000"/>
              <w:left w:val="nil" w:sz="6" w:space="0" w:color="auto"/>
              <w:bottom w:val="dotted" w:sz="4" w:space="0" w:color="000000"/>
              <w:right w:val="dotted" w:sz="4" w:space="0" w:color="000000"/>
            </w:tcBorders>
          </w:tcPr>
          <w:p>
            <w:pPr>
              <w:pStyle w:val="TableParagraph"/>
              <w:spacing w:line="400" w:lineRule="exact" w:before="20"/>
              <w:ind w:left="122" w:right="287"/>
              <w:jc w:val="left"/>
              <w:rPr>
                <w:rFonts w:ascii="宋体" w:hAnsi="宋体" w:cs="宋体" w:eastAsia="宋体" w:hint="default"/>
                <w:sz w:val="20"/>
                <w:szCs w:val="20"/>
              </w:rPr>
            </w:pPr>
            <w:r>
              <w:rPr>
                <w:rFonts w:ascii="宋体" w:hAnsi="宋体" w:cs="宋体" w:eastAsia="宋体" w:hint="default"/>
                <w:sz w:val="20"/>
                <w:szCs w:val="20"/>
              </w:rPr>
              <w:t>报告期内变更用途的募集</w:t>
            </w:r>
            <w:r>
              <w:rPr>
                <w:rFonts w:ascii="宋体" w:hAnsi="宋体" w:cs="宋体" w:eastAsia="宋体" w:hint="default"/>
                <w:w w:val="99"/>
                <w:sz w:val="20"/>
                <w:szCs w:val="20"/>
              </w:rPr>
              <w:t> </w:t>
            </w:r>
            <w:r>
              <w:rPr>
                <w:rFonts w:ascii="宋体" w:hAnsi="宋体" w:cs="宋体" w:eastAsia="宋体" w:hint="default"/>
                <w:sz w:val="20"/>
                <w:szCs w:val="20"/>
              </w:rPr>
              <w:t>资金总额</w:t>
            </w:r>
          </w:p>
        </w:tc>
        <w:tc>
          <w:tcPr>
            <w:tcW w:w="2849" w:type="dxa"/>
            <w:gridSpan w:val="3"/>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right="100"/>
              <w:jc w:val="right"/>
              <w:rPr>
                <w:rFonts w:ascii="Times New Roman" w:hAnsi="Times New Roman" w:cs="Times New Roman" w:eastAsia="Times New Roman" w:hint="default"/>
                <w:sz w:val="20"/>
                <w:szCs w:val="20"/>
              </w:rPr>
            </w:pPr>
            <w:r>
              <w:rPr>
                <w:rFonts w:ascii="Times New Roman"/>
                <w:sz w:val="20"/>
              </w:rPr>
              <w:t>0.00</w:t>
            </w:r>
          </w:p>
        </w:tc>
        <w:tc>
          <w:tcPr>
            <w:tcW w:w="1010"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367" w:lineRule="auto"/>
              <w:ind w:left="201" w:right="199"/>
              <w:jc w:val="both"/>
              <w:rPr>
                <w:rFonts w:ascii="宋体" w:hAnsi="宋体" w:cs="宋体" w:eastAsia="宋体" w:hint="default"/>
                <w:sz w:val="20"/>
                <w:szCs w:val="20"/>
              </w:rPr>
            </w:pPr>
            <w:r>
              <w:rPr>
                <w:rFonts w:ascii="宋体" w:hAnsi="宋体" w:cs="宋体" w:eastAsia="宋体" w:hint="default"/>
                <w:sz w:val="20"/>
                <w:szCs w:val="20"/>
              </w:rPr>
              <w:t>已累计</w:t>
            </w:r>
            <w:r>
              <w:rPr>
                <w:rFonts w:ascii="宋体" w:hAnsi="宋体" w:cs="宋体" w:eastAsia="宋体" w:hint="default"/>
                <w:w w:val="99"/>
                <w:sz w:val="20"/>
                <w:szCs w:val="20"/>
              </w:rPr>
              <w:t> </w:t>
            </w:r>
            <w:r>
              <w:rPr>
                <w:rFonts w:ascii="宋体" w:hAnsi="宋体" w:cs="宋体" w:eastAsia="宋体" w:hint="default"/>
                <w:sz w:val="20"/>
                <w:szCs w:val="20"/>
              </w:rPr>
              <w:t>投入募</w:t>
            </w:r>
            <w:r>
              <w:rPr>
                <w:rFonts w:ascii="宋体" w:hAnsi="宋体" w:cs="宋体" w:eastAsia="宋体" w:hint="default"/>
                <w:w w:val="99"/>
                <w:sz w:val="20"/>
                <w:szCs w:val="20"/>
              </w:rPr>
              <w:t> </w:t>
            </w:r>
            <w:r>
              <w:rPr>
                <w:rFonts w:ascii="宋体" w:hAnsi="宋体" w:cs="宋体" w:eastAsia="宋体" w:hint="default"/>
                <w:sz w:val="20"/>
                <w:szCs w:val="20"/>
              </w:rPr>
              <w:t>集资金</w:t>
            </w:r>
            <w:r>
              <w:rPr>
                <w:rFonts w:ascii="宋体" w:hAnsi="宋体" w:cs="宋体" w:eastAsia="宋体" w:hint="default"/>
                <w:w w:val="99"/>
                <w:sz w:val="20"/>
                <w:szCs w:val="20"/>
              </w:rPr>
              <w:t> </w:t>
            </w:r>
            <w:r>
              <w:rPr>
                <w:rFonts w:ascii="宋体" w:hAnsi="宋体" w:cs="宋体" w:eastAsia="宋体" w:hint="default"/>
                <w:sz w:val="20"/>
                <w:szCs w:val="20"/>
              </w:rPr>
              <w:t>总额</w:t>
            </w:r>
          </w:p>
        </w:tc>
        <w:tc>
          <w:tcPr>
            <w:tcW w:w="2065" w:type="dxa"/>
            <w:gridSpan w:val="4"/>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75" w:right="0"/>
              <w:jc w:val="left"/>
              <w:rPr>
                <w:rFonts w:ascii="Times New Roman" w:hAnsi="Times New Roman" w:cs="Times New Roman" w:eastAsia="Times New Roman" w:hint="default"/>
                <w:sz w:val="20"/>
                <w:szCs w:val="20"/>
              </w:rPr>
            </w:pPr>
            <w:r>
              <w:rPr>
                <w:rFonts w:ascii="Times New Roman"/>
                <w:sz w:val="20"/>
              </w:rPr>
              <w:t>2,450.64</w:t>
            </w:r>
          </w:p>
        </w:tc>
      </w:tr>
      <w:tr>
        <w:trPr>
          <w:trHeight w:val="809" w:hRule="exact"/>
        </w:trPr>
        <w:tc>
          <w:tcPr>
            <w:tcW w:w="2614" w:type="dxa"/>
            <w:gridSpan w:val="3"/>
            <w:tcBorders>
              <w:top w:val="dotted" w:sz="4" w:space="0" w:color="000000"/>
              <w:left w:val="nil" w:sz="6" w:space="0" w:color="auto"/>
              <w:bottom w:val="dotted" w:sz="4" w:space="0" w:color="000000"/>
              <w:right w:val="dotted" w:sz="4" w:space="0" w:color="000000"/>
            </w:tcBorders>
          </w:tcPr>
          <w:p>
            <w:pPr>
              <w:pStyle w:val="TableParagraph"/>
              <w:spacing w:line="400" w:lineRule="exact" w:before="20"/>
              <w:ind w:left="122" w:right="287"/>
              <w:jc w:val="left"/>
              <w:rPr>
                <w:rFonts w:ascii="宋体" w:hAnsi="宋体" w:cs="宋体" w:eastAsia="宋体" w:hint="default"/>
                <w:sz w:val="20"/>
                <w:szCs w:val="20"/>
              </w:rPr>
            </w:pPr>
            <w:r>
              <w:rPr>
                <w:rFonts w:ascii="宋体" w:hAnsi="宋体" w:cs="宋体" w:eastAsia="宋体" w:hint="default"/>
                <w:sz w:val="20"/>
                <w:szCs w:val="20"/>
              </w:rPr>
              <w:t>累计变更用途的募集资金</w:t>
            </w:r>
            <w:r>
              <w:rPr>
                <w:rFonts w:ascii="宋体" w:hAnsi="宋体" w:cs="宋体" w:eastAsia="宋体" w:hint="default"/>
                <w:w w:val="99"/>
                <w:sz w:val="20"/>
                <w:szCs w:val="20"/>
              </w:rPr>
              <w:t> </w:t>
            </w:r>
            <w:r>
              <w:rPr>
                <w:rFonts w:ascii="宋体" w:hAnsi="宋体" w:cs="宋体" w:eastAsia="宋体" w:hint="default"/>
                <w:sz w:val="20"/>
                <w:szCs w:val="20"/>
              </w:rPr>
              <w:t>总额</w:t>
            </w:r>
          </w:p>
        </w:tc>
        <w:tc>
          <w:tcPr>
            <w:tcW w:w="2849" w:type="dxa"/>
            <w:gridSpan w:val="3"/>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right="100"/>
              <w:jc w:val="right"/>
              <w:rPr>
                <w:rFonts w:ascii="Times New Roman" w:hAnsi="Times New Roman" w:cs="Times New Roman" w:eastAsia="Times New Roman" w:hint="default"/>
                <w:sz w:val="20"/>
                <w:szCs w:val="20"/>
              </w:rPr>
            </w:pPr>
            <w:r>
              <w:rPr>
                <w:rFonts w:ascii="Times New Roman"/>
                <w:sz w:val="20"/>
              </w:rPr>
              <w:t>0.00</w:t>
            </w:r>
          </w:p>
        </w:tc>
        <w:tc>
          <w:tcPr>
            <w:tcW w:w="1010" w:type="dxa"/>
            <w:vMerge/>
            <w:tcBorders>
              <w:left w:val="dotted" w:sz="4" w:space="0" w:color="000000"/>
              <w:right w:val="dotted" w:sz="4" w:space="0" w:color="000000"/>
            </w:tcBorders>
          </w:tcPr>
          <w:p>
            <w:pPr/>
          </w:p>
        </w:tc>
        <w:tc>
          <w:tcPr>
            <w:tcW w:w="2065" w:type="dxa"/>
            <w:gridSpan w:val="4"/>
            <w:vMerge/>
            <w:tcBorders>
              <w:left w:val="dotted" w:sz="4" w:space="0" w:color="000000"/>
              <w:right w:val="nil" w:sz="6" w:space="0" w:color="auto"/>
            </w:tcBorders>
          </w:tcPr>
          <w:p>
            <w:pPr/>
          </w:p>
        </w:tc>
      </w:tr>
      <w:tr>
        <w:trPr>
          <w:trHeight w:val="811" w:hRule="exact"/>
        </w:trPr>
        <w:tc>
          <w:tcPr>
            <w:tcW w:w="2614" w:type="dxa"/>
            <w:gridSpan w:val="3"/>
            <w:tcBorders>
              <w:top w:val="dotted" w:sz="4" w:space="0" w:color="000000"/>
              <w:left w:val="nil" w:sz="6" w:space="0" w:color="auto"/>
              <w:bottom w:val="dotted" w:sz="4" w:space="0" w:color="000000"/>
              <w:right w:val="dotted" w:sz="4" w:space="0" w:color="000000"/>
            </w:tcBorders>
          </w:tcPr>
          <w:p>
            <w:pPr>
              <w:pStyle w:val="TableParagraph"/>
              <w:spacing w:line="400" w:lineRule="exact" w:before="20"/>
              <w:ind w:left="122" w:right="287"/>
              <w:jc w:val="left"/>
              <w:rPr>
                <w:rFonts w:ascii="宋体" w:hAnsi="宋体" w:cs="宋体" w:eastAsia="宋体" w:hint="default"/>
                <w:sz w:val="20"/>
                <w:szCs w:val="20"/>
              </w:rPr>
            </w:pPr>
            <w:r>
              <w:rPr>
                <w:rFonts w:ascii="宋体" w:hAnsi="宋体" w:cs="宋体" w:eastAsia="宋体" w:hint="default"/>
                <w:sz w:val="20"/>
                <w:szCs w:val="20"/>
              </w:rPr>
              <w:t>累计变更用途的募集资金</w:t>
            </w:r>
            <w:r>
              <w:rPr>
                <w:rFonts w:ascii="宋体" w:hAnsi="宋体" w:cs="宋体" w:eastAsia="宋体" w:hint="default"/>
                <w:w w:val="99"/>
                <w:sz w:val="20"/>
                <w:szCs w:val="20"/>
              </w:rPr>
              <w:t> </w:t>
            </w:r>
            <w:r>
              <w:rPr>
                <w:rFonts w:ascii="宋体" w:hAnsi="宋体" w:cs="宋体" w:eastAsia="宋体" w:hint="default"/>
                <w:sz w:val="20"/>
                <w:szCs w:val="20"/>
              </w:rPr>
              <w:t>总额比例</w:t>
            </w:r>
          </w:p>
        </w:tc>
        <w:tc>
          <w:tcPr>
            <w:tcW w:w="2849" w:type="dxa"/>
            <w:gridSpan w:val="3"/>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right="100"/>
              <w:jc w:val="right"/>
              <w:rPr>
                <w:rFonts w:ascii="Times New Roman" w:hAnsi="Times New Roman" w:cs="Times New Roman" w:eastAsia="Times New Roman" w:hint="default"/>
                <w:sz w:val="20"/>
                <w:szCs w:val="20"/>
              </w:rPr>
            </w:pPr>
            <w:r>
              <w:rPr>
                <w:rFonts w:ascii="Times New Roman"/>
                <w:sz w:val="20"/>
              </w:rPr>
              <w:t>0.00</w:t>
            </w:r>
          </w:p>
        </w:tc>
        <w:tc>
          <w:tcPr>
            <w:tcW w:w="1010" w:type="dxa"/>
            <w:vMerge/>
            <w:tcBorders>
              <w:left w:val="dotted" w:sz="4" w:space="0" w:color="000000"/>
              <w:bottom w:val="dotted" w:sz="4" w:space="0" w:color="000000"/>
              <w:right w:val="dotted" w:sz="4" w:space="0" w:color="000000"/>
            </w:tcBorders>
          </w:tcPr>
          <w:p>
            <w:pPr/>
          </w:p>
        </w:tc>
        <w:tc>
          <w:tcPr>
            <w:tcW w:w="2065" w:type="dxa"/>
            <w:gridSpan w:val="4"/>
            <w:vMerge/>
            <w:tcBorders>
              <w:left w:val="dotted" w:sz="4" w:space="0" w:color="000000"/>
              <w:bottom w:val="dotted" w:sz="4" w:space="0" w:color="000000"/>
              <w:right w:val="nil" w:sz="6" w:space="0" w:color="auto"/>
            </w:tcBorders>
          </w:tcPr>
          <w:p>
            <w:pPr/>
          </w:p>
        </w:tc>
      </w:tr>
      <w:tr>
        <w:trPr>
          <w:trHeight w:val="5211" w:hRule="exact"/>
        </w:trPr>
        <w:tc>
          <w:tcPr>
            <w:tcW w:w="94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367" w:lineRule="auto"/>
              <w:ind w:left="180" w:right="161"/>
              <w:jc w:val="center"/>
              <w:rPr>
                <w:rFonts w:ascii="宋体" w:hAnsi="宋体" w:cs="宋体" w:eastAsia="宋体" w:hint="default"/>
                <w:sz w:val="20"/>
                <w:szCs w:val="20"/>
              </w:rPr>
            </w:pPr>
            <w:r>
              <w:rPr>
                <w:rFonts w:ascii="宋体" w:hAnsi="宋体" w:cs="宋体" w:eastAsia="宋体" w:hint="default"/>
                <w:w w:val="95"/>
                <w:sz w:val="20"/>
                <w:szCs w:val="20"/>
              </w:rPr>
              <w:t>承诺投</w:t>
            </w:r>
            <w:r>
              <w:rPr>
                <w:rFonts w:ascii="宋体" w:hAnsi="宋体" w:cs="宋体" w:eastAsia="宋体" w:hint="default"/>
                <w:spacing w:val="-71"/>
                <w:w w:val="95"/>
                <w:sz w:val="20"/>
                <w:szCs w:val="20"/>
              </w:rPr>
              <w:t> </w:t>
            </w:r>
            <w:r>
              <w:rPr>
                <w:rFonts w:ascii="宋体" w:hAnsi="宋体" w:cs="宋体" w:eastAsia="宋体" w:hint="default"/>
                <w:w w:val="95"/>
                <w:sz w:val="20"/>
                <w:szCs w:val="20"/>
              </w:rPr>
              <w:t>资项目</w:t>
            </w:r>
            <w:r>
              <w:rPr>
                <w:rFonts w:ascii="宋体" w:hAnsi="宋体" w:cs="宋体" w:eastAsia="宋体" w:hint="default"/>
                <w:spacing w:val="-71"/>
                <w:w w:val="95"/>
                <w:sz w:val="20"/>
                <w:szCs w:val="20"/>
              </w:rPr>
              <w:t> </w:t>
            </w:r>
            <w:r>
              <w:rPr>
                <w:rFonts w:ascii="宋体" w:hAnsi="宋体" w:cs="宋体" w:eastAsia="宋体" w:hint="default"/>
                <w:w w:val="95"/>
                <w:sz w:val="20"/>
                <w:szCs w:val="20"/>
              </w:rPr>
              <w:t>和超募</w:t>
            </w:r>
            <w:r>
              <w:rPr>
                <w:rFonts w:ascii="宋体" w:hAnsi="宋体" w:cs="宋体" w:eastAsia="宋体" w:hint="default"/>
                <w:spacing w:val="-71"/>
                <w:w w:val="95"/>
                <w:sz w:val="20"/>
                <w:szCs w:val="20"/>
              </w:rPr>
              <w:t> </w:t>
            </w:r>
            <w:r>
              <w:rPr>
                <w:rFonts w:ascii="宋体" w:hAnsi="宋体" w:cs="宋体" w:eastAsia="宋体" w:hint="default"/>
                <w:w w:val="95"/>
                <w:sz w:val="20"/>
                <w:szCs w:val="20"/>
              </w:rPr>
              <w:t>资金投</w:t>
            </w:r>
            <w:r>
              <w:rPr>
                <w:rFonts w:ascii="宋体" w:hAnsi="宋体" w:cs="宋体" w:eastAsia="宋体" w:hint="default"/>
                <w:spacing w:val="-71"/>
                <w:w w:val="95"/>
                <w:sz w:val="20"/>
                <w:szCs w:val="20"/>
              </w:rPr>
              <w:t> </w:t>
            </w:r>
            <w:r>
              <w:rPr>
                <w:rFonts w:ascii="宋体" w:hAnsi="宋体" w:cs="宋体" w:eastAsia="宋体" w:hint="default"/>
                <w:sz w:val="20"/>
                <w:szCs w:val="20"/>
              </w:rPr>
              <w:t>向</w:t>
            </w:r>
          </w:p>
        </w:tc>
        <w:tc>
          <w:tcPr>
            <w:tcW w:w="6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67" w:lineRule="auto"/>
              <w:ind w:left="119" w:right="122"/>
              <w:jc w:val="both"/>
              <w:rPr>
                <w:rFonts w:ascii="宋体" w:hAnsi="宋体" w:cs="宋体" w:eastAsia="宋体" w:hint="default"/>
                <w:sz w:val="20"/>
                <w:szCs w:val="20"/>
              </w:rPr>
            </w:pPr>
            <w:r>
              <w:rPr>
                <w:rFonts w:ascii="宋体" w:hAnsi="宋体" w:cs="宋体" w:eastAsia="宋体" w:hint="default"/>
                <w:sz w:val="20"/>
                <w:szCs w:val="20"/>
              </w:rPr>
              <w:t>是否</w:t>
            </w:r>
            <w:r>
              <w:rPr>
                <w:rFonts w:ascii="宋体" w:hAnsi="宋体" w:cs="宋体" w:eastAsia="宋体" w:hint="default"/>
                <w:w w:val="99"/>
                <w:sz w:val="20"/>
                <w:szCs w:val="20"/>
              </w:rPr>
              <w:t> </w:t>
            </w:r>
            <w:r>
              <w:rPr>
                <w:rFonts w:ascii="宋体" w:hAnsi="宋体" w:cs="宋体" w:eastAsia="宋体" w:hint="default"/>
                <w:sz w:val="20"/>
                <w:szCs w:val="20"/>
              </w:rPr>
              <w:t>已变</w:t>
            </w:r>
            <w:r>
              <w:rPr>
                <w:rFonts w:ascii="宋体" w:hAnsi="宋体" w:cs="宋体" w:eastAsia="宋体" w:hint="default"/>
                <w:w w:val="99"/>
                <w:sz w:val="20"/>
                <w:szCs w:val="20"/>
              </w:rPr>
              <w:t> </w:t>
            </w:r>
            <w:r>
              <w:rPr>
                <w:rFonts w:ascii="宋体" w:hAnsi="宋体" w:cs="宋体" w:eastAsia="宋体" w:hint="default"/>
                <w:sz w:val="20"/>
                <w:szCs w:val="20"/>
              </w:rPr>
              <w:t>更项</w:t>
            </w:r>
            <w:r>
              <w:rPr>
                <w:rFonts w:ascii="宋体" w:hAnsi="宋体" w:cs="宋体" w:eastAsia="宋体" w:hint="default"/>
                <w:w w:val="99"/>
                <w:sz w:val="20"/>
                <w:szCs w:val="20"/>
              </w:rPr>
              <w:t> </w:t>
            </w:r>
            <w:r>
              <w:rPr>
                <w:rFonts w:ascii="宋体" w:hAnsi="宋体" w:cs="宋体" w:eastAsia="宋体" w:hint="default"/>
                <w:sz w:val="20"/>
                <w:szCs w:val="20"/>
              </w:rPr>
              <w:t>目</w:t>
            </w:r>
          </w:p>
          <w:p>
            <w:pPr>
              <w:pStyle w:val="TableParagraph"/>
              <w:spacing w:line="367" w:lineRule="auto" w:before="30"/>
              <w:ind w:left="119" w:right="122"/>
              <w:jc w:val="center"/>
              <w:rPr>
                <w:rFonts w:ascii="宋体" w:hAnsi="宋体" w:cs="宋体" w:eastAsia="宋体" w:hint="default"/>
                <w:sz w:val="20"/>
                <w:szCs w:val="20"/>
              </w:rPr>
            </w:pPr>
            <w:r>
              <w:rPr>
                <w:rFonts w:ascii="宋体" w:hAnsi="宋体" w:cs="宋体" w:eastAsia="宋体" w:hint="default"/>
                <w:sz w:val="20"/>
                <w:szCs w:val="20"/>
              </w:rPr>
              <w:t>（含</w:t>
            </w:r>
            <w:r>
              <w:rPr>
                <w:rFonts w:ascii="宋体" w:hAnsi="宋体" w:cs="宋体" w:eastAsia="宋体" w:hint="default"/>
                <w:w w:val="99"/>
                <w:sz w:val="20"/>
                <w:szCs w:val="20"/>
              </w:rPr>
              <w:t> </w:t>
            </w:r>
            <w:r>
              <w:rPr>
                <w:rFonts w:ascii="宋体" w:hAnsi="宋体" w:cs="宋体" w:eastAsia="宋体" w:hint="default"/>
                <w:sz w:val="20"/>
                <w:szCs w:val="20"/>
              </w:rPr>
              <w:t>部分</w:t>
            </w:r>
            <w:r>
              <w:rPr>
                <w:rFonts w:ascii="宋体" w:hAnsi="宋体" w:cs="宋体" w:eastAsia="宋体" w:hint="default"/>
                <w:w w:val="99"/>
                <w:sz w:val="20"/>
                <w:szCs w:val="20"/>
              </w:rPr>
              <w:t> </w:t>
            </w:r>
            <w:r>
              <w:rPr>
                <w:rFonts w:ascii="宋体" w:hAnsi="宋体" w:cs="宋体" w:eastAsia="宋体" w:hint="default"/>
                <w:sz w:val="20"/>
                <w:szCs w:val="20"/>
              </w:rPr>
              <w:t>变</w:t>
            </w:r>
            <w:r>
              <w:rPr>
                <w:rFonts w:ascii="宋体" w:hAnsi="宋体" w:cs="宋体" w:eastAsia="宋体" w:hint="default"/>
                <w:w w:val="99"/>
                <w:sz w:val="20"/>
                <w:szCs w:val="20"/>
              </w:rPr>
              <w:t> </w:t>
            </w:r>
            <w:r>
              <w:rPr>
                <w:rFonts w:ascii="宋体" w:hAnsi="宋体" w:cs="宋体" w:eastAsia="宋体" w:hint="default"/>
                <w:sz w:val="20"/>
                <w:szCs w:val="20"/>
              </w:rPr>
              <w:t>更）</w:t>
            </w:r>
          </w:p>
        </w:tc>
        <w:tc>
          <w:tcPr>
            <w:tcW w:w="10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67" w:lineRule="auto"/>
              <w:ind w:left="103" w:right="104"/>
              <w:jc w:val="center"/>
              <w:rPr>
                <w:rFonts w:ascii="宋体" w:hAnsi="宋体" w:cs="宋体" w:eastAsia="宋体" w:hint="default"/>
                <w:sz w:val="20"/>
                <w:szCs w:val="20"/>
              </w:rPr>
            </w:pPr>
            <w:r>
              <w:rPr>
                <w:rFonts w:ascii="宋体" w:hAnsi="宋体" w:cs="宋体" w:eastAsia="宋体" w:hint="default"/>
                <w:sz w:val="20"/>
                <w:szCs w:val="20"/>
              </w:rPr>
              <w:t>募集资金</w:t>
            </w:r>
            <w:r>
              <w:rPr>
                <w:rFonts w:ascii="宋体" w:hAnsi="宋体" w:cs="宋体" w:eastAsia="宋体" w:hint="default"/>
                <w:w w:val="99"/>
                <w:sz w:val="20"/>
                <w:szCs w:val="20"/>
              </w:rPr>
              <w:t> </w:t>
            </w:r>
            <w:r>
              <w:rPr>
                <w:rFonts w:ascii="宋体" w:hAnsi="宋体" w:cs="宋体" w:eastAsia="宋体" w:hint="default"/>
                <w:sz w:val="20"/>
                <w:szCs w:val="20"/>
              </w:rPr>
              <w:t>承诺投资</w:t>
            </w:r>
            <w:r>
              <w:rPr>
                <w:rFonts w:ascii="宋体" w:hAnsi="宋体" w:cs="宋体" w:eastAsia="宋体" w:hint="default"/>
                <w:w w:val="99"/>
                <w:sz w:val="20"/>
                <w:szCs w:val="20"/>
              </w:rPr>
              <w:t> </w:t>
            </w:r>
            <w:r>
              <w:rPr>
                <w:rFonts w:ascii="宋体" w:hAnsi="宋体" w:cs="宋体" w:eastAsia="宋体" w:hint="default"/>
                <w:sz w:val="20"/>
                <w:szCs w:val="20"/>
              </w:rPr>
              <w:t>总额</w:t>
            </w:r>
          </w:p>
        </w:tc>
        <w:tc>
          <w:tcPr>
            <w:tcW w:w="10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67" w:lineRule="auto"/>
              <w:ind w:left="103" w:right="103"/>
              <w:jc w:val="center"/>
              <w:rPr>
                <w:rFonts w:ascii="宋体" w:hAnsi="宋体" w:cs="宋体" w:eastAsia="宋体" w:hint="default"/>
                <w:sz w:val="20"/>
                <w:szCs w:val="20"/>
              </w:rPr>
            </w:pPr>
            <w:r>
              <w:rPr>
                <w:rFonts w:ascii="宋体" w:hAnsi="宋体" w:cs="宋体" w:eastAsia="宋体" w:hint="default"/>
                <w:sz w:val="20"/>
                <w:szCs w:val="20"/>
              </w:rPr>
              <w:t>调整后投</w:t>
            </w:r>
            <w:r>
              <w:rPr>
                <w:rFonts w:ascii="宋体" w:hAnsi="宋体" w:cs="宋体" w:eastAsia="宋体" w:hint="default"/>
                <w:w w:val="99"/>
                <w:sz w:val="20"/>
                <w:szCs w:val="20"/>
              </w:rPr>
              <w:t> </w:t>
            </w:r>
            <w:r>
              <w:rPr>
                <w:rFonts w:ascii="宋体" w:hAnsi="宋体" w:cs="宋体" w:eastAsia="宋体" w:hint="default"/>
                <w:sz w:val="20"/>
                <w:szCs w:val="20"/>
              </w:rPr>
              <w:t>资总额</w:t>
            </w:r>
          </w:p>
          <w:p>
            <w:pPr>
              <w:pStyle w:val="TableParagraph"/>
              <w:spacing w:line="240" w:lineRule="auto" w:before="89"/>
              <w:ind w:left="1" w:right="0"/>
              <w:jc w:val="center"/>
              <w:rPr>
                <w:rFonts w:ascii="Times New Roman" w:hAnsi="Times New Roman" w:cs="Times New Roman" w:eastAsia="Times New Roman" w:hint="default"/>
                <w:sz w:val="20"/>
                <w:szCs w:val="20"/>
              </w:rPr>
            </w:pPr>
            <w:r>
              <w:rPr>
                <w:rFonts w:ascii="Times New Roman"/>
                <w:sz w:val="20"/>
              </w:rPr>
              <w:t>(1)</w:t>
            </w:r>
          </w:p>
        </w:tc>
        <w:tc>
          <w:tcPr>
            <w:tcW w:w="9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67" w:lineRule="auto"/>
              <w:ind w:left="251" w:right="155" w:hanging="99"/>
              <w:jc w:val="left"/>
              <w:rPr>
                <w:rFonts w:ascii="宋体" w:hAnsi="宋体" w:cs="宋体" w:eastAsia="宋体" w:hint="default"/>
                <w:sz w:val="20"/>
                <w:szCs w:val="20"/>
              </w:rPr>
            </w:pPr>
            <w:r>
              <w:rPr>
                <w:rFonts w:ascii="宋体" w:hAnsi="宋体" w:cs="宋体" w:eastAsia="宋体" w:hint="default"/>
                <w:sz w:val="20"/>
                <w:szCs w:val="20"/>
              </w:rPr>
              <w:t>本年度</w:t>
            </w:r>
            <w:r>
              <w:rPr>
                <w:rFonts w:ascii="宋体" w:hAnsi="宋体" w:cs="宋体" w:eastAsia="宋体" w:hint="default"/>
                <w:w w:val="99"/>
                <w:sz w:val="20"/>
                <w:szCs w:val="20"/>
              </w:rPr>
              <w:t> </w:t>
            </w:r>
            <w:r>
              <w:rPr>
                <w:rFonts w:ascii="宋体" w:hAnsi="宋体" w:cs="宋体" w:eastAsia="宋体" w:hint="default"/>
                <w:sz w:val="20"/>
                <w:szCs w:val="20"/>
              </w:rPr>
              <w:t>投入</w:t>
            </w:r>
            <w:r>
              <w:rPr>
                <w:rFonts w:ascii="宋体" w:hAnsi="宋体" w:cs="宋体" w:eastAsia="宋体" w:hint="default"/>
                <w:w w:val="99"/>
                <w:sz w:val="20"/>
                <w:szCs w:val="20"/>
              </w:rPr>
              <w:t> </w:t>
            </w:r>
            <w:r>
              <w:rPr>
                <w:rFonts w:ascii="宋体" w:hAnsi="宋体" w:cs="宋体" w:eastAsia="宋体" w:hint="default"/>
                <w:sz w:val="20"/>
                <w:szCs w:val="20"/>
              </w:rPr>
              <w:t>金额</w:t>
            </w:r>
          </w:p>
        </w:tc>
        <w:tc>
          <w:tcPr>
            <w:tcW w:w="9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67" w:lineRule="auto"/>
              <w:ind w:left="153" w:right="154"/>
              <w:jc w:val="both"/>
              <w:rPr>
                <w:rFonts w:ascii="Times New Roman" w:hAnsi="Times New Roman" w:cs="Times New Roman" w:eastAsia="Times New Roman" w:hint="default"/>
                <w:sz w:val="20"/>
                <w:szCs w:val="20"/>
              </w:rPr>
            </w:pPr>
            <w:r>
              <w:rPr>
                <w:rFonts w:ascii="宋体" w:hAnsi="宋体" w:cs="宋体" w:eastAsia="宋体" w:hint="default"/>
                <w:sz w:val="20"/>
                <w:szCs w:val="20"/>
              </w:rPr>
              <w:t>截至期</w:t>
            </w:r>
            <w:r>
              <w:rPr>
                <w:rFonts w:ascii="宋体" w:hAnsi="宋体" w:cs="宋体" w:eastAsia="宋体" w:hint="default"/>
                <w:w w:val="99"/>
                <w:sz w:val="20"/>
                <w:szCs w:val="20"/>
              </w:rPr>
              <w:t> </w:t>
            </w:r>
            <w:r>
              <w:rPr>
                <w:rFonts w:ascii="宋体" w:hAnsi="宋体" w:cs="宋体" w:eastAsia="宋体" w:hint="default"/>
                <w:sz w:val="20"/>
                <w:szCs w:val="20"/>
              </w:rPr>
              <w:t>末累计</w:t>
            </w:r>
            <w:r>
              <w:rPr>
                <w:rFonts w:ascii="宋体" w:hAnsi="宋体" w:cs="宋体" w:eastAsia="宋体" w:hint="default"/>
                <w:w w:val="99"/>
                <w:sz w:val="20"/>
                <w:szCs w:val="20"/>
              </w:rPr>
              <w:t> </w:t>
            </w:r>
            <w:r>
              <w:rPr>
                <w:rFonts w:ascii="宋体" w:hAnsi="宋体" w:cs="宋体" w:eastAsia="宋体" w:hint="default"/>
                <w:sz w:val="20"/>
                <w:szCs w:val="20"/>
              </w:rPr>
              <w:t>投入金</w:t>
            </w:r>
            <w:r>
              <w:rPr>
                <w:rFonts w:ascii="宋体" w:hAnsi="宋体" w:cs="宋体" w:eastAsia="宋体" w:hint="default"/>
                <w:w w:val="99"/>
                <w:sz w:val="20"/>
                <w:szCs w:val="20"/>
              </w:rPr>
              <w:t> </w:t>
            </w:r>
            <w:r>
              <w:rPr>
                <w:rFonts w:ascii="宋体" w:hAnsi="宋体" w:cs="宋体" w:eastAsia="宋体" w:hint="default"/>
                <w:sz w:val="20"/>
                <w:szCs w:val="20"/>
              </w:rPr>
              <w:t>额</w:t>
            </w:r>
            <w:r>
              <w:rPr>
                <w:rFonts w:ascii="Times New Roman" w:hAnsi="Times New Roman" w:cs="Times New Roman" w:eastAsia="Times New Roman" w:hint="default"/>
                <w:sz w:val="20"/>
                <w:szCs w:val="20"/>
              </w:rPr>
              <w:t>(2)</w:t>
            </w:r>
          </w:p>
        </w:tc>
        <w:tc>
          <w:tcPr>
            <w:tcW w:w="10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360" w:lineRule="auto"/>
              <w:ind w:left="103" w:right="0" w:hanging="101"/>
              <w:jc w:val="center"/>
              <w:rPr>
                <w:rFonts w:ascii="宋体" w:hAnsi="宋体" w:cs="宋体" w:eastAsia="宋体" w:hint="default"/>
                <w:sz w:val="20"/>
                <w:szCs w:val="20"/>
              </w:rPr>
            </w:pPr>
            <w:r>
              <w:rPr>
                <w:rFonts w:ascii="宋体" w:hAnsi="宋体" w:cs="宋体" w:eastAsia="宋体" w:hint="default"/>
                <w:sz w:val="20"/>
                <w:szCs w:val="20"/>
              </w:rPr>
              <w:t>截至期</w:t>
            </w:r>
            <w:r>
              <w:rPr>
                <w:rFonts w:ascii="宋体" w:hAnsi="宋体" w:cs="宋体" w:eastAsia="宋体" w:hint="default"/>
                <w:w w:val="99"/>
                <w:sz w:val="20"/>
                <w:szCs w:val="20"/>
              </w:rPr>
              <w:t> </w:t>
            </w:r>
            <w:r>
              <w:rPr>
                <w:rFonts w:ascii="宋体" w:hAnsi="宋体" w:cs="宋体" w:eastAsia="宋体" w:hint="default"/>
                <w:sz w:val="20"/>
                <w:szCs w:val="20"/>
              </w:rPr>
              <w:t>末投入</w:t>
            </w:r>
            <w:r>
              <w:rPr>
                <w:rFonts w:ascii="宋体" w:hAnsi="宋体" w:cs="宋体" w:eastAsia="宋体" w:hint="default"/>
                <w:w w:val="99"/>
                <w:sz w:val="20"/>
                <w:szCs w:val="20"/>
              </w:rPr>
              <w:t> </w:t>
            </w:r>
            <w:r>
              <w:rPr>
                <w:rFonts w:ascii="宋体" w:hAnsi="宋体" w:cs="宋体" w:eastAsia="宋体" w:hint="default"/>
                <w:spacing w:val="-14"/>
                <w:sz w:val="20"/>
                <w:szCs w:val="20"/>
              </w:rPr>
              <w:t>进度（</w:t>
            </w:r>
            <w:r>
              <w:rPr>
                <w:rFonts w:ascii="Times New Roman" w:hAnsi="Times New Roman" w:cs="Times New Roman" w:eastAsia="Times New Roman" w:hint="default"/>
                <w:spacing w:val="-14"/>
                <w:sz w:val="20"/>
                <w:szCs w:val="20"/>
              </w:rPr>
              <w:t>%</w:t>
            </w:r>
            <w:r>
              <w:rPr>
                <w:rFonts w:ascii="宋体" w:hAnsi="宋体" w:cs="宋体" w:eastAsia="宋体" w:hint="default"/>
                <w:spacing w:val="-14"/>
                <w:sz w:val="20"/>
                <w:szCs w:val="20"/>
              </w:rPr>
              <w:t>）</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(3)</w:t>
            </w:r>
            <w:r>
              <w:rPr>
                <w:rFonts w:ascii="宋体" w:hAnsi="宋体" w:cs="宋体" w:eastAsia="宋体" w:hint="default"/>
                <w:sz w:val="20"/>
                <w:szCs w:val="20"/>
              </w:rPr>
              <w:t>＝</w:t>
            </w:r>
          </w:p>
          <w:p>
            <w:pPr>
              <w:pStyle w:val="TableParagraph"/>
              <w:spacing w:line="240" w:lineRule="auto" w:before="67"/>
              <w:ind w:left="2" w:right="0"/>
              <w:jc w:val="center"/>
              <w:rPr>
                <w:rFonts w:ascii="Times New Roman" w:hAnsi="Times New Roman" w:cs="Times New Roman" w:eastAsia="Times New Roman" w:hint="default"/>
                <w:sz w:val="20"/>
                <w:szCs w:val="20"/>
              </w:rPr>
            </w:pPr>
            <w:r>
              <w:rPr>
                <w:rFonts w:ascii="Times New Roman"/>
                <w:sz w:val="20"/>
              </w:rPr>
              <w:t>(2)/(1)</w:t>
            </w:r>
          </w:p>
        </w:tc>
        <w:tc>
          <w:tcPr>
            <w:tcW w:w="7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67" w:lineRule="auto" w:before="158"/>
              <w:ind w:left="165" w:right="168"/>
              <w:jc w:val="both"/>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w w:val="99"/>
                <w:sz w:val="20"/>
                <w:szCs w:val="20"/>
              </w:rPr>
              <w:t> </w:t>
            </w:r>
            <w:r>
              <w:rPr>
                <w:rFonts w:ascii="宋体" w:hAnsi="宋体" w:cs="宋体" w:eastAsia="宋体" w:hint="default"/>
                <w:sz w:val="20"/>
                <w:szCs w:val="20"/>
              </w:rPr>
              <w:t>达到</w:t>
            </w:r>
            <w:r>
              <w:rPr>
                <w:rFonts w:ascii="宋体" w:hAnsi="宋体" w:cs="宋体" w:eastAsia="宋体" w:hint="default"/>
                <w:w w:val="99"/>
                <w:sz w:val="20"/>
                <w:szCs w:val="20"/>
              </w:rPr>
              <w:t> </w:t>
            </w:r>
            <w:r>
              <w:rPr>
                <w:rFonts w:ascii="宋体" w:hAnsi="宋体" w:cs="宋体" w:eastAsia="宋体" w:hint="default"/>
                <w:sz w:val="20"/>
                <w:szCs w:val="20"/>
              </w:rPr>
              <w:t>预定</w:t>
            </w:r>
            <w:r>
              <w:rPr>
                <w:rFonts w:ascii="宋体" w:hAnsi="宋体" w:cs="宋体" w:eastAsia="宋体" w:hint="default"/>
                <w:w w:val="99"/>
                <w:sz w:val="20"/>
                <w:szCs w:val="20"/>
              </w:rPr>
              <w:t> </w:t>
            </w:r>
            <w:r>
              <w:rPr>
                <w:rFonts w:ascii="宋体" w:hAnsi="宋体" w:cs="宋体" w:eastAsia="宋体" w:hint="default"/>
                <w:sz w:val="20"/>
                <w:szCs w:val="20"/>
              </w:rPr>
              <w:t>可使</w:t>
            </w:r>
            <w:r>
              <w:rPr>
                <w:rFonts w:ascii="宋体" w:hAnsi="宋体" w:cs="宋体" w:eastAsia="宋体" w:hint="default"/>
                <w:w w:val="99"/>
                <w:sz w:val="20"/>
                <w:szCs w:val="20"/>
              </w:rPr>
              <w:t> </w:t>
            </w:r>
            <w:r>
              <w:rPr>
                <w:rFonts w:ascii="宋体" w:hAnsi="宋体" w:cs="宋体" w:eastAsia="宋体" w:hint="default"/>
                <w:sz w:val="20"/>
                <w:szCs w:val="20"/>
              </w:rPr>
              <w:t>用状</w:t>
            </w:r>
            <w:r>
              <w:rPr>
                <w:rFonts w:ascii="宋体" w:hAnsi="宋体" w:cs="宋体" w:eastAsia="宋体" w:hint="default"/>
                <w:w w:val="99"/>
                <w:sz w:val="20"/>
                <w:szCs w:val="20"/>
              </w:rPr>
              <w:t> </w:t>
            </w:r>
            <w:r>
              <w:rPr>
                <w:rFonts w:ascii="宋体" w:hAnsi="宋体" w:cs="宋体" w:eastAsia="宋体" w:hint="default"/>
                <w:sz w:val="20"/>
                <w:szCs w:val="20"/>
              </w:rPr>
              <w:t>态日</w:t>
            </w:r>
            <w:r>
              <w:rPr>
                <w:rFonts w:ascii="宋体" w:hAnsi="宋体" w:cs="宋体" w:eastAsia="宋体" w:hint="default"/>
                <w:w w:val="99"/>
                <w:sz w:val="20"/>
                <w:szCs w:val="20"/>
              </w:rPr>
              <w:t> </w:t>
            </w:r>
            <w:r>
              <w:rPr>
                <w:rFonts w:ascii="宋体" w:hAnsi="宋体" w:cs="宋体" w:eastAsia="宋体" w:hint="default"/>
                <w:sz w:val="20"/>
                <w:szCs w:val="20"/>
              </w:rPr>
              <w:t>期</w:t>
            </w:r>
          </w:p>
        </w:tc>
        <w:tc>
          <w:tcPr>
            <w:tcW w:w="4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67" w:lineRule="auto"/>
              <w:ind w:left="103" w:right="101"/>
              <w:jc w:val="both"/>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w w:val="99"/>
                <w:sz w:val="20"/>
                <w:szCs w:val="20"/>
              </w:rPr>
              <w:t> </w:t>
            </w:r>
            <w:r>
              <w:rPr>
                <w:rFonts w:ascii="宋体" w:hAnsi="宋体" w:cs="宋体" w:eastAsia="宋体" w:hint="default"/>
                <w:sz w:val="20"/>
                <w:szCs w:val="20"/>
              </w:rPr>
              <w:t>年</w:t>
            </w:r>
            <w:r>
              <w:rPr>
                <w:rFonts w:ascii="宋体" w:hAnsi="宋体" w:cs="宋体" w:eastAsia="宋体" w:hint="default"/>
                <w:w w:val="99"/>
                <w:sz w:val="20"/>
                <w:szCs w:val="20"/>
              </w:rPr>
              <w:t> </w:t>
            </w:r>
            <w:r>
              <w:rPr>
                <w:rFonts w:ascii="宋体" w:hAnsi="宋体" w:cs="宋体" w:eastAsia="宋体" w:hint="default"/>
                <w:sz w:val="20"/>
                <w:szCs w:val="20"/>
              </w:rPr>
              <w:t>度</w:t>
            </w:r>
            <w:r>
              <w:rPr>
                <w:rFonts w:ascii="宋体" w:hAnsi="宋体" w:cs="宋体" w:eastAsia="宋体" w:hint="default"/>
                <w:w w:val="99"/>
                <w:sz w:val="20"/>
                <w:szCs w:val="20"/>
              </w:rPr>
              <w:t> </w:t>
            </w:r>
            <w:r>
              <w:rPr>
                <w:rFonts w:ascii="宋体" w:hAnsi="宋体" w:cs="宋体" w:eastAsia="宋体" w:hint="default"/>
                <w:sz w:val="20"/>
                <w:szCs w:val="20"/>
              </w:rPr>
              <w:t>实</w:t>
            </w:r>
            <w:r>
              <w:rPr>
                <w:rFonts w:ascii="宋体" w:hAnsi="宋体" w:cs="宋体" w:eastAsia="宋体" w:hint="default"/>
                <w:w w:val="99"/>
                <w:sz w:val="20"/>
                <w:szCs w:val="20"/>
              </w:rPr>
              <w:t> </w:t>
            </w:r>
            <w:r>
              <w:rPr>
                <w:rFonts w:ascii="宋体" w:hAnsi="宋体" w:cs="宋体" w:eastAsia="宋体" w:hint="default"/>
                <w:sz w:val="20"/>
                <w:szCs w:val="20"/>
              </w:rPr>
              <w:t>现</w:t>
            </w:r>
            <w:r>
              <w:rPr>
                <w:rFonts w:ascii="宋体" w:hAnsi="宋体" w:cs="宋体" w:eastAsia="宋体" w:hint="default"/>
                <w:w w:val="99"/>
                <w:sz w:val="20"/>
                <w:szCs w:val="20"/>
              </w:rPr>
              <w:t> </w:t>
            </w:r>
            <w:r>
              <w:rPr>
                <w:rFonts w:ascii="宋体" w:hAnsi="宋体" w:cs="宋体" w:eastAsia="宋体" w:hint="default"/>
                <w:sz w:val="20"/>
                <w:szCs w:val="20"/>
              </w:rPr>
              <w:t>的</w:t>
            </w:r>
            <w:r>
              <w:rPr>
                <w:rFonts w:ascii="宋体" w:hAnsi="宋体" w:cs="宋体" w:eastAsia="宋体" w:hint="default"/>
                <w:w w:val="99"/>
                <w:sz w:val="20"/>
                <w:szCs w:val="20"/>
              </w:rPr>
              <w:t> </w:t>
            </w:r>
            <w:r>
              <w:rPr>
                <w:rFonts w:ascii="宋体" w:hAnsi="宋体" w:cs="宋体" w:eastAsia="宋体" w:hint="default"/>
                <w:sz w:val="20"/>
                <w:szCs w:val="20"/>
              </w:rPr>
              <w:t>效</w:t>
            </w:r>
            <w:r>
              <w:rPr>
                <w:rFonts w:ascii="宋体" w:hAnsi="宋体" w:cs="宋体" w:eastAsia="宋体" w:hint="default"/>
                <w:w w:val="99"/>
                <w:sz w:val="20"/>
                <w:szCs w:val="20"/>
              </w:rPr>
              <w:t> </w:t>
            </w:r>
            <w:r>
              <w:rPr>
                <w:rFonts w:ascii="宋体" w:hAnsi="宋体" w:cs="宋体" w:eastAsia="宋体" w:hint="default"/>
                <w:sz w:val="20"/>
                <w:szCs w:val="20"/>
              </w:rPr>
              <w:t>益</w:t>
            </w:r>
          </w:p>
        </w:tc>
        <w:tc>
          <w:tcPr>
            <w:tcW w:w="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67" w:lineRule="auto"/>
              <w:ind w:left="103" w:right="103"/>
              <w:jc w:val="both"/>
              <w:rPr>
                <w:rFonts w:ascii="宋体" w:hAnsi="宋体" w:cs="宋体" w:eastAsia="宋体" w:hint="default"/>
                <w:sz w:val="20"/>
                <w:szCs w:val="20"/>
              </w:rPr>
            </w:pPr>
            <w:r>
              <w:rPr>
                <w:rFonts w:ascii="宋体" w:hAnsi="宋体" w:cs="宋体" w:eastAsia="宋体" w:hint="default"/>
                <w:sz w:val="20"/>
                <w:szCs w:val="20"/>
              </w:rPr>
              <w:t>是</w:t>
            </w:r>
            <w:r>
              <w:rPr>
                <w:rFonts w:ascii="宋体" w:hAnsi="宋体" w:cs="宋体" w:eastAsia="宋体" w:hint="default"/>
                <w:w w:val="99"/>
                <w:sz w:val="20"/>
                <w:szCs w:val="20"/>
              </w:rPr>
              <w:t> </w:t>
            </w:r>
            <w:r>
              <w:rPr>
                <w:rFonts w:ascii="宋体" w:hAnsi="宋体" w:cs="宋体" w:eastAsia="宋体" w:hint="default"/>
                <w:sz w:val="20"/>
                <w:szCs w:val="20"/>
              </w:rPr>
              <w:t>否</w:t>
            </w:r>
            <w:r>
              <w:rPr>
                <w:rFonts w:ascii="宋体" w:hAnsi="宋体" w:cs="宋体" w:eastAsia="宋体" w:hint="default"/>
                <w:w w:val="99"/>
                <w:sz w:val="20"/>
                <w:szCs w:val="20"/>
              </w:rPr>
              <w:t> </w:t>
            </w:r>
            <w:r>
              <w:rPr>
                <w:rFonts w:ascii="宋体" w:hAnsi="宋体" w:cs="宋体" w:eastAsia="宋体" w:hint="default"/>
                <w:sz w:val="20"/>
                <w:szCs w:val="20"/>
              </w:rPr>
              <w:t>达</w:t>
            </w:r>
            <w:r>
              <w:rPr>
                <w:rFonts w:ascii="宋体" w:hAnsi="宋体" w:cs="宋体" w:eastAsia="宋体" w:hint="default"/>
                <w:w w:val="99"/>
                <w:sz w:val="20"/>
                <w:szCs w:val="20"/>
              </w:rPr>
              <w:t> </w:t>
            </w:r>
            <w:r>
              <w:rPr>
                <w:rFonts w:ascii="宋体" w:hAnsi="宋体" w:cs="宋体" w:eastAsia="宋体" w:hint="default"/>
                <w:sz w:val="20"/>
                <w:szCs w:val="20"/>
              </w:rPr>
              <w:t>到</w:t>
            </w:r>
            <w:r>
              <w:rPr>
                <w:rFonts w:ascii="宋体" w:hAnsi="宋体" w:cs="宋体" w:eastAsia="宋体" w:hint="default"/>
                <w:w w:val="99"/>
                <w:sz w:val="20"/>
                <w:szCs w:val="20"/>
              </w:rPr>
              <w:t> </w:t>
            </w:r>
            <w:r>
              <w:rPr>
                <w:rFonts w:ascii="宋体" w:hAnsi="宋体" w:cs="宋体" w:eastAsia="宋体" w:hint="default"/>
                <w:sz w:val="20"/>
                <w:szCs w:val="20"/>
              </w:rPr>
              <w:t>预</w:t>
            </w:r>
            <w:r>
              <w:rPr>
                <w:rFonts w:ascii="宋体" w:hAnsi="宋体" w:cs="宋体" w:eastAsia="宋体" w:hint="default"/>
                <w:w w:val="99"/>
                <w:sz w:val="20"/>
                <w:szCs w:val="20"/>
              </w:rPr>
              <w:t> </w:t>
            </w:r>
            <w:r>
              <w:rPr>
                <w:rFonts w:ascii="宋体" w:hAnsi="宋体" w:cs="宋体" w:eastAsia="宋体" w:hint="default"/>
                <w:sz w:val="20"/>
                <w:szCs w:val="20"/>
              </w:rPr>
              <w:t>计</w:t>
            </w:r>
            <w:r>
              <w:rPr>
                <w:rFonts w:ascii="宋体" w:hAnsi="宋体" w:cs="宋体" w:eastAsia="宋体" w:hint="default"/>
                <w:w w:val="99"/>
                <w:sz w:val="20"/>
                <w:szCs w:val="20"/>
              </w:rPr>
              <w:t> </w:t>
            </w:r>
            <w:r>
              <w:rPr>
                <w:rFonts w:ascii="宋体" w:hAnsi="宋体" w:cs="宋体" w:eastAsia="宋体" w:hint="default"/>
                <w:sz w:val="20"/>
                <w:szCs w:val="20"/>
              </w:rPr>
              <w:t>效</w:t>
            </w:r>
            <w:r>
              <w:rPr>
                <w:rFonts w:ascii="宋体" w:hAnsi="宋体" w:cs="宋体" w:eastAsia="宋体" w:hint="default"/>
                <w:w w:val="99"/>
                <w:sz w:val="20"/>
                <w:szCs w:val="20"/>
              </w:rPr>
              <w:t> </w:t>
            </w:r>
            <w:r>
              <w:rPr>
                <w:rFonts w:ascii="宋体" w:hAnsi="宋体" w:cs="宋体" w:eastAsia="宋体" w:hint="default"/>
                <w:sz w:val="20"/>
                <w:szCs w:val="20"/>
              </w:rPr>
              <w:t>益</w:t>
            </w:r>
          </w:p>
        </w:tc>
        <w:tc>
          <w:tcPr>
            <w:tcW w:w="487" w:type="dxa"/>
            <w:tcBorders>
              <w:top w:val="dotted" w:sz="4" w:space="0" w:color="000000"/>
              <w:left w:val="dotted" w:sz="4" w:space="0" w:color="000000"/>
              <w:bottom w:val="dotted" w:sz="4" w:space="0" w:color="000000"/>
              <w:right w:val="nil" w:sz="6" w:space="0" w:color="auto"/>
            </w:tcBorders>
          </w:tcPr>
          <w:p>
            <w:pPr>
              <w:pStyle w:val="TableParagraph"/>
              <w:spacing w:line="367" w:lineRule="auto" w:before="108"/>
              <w:ind w:left="136" w:right="144"/>
              <w:jc w:val="both"/>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w w:val="99"/>
                <w:sz w:val="20"/>
                <w:szCs w:val="20"/>
              </w:rPr>
              <w:t> </w:t>
            </w:r>
            <w:r>
              <w:rPr>
                <w:rFonts w:ascii="宋体" w:hAnsi="宋体" w:cs="宋体" w:eastAsia="宋体" w:hint="default"/>
                <w:sz w:val="20"/>
                <w:szCs w:val="20"/>
              </w:rPr>
              <w:t>目</w:t>
            </w:r>
            <w:r>
              <w:rPr>
                <w:rFonts w:ascii="宋体" w:hAnsi="宋体" w:cs="宋体" w:eastAsia="宋体" w:hint="default"/>
                <w:w w:val="99"/>
                <w:sz w:val="20"/>
                <w:szCs w:val="20"/>
              </w:rPr>
              <w:t> </w:t>
            </w:r>
            <w:r>
              <w:rPr>
                <w:rFonts w:ascii="宋体" w:hAnsi="宋体" w:cs="宋体" w:eastAsia="宋体" w:hint="default"/>
                <w:sz w:val="20"/>
                <w:szCs w:val="20"/>
              </w:rPr>
              <w:t>可</w:t>
            </w:r>
            <w:r>
              <w:rPr>
                <w:rFonts w:ascii="宋体" w:hAnsi="宋体" w:cs="宋体" w:eastAsia="宋体" w:hint="default"/>
                <w:w w:val="99"/>
                <w:sz w:val="20"/>
                <w:szCs w:val="20"/>
              </w:rPr>
              <w:t> </w:t>
            </w:r>
            <w:r>
              <w:rPr>
                <w:rFonts w:ascii="宋体" w:hAnsi="宋体" w:cs="宋体" w:eastAsia="宋体" w:hint="default"/>
                <w:sz w:val="20"/>
                <w:szCs w:val="20"/>
              </w:rPr>
              <w:t>行</w:t>
            </w:r>
            <w:r>
              <w:rPr>
                <w:rFonts w:ascii="宋体" w:hAnsi="宋体" w:cs="宋体" w:eastAsia="宋体" w:hint="default"/>
                <w:w w:val="99"/>
                <w:sz w:val="20"/>
                <w:szCs w:val="20"/>
              </w:rPr>
              <w:t> </w:t>
            </w:r>
            <w:r>
              <w:rPr>
                <w:rFonts w:ascii="宋体" w:hAnsi="宋体" w:cs="宋体" w:eastAsia="宋体" w:hint="default"/>
                <w:sz w:val="20"/>
                <w:szCs w:val="20"/>
              </w:rPr>
              <w:t>性</w:t>
            </w:r>
            <w:r>
              <w:rPr>
                <w:rFonts w:ascii="宋体" w:hAnsi="宋体" w:cs="宋体" w:eastAsia="宋体" w:hint="default"/>
                <w:w w:val="99"/>
                <w:sz w:val="20"/>
                <w:szCs w:val="20"/>
              </w:rPr>
              <w:t> </w:t>
            </w:r>
            <w:r>
              <w:rPr>
                <w:rFonts w:ascii="宋体" w:hAnsi="宋体" w:cs="宋体" w:eastAsia="宋体" w:hint="default"/>
                <w:sz w:val="20"/>
                <w:szCs w:val="20"/>
              </w:rPr>
              <w:t>是</w:t>
            </w:r>
            <w:r>
              <w:rPr>
                <w:rFonts w:ascii="宋体" w:hAnsi="宋体" w:cs="宋体" w:eastAsia="宋体" w:hint="default"/>
                <w:w w:val="99"/>
                <w:sz w:val="20"/>
                <w:szCs w:val="20"/>
              </w:rPr>
              <w:t> </w:t>
            </w:r>
            <w:r>
              <w:rPr>
                <w:rFonts w:ascii="宋体" w:hAnsi="宋体" w:cs="宋体" w:eastAsia="宋体" w:hint="default"/>
                <w:sz w:val="20"/>
                <w:szCs w:val="20"/>
              </w:rPr>
              <w:t>否</w:t>
            </w:r>
            <w:r>
              <w:rPr>
                <w:rFonts w:ascii="宋体" w:hAnsi="宋体" w:cs="宋体" w:eastAsia="宋体" w:hint="default"/>
                <w:w w:val="99"/>
                <w:sz w:val="20"/>
                <w:szCs w:val="20"/>
              </w:rPr>
              <w:t> </w:t>
            </w:r>
            <w:r>
              <w:rPr>
                <w:rFonts w:ascii="宋体" w:hAnsi="宋体" w:cs="宋体" w:eastAsia="宋体" w:hint="default"/>
                <w:sz w:val="20"/>
                <w:szCs w:val="20"/>
              </w:rPr>
              <w:t>发</w:t>
            </w:r>
            <w:r>
              <w:rPr>
                <w:rFonts w:ascii="宋体" w:hAnsi="宋体" w:cs="宋体" w:eastAsia="宋体" w:hint="default"/>
                <w:w w:val="99"/>
                <w:sz w:val="20"/>
                <w:szCs w:val="20"/>
              </w:rPr>
              <w:t> </w:t>
            </w:r>
            <w:r>
              <w:rPr>
                <w:rFonts w:ascii="宋体" w:hAnsi="宋体" w:cs="宋体" w:eastAsia="宋体" w:hint="default"/>
                <w:sz w:val="20"/>
                <w:szCs w:val="20"/>
              </w:rPr>
              <w:t>生</w:t>
            </w:r>
            <w:r>
              <w:rPr>
                <w:rFonts w:ascii="宋体" w:hAnsi="宋体" w:cs="宋体" w:eastAsia="宋体" w:hint="default"/>
                <w:w w:val="99"/>
                <w:sz w:val="20"/>
                <w:szCs w:val="20"/>
              </w:rPr>
              <w:t> </w:t>
            </w:r>
            <w:r>
              <w:rPr>
                <w:rFonts w:ascii="宋体" w:hAnsi="宋体" w:cs="宋体" w:eastAsia="宋体" w:hint="default"/>
                <w:sz w:val="20"/>
                <w:szCs w:val="20"/>
              </w:rPr>
              <w:t>重</w:t>
            </w:r>
            <w:r>
              <w:rPr>
                <w:rFonts w:ascii="宋体" w:hAnsi="宋体" w:cs="宋体" w:eastAsia="宋体" w:hint="default"/>
                <w:w w:val="99"/>
                <w:sz w:val="20"/>
                <w:szCs w:val="20"/>
              </w:rPr>
              <w:t> </w:t>
            </w:r>
            <w:r>
              <w:rPr>
                <w:rFonts w:ascii="宋体" w:hAnsi="宋体" w:cs="宋体" w:eastAsia="宋体" w:hint="default"/>
                <w:sz w:val="20"/>
                <w:szCs w:val="20"/>
              </w:rPr>
              <w:t>大</w:t>
            </w:r>
            <w:r>
              <w:rPr>
                <w:rFonts w:ascii="宋体" w:hAnsi="宋体" w:cs="宋体" w:eastAsia="宋体" w:hint="default"/>
                <w:w w:val="99"/>
                <w:sz w:val="20"/>
                <w:szCs w:val="20"/>
              </w:rPr>
              <w:t> </w:t>
            </w:r>
            <w:r>
              <w:rPr>
                <w:rFonts w:ascii="宋体" w:hAnsi="宋体" w:cs="宋体" w:eastAsia="宋体" w:hint="default"/>
                <w:sz w:val="20"/>
                <w:szCs w:val="20"/>
              </w:rPr>
              <w:t>变</w:t>
            </w:r>
          </w:p>
          <w:p>
            <w:pPr>
              <w:pStyle w:val="TableParagraph"/>
              <w:spacing w:line="240" w:lineRule="auto" w:before="33"/>
              <w:ind w:left="136" w:right="0"/>
              <w:jc w:val="both"/>
              <w:rPr>
                <w:rFonts w:ascii="宋体" w:hAnsi="宋体" w:cs="宋体" w:eastAsia="宋体" w:hint="default"/>
                <w:sz w:val="20"/>
                <w:szCs w:val="20"/>
              </w:rPr>
            </w:pPr>
            <w:r>
              <w:rPr>
                <w:rFonts w:ascii="宋体" w:hAnsi="宋体" w:cs="宋体" w:eastAsia="宋体" w:hint="default"/>
                <w:w w:val="99"/>
                <w:sz w:val="20"/>
                <w:szCs w:val="20"/>
              </w:rPr>
              <w:t>化</w:t>
            </w:r>
            <w:r>
              <w:rPr>
                <w:rFonts w:ascii="宋体" w:hAnsi="宋体" w:cs="宋体" w:eastAsia="宋体" w:hint="default"/>
                <w:sz w:val="20"/>
                <w:szCs w:val="20"/>
              </w:rPr>
            </w:r>
          </w:p>
        </w:tc>
      </w:tr>
      <w:tr>
        <w:trPr>
          <w:trHeight w:val="809" w:hRule="exact"/>
        </w:trPr>
        <w:tc>
          <w:tcPr>
            <w:tcW w:w="946"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2"/>
              <w:ind w:left="180" w:right="161"/>
              <w:jc w:val="left"/>
              <w:rPr>
                <w:rFonts w:ascii="宋体" w:hAnsi="宋体" w:cs="宋体" w:eastAsia="宋体" w:hint="default"/>
                <w:sz w:val="20"/>
                <w:szCs w:val="20"/>
              </w:rPr>
            </w:pPr>
            <w:r>
              <w:rPr>
                <w:rFonts w:ascii="宋体" w:hAnsi="宋体" w:cs="宋体" w:eastAsia="宋体" w:hint="default"/>
                <w:sz w:val="20"/>
                <w:szCs w:val="20"/>
              </w:rPr>
              <w:t>承诺投</w:t>
            </w:r>
            <w:r>
              <w:rPr>
                <w:rFonts w:ascii="宋体" w:hAnsi="宋体" w:cs="宋体" w:eastAsia="宋体" w:hint="default"/>
                <w:w w:val="99"/>
                <w:sz w:val="20"/>
                <w:szCs w:val="20"/>
              </w:rPr>
              <w:t> </w:t>
            </w:r>
            <w:r>
              <w:rPr>
                <w:rFonts w:ascii="宋体" w:hAnsi="宋体" w:cs="宋体" w:eastAsia="宋体" w:hint="default"/>
                <w:sz w:val="20"/>
                <w:szCs w:val="20"/>
              </w:rPr>
              <w:t>资项目</w:t>
            </w:r>
          </w:p>
        </w:tc>
        <w:tc>
          <w:tcPr>
            <w:tcW w:w="7593" w:type="dxa"/>
            <w:gridSpan w:val="10"/>
            <w:tcBorders>
              <w:top w:val="dotted" w:sz="4" w:space="0" w:color="000000"/>
              <w:left w:val="dotted" w:sz="4" w:space="0" w:color="000000"/>
              <w:bottom w:val="dotted" w:sz="4" w:space="0" w:color="000000"/>
              <w:right w:val="nil" w:sz="6" w:space="0" w:color="auto"/>
            </w:tcBorders>
          </w:tcPr>
          <w:p>
            <w:pPr/>
          </w:p>
        </w:tc>
      </w:tr>
      <w:tr>
        <w:trPr>
          <w:trHeight w:val="1570" w:hRule="exact"/>
        </w:trPr>
        <w:tc>
          <w:tcPr>
            <w:tcW w:w="946" w:type="dxa"/>
            <w:tcBorders>
              <w:top w:val="dotted" w:sz="4" w:space="0" w:color="000000"/>
              <w:left w:val="nil" w:sz="6" w:space="0" w:color="auto"/>
              <w:bottom w:val="dotted" w:sz="4" w:space="0" w:color="000000"/>
              <w:right w:val="dotted" w:sz="4" w:space="0" w:color="000000"/>
            </w:tcBorders>
          </w:tcPr>
          <w:p>
            <w:pPr>
              <w:pStyle w:val="TableParagraph"/>
              <w:spacing w:line="269" w:lineRule="exact"/>
              <w:ind w:left="122" w:right="0"/>
              <w:jc w:val="both"/>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7"/>
                <w:sz w:val="20"/>
                <w:szCs w:val="20"/>
              </w:rPr>
              <w:t> </w:t>
            </w:r>
            <w:r>
              <w:rPr>
                <w:rFonts w:ascii="宋体" w:hAnsi="宋体" w:cs="宋体" w:eastAsia="宋体" w:hint="default"/>
                <w:sz w:val="20"/>
                <w:szCs w:val="20"/>
              </w:rPr>
              <w:t>、</w:t>
            </w:r>
            <w:r>
              <w:rPr>
                <w:rFonts w:ascii="宋体" w:hAnsi="宋体" w:cs="宋体" w:eastAsia="宋体" w:hint="default"/>
                <w:spacing w:val="-79"/>
                <w:sz w:val="20"/>
                <w:szCs w:val="20"/>
              </w:rPr>
              <w:t> </w:t>
            </w:r>
            <w:r>
              <w:rPr>
                <w:rFonts w:ascii="Times New Roman" w:hAnsi="Times New Roman" w:cs="Times New Roman" w:eastAsia="Times New Roman" w:hint="default"/>
                <w:sz w:val="20"/>
                <w:szCs w:val="20"/>
              </w:rPr>
              <w:t>ERP</w:t>
            </w:r>
          </w:p>
          <w:p>
            <w:pPr>
              <w:pStyle w:val="TableParagraph"/>
              <w:spacing w:line="285" w:lineRule="auto" w:before="35"/>
              <w:ind w:left="122" w:right="45"/>
              <w:jc w:val="both"/>
              <w:rPr>
                <w:rFonts w:ascii="宋体" w:hAnsi="宋体" w:cs="宋体" w:eastAsia="宋体" w:hint="default"/>
                <w:sz w:val="20"/>
                <w:szCs w:val="20"/>
              </w:rPr>
            </w:pPr>
            <w:r>
              <w:rPr>
                <w:rFonts w:ascii="宋体" w:hAnsi="宋体" w:cs="宋体" w:eastAsia="宋体" w:hint="default"/>
                <w:spacing w:val="38"/>
                <w:sz w:val="20"/>
                <w:szCs w:val="20"/>
              </w:rPr>
              <w:t>实施服</w:t>
            </w:r>
            <w:r>
              <w:rPr>
                <w:rFonts w:ascii="宋体" w:hAnsi="宋体" w:cs="宋体" w:eastAsia="宋体" w:hint="default"/>
                <w:spacing w:val="-43"/>
                <w:sz w:val="20"/>
                <w:szCs w:val="20"/>
              </w:rPr>
              <w:t> </w:t>
            </w:r>
            <w:r>
              <w:rPr>
                <w:rFonts w:ascii="宋体" w:hAnsi="宋体" w:cs="宋体" w:eastAsia="宋体" w:hint="default"/>
                <w:spacing w:val="38"/>
                <w:sz w:val="20"/>
                <w:szCs w:val="20"/>
              </w:rPr>
              <w:t>务平台</w:t>
            </w:r>
            <w:r>
              <w:rPr>
                <w:rFonts w:ascii="宋体" w:hAnsi="宋体" w:cs="宋体" w:eastAsia="宋体" w:hint="default"/>
                <w:spacing w:val="-43"/>
                <w:sz w:val="20"/>
                <w:szCs w:val="20"/>
              </w:rPr>
              <w:t> </w:t>
            </w:r>
            <w:r>
              <w:rPr>
                <w:rFonts w:ascii="宋体" w:hAnsi="宋体" w:cs="宋体" w:eastAsia="宋体" w:hint="default"/>
                <w:spacing w:val="38"/>
                <w:sz w:val="20"/>
                <w:szCs w:val="20"/>
              </w:rPr>
              <w:t>建设项</w:t>
            </w:r>
            <w:r>
              <w:rPr>
                <w:rFonts w:ascii="宋体" w:hAnsi="宋体" w:cs="宋体" w:eastAsia="宋体" w:hint="default"/>
                <w:spacing w:val="-43"/>
                <w:sz w:val="20"/>
                <w:szCs w:val="20"/>
              </w:rPr>
              <w:t> </w:t>
            </w:r>
            <w:r>
              <w:rPr>
                <w:rFonts w:ascii="宋体" w:hAnsi="宋体" w:cs="宋体" w:eastAsia="宋体" w:hint="default"/>
                <w:sz w:val="20"/>
                <w:szCs w:val="20"/>
              </w:rPr>
              <w:t>目</w:t>
            </w:r>
          </w:p>
        </w:tc>
        <w:tc>
          <w:tcPr>
            <w:tcW w:w="6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10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12,138.80</w:t>
            </w:r>
          </w:p>
        </w:tc>
        <w:tc>
          <w:tcPr>
            <w:tcW w:w="10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12,138.80</w:t>
            </w:r>
          </w:p>
        </w:tc>
        <w:tc>
          <w:tcPr>
            <w:tcW w:w="9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1,512.54</w:t>
            </w:r>
          </w:p>
        </w:tc>
        <w:tc>
          <w:tcPr>
            <w:tcW w:w="9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1,512.54</w:t>
            </w:r>
          </w:p>
        </w:tc>
        <w:tc>
          <w:tcPr>
            <w:tcW w:w="10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20"/>
                <w:szCs w:val="20"/>
              </w:rPr>
            </w:pPr>
            <w:r>
              <w:rPr>
                <w:rFonts w:ascii="Times New Roman"/>
                <w:sz w:val="20"/>
              </w:rPr>
              <w:t>12.46</w:t>
            </w:r>
          </w:p>
        </w:tc>
        <w:tc>
          <w:tcPr>
            <w:tcW w:w="7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2014</w:t>
            </w:r>
          </w:p>
          <w:p>
            <w:pPr>
              <w:pStyle w:val="TableParagraph"/>
              <w:spacing w:line="240" w:lineRule="auto" w:before="35"/>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w:t>
            </w:r>
          </w:p>
          <w:p>
            <w:pPr>
              <w:pStyle w:val="TableParagraph"/>
              <w:spacing w:line="240" w:lineRule="auto" w:before="35"/>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31</w:t>
            </w:r>
          </w:p>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4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103" w:right="103"/>
              <w:jc w:val="both"/>
              <w:rPr>
                <w:rFonts w:ascii="宋体" w:hAnsi="宋体" w:cs="宋体" w:eastAsia="宋体" w:hint="default"/>
                <w:sz w:val="20"/>
                <w:szCs w:val="20"/>
              </w:rPr>
            </w:pPr>
            <w:r>
              <w:rPr>
                <w:rFonts w:ascii="宋体" w:hAnsi="宋体" w:cs="宋体" w:eastAsia="宋体" w:hint="default"/>
                <w:sz w:val="20"/>
                <w:szCs w:val="20"/>
              </w:rPr>
              <w:t>不</w:t>
            </w:r>
            <w:r>
              <w:rPr>
                <w:rFonts w:ascii="宋体" w:hAnsi="宋体" w:cs="宋体" w:eastAsia="宋体" w:hint="default"/>
                <w:w w:val="99"/>
                <w:sz w:val="20"/>
                <w:szCs w:val="20"/>
              </w:rPr>
              <w:t> </w:t>
            </w:r>
            <w:r>
              <w:rPr>
                <w:rFonts w:ascii="宋体" w:hAnsi="宋体" w:cs="宋体" w:eastAsia="宋体" w:hint="default"/>
                <w:sz w:val="20"/>
                <w:szCs w:val="20"/>
              </w:rPr>
              <w:t>适</w:t>
            </w:r>
            <w:r>
              <w:rPr>
                <w:rFonts w:ascii="宋体" w:hAnsi="宋体" w:cs="宋体" w:eastAsia="宋体" w:hint="default"/>
                <w:w w:val="99"/>
                <w:sz w:val="20"/>
                <w:szCs w:val="20"/>
              </w:rPr>
              <w:t> </w:t>
            </w:r>
            <w:r>
              <w:rPr>
                <w:rFonts w:ascii="宋体" w:hAnsi="宋体" w:cs="宋体" w:eastAsia="宋体" w:hint="default"/>
                <w:sz w:val="20"/>
                <w:szCs w:val="20"/>
              </w:rPr>
              <w:t>用</w:t>
            </w:r>
          </w:p>
        </w:tc>
        <w:tc>
          <w:tcPr>
            <w:tcW w:w="48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136"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1882" w:hRule="exact"/>
        </w:trPr>
        <w:tc>
          <w:tcPr>
            <w:tcW w:w="946" w:type="dxa"/>
            <w:tcBorders>
              <w:top w:val="dotted" w:sz="4" w:space="0" w:color="000000"/>
              <w:left w:val="nil" w:sz="6" w:space="0" w:color="auto"/>
              <w:bottom w:val="dotted" w:sz="4" w:space="0" w:color="000000"/>
              <w:right w:val="dotted" w:sz="4" w:space="0" w:color="000000"/>
            </w:tcBorders>
          </w:tcPr>
          <w:p>
            <w:pPr>
              <w:pStyle w:val="TableParagraph"/>
              <w:spacing w:line="271" w:lineRule="auto"/>
              <w:ind w:left="122" w:right="98"/>
              <w:jc w:val="both"/>
              <w:rPr>
                <w:rFonts w:ascii="宋体" w:hAnsi="宋体" w:cs="宋体" w:eastAsia="宋体" w:hint="default"/>
                <w:sz w:val="20"/>
                <w:szCs w:val="20"/>
              </w:rPr>
            </w:pPr>
            <w:r>
              <w:rPr>
                <w:rFonts w:ascii="Times New Roman" w:hAnsi="Times New Roman" w:cs="Times New Roman" w:eastAsia="Times New Roman" w:hint="default"/>
                <w:spacing w:val="4"/>
                <w:sz w:val="20"/>
                <w:szCs w:val="20"/>
              </w:rPr>
              <w:t>2</w:t>
            </w:r>
            <w:r>
              <w:rPr>
                <w:rFonts w:ascii="宋体" w:hAnsi="宋体" w:cs="宋体" w:eastAsia="宋体" w:hint="default"/>
                <w:spacing w:val="4"/>
                <w:sz w:val="20"/>
                <w:szCs w:val="20"/>
              </w:rPr>
              <w:t>、海外</w:t>
            </w:r>
            <w:r>
              <w:rPr>
                <w:rFonts w:ascii="宋体" w:hAnsi="宋体" w:cs="宋体" w:eastAsia="宋体" w:hint="default"/>
                <w:spacing w:val="4"/>
                <w:w w:val="99"/>
                <w:sz w:val="20"/>
                <w:szCs w:val="20"/>
              </w:rPr>
              <w:t> </w:t>
            </w:r>
            <w:r>
              <w:rPr>
                <w:rFonts w:ascii="Times New Roman" w:hAnsi="Times New Roman" w:cs="Times New Roman" w:eastAsia="Times New Roman" w:hint="default"/>
                <w:sz w:val="20"/>
                <w:szCs w:val="20"/>
              </w:rPr>
              <w:t>ERP </w:t>
            </w:r>
            <w:r>
              <w:rPr>
                <w:rFonts w:ascii="Times New Roman" w:hAnsi="Times New Roman" w:cs="Times New Roman" w:eastAsia="Times New Roman" w:hint="default"/>
                <w:spacing w:val="47"/>
                <w:sz w:val="20"/>
                <w:szCs w:val="20"/>
              </w:rPr>
              <w:t> </w:t>
            </w:r>
            <w:r>
              <w:rPr>
                <w:rFonts w:ascii="宋体" w:hAnsi="宋体" w:cs="宋体" w:eastAsia="宋体" w:hint="default"/>
                <w:sz w:val="20"/>
                <w:szCs w:val="20"/>
              </w:rPr>
              <w:t>软</w:t>
            </w:r>
          </w:p>
          <w:p>
            <w:pPr>
              <w:pStyle w:val="TableParagraph"/>
              <w:spacing w:line="285" w:lineRule="auto" w:before="6"/>
              <w:ind w:left="122" w:right="45"/>
              <w:jc w:val="both"/>
              <w:rPr>
                <w:rFonts w:ascii="宋体" w:hAnsi="宋体" w:cs="宋体" w:eastAsia="宋体" w:hint="default"/>
                <w:sz w:val="20"/>
                <w:szCs w:val="20"/>
              </w:rPr>
            </w:pPr>
            <w:r>
              <w:rPr>
                <w:rFonts w:ascii="宋体" w:hAnsi="宋体" w:cs="宋体" w:eastAsia="宋体" w:hint="default"/>
                <w:spacing w:val="38"/>
                <w:sz w:val="20"/>
                <w:szCs w:val="20"/>
              </w:rPr>
              <w:t>件外包</w:t>
            </w:r>
            <w:r>
              <w:rPr>
                <w:rFonts w:ascii="宋体" w:hAnsi="宋体" w:cs="宋体" w:eastAsia="宋体" w:hint="default"/>
                <w:spacing w:val="-43"/>
                <w:sz w:val="20"/>
                <w:szCs w:val="20"/>
              </w:rPr>
              <w:t> </w:t>
            </w:r>
            <w:r>
              <w:rPr>
                <w:rFonts w:ascii="宋体" w:hAnsi="宋体" w:cs="宋体" w:eastAsia="宋体" w:hint="default"/>
                <w:spacing w:val="38"/>
                <w:sz w:val="20"/>
                <w:szCs w:val="20"/>
              </w:rPr>
              <w:t>开发中</w:t>
            </w:r>
            <w:r>
              <w:rPr>
                <w:rFonts w:ascii="宋体" w:hAnsi="宋体" w:cs="宋体" w:eastAsia="宋体" w:hint="default"/>
                <w:spacing w:val="-43"/>
                <w:sz w:val="20"/>
                <w:szCs w:val="20"/>
              </w:rPr>
              <w:t> </w:t>
            </w:r>
            <w:r>
              <w:rPr>
                <w:rFonts w:ascii="宋体" w:hAnsi="宋体" w:cs="宋体" w:eastAsia="宋体" w:hint="default"/>
                <w:spacing w:val="38"/>
                <w:sz w:val="20"/>
                <w:szCs w:val="20"/>
              </w:rPr>
              <w:t>心建设</w:t>
            </w:r>
            <w:r>
              <w:rPr>
                <w:rFonts w:ascii="宋体" w:hAnsi="宋体" w:cs="宋体" w:eastAsia="宋体" w:hint="default"/>
                <w:spacing w:val="-43"/>
                <w:sz w:val="20"/>
                <w:szCs w:val="20"/>
              </w:rPr>
              <w:t> </w:t>
            </w:r>
            <w:r>
              <w:rPr>
                <w:rFonts w:ascii="宋体" w:hAnsi="宋体" w:cs="宋体" w:eastAsia="宋体" w:hint="default"/>
                <w:sz w:val="20"/>
                <w:szCs w:val="20"/>
              </w:rPr>
              <w:t>项目</w:t>
            </w:r>
          </w:p>
        </w:tc>
        <w:tc>
          <w:tcPr>
            <w:tcW w:w="6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10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9"/>
              <w:ind w:left="103" w:right="0"/>
              <w:jc w:val="left"/>
              <w:rPr>
                <w:rFonts w:ascii="Times New Roman" w:hAnsi="Times New Roman" w:cs="Times New Roman" w:eastAsia="Times New Roman" w:hint="default"/>
                <w:sz w:val="20"/>
                <w:szCs w:val="20"/>
              </w:rPr>
            </w:pPr>
            <w:r>
              <w:rPr>
                <w:rFonts w:ascii="Times New Roman"/>
                <w:sz w:val="20"/>
              </w:rPr>
              <w:t>10,927.00</w:t>
            </w:r>
          </w:p>
        </w:tc>
        <w:tc>
          <w:tcPr>
            <w:tcW w:w="10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9"/>
              <w:ind w:left="103" w:right="0"/>
              <w:jc w:val="left"/>
              <w:rPr>
                <w:rFonts w:ascii="Times New Roman" w:hAnsi="Times New Roman" w:cs="Times New Roman" w:eastAsia="Times New Roman" w:hint="default"/>
                <w:sz w:val="20"/>
                <w:szCs w:val="20"/>
              </w:rPr>
            </w:pPr>
            <w:r>
              <w:rPr>
                <w:rFonts w:ascii="Times New Roman"/>
                <w:sz w:val="20"/>
              </w:rPr>
              <w:t>10,927.00</w:t>
            </w:r>
          </w:p>
        </w:tc>
        <w:tc>
          <w:tcPr>
            <w:tcW w:w="9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9"/>
              <w:ind w:right="0"/>
              <w:jc w:val="center"/>
              <w:rPr>
                <w:rFonts w:ascii="Times New Roman" w:hAnsi="Times New Roman" w:cs="Times New Roman" w:eastAsia="Times New Roman" w:hint="default"/>
                <w:sz w:val="20"/>
                <w:szCs w:val="20"/>
              </w:rPr>
            </w:pPr>
            <w:r>
              <w:rPr>
                <w:rFonts w:ascii="Times New Roman"/>
                <w:sz w:val="20"/>
              </w:rPr>
              <w:t>139.23</w:t>
            </w:r>
          </w:p>
        </w:tc>
        <w:tc>
          <w:tcPr>
            <w:tcW w:w="9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9"/>
              <w:ind w:right="0"/>
              <w:jc w:val="center"/>
              <w:rPr>
                <w:rFonts w:ascii="Times New Roman" w:hAnsi="Times New Roman" w:cs="Times New Roman" w:eastAsia="Times New Roman" w:hint="default"/>
                <w:sz w:val="20"/>
                <w:szCs w:val="20"/>
              </w:rPr>
            </w:pPr>
            <w:r>
              <w:rPr>
                <w:rFonts w:ascii="Times New Roman"/>
                <w:sz w:val="20"/>
              </w:rPr>
              <w:t>139.23</w:t>
            </w:r>
          </w:p>
        </w:tc>
        <w:tc>
          <w:tcPr>
            <w:tcW w:w="10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9"/>
              <w:ind w:left="2" w:right="0"/>
              <w:jc w:val="center"/>
              <w:rPr>
                <w:rFonts w:ascii="Times New Roman" w:hAnsi="Times New Roman" w:cs="Times New Roman" w:eastAsia="Times New Roman" w:hint="default"/>
                <w:sz w:val="20"/>
                <w:szCs w:val="20"/>
              </w:rPr>
            </w:pPr>
            <w:r>
              <w:rPr>
                <w:rFonts w:ascii="Times New Roman"/>
                <w:sz w:val="20"/>
              </w:rPr>
              <w:t>1.27</w:t>
            </w:r>
          </w:p>
        </w:tc>
        <w:tc>
          <w:tcPr>
            <w:tcW w:w="7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Times New Roman" w:hAnsi="Times New Roman" w:cs="Times New Roman" w:eastAsia="Times New Roman" w:hint="default"/>
                <w:sz w:val="20"/>
                <w:szCs w:val="20"/>
              </w:rPr>
            </w:pPr>
            <w:r>
              <w:rPr>
                <w:rFonts w:ascii="Times New Roman"/>
                <w:sz w:val="20"/>
              </w:rPr>
              <w:t>2014</w:t>
            </w:r>
          </w:p>
          <w:p>
            <w:pPr>
              <w:pStyle w:val="TableParagraph"/>
              <w:spacing w:line="240" w:lineRule="auto" w:before="35"/>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w:t>
            </w:r>
          </w:p>
          <w:p>
            <w:pPr>
              <w:pStyle w:val="TableParagraph"/>
              <w:spacing w:line="240" w:lineRule="auto" w:before="35"/>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31</w:t>
            </w:r>
          </w:p>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4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9"/>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85" w:lineRule="auto"/>
              <w:ind w:left="103" w:right="103"/>
              <w:jc w:val="both"/>
              <w:rPr>
                <w:rFonts w:ascii="宋体" w:hAnsi="宋体" w:cs="宋体" w:eastAsia="宋体" w:hint="default"/>
                <w:sz w:val="20"/>
                <w:szCs w:val="20"/>
              </w:rPr>
            </w:pPr>
            <w:r>
              <w:rPr>
                <w:rFonts w:ascii="宋体" w:hAnsi="宋体" w:cs="宋体" w:eastAsia="宋体" w:hint="default"/>
                <w:sz w:val="20"/>
                <w:szCs w:val="20"/>
              </w:rPr>
              <w:t>不</w:t>
            </w:r>
            <w:r>
              <w:rPr>
                <w:rFonts w:ascii="宋体" w:hAnsi="宋体" w:cs="宋体" w:eastAsia="宋体" w:hint="default"/>
                <w:w w:val="99"/>
                <w:sz w:val="20"/>
                <w:szCs w:val="20"/>
              </w:rPr>
              <w:t> </w:t>
            </w:r>
            <w:r>
              <w:rPr>
                <w:rFonts w:ascii="宋体" w:hAnsi="宋体" w:cs="宋体" w:eastAsia="宋体" w:hint="default"/>
                <w:sz w:val="20"/>
                <w:szCs w:val="20"/>
              </w:rPr>
              <w:t>适</w:t>
            </w:r>
            <w:r>
              <w:rPr>
                <w:rFonts w:ascii="宋体" w:hAnsi="宋体" w:cs="宋体" w:eastAsia="宋体" w:hint="default"/>
                <w:w w:val="99"/>
                <w:sz w:val="20"/>
                <w:szCs w:val="20"/>
              </w:rPr>
              <w:t> </w:t>
            </w:r>
            <w:r>
              <w:rPr>
                <w:rFonts w:ascii="宋体" w:hAnsi="宋体" w:cs="宋体" w:eastAsia="宋体" w:hint="default"/>
                <w:sz w:val="20"/>
                <w:szCs w:val="20"/>
              </w:rPr>
              <w:t>用</w:t>
            </w:r>
          </w:p>
        </w:tc>
        <w:tc>
          <w:tcPr>
            <w:tcW w:w="48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136"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34" w:hRule="exact"/>
        </w:trPr>
        <w:tc>
          <w:tcPr>
            <w:tcW w:w="946" w:type="dxa"/>
            <w:tcBorders>
              <w:top w:val="dotted" w:sz="4" w:space="0" w:color="000000"/>
              <w:left w:val="nil" w:sz="6" w:space="0" w:color="auto"/>
              <w:bottom w:val="single" w:sz="12" w:space="0" w:color="000000"/>
              <w:right w:val="dotted" w:sz="4" w:space="0" w:color="000000"/>
            </w:tcBorders>
          </w:tcPr>
          <w:p>
            <w:pPr>
              <w:pStyle w:val="TableParagraph"/>
              <w:spacing w:line="269" w:lineRule="exact"/>
              <w:ind w:left="122" w:right="0"/>
              <w:jc w:val="left"/>
              <w:rPr>
                <w:rFonts w:ascii="宋体" w:hAnsi="宋体" w:cs="宋体" w:eastAsia="宋体" w:hint="default"/>
                <w:sz w:val="20"/>
                <w:szCs w:val="20"/>
              </w:rPr>
            </w:pPr>
            <w:r>
              <w:rPr>
                <w:rFonts w:ascii="Times New Roman" w:hAnsi="Times New Roman" w:cs="Times New Roman" w:eastAsia="Times New Roman" w:hint="default"/>
                <w:spacing w:val="4"/>
                <w:sz w:val="20"/>
                <w:szCs w:val="20"/>
              </w:rPr>
              <w:t>3</w:t>
            </w:r>
            <w:r>
              <w:rPr>
                <w:rFonts w:ascii="宋体" w:hAnsi="宋体" w:cs="宋体" w:eastAsia="宋体" w:hint="default"/>
                <w:spacing w:val="4"/>
                <w:sz w:val="20"/>
                <w:szCs w:val="20"/>
              </w:rPr>
              <w:t>、应用</w:t>
            </w:r>
            <w:r>
              <w:rPr>
                <w:rFonts w:ascii="宋体" w:hAnsi="宋体" w:cs="宋体" w:eastAsia="宋体" w:hint="default"/>
                <w:sz w:val="20"/>
                <w:szCs w:val="20"/>
              </w:rPr>
            </w:r>
          </w:p>
        </w:tc>
        <w:tc>
          <w:tcPr>
            <w:tcW w:w="653" w:type="dxa"/>
            <w:tcBorders>
              <w:top w:val="dotted" w:sz="4" w:space="0" w:color="000000"/>
              <w:left w:val="dotted" w:sz="4" w:space="0" w:color="000000"/>
              <w:bottom w:val="single" w:sz="12" w:space="0" w:color="000000"/>
              <w:right w:val="dotted"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10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9"/>
              <w:ind w:left="151" w:right="0"/>
              <w:jc w:val="left"/>
              <w:rPr>
                <w:rFonts w:ascii="Times New Roman" w:hAnsi="Times New Roman" w:cs="Times New Roman" w:eastAsia="Times New Roman" w:hint="default"/>
                <w:sz w:val="20"/>
                <w:szCs w:val="20"/>
              </w:rPr>
            </w:pPr>
            <w:r>
              <w:rPr>
                <w:rFonts w:ascii="Times New Roman"/>
                <w:sz w:val="20"/>
              </w:rPr>
              <w:t>3,088.60</w:t>
            </w:r>
          </w:p>
        </w:tc>
        <w:tc>
          <w:tcPr>
            <w:tcW w:w="101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9"/>
              <w:ind w:left="151" w:right="0"/>
              <w:jc w:val="left"/>
              <w:rPr>
                <w:rFonts w:ascii="Times New Roman" w:hAnsi="Times New Roman" w:cs="Times New Roman" w:eastAsia="Times New Roman" w:hint="default"/>
                <w:sz w:val="20"/>
                <w:szCs w:val="20"/>
              </w:rPr>
            </w:pPr>
            <w:r>
              <w:rPr>
                <w:rFonts w:ascii="Times New Roman"/>
                <w:sz w:val="20"/>
              </w:rPr>
              <w:t>3,088.60</w:t>
            </w:r>
          </w:p>
        </w:tc>
        <w:tc>
          <w:tcPr>
            <w:tcW w:w="9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sz w:val="20"/>
              </w:rPr>
              <w:t>647.33</w:t>
            </w:r>
          </w:p>
        </w:tc>
        <w:tc>
          <w:tcPr>
            <w:tcW w:w="9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sz w:val="20"/>
              </w:rPr>
              <w:t>647.33</w:t>
            </w:r>
          </w:p>
        </w:tc>
        <w:tc>
          <w:tcPr>
            <w:tcW w:w="10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9"/>
              <w:ind w:left="2" w:right="0"/>
              <w:jc w:val="center"/>
              <w:rPr>
                <w:rFonts w:ascii="Times New Roman" w:hAnsi="Times New Roman" w:cs="Times New Roman" w:eastAsia="Times New Roman" w:hint="default"/>
                <w:sz w:val="20"/>
                <w:szCs w:val="20"/>
              </w:rPr>
            </w:pPr>
            <w:r>
              <w:rPr>
                <w:rFonts w:ascii="Times New Roman"/>
                <w:sz w:val="20"/>
              </w:rPr>
              <w:t>20.96</w:t>
            </w:r>
          </w:p>
        </w:tc>
        <w:tc>
          <w:tcPr>
            <w:tcW w:w="7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9"/>
              <w:ind w:left="165" w:right="0"/>
              <w:jc w:val="left"/>
              <w:rPr>
                <w:rFonts w:ascii="Times New Roman" w:hAnsi="Times New Roman" w:cs="Times New Roman" w:eastAsia="Times New Roman" w:hint="default"/>
                <w:sz w:val="20"/>
                <w:szCs w:val="20"/>
              </w:rPr>
            </w:pPr>
            <w:r>
              <w:rPr>
                <w:rFonts w:ascii="Times New Roman"/>
                <w:sz w:val="20"/>
              </w:rPr>
              <w:t>2013</w:t>
            </w:r>
          </w:p>
        </w:tc>
        <w:tc>
          <w:tcPr>
            <w:tcW w:w="41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9"/>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18" w:type="dxa"/>
            <w:tcBorders>
              <w:top w:val="dotted" w:sz="4" w:space="0" w:color="000000"/>
              <w:left w:val="dotted" w:sz="4" w:space="0" w:color="000000"/>
              <w:bottom w:val="single" w:sz="12" w:space="0" w:color="000000"/>
              <w:right w:val="dotted"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不</w:t>
            </w:r>
            <w:r>
              <w:rPr>
                <w:rFonts w:ascii="宋体" w:hAnsi="宋体" w:cs="宋体" w:eastAsia="宋体" w:hint="default"/>
                <w:sz w:val="20"/>
                <w:szCs w:val="20"/>
              </w:rPr>
            </w:r>
          </w:p>
        </w:tc>
        <w:tc>
          <w:tcPr>
            <w:tcW w:w="487" w:type="dxa"/>
            <w:tcBorders>
              <w:top w:val="dotted" w:sz="4" w:space="0" w:color="000000"/>
              <w:left w:val="dotted" w:sz="4" w:space="0" w:color="000000"/>
              <w:bottom w:val="single" w:sz="12" w:space="0" w:color="000000"/>
              <w:right w:val="nil" w:sz="6" w:space="0" w:color="auto"/>
            </w:tcBorders>
          </w:tcPr>
          <w:p>
            <w:pPr>
              <w:pStyle w:val="TableParagraph"/>
              <w:spacing w:line="254" w:lineRule="exact"/>
              <w:ind w:left="136"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bl>
    <w:p>
      <w:pPr>
        <w:spacing w:after="0" w:line="254" w:lineRule="exact"/>
        <w:jc w:val="left"/>
        <w:rPr>
          <w:rFonts w:ascii="宋体" w:hAnsi="宋体" w:cs="宋体" w:eastAsia="宋体" w:hint="default"/>
          <w:sz w:val="20"/>
          <w:szCs w:val="20"/>
        </w:rPr>
        <w:sectPr>
          <w:pgSz w:w="11910" w:h="16840"/>
          <w:pgMar w:header="884" w:footer="980" w:top="1140" w:bottom="1160" w:left="1560" w:right="1560"/>
        </w:sectPr>
      </w:pPr>
    </w:p>
    <w:p>
      <w:pPr>
        <w:spacing w:line="240" w:lineRule="auto" w:before="5"/>
        <w:rPr>
          <w:rFonts w:ascii="Times New Roman" w:hAnsi="Times New Roman" w:cs="Times New Roman" w:eastAsia="Times New Roman"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946"/>
        <w:gridCol w:w="653"/>
        <w:gridCol w:w="1016"/>
        <w:gridCol w:w="1015"/>
        <w:gridCol w:w="917"/>
        <w:gridCol w:w="917"/>
        <w:gridCol w:w="1010"/>
        <w:gridCol w:w="744"/>
        <w:gridCol w:w="415"/>
        <w:gridCol w:w="418"/>
        <w:gridCol w:w="487"/>
      </w:tblGrid>
      <w:tr>
        <w:trPr>
          <w:trHeight w:val="956" w:hRule="exact"/>
        </w:trPr>
        <w:tc>
          <w:tcPr>
            <w:tcW w:w="946" w:type="dxa"/>
            <w:tcBorders>
              <w:top w:val="single" w:sz="12" w:space="0" w:color="000000"/>
              <w:left w:val="nil" w:sz="6" w:space="0" w:color="auto"/>
              <w:bottom w:val="dotted" w:sz="4" w:space="0" w:color="000000"/>
              <w:right w:val="dotted" w:sz="4" w:space="0" w:color="000000"/>
            </w:tcBorders>
          </w:tcPr>
          <w:p>
            <w:pPr>
              <w:pStyle w:val="TableParagraph"/>
              <w:spacing w:line="285" w:lineRule="auto"/>
              <w:ind w:left="122" w:right="45"/>
              <w:jc w:val="both"/>
              <w:rPr>
                <w:rFonts w:ascii="宋体" w:hAnsi="宋体" w:cs="宋体" w:eastAsia="宋体" w:hint="default"/>
                <w:sz w:val="20"/>
                <w:szCs w:val="20"/>
              </w:rPr>
            </w:pPr>
            <w:r>
              <w:rPr>
                <w:rFonts w:ascii="宋体" w:hAnsi="宋体" w:cs="宋体" w:eastAsia="宋体" w:hint="default"/>
                <w:spacing w:val="38"/>
                <w:sz w:val="20"/>
                <w:szCs w:val="20"/>
              </w:rPr>
              <w:t>产品解</w:t>
            </w:r>
            <w:r>
              <w:rPr>
                <w:rFonts w:ascii="宋体" w:hAnsi="宋体" w:cs="宋体" w:eastAsia="宋体" w:hint="default"/>
                <w:spacing w:val="-43"/>
                <w:sz w:val="20"/>
                <w:szCs w:val="20"/>
              </w:rPr>
              <w:t> </w:t>
            </w:r>
            <w:r>
              <w:rPr>
                <w:rFonts w:ascii="宋体" w:hAnsi="宋体" w:cs="宋体" w:eastAsia="宋体" w:hint="default"/>
                <w:spacing w:val="38"/>
                <w:sz w:val="20"/>
                <w:szCs w:val="20"/>
              </w:rPr>
              <w:t>决方案</w:t>
            </w:r>
            <w:r>
              <w:rPr>
                <w:rFonts w:ascii="宋体" w:hAnsi="宋体" w:cs="宋体" w:eastAsia="宋体" w:hint="default"/>
                <w:spacing w:val="-43"/>
                <w:sz w:val="20"/>
                <w:szCs w:val="20"/>
              </w:rPr>
              <w:t> </w:t>
            </w:r>
            <w:r>
              <w:rPr>
                <w:rFonts w:ascii="宋体" w:hAnsi="宋体" w:cs="宋体" w:eastAsia="宋体" w:hint="default"/>
                <w:sz w:val="20"/>
                <w:szCs w:val="20"/>
              </w:rPr>
              <w:t>项目</w:t>
            </w:r>
          </w:p>
        </w:tc>
        <w:tc>
          <w:tcPr>
            <w:tcW w:w="653" w:type="dxa"/>
            <w:tcBorders>
              <w:top w:val="single" w:sz="12" w:space="0" w:color="000000"/>
              <w:left w:val="dotted" w:sz="4" w:space="0" w:color="000000"/>
              <w:bottom w:val="dotted" w:sz="4" w:space="0" w:color="000000"/>
              <w:right w:val="dotted" w:sz="4" w:space="0" w:color="000000"/>
            </w:tcBorders>
          </w:tcPr>
          <w:p>
            <w:pPr/>
          </w:p>
        </w:tc>
        <w:tc>
          <w:tcPr>
            <w:tcW w:w="1016" w:type="dxa"/>
            <w:tcBorders>
              <w:top w:val="single" w:sz="12" w:space="0" w:color="000000"/>
              <w:left w:val="dotted" w:sz="4" w:space="0" w:color="000000"/>
              <w:bottom w:val="dotted" w:sz="4" w:space="0" w:color="000000"/>
              <w:right w:val="dotted" w:sz="4" w:space="0" w:color="000000"/>
            </w:tcBorders>
          </w:tcPr>
          <w:p>
            <w:pPr/>
          </w:p>
        </w:tc>
        <w:tc>
          <w:tcPr>
            <w:tcW w:w="1015" w:type="dxa"/>
            <w:tcBorders>
              <w:top w:val="single" w:sz="12" w:space="0" w:color="000000"/>
              <w:left w:val="dotted" w:sz="4" w:space="0" w:color="000000"/>
              <w:bottom w:val="dotted" w:sz="4" w:space="0" w:color="000000"/>
              <w:right w:val="dotted" w:sz="4" w:space="0" w:color="000000"/>
            </w:tcBorders>
          </w:tcPr>
          <w:p>
            <w:pPr/>
          </w:p>
        </w:tc>
        <w:tc>
          <w:tcPr>
            <w:tcW w:w="917" w:type="dxa"/>
            <w:tcBorders>
              <w:top w:val="single" w:sz="12" w:space="0" w:color="000000"/>
              <w:left w:val="dotted" w:sz="4" w:space="0" w:color="000000"/>
              <w:bottom w:val="dotted" w:sz="4" w:space="0" w:color="000000"/>
              <w:right w:val="dotted" w:sz="4" w:space="0" w:color="000000"/>
            </w:tcBorders>
          </w:tcPr>
          <w:p>
            <w:pPr/>
          </w:p>
        </w:tc>
        <w:tc>
          <w:tcPr>
            <w:tcW w:w="917" w:type="dxa"/>
            <w:tcBorders>
              <w:top w:val="single" w:sz="12" w:space="0" w:color="000000"/>
              <w:left w:val="dotted" w:sz="4" w:space="0" w:color="000000"/>
              <w:bottom w:val="dotted" w:sz="4" w:space="0" w:color="000000"/>
              <w:right w:val="dotted" w:sz="4" w:space="0" w:color="000000"/>
            </w:tcBorders>
          </w:tcPr>
          <w:p>
            <w:pPr/>
          </w:p>
        </w:tc>
        <w:tc>
          <w:tcPr>
            <w:tcW w:w="1010" w:type="dxa"/>
            <w:tcBorders>
              <w:top w:val="single" w:sz="12" w:space="0" w:color="000000"/>
              <w:left w:val="dotted" w:sz="4" w:space="0" w:color="000000"/>
              <w:bottom w:val="dotted" w:sz="4" w:space="0" w:color="000000"/>
              <w:right w:val="dotted" w:sz="4" w:space="0" w:color="000000"/>
            </w:tcBorders>
          </w:tcPr>
          <w:p>
            <w:pPr/>
          </w:p>
        </w:tc>
        <w:tc>
          <w:tcPr>
            <w:tcW w:w="744" w:type="dxa"/>
            <w:tcBorders>
              <w:top w:val="single" w:sz="12" w:space="0" w:color="000000"/>
              <w:left w:val="dotted" w:sz="4" w:space="0" w:color="000000"/>
              <w:bottom w:val="dotted" w:sz="4" w:space="0" w:color="000000"/>
              <w:right w:val="dotted" w:sz="4" w:space="0" w:color="000000"/>
            </w:tcBorders>
          </w:tcPr>
          <w:p>
            <w:pPr>
              <w:pStyle w:val="TableParagraph"/>
              <w:spacing w:line="271"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w:t>
            </w:r>
          </w:p>
          <w:p>
            <w:pPr>
              <w:pStyle w:val="TableParagraph"/>
              <w:spacing w:line="240" w:lineRule="auto" w:before="33"/>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31</w:t>
            </w:r>
          </w:p>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415" w:type="dxa"/>
            <w:tcBorders>
              <w:top w:val="single" w:sz="12" w:space="0" w:color="000000"/>
              <w:left w:val="dotted" w:sz="4" w:space="0" w:color="000000"/>
              <w:bottom w:val="dotted" w:sz="4" w:space="0" w:color="000000"/>
              <w:right w:val="dotted" w:sz="4" w:space="0" w:color="000000"/>
            </w:tcBorders>
          </w:tcPr>
          <w:p>
            <w:pPr/>
          </w:p>
        </w:tc>
        <w:tc>
          <w:tcPr>
            <w:tcW w:w="418" w:type="dxa"/>
            <w:tcBorders>
              <w:top w:val="single" w:sz="12" w:space="0" w:color="000000"/>
              <w:left w:val="dotted" w:sz="4" w:space="0" w:color="000000"/>
              <w:bottom w:val="dotted" w:sz="4" w:space="0" w:color="000000"/>
              <w:right w:val="dotted" w:sz="4" w:space="0" w:color="000000"/>
            </w:tcBorders>
          </w:tcPr>
          <w:p>
            <w:pPr>
              <w:pStyle w:val="TableParagraph"/>
              <w:spacing w:line="283" w:lineRule="auto"/>
              <w:ind w:left="103" w:right="103"/>
              <w:jc w:val="left"/>
              <w:rPr>
                <w:rFonts w:ascii="宋体" w:hAnsi="宋体" w:cs="宋体" w:eastAsia="宋体" w:hint="default"/>
                <w:sz w:val="20"/>
                <w:szCs w:val="20"/>
              </w:rPr>
            </w:pPr>
            <w:r>
              <w:rPr>
                <w:rFonts w:ascii="宋体" w:hAnsi="宋体" w:cs="宋体" w:eastAsia="宋体" w:hint="default"/>
                <w:sz w:val="20"/>
                <w:szCs w:val="20"/>
              </w:rPr>
              <w:t>适</w:t>
            </w:r>
            <w:r>
              <w:rPr>
                <w:rFonts w:ascii="宋体" w:hAnsi="宋体" w:cs="宋体" w:eastAsia="宋体" w:hint="default"/>
                <w:w w:val="99"/>
                <w:sz w:val="20"/>
                <w:szCs w:val="20"/>
              </w:rPr>
              <w:t> </w:t>
            </w:r>
            <w:r>
              <w:rPr>
                <w:rFonts w:ascii="宋体" w:hAnsi="宋体" w:cs="宋体" w:eastAsia="宋体" w:hint="default"/>
                <w:sz w:val="20"/>
                <w:szCs w:val="20"/>
              </w:rPr>
              <w:t>用</w:t>
            </w:r>
          </w:p>
        </w:tc>
        <w:tc>
          <w:tcPr>
            <w:tcW w:w="487" w:type="dxa"/>
            <w:tcBorders>
              <w:top w:val="single" w:sz="12" w:space="0" w:color="000000"/>
              <w:left w:val="dotted" w:sz="4" w:space="0" w:color="000000"/>
              <w:bottom w:val="dotted" w:sz="4" w:space="0" w:color="000000"/>
              <w:right w:val="nil" w:sz="6" w:space="0" w:color="auto"/>
            </w:tcBorders>
          </w:tcPr>
          <w:p>
            <w:pPr/>
          </w:p>
        </w:tc>
      </w:tr>
      <w:tr>
        <w:trPr>
          <w:trHeight w:val="1572" w:hRule="exact"/>
        </w:trPr>
        <w:tc>
          <w:tcPr>
            <w:tcW w:w="946" w:type="dxa"/>
            <w:tcBorders>
              <w:top w:val="dotted" w:sz="4" w:space="0" w:color="000000"/>
              <w:left w:val="nil" w:sz="6" w:space="0" w:color="auto"/>
              <w:bottom w:val="dotted" w:sz="4" w:space="0" w:color="000000"/>
              <w:right w:val="dotted" w:sz="4" w:space="0" w:color="000000"/>
            </w:tcBorders>
          </w:tcPr>
          <w:p>
            <w:pPr>
              <w:pStyle w:val="TableParagraph"/>
              <w:spacing w:line="271" w:lineRule="exact"/>
              <w:ind w:left="122" w:right="0"/>
              <w:jc w:val="both"/>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7"/>
                <w:sz w:val="20"/>
                <w:szCs w:val="20"/>
              </w:rPr>
              <w:t> </w:t>
            </w:r>
            <w:r>
              <w:rPr>
                <w:rFonts w:ascii="宋体" w:hAnsi="宋体" w:cs="宋体" w:eastAsia="宋体" w:hint="default"/>
                <w:sz w:val="20"/>
                <w:szCs w:val="20"/>
              </w:rPr>
              <w:t>、</w:t>
            </w:r>
            <w:r>
              <w:rPr>
                <w:rFonts w:ascii="宋体" w:hAnsi="宋体" w:cs="宋体" w:eastAsia="宋体" w:hint="default"/>
                <w:spacing w:val="-79"/>
                <w:sz w:val="20"/>
                <w:szCs w:val="20"/>
              </w:rPr>
              <w:t> </w:t>
            </w:r>
            <w:r>
              <w:rPr>
                <w:rFonts w:ascii="Times New Roman" w:hAnsi="Times New Roman" w:cs="Times New Roman" w:eastAsia="Times New Roman" w:hint="default"/>
                <w:sz w:val="20"/>
                <w:szCs w:val="20"/>
              </w:rPr>
              <w:t>ERP</w:t>
            </w:r>
          </w:p>
          <w:p>
            <w:pPr>
              <w:pStyle w:val="TableParagraph"/>
              <w:spacing w:line="285" w:lineRule="auto" w:before="35"/>
              <w:ind w:left="122" w:right="45"/>
              <w:jc w:val="both"/>
              <w:rPr>
                <w:rFonts w:ascii="宋体" w:hAnsi="宋体" w:cs="宋体" w:eastAsia="宋体" w:hint="default"/>
                <w:sz w:val="20"/>
                <w:szCs w:val="20"/>
              </w:rPr>
            </w:pPr>
            <w:r>
              <w:rPr>
                <w:rFonts w:ascii="宋体" w:hAnsi="宋体" w:cs="宋体" w:eastAsia="宋体" w:hint="default"/>
                <w:spacing w:val="38"/>
                <w:sz w:val="20"/>
                <w:szCs w:val="20"/>
              </w:rPr>
              <w:t>运维服</w:t>
            </w:r>
            <w:r>
              <w:rPr>
                <w:rFonts w:ascii="宋体" w:hAnsi="宋体" w:cs="宋体" w:eastAsia="宋体" w:hint="default"/>
                <w:spacing w:val="-43"/>
                <w:sz w:val="20"/>
                <w:szCs w:val="20"/>
              </w:rPr>
              <w:t> </w:t>
            </w:r>
            <w:r>
              <w:rPr>
                <w:rFonts w:ascii="宋体" w:hAnsi="宋体" w:cs="宋体" w:eastAsia="宋体" w:hint="default"/>
                <w:spacing w:val="38"/>
                <w:sz w:val="20"/>
                <w:szCs w:val="20"/>
              </w:rPr>
              <w:t>务中心</w:t>
            </w:r>
            <w:r>
              <w:rPr>
                <w:rFonts w:ascii="宋体" w:hAnsi="宋体" w:cs="宋体" w:eastAsia="宋体" w:hint="default"/>
                <w:spacing w:val="-43"/>
                <w:sz w:val="20"/>
                <w:szCs w:val="20"/>
              </w:rPr>
              <w:t> </w:t>
            </w:r>
            <w:r>
              <w:rPr>
                <w:rFonts w:ascii="宋体" w:hAnsi="宋体" w:cs="宋体" w:eastAsia="宋体" w:hint="default"/>
                <w:spacing w:val="38"/>
                <w:sz w:val="20"/>
                <w:szCs w:val="20"/>
              </w:rPr>
              <w:t>建设项</w:t>
            </w:r>
            <w:r>
              <w:rPr>
                <w:rFonts w:ascii="宋体" w:hAnsi="宋体" w:cs="宋体" w:eastAsia="宋体" w:hint="default"/>
                <w:spacing w:val="-43"/>
                <w:sz w:val="20"/>
                <w:szCs w:val="20"/>
              </w:rPr>
              <w:t> </w:t>
            </w:r>
            <w:r>
              <w:rPr>
                <w:rFonts w:ascii="宋体" w:hAnsi="宋体" w:cs="宋体" w:eastAsia="宋体" w:hint="default"/>
                <w:sz w:val="20"/>
                <w:szCs w:val="20"/>
              </w:rPr>
              <w:t>目</w:t>
            </w:r>
          </w:p>
        </w:tc>
        <w:tc>
          <w:tcPr>
            <w:tcW w:w="6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10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51" w:right="0"/>
              <w:jc w:val="left"/>
              <w:rPr>
                <w:rFonts w:ascii="Times New Roman" w:hAnsi="Times New Roman" w:cs="Times New Roman" w:eastAsia="Times New Roman" w:hint="default"/>
                <w:sz w:val="20"/>
                <w:szCs w:val="20"/>
              </w:rPr>
            </w:pPr>
            <w:r>
              <w:rPr>
                <w:rFonts w:ascii="Times New Roman"/>
                <w:sz w:val="20"/>
              </w:rPr>
              <w:t>5,006.65</w:t>
            </w:r>
          </w:p>
        </w:tc>
        <w:tc>
          <w:tcPr>
            <w:tcW w:w="10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51" w:right="0"/>
              <w:jc w:val="left"/>
              <w:rPr>
                <w:rFonts w:ascii="Times New Roman" w:hAnsi="Times New Roman" w:cs="Times New Roman" w:eastAsia="Times New Roman" w:hint="default"/>
                <w:sz w:val="20"/>
                <w:szCs w:val="20"/>
              </w:rPr>
            </w:pPr>
            <w:r>
              <w:rPr>
                <w:rFonts w:ascii="Times New Roman"/>
                <w:sz w:val="20"/>
              </w:rPr>
              <w:t>5,006.65</w:t>
            </w:r>
          </w:p>
        </w:tc>
        <w:tc>
          <w:tcPr>
            <w:tcW w:w="9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151.54</w:t>
            </w:r>
          </w:p>
        </w:tc>
        <w:tc>
          <w:tcPr>
            <w:tcW w:w="9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151.54</w:t>
            </w:r>
          </w:p>
        </w:tc>
        <w:tc>
          <w:tcPr>
            <w:tcW w:w="10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20"/>
                <w:szCs w:val="20"/>
              </w:rPr>
            </w:pPr>
            <w:r>
              <w:rPr>
                <w:rFonts w:ascii="Times New Roman"/>
                <w:sz w:val="20"/>
              </w:rPr>
              <w:t>3.03</w:t>
            </w:r>
          </w:p>
        </w:tc>
        <w:tc>
          <w:tcPr>
            <w:tcW w:w="7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2013</w:t>
            </w:r>
          </w:p>
          <w:p>
            <w:pPr>
              <w:pStyle w:val="TableParagraph"/>
              <w:spacing w:line="240" w:lineRule="auto" w:before="35"/>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w:t>
            </w:r>
          </w:p>
          <w:p>
            <w:pPr>
              <w:pStyle w:val="TableParagraph"/>
              <w:spacing w:line="240" w:lineRule="auto" w:before="35"/>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31</w:t>
            </w:r>
          </w:p>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4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103" w:right="103"/>
              <w:jc w:val="both"/>
              <w:rPr>
                <w:rFonts w:ascii="宋体" w:hAnsi="宋体" w:cs="宋体" w:eastAsia="宋体" w:hint="default"/>
                <w:sz w:val="20"/>
                <w:szCs w:val="20"/>
              </w:rPr>
            </w:pPr>
            <w:r>
              <w:rPr>
                <w:rFonts w:ascii="宋体" w:hAnsi="宋体" w:cs="宋体" w:eastAsia="宋体" w:hint="default"/>
                <w:sz w:val="20"/>
                <w:szCs w:val="20"/>
              </w:rPr>
              <w:t>不</w:t>
            </w:r>
            <w:r>
              <w:rPr>
                <w:rFonts w:ascii="宋体" w:hAnsi="宋体" w:cs="宋体" w:eastAsia="宋体" w:hint="default"/>
                <w:w w:val="99"/>
                <w:sz w:val="20"/>
                <w:szCs w:val="20"/>
              </w:rPr>
              <w:t> </w:t>
            </w:r>
            <w:r>
              <w:rPr>
                <w:rFonts w:ascii="宋体" w:hAnsi="宋体" w:cs="宋体" w:eastAsia="宋体" w:hint="default"/>
                <w:sz w:val="20"/>
                <w:szCs w:val="20"/>
              </w:rPr>
              <w:t>适</w:t>
            </w:r>
            <w:r>
              <w:rPr>
                <w:rFonts w:ascii="宋体" w:hAnsi="宋体" w:cs="宋体" w:eastAsia="宋体" w:hint="default"/>
                <w:w w:val="99"/>
                <w:sz w:val="20"/>
                <w:szCs w:val="20"/>
              </w:rPr>
              <w:t> </w:t>
            </w:r>
            <w:r>
              <w:rPr>
                <w:rFonts w:ascii="宋体" w:hAnsi="宋体" w:cs="宋体" w:eastAsia="宋体" w:hint="default"/>
                <w:sz w:val="20"/>
                <w:szCs w:val="20"/>
              </w:rPr>
              <w:t>用</w:t>
            </w:r>
          </w:p>
        </w:tc>
        <w:tc>
          <w:tcPr>
            <w:tcW w:w="48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136"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1210" w:hRule="exact"/>
        </w:trPr>
        <w:tc>
          <w:tcPr>
            <w:tcW w:w="946"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07"/>
              <w:ind w:left="122" w:right="45"/>
              <w:jc w:val="left"/>
              <w:rPr>
                <w:rFonts w:ascii="宋体" w:hAnsi="宋体" w:cs="宋体" w:eastAsia="宋体" w:hint="default"/>
                <w:sz w:val="20"/>
                <w:szCs w:val="20"/>
              </w:rPr>
            </w:pPr>
            <w:r>
              <w:rPr>
                <w:rFonts w:ascii="宋体" w:hAnsi="宋体" w:cs="宋体" w:eastAsia="宋体" w:hint="default"/>
                <w:spacing w:val="38"/>
                <w:sz w:val="20"/>
                <w:szCs w:val="20"/>
              </w:rPr>
              <w:t>承诺投</w:t>
            </w:r>
            <w:r>
              <w:rPr>
                <w:rFonts w:ascii="宋体" w:hAnsi="宋体" w:cs="宋体" w:eastAsia="宋体" w:hint="default"/>
                <w:spacing w:val="-43"/>
                <w:sz w:val="20"/>
                <w:szCs w:val="20"/>
              </w:rPr>
              <w:t> </w:t>
            </w:r>
            <w:r>
              <w:rPr>
                <w:rFonts w:ascii="宋体" w:hAnsi="宋体" w:cs="宋体" w:eastAsia="宋体" w:hint="default"/>
                <w:spacing w:val="38"/>
                <w:sz w:val="20"/>
                <w:szCs w:val="20"/>
              </w:rPr>
              <w:t>资项目</w:t>
            </w:r>
            <w:r>
              <w:rPr>
                <w:rFonts w:ascii="宋体" w:hAnsi="宋体" w:cs="宋体" w:eastAsia="宋体" w:hint="default"/>
                <w:spacing w:val="-43"/>
                <w:sz w:val="20"/>
                <w:szCs w:val="20"/>
              </w:rPr>
              <w:t> </w:t>
            </w:r>
            <w:r>
              <w:rPr>
                <w:rFonts w:ascii="宋体" w:hAnsi="宋体" w:cs="宋体" w:eastAsia="宋体" w:hint="default"/>
                <w:sz w:val="20"/>
                <w:szCs w:val="20"/>
              </w:rPr>
            </w:r>
          </w:p>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653" w:type="dxa"/>
            <w:tcBorders>
              <w:top w:val="dotted" w:sz="4" w:space="0" w:color="000000"/>
              <w:left w:val="dotted" w:sz="4" w:space="0" w:color="000000"/>
              <w:bottom w:val="dotted" w:sz="4" w:space="0" w:color="000000"/>
              <w:right w:val="dotted" w:sz="4" w:space="0" w:color="000000"/>
            </w:tcBorders>
          </w:tcPr>
          <w:p>
            <w:pPr/>
          </w:p>
        </w:tc>
        <w:tc>
          <w:tcPr>
            <w:tcW w:w="10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31,161.05</w:t>
            </w:r>
          </w:p>
        </w:tc>
        <w:tc>
          <w:tcPr>
            <w:tcW w:w="10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31,161.05</w:t>
            </w:r>
          </w:p>
        </w:tc>
        <w:tc>
          <w:tcPr>
            <w:tcW w:w="9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2,450.64</w:t>
            </w:r>
          </w:p>
        </w:tc>
        <w:tc>
          <w:tcPr>
            <w:tcW w:w="9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2,450.64</w:t>
            </w:r>
          </w:p>
        </w:tc>
        <w:tc>
          <w:tcPr>
            <w:tcW w:w="10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20"/>
                <w:szCs w:val="20"/>
              </w:rPr>
            </w:pPr>
            <w:r>
              <w:rPr>
                <w:rFonts w:ascii="Times New Roman"/>
                <w:sz w:val="20"/>
              </w:rPr>
              <w:t>7.86</w:t>
            </w:r>
          </w:p>
        </w:tc>
        <w:tc>
          <w:tcPr>
            <w:tcW w:w="744" w:type="dxa"/>
            <w:tcBorders>
              <w:top w:val="dotted" w:sz="4" w:space="0" w:color="000000"/>
              <w:left w:val="dotted" w:sz="4" w:space="0" w:color="000000"/>
              <w:bottom w:val="dotted" w:sz="4" w:space="0" w:color="000000"/>
              <w:right w:val="dotted" w:sz="4" w:space="0" w:color="000000"/>
            </w:tcBorders>
          </w:tcPr>
          <w:p>
            <w:pPr/>
          </w:p>
        </w:tc>
        <w:tc>
          <w:tcPr>
            <w:tcW w:w="4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18" w:type="dxa"/>
            <w:tcBorders>
              <w:top w:val="dotted" w:sz="4" w:space="0" w:color="000000"/>
              <w:left w:val="dotted" w:sz="4" w:space="0" w:color="000000"/>
              <w:bottom w:val="dotted" w:sz="4" w:space="0" w:color="000000"/>
              <w:right w:val="dotted" w:sz="4" w:space="0" w:color="000000"/>
            </w:tcBorders>
          </w:tcPr>
          <w:p>
            <w:pPr>
              <w:pStyle w:val="TableParagraph"/>
              <w:spacing w:line="285" w:lineRule="auto" w:before="124"/>
              <w:ind w:left="103" w:right="103"/>
              <w:jc w:val="both"/>
              <w:rPr>
                <w:rFonts w:ascii="宋体" w:hAnsi="宋体" w:cs="宋体" w:eastAsia="宋体" w:hint="default"/>
                <w:sz w:val="20"/>
                <w:szCs w:val="20"/>
              </w:rPr>
            </w:pPr>
            <w:r>
              <w:rPr>
                <w:rFonts w:ascii="宋体" w:hAnsi="宋体" w:cs="宋体" w:eastAsia="宋体" w:hint="default"/>
                <w:sz w:val="20"/>
                <w:szCs w:val="20"/>
              </w:rPr>
              <w:t>不</w:t>
            </w:r>
            <w:r>
              <w:rPr>
                <w:rFonts w:ascii="宋体" w:hAnsi="宋体" w:cs="宋体" w:eastAsia="宋体" w:hint="default"/>
                <w:w w:val="99"/>
                <w:sz w:val="20"/>
                <w:szCs w:val="20"/>
              </w:rPr>
              <w:t> </w:t>
            </w:r>
            <w:r>
              <w:rPr>
                <w:rFonts w:ascii="宋体" w:hAnsi="宋体" w:cs="宋体" w:eastAsia="宋体" w:hint="default"/>
                <w:sz w:val="20"/>
                <w:szCs w:val="20"/>
              </w:rPr>
              <w:t>适</w:t>
            </w:r>
            <w:r>
              <w:rPr>
                <w:rFonts w:ascii="宋体" w:hAnsi="宋体" w:cs="宋体" w:eastAsia="宋体" w:hint="default"/>
                <w:w w:val="99"/>
                <w:sz w:val="20"/>
                <w:szCs w:val="20"/>
              </w:rPr>
              <w:t> </w:t>
            </w:r>
            <w:r>
              <w:rPr>
                <w:rFonts w:ascii="宋体" w:hAnsi="宋体" w:cs="宋体" w:eastAsia="宋体" w:hint="default"/>
                <w:sz w:val="20"/>
                <w:szCs w:val="20"/>
              </w:rPr>
              <w:t>用</w:t>
            </w:r>
          </w:p>
        </w:tc>
        <w:tc>
          <w:tcPr>
            <w:tcW w:w="48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36"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809" w:hRule="exact"/>
        </w:trPr>
        <w:tc>
          <w:tcPr>
            <w:tcW w:w="946" w:type="dxa"/>
            <w:tcBorders>
              <w:top w:val="dotted" w:sz="4" w:space="0" w:color="000000"/>
              <w:left w:val="nil" w:sz="6" w:space="0" w:color="auto"/>
              <w:bottom w:val="dotted" w:sz="4" w:space="0" w:color="000000"/>
              <w:right w:val="dotted" w:sz="4" w:space="0" w:color="000000"/>
            </w:tcBorders>
          </w:tcPr>
          <w:p>
            <w:pPr>
              <w:pStyle w:val="TableParagraph"/>
              <w:spacing w:line="402" w:lineRule="exact" w:before="19"/>
              <w:ind w:left="122" w:right="45"/>
              <w:jc w:val="left"/>
              <w:rPr>
                <w:rFonts w:ascii="宋体" w:hAnsi="宋体" w:cs="宋体" w:eastAsia="宋体" w:hint="default"/>
                <w:sz w:val="20"/>
                <w:szCs w:val="20"/>
              </w:rPr>
            </w:pPr>
            <w:r>
              <w:rPr>
                <w:rFonts w:ascii="宋体" w:hAnsi="宋体" w:cs="宋体" w:eastAsia="宋体" w:hint="default"/>
                <w:spacing w:val="38"/>
                <w:sz w:val="20"/>
                <w:szCs w:val="20"/>
              </w:rPr>
              <w:t>超募资</w:t>
            </w:r>
            <w:r>
              <w:rPr>
                <w:rFonts w:ascii="宋体" w:hAnsi="宋体" w:cs="宋体" w:eastAsia="宋体" w:hint="default"/>
                <w:spacing w:val="-43"/>
                <w:sz w:val="20"/>
                <w:szCs w:val="20"/>
              </w:rPr>
              <w:t> </w:t>
            </w:r>
            <w:r>
              <w:rPr>
                <w:rFonts w:ascii="宋体" w:hAnsi="宋体" w:cs="宋体" w:eastAsia="宋体" w:hint="default"/>
                <w:sz w:val="20"/>
                <w:szCs w:val="20"/>
              </w:rPr>
              <w:t>金投向</w:t>
            </w:r>
          </w:p>
        </w:tc>
        <w:tc>
          <w:tcPr>
            <w:tcW w:w="7593" w:type="dxa"/>
            <w:gridSpan w:val="10"/>
            <w:tcBorders>
              <w:top w:val="dotted" w:sz="4" w:space="0" w:color="000000"/>
              <w:left w:val="dotted" w:sz="4" w:space="0" w:color="000000"/>
              <w:bottom w:val="dotted" w:sz="4" w:space="0" w:color="000000"/>
              <w:right w:val="nil" w:sz="6" w:space="0" w:color="auto"/>
            </w:tcBorders>
          </w:tcPr>
          <w:p>
            <w:pPr/>
          </w:p>
        </w:tc>
      </w:tr>
      <w:tr>
        <w:trPr>
          <w:trHeight w:val="1210" w:hRule="exact"/>
        </w:trPr>
        <w:tc>
          <w:tcPr>
            <w:tcW w:w="946"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07"/>
              <w:ind w:left="122" w:right="45"/>
              <w:jc w:val="left"/>
              <w:rPr>
                <w:rFonts w:ascii="宋体" w:hAnsi="宋体" w:cs="宋体" w:eastAsia="宋体" w:hint="default"/>
                <w:sz w:val="20"/>
                <w:szCs w:val="20"/>
              </w:rPr>
            </w:pPr>
            <w:r>
              <w:rPr>
                <w:rFonts w:ascii="宋体" w:hAnsi="宋体" w:cs="宋体" w:eastAsia="宋体" w:hint="default"/>
                <w:spacing w:val="38"/>
                <w:sz w:val="20"/>
                <w:szCs w:val="20"/>
              </w:rPr>
              <w:t>归还银</w:t>
            </w:r>
            <w:r>
              <w:rPr>
                <w:rFonts w:ascii="宋体" w:hAnsi="宋体" w:cs="宋体" w:eastAsia="宋体" w:hint="default"/>
                <w:spacing w:val="-43"/>
                <w:sz w:val="20"/>
                <w:szCs w:val="20"/>
              </w:rPr>
              <w:t> </w:t>
            </w:r>
            <w:r>
              <w:rPr>
                <w:rFonts w:ascii="宋体" w:hAnsi="宋体" w:cs="宋体" w:eastAsia="宋体" w:hint="default"/>
                <w:spacing w:val="38"/>
                <w:sz w:val="20"/>
                <w:szCs w:val="20"/>
              </w:rPr>
              <w:t>行贷款</w:t>
            </w:r>
            <w:r>
              <w:rPr>
                <w:rFonts w:ascii="宋体" w:hAnsi="宋体" w:cs="宋体" w:eastAsia="宋体" w:hint="default"/>
                <w:spacing w:val="-43"/>
                <w:sz w:val="20"/>
                <w:szCs w:val="20"/>
              </w:rPr>
              <w:t> </w:t>
            </w:r>
            <w:r>
              <w:rPr>
                <w:rFonts w:ascii="宋体" w:hAnsi="宋体" w:cs="宋体" w:eastAsia="宋体" w:hint="default"/>
                <w:sz w:val="20"/>
                <w:szCs w:val="20"/>
              </w:rPr>
            </w:r>
          </w:p>
          <w:p>
            <w:pPr>
              <w:pStyle w:val="TableParagraph"/>
              <w:spacing w:line="240" w:lineRule="auto" w:before="33"/>
              <w:ind w:left="122" w:right="0"/>
              <w:jc w:val="left"/>
              <w:rPr>
                <w:rFonts w:ascii="宋体" w:hAnsi="宋体" w:cs="宋体" w:eastAsia="宋体" w:hint="default"/>
                <w:sz w:val="20"/>
                <w:szCs w:val="20"/>
              </w:rPr>
            </w:pPr>
            <w:r>
              <w:rPr>
                <w:rFonts w:ascii="宋体" w:hAnsi="宋体" w:cs="宋体" w:eastAsia="宋体" w:hint="default"/>
                <w:sz w:val="20"/>
                <w:szCs w:val="20"/>
              </w:rPr>
              <w:t>（如有）</w:t>
            </w:r>
          </w:p>
        </w:tc>
        <w:tc>
          <w:tcPr>
            <w:tcW w:w="653" w:type="dxa"/>
            <w:tcBorders>
              <w:top w:val="dotted" w:sz="4" w:space="0" w:color="000000"/>
              <w:left w:val="dotted" w:sz="4" w:space="0" w:color="000000"/>
              <w:bottom w:val="dotted" w:sz="4" w:space="0" w:color="000000"/>
              <w:right w:val="dotted" w:sz="4" w:space="0" w:color="000000"/>
            </w:tcBorders>
          </w:tcPr>
          <w:p>
            <w:pPr/>
          </w:p>
        </w:tc>
        <w:tc>
          <w:tcPr>
            <w:tcW w:w="1016" w:type="dxa"/>
            <w:tcBorders>
              <w:top w:val="dotted" w:sz="4" w:space="0" w:color="000000"/>
              <w:left w:val="dotted" w:sz="4" w:space="0" w:color="000000"/>
              <w:bottom w:val="dotted" w:sz="4" w:space="0" w:color="000000"/>
              <w:right w:val="dotted" w:sz="4" w:space="0" w:color="000000"/>
            </w:tcBorders>
          </w:tcPr>
          <w:p>
            <w:pPr/>
          </w:p>
        </w:tc>
        <w:tc>
          <w:tcPr>
            <w:tcW w:w="1015" w:type="dxa"/>
            <w:tcBorders>
              <w:top w:val="dotted" w:sz="4" w:space="0" w:color="000000"/>
              <w:left w:val="dotted" w:sz="4" w:space="0" w:color="000000"/>
              <w:bottom w:val="dotted" w:sz="4" w:space="0" w:color="000000"/>
              <w:right w:val="dotted" w:sz="4" w:space="0" w:color="000000"/>
            </w:tcBorders>
          </w:tcPr>
          <w:p>
            <w:pPr/>
          </w:p>
        </w:tc>
        <w:tc>
          <w:tcPr>
            <w:tcW w:w="917" w:type="dxa"/>
            <w:tcBorders>
              <w:top w:val="dotted" w:sz="4" w:space="0" w:color="000000"/>
              <w:left w:val="dotted" w:sz="4" w:space="0" w:color="000000"/>
              <w:bottom w:val="dotted" w:sz="4" w:space="0" w:color="000000"/>
              <w:right w:val="dotted" w:sz="4" w:space="0" w:color="000000"/>
            </w:tcBorders>
          </w:tcPr>
          <w:p>
            <w:pPr/>
          </w:p>
        </w:tc>
        <w:tc>
          <w:tcPr>
            <w:tcW w:w="917" w:type="dxa"/>
            <w:tcBorders>
              <w:top w:val="dotted" w:sz="4" w:space="0" w:color="000000"/>
              <w:left w:val="dotted" w:sz="4" w:space="0" w:color="000000"/>
              <w:bottom w:val="dotted" w:sz="4" w:space="0" w:color="000000"/>
              <w:right w:val="dotted" w:sz="4" w:space="0" w:color="000000"/>
            </w:tcBorders>
          </w:tcPr>
          <w:p>
            <w:pPr/>
          </w:p>
        </w:tc>
        <w:tc>
          <w:tcPr>
            <w:tcW w:w="1010" w:type="dxa"/>
            <w:tcBorders>
              <w:top w:val="dotted" w:sz="4" w:space="0" w:color="000000"/>
              <w:left w:val="dotted" w:sz="4" w:space="0" w:color="000000"/>
              <w:bottom w:val="dotted" w:sz="4" w:space="0" w:color="000000"/>
              <w:right w:val="dotted" w:sz="4" w:space="0" w:color="000000"/>
            </w:tcBorders>
          </w:tcPr>
          <w:p>
            <w:pPr/>
          </w:p>
        </w:tc>
        <w:tc>
          <w:tcPr>
            <w:tcW w:w="744" w:type="dxa"/>
            <w:tcBorders>
              <w:top w:val="dotted" w:sz="4" w:space="0" w:color="000000"/>
              <w:left w:val="dotted" w:sz="4" w:space="0" w:color="000000"/>
              <w:bottom w:val="dotted" w:sz="4" w:space="0" w:color="000000"/>
              <w:right w:val="dotted" w:sz="4" w:space="0" w:color="000000"/>
            </w:tcBorders>
          </w:tcPr>
          <w:p>
            <w:pPr/>
          </w:p>
        </w:tc>
        <w:tc>
          <w:tcPr>
            <w:tcW w:w="415" w:type="dxa"/>
            <w:tcBorders>
              <w:top w:val="dotted" w:sz="4" w:space="0" w:color="000000"/>
              <w:left w:val="dotted" w:sz="4" w:space="0" w:color="000000"/>
              <w:bottom w:val="dotted" w:sz="4" w:space="0" w:color="000000"/>
              <w:right w:val="dotted" w:sz="4" w:space="0" w:color="000000"/>
            </w:tcBorders>
          </w:tcPr>
          <w:p>
            <w:pPr/>
          </w:p>
        </w:tc>
        <w:tc>
          <w:tcPr>
            <w:tcW w:w="418" w:type="dxa"/>
            <w:tcBorders>
              <w:top w:val="dotted" w:sz="4" w:space="0" w:color="000000"/>
              <w:left w:val="dotted" w:sz="4" w:space="0" w:color="000000"/>
              <w:bottom w:val="dotted" w:sz="4" w:space="0" w:color="000000"/>
              <w:right w:val="dotted" w:sz="4" w:space="0" w:color="000000"/>
            </w:tcBorders>
          </w:tcPr>
          <w:p>
            <w:pPr/>
          </w:p>
        </w:tc>
        <w:tc>
          <w:tcPr>
            <w:tcW w:w="487" w:type="dxa"/>
            <w:tcBorders>
              <w:top w:val="dotted" w:sz="4" w:space="0" w:color="000000"/>
              <w:left w:val="dotted" w:sz="4" w:space="0" w:color="000000"/>
              <w:bottom w:val="dotted" w:sz="4" w:space="0" w:color="000000"/>
              <w:right w:val="nil" w:sz="6" w:space="0" w:color="auto"/>
            </w:tcBorders>
          </w:tcPr>
          <w:p>
            <w:pPr/>
          </w:p>
        </w:tc>
      </w:tr>
      <w:tr>
        <w:trPr>
          <w:trHeight w:val="1212" w:hRule="exact"/>
        </w:trPr>
        <w:tc>
          <w:tcPr>
            <w:tcW w:w="946"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09"/>
              <w:ind w:left="122" w:right="45"/>
              <w:jc w:val="left"/>
              <w:rPr>
                <w:rFonts w:ascii="宋体" w:hAnsi="宋体" w:cs="宋体" w:eastAsia="宋体" w:hint="default"/>
                <w:sz w:val="20"/>
                <w:szCs w:val="20"/>
              </w:rPr>
            </w:pPr>
            <w:r>
              <w:rPr>
                <w:rFonts w:ascii="宋体" w:hAnsi="宋体" w:cs="宋体" w:eastAsia="宋体" w:hint="default"/>
                <w:spacing w:val="38"/>
                <w:sz w:val="20"/>
                <w:szCs w:val="20"/>
              </w:rPr>
              <w:t>补充流</w:t>
            </w:r>
            <w:r>
              <w:rPr>
                <w:rFonts w:ascii="宋体" w:hAnsi="宋体" w:cs="宋体" w:eastAsia="宋体" w:hint="default"/>
                <w:spacing w:val="-43"/>
                <w:sz w:val="20"/>
                <w:szCs w:val="20"/>
              </w:rPr>
              <w:t> </w:t>
            </w:r>
            <w:r>
              <w:rPr>
                <w:rFonts w:ascii="宋体" w:hAnsi="宋体" w:cs="宋体" w:eastAsia="宋体" w:hint="default"/>
                <w:spacing w:val="38"/>
                <w:sz w:val="20"/>
                <w:szCs w:val="20"/>
              </w:rPr>
              <w:t>动资金</w:t>
            </w:r>
            <w:r>
              <w:rPr>
                <w:rFonts w:ascii="宋体" w:hAnsi="宋体" w:cs="宋体" w:eastAsia="宋体" w:hint="default"/>
                <w:spacing w:val="-43"/>
                <w:sz w:val="20"/>
                <w:szCs w:val="20"/>
              </w:rPr>
              <w:t> </w:t>
            </w:r>
            <w:r>
              <w:rPr>
                <w:rFonts w:ascii="宋体" w:hAnsi="宋体" w:cs="宋体" w:eastAsia="宋体" w:hint="default"/>
                <w:sz w:val="20"/>
                <w:szCs w:val="20"/>
              </w:rPr>
            </w:r>
          </w:p>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（如有）</w:t>
            </w:r>
          </w:p>
        </w:tc>
        <w:tc>
          <w:tcPr>
            <w:tcW w:w="653" w:type="dxa"/>
            <w:tcBorders>
              <w:top w:val="dotted" w:sz="4" w:space="0" w:color="000000"/>
              <w:left w:val="dotted" w:sz="4" w:space="0" w:color="000000"/>
              <w:bottom w:val="dotted" w:sz="4" w:space="0" w:color="000000"/>
              <w:right w:val="dotted" w:sz="4" w:space="0" w:color="000000"/>
            </w:tcBorders>
          </w:tcPr>
          <w:p>
            <w:pPr/>
          </w:p>
        </w:tc>
        <w:tc>
          <w:tcPr>
            <w:tcW w:w="1016" w:type="dxa"/>
            <w:tcBorders>
              <w:top w:val="dotted" w:sz="4" w:space="0" w:color="000000"/>
              <w:left w:val="dotted" w:sz="4" w:space="0" w:color="000000"/>
              <w:bottom w:val="dotted" w:sz="4" w:space="0" w:color="000000"/>
              <w:right w:val="dotted" w:sz="4" w:space="0" w:color="000000"/>
            </w:tcBorders>
          </w:tcPr>
          <w:p>
            <w:pPr/>
          </w:p>
        </w:tc>
        <w:tc>
          <w:tcPr>
            <w:tcW w:w="1015" w:type="dxa"/>
            <w:tcBorders>
              <w:top w:val="dotted" w:sz="4" w:space="0" w:color="000000"/>
              <w:left w:val="dotted" w:sz="4" w:space="0" w:color="000000"/>
              <w:bottom w:val="dotted" w:sz="4" w:space="0" w:color="000000"/>
              <w:right w:val="dotted" w:sz="4" w:space="0" w:color="000000"/>
            </w:tcBorders>
          </w:tcPr>
          <w:p>
            <w:pPr/>
          </w:p>
        </w:tc>
        <w:tc>
          <w:tcPr>
            <w:tcW w:w="917" w:type="dxa"/>
            <w:tcBorders>
              <w:top w:val="dotted" w:sz="4" w:space="0" w:color="000000"/>
              <w:left w:val="dotted" w:sz="4" w:space="0" w:color="000000"/>
              <w:bottom w:val="dotted" w:sz="4" w:space="0" w:color="000000"/>
              <w:right w:val="dotted" w:sz="4" w:space="0" w:color="000000"/>
            </w:tcBorders>
          </w:tcPr>
          <w:p>
            <w:pPr/>
          </w:p>
        </w:tc>
        <w:tc>
          <w:tcPr>
            <w:tcW w:w="917" w:type="dxa"/>
            <w:tcBorders>
              <w:top w:val="dotted" w:sz="4" w:space="0" w:color="000000"/>
              <w:left w:val="dotted" w:sz="4" w:space="0" w:color="000000"/>
              <w:bottom w:val="dotted" w:sz="4" w:space="0" w:color="000000"/>
              <w:right w:val="dotted" w:sz="4" w:space="0" w:color="000000"/>
            </w:tcBorders>
          </w:tcPr>
          <w:p>
            <w:pPr/>
          </w:p>
        </w:tc>
        <w:tc>
          <w:tcPr>
            <w:tcW w:w="1010" w:type="dxa"/>
            <w:tcBorders>
              <w:top w:val="dotted" w:sz="4" w:space="0" w:color="000000"/>
              <w:left w:val="dotted" w:sz="4" w:space="0" w:color="000000"/>
              <w:bottom w:val="dotted" w:sz="4" w:space="0" w:color="000000"/>
              <w:right w:val="dotted" w:sz="4" w:space="0" w:color="000000"/>
            </w:tcBorders>
          </w:tcPr>
          <w:p>
            <w:pPr/>
          </w:p>
        </w:tc>
        <w:tc>
          <w:tcPr>
            <w:tcW w:w="744" w:type="dxa"/>
            <w:tcBorders>
              <w:top w:val="dotted" w:sz="4" w:space="0" w:color="000000"/>
              <w:left w:val="dotted" w:sz="4" w:space="0" w:color="000000"/>
              <w:bottom w:val="dotted" w:sz="4" w:space="0" w:color="000000"/>
              <w:right w:val="dotted" w:sz="4" w:space="0" w:color="000000"/>
            </w:tcBorders>
          </w:tcPr>
          <w:p>
            <w:pPr/>
          </w:p>
        </w:tc>
        <w:tc>
          <w:tcPr>
            <w:tcW w:w="415" w:type="dxa"/>
            <w:tcBorders>
              <w:top w:val="dotted" w:sz="4" w:space="0" w:color="000000"/>
              <w:left w:val="dotted" w:sz="4" w:space="0" w:color="000000"/>
              <w:bottom w:val="dotted" w:sz="4" w:space="0" w:color="000000"/>
              <w:right w:val="dotted" w:sz="4" w:space="0" w:color="000000"/>
            </w:tcBorders>
          </w:tcPr>
          <w:p>
            <w:pPr/>
          </w:p>
        </w:tc>
        <w:tc>
          <w:tcPr>
            <w:tcW w:w="418" w:type="dxa"/>
            <w:tcBorders>
              <w:top w:val="dotted" w:sz="4" w:space="0" w:color="000000"/>
              <w:left w:val="dotted" w:sz="4" w:space="0" w:color="000000"/>
              <w:bottom w:val="dotted" w:sz="4" w:space="0" w:color="000000"/>
              <w:right w:val="dotted" w:sz="4" w:space="0" w:color="000000"/>
            </w:tcBorders>
          </w:tcPr>
          <w:p>
            <w:pPr/>
          </w:p>
        </w:tc>
        <w:tc>
          <w:tcPr>
            <w:tcW w:w="487" w:type="dxa"/>
            <w:tcBorders>
              <w:top w:val="dotted" w:sz="4" w:space="0" w:color="000000"/>
              <w:left w:val="dotted" w:sz="4" w:space="0" w:color="000000"/>
              <w:bottom w:val="dotted" w:sz="4" w:space="0" w:color="000000"/>
              <w:right w:val="nil" w:sz="6" w:space="0" w:color="auto"/>
            </w:tcBorders>
          </w:tcPr>
          <w:p>
            <w:pPr/>
          </w:p>
        </w:tc>
      </w:tr>
      <w:tr>
        <w:trPr>
          <w:trHeight w:val="1210" w:hRule="exact"/>
        </w:trPr>
        <w:tc>
          <w:tcPr>
            <w:tcW w:w="946"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07"/>
              <w:ind w:left="122" w:right="45"/>
              <w:jc w:val="left"/>
              <w:rPr>
                <w:rFonts w:ascii="宋体" w:hAnsi="宋体" w:cs="宋体" w:eastAsia="宋体" w:hint="default"/>
                <w:sz w:val="20"/>
                <w:szCs w:val="20"/>
              </w:rPr>
            </w:pPr>
            <w:r>
              <w:rPr>
                <w:rFonts w:ascii="宋体" w:hAnsi="宋体" w:cs="宋体" w:eastAsia="宋体" w:hint="default"/>
                <w:spacing w:val="38"/>
                <w:sz w:val="20"/>
                <w:szCs w:val="20"/>
              </w:rPr>
              <w:t>超募资</w:t>
            </w:r>
            <w:r>
              <w:rPr>
                <w:rFonts w:ascii="宋体" w:hAnsi="宋体" w:cs="宋体" w:eastAsia="宋体" w:hint="default"/>
                <w:spacing w:val="-43"/>
                <w:sz w:val="20"/>
                <w:szCs w:val="20"/>
              </w:rPr>
              <w:t> </w:t>
            </w:r>
            <w:r>
              <w:rPr>
                <w:rFonts w:ascii="宋体" w:hAnsi="宋体" w:cs="宋体" w:eastAsia="宋体" w:hint="default"/>
                <w:spacing w:val="38"/>
                <w:sz w:val="20"/>
                <w:szCs w:val="20"/>
              </w:rPr>
              <w:t>金投向</w:t>
            </w:r>
            <w:r>
              <w:rPr>
                <w:rFonts w:ascii="宋体" w:hAnsi="宋体" w:cs="宋体" w:eastAsia="宋体" w:hint="default"/>
                <w:spacing w:val="-43"/>
                <w:sz w:val="20"/>
                <w:szCs w:val="20"/>
              </w:rPr>
              <w:t> </w:t>
            </w:r>
            <w:r>
              <w:rPr>
                <w:rFonts w:ascii="宋体" w:hAnsi="宋体" w:cs="宋体" w:eastAsia="宋体" w:hint="default"/>
                <w:sz w:val="20"/>
                <w:szCs w:val="20"/>
              </w:rPr>
            </w:r>
          </w:p>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653" w:type="dxa"/>
            <w:tcBorders>
              <w:top w:val="dotted" w:sz="4" w:space="0" w:color="000000"/>
              <w:left w:val="dotted" w:sz="4" w:space="0" w:color="000000"/>
              <w:bottom w:val="dotted" w:sz="4" w:space="0" w:color="000000"/>
              <w:right w:val="dotted" w:sz="4" w:space="0" w:color="000000"/>
            </w:tcBorders>
          </w:tcPr>
          <w:p>
            <w:pPr/>
          </w:p>
        </w:tc>
        <w:tc>
          <w:tcPr>
            <w:tcW w:w="1016" w:type="dxa"/>
            <w:tcBorders>
              <w:top w:val="dotted" w:sz="4" w:space="0" w:color="000000"/>
              <w:left w:val="dotted" w:sz="4" w:space="0" w:color="000000"/>
              <w:bottom w:val="dotted" w:sz="4" w:space="0" w:color="000000"/>
              <w:right w:val="dotted" w:sz="4" w:space="0" w:color="000000"/>
            </w:tcBorders>
          </w:tcPr>
          <w:p>
            <w:pPr/>
          </w:p>
        </w:tc>
        <w:tc>
          <w:tcPr>
            <w:tcW w:w="1015" w:type="dxa"/>
            <w:tcBorders>
              <w:top w:val="dotted" w:sz="4" w:space="0" w:color="000000"/>
              <w:left w:val="dotted" w:sz="4" w:space="0" w:color="000000"/>
              <w:bottom w:val="dotted" w:sz="4" w:space="0" w:color="000000"/>
              <w:right w:val="dotted" w:sz="4" w:space="0" w:color="000000"/>
            </w:tcBorders>
          </w:tcPr>
          <w:p>
            <w:pPr/>
          </w:p>
        </w:tc>
        <w:tc>
          <w:tcPr>
            <w:tcW w:w="917" w:type="dxa"/>
            <w:tcBorders>
              <w:top w:val="dotted" w:sz="4" w:space="0" w:color="000000"/>
              <w:left w:val="dotted" w:sz="4" w:space="0" w:color="000000"/>
              <w:bottom w:val="dotted" w:sz="4" w:space="0" w:color="000000"/>
              <w:right w:val="dotted" w:sz="4" w:space="0" w:color="000000"/>
            </w:tcBorders>
          </w:tcPr>
          <w:p>
            <w:pPr/>
          </w:p>
        </w:tc>
        <w:tc>
          <w:tcPr>
            <w:tcW w:w="917" w:type="dxa"/>
            <w:tcBorders>
              <w:top w:val="dotted" w:sz="4" w:space="0" w:color="000000"/>
              <w:left w:val="dotted" w:sz="4" w:space="0" w:color="000000"/>
              <w:bottom w:val="dotted" w:sz="4" w:space="0" w:color="000000"/>
              <w:right w:val="dotted" w:sz="4" w:space="0" w:color="000000"/>
            </w:tcBorders>
          </w:tcPr>
          <w:p>
            <w:pPr/>
          </w:p>
        </w:tc>
        <w:tc>
          <w:tcPr>
            <w:tcW w:w="1010" w:type="dxa"/>
            <w:tcBorders>
              <w:top w:val="dotted" w:sz="4" w:space="0" w:color="000000"/>
              <w:left w:val="dotted" w:sz="4" w:space="0" w:color="000000"/>
              <w:bottom w:val="dotted" w:sz="4" w:space="0" w:color="000000"/>
              <w:right w:val="dotted" w:sz="4" w:space="0" w:color="000000"/>
            </w:tcBorders>
          </w:tcPr>
          <w:p>
            <w:pPr/>
          </w:p>
        </w:tc>
        <w:tc>
          <w:tcPr>
            <w:tcW w:w="744" w:type="dxa"/>
            <w:tcBorders>
              <w:top w:val="dotted" w:sz="4" w:space="0" w:color="000000"/>
              <w:left w:val="dotted" w:sz="4" w:space="0" w:color="000000"/>
              <w:bottom w:val="dotted" w:sz="4" w:space="0" w:color="000000"/>
              <w:right w:val="dotted" w:sz="4" w:space="0" w:color="000000"/>
            </w:tcBorders>
          </w:tcPr>
          <w:p>
            <w:pPr/>
          </w:p>
        </w:tc>
        <w:tc>
          <w:tcPr>
            <w:tcW w:w="415" w:type="dxa"/>
            <w:tcBorders>
              <w:top w:val="dotted" w:sz="4" w:space="0" w:color="000000"/>
              <w:left w:val="dotted" w:sz="4" w:space="0" w:color="000000"/>
              <w:bottom w:val="dotted" w:sz="4" w:space="0" w:color="000000"/>
              <w:right w:val="dotted" w:sz="4" w:space="0" w:color="000000"/>
            </w:tcBorders>
          </w:tcPr>
          <w:p>
            <w:pPr/>
          </w:p>
        </w:tc>
        <w:tc>
          <w:tcPr>
            <w:tcW w:w="418" w:type="dxa"/>
            <w:tcBorders>
              <w:top w:val="dotted" w:sz="4" w:space="0" w:color="000000"/>
              <w:left w:val="dotted" w:sz="4" w:space="0" w:color="000000"/>
              <w:bottom w:val="dotted" w:sz="4" w:space="0" w:color="000000"/>
              <w:right w:val="dotted" w:sz="4" w:space="0" w:color="000000"/>
            </w:tcBorders>
          </w:tcPr>
          <w:p>
            <w:pPr/>
          </w:p>
        </w:tc>
        <w:tc>
          <w:tcPr>
            <w:tcW w:w="487" w:type="dxa"/>
            <w:tcBorders>
              <w:top w:val="dotted" w:sz="4" w:space="0" w:color="000000"/>
              <w:left w:val="dotted" w:sz="4" w:space="0" w:color="000000"/>
              <w:bottom w:val="dotted" w:sz="4" w:space="0" w:color="000000"/>
              <w:right w:val="nil" w:sz="6" w:space="0" w:color="auto"/>
            </w:tcBorders>
          </w:tcPr>
          <w:p>
            <w:pPr/>
          </w:p>
        </w:tc>
      </w:tr>
      <w:tr>
        <w:trPr>
          <w:trHeight w:val="946" w:hRule="exact"/>
        </w:trPr>
        <w:tc>
          <w:tcPr>
            <w:tcW w:w="94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653" w:type="dxa"/>
            <w:tcBorders>
              <w:top w:val="dotted" w:sz="4" w:space="0" w:color="000000"/>
              <w:left w:val="dotted" w:sz="4" w:space="0" w:color="000000"/>
              <w:bottom w:val="dotted" w:sz="4" w:space="0" w:color="000000"/>
              <w:right w:val="dotted" w:sz="4" w:space="0" w:color="000000"/>
            </w:tcBorders>
          </w:tcPr>
          <w:p>
            <w:pPr/>
          </w:p>
        </w:tc>
        <w:tc>
          <w:tcPr>
            <w:tcW w:w="10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sz w:val="20"/>
              </w:rPr>
              <w:t>31,161.05</w:t>
            </w:r>
          </w:p>
        </w:tc>
        <w:tc>
          <w:tcPr>
            <w:tcW w:w="10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sz w:val="20"/>
              </w:rPr>
              <w:t>31,161.05</w:t>
            </w:r>
          </w:p>
        </w:tc>
        <w:tc>
          <w:tcPr>
            <w:tcW w:w="9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Times New Roman" w:hAnsi="Times New Roman" w:cs="Times New Roman" w:eastAsia="Times New Roman" w:hint="default"/>
                <w:sz w:val="20"/>
                <w:szCs w:val="20"/>
              </w:rPr>
            </w:pPr>
            <w:r>
              <w:rPr>
                <w:rFonts w:ascii="Times New Roman"/>
                <w:sz w:val="20"/>
              </w:rPr>
              <w:t>2,450.64</w:t>
            </w:r>
          </w:p>
        </w:tc>
        <w:tc>
          <w:tcPr>
            <w:tcW w:w="9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Times New Roman" w:hAnsi="Times New Roman" w:cs="Times New Roman" w:eastAsia="Times New Roman" w:hint="default"/>
                <w:sz w:val="20"/>
                <w:szCs w:val="20"/>
              </w:rPr>
            </w:pPr>
            <w:r>
              <w:rPr>
                <w:rFonts w:ascii="Times New Roman"/>
                <w:sz w:val="20"/>
              </w:rPr>
              <w:t>2,450.64</w:t>
            </w:r>
          </w:p>
        </w:tc>
        <w:tc>
          <w:tcPr>
            <w:tcW w:w="10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3" w:right="0"/>
              <w:jc w:val="center"/>
              <w:rPr>
                <w:rFonts w:ascii="Times New Roman" w:hAnsi="Times New Roman" w:cs="Times New Roman" w:eastAsia="Times New Roman" w:hint="default"/>
                <w:sz w:val="20"/>
                <w:szCs w:val="20"/>
              </w:rPr>
            </w:pPr>
            <w:r>
              <w:rPr>
                <w:rFonts w:ascii="Times New Roman"/>
                <w:sz w:val="20"/>
              </w:rPr>
              <w:t>7.86</w:t>
            </w:r>
          </w:p>
        </w:tc>
        <w:tc>
          <w:tcPr>
            <w:tcW w:w="744" w:type="dxa"/>
            <w:tcBorders>
              <w:top w:val="dotted" w:sz="4" w:space="0" w:color="000000"/>
              <w:left w:val="dotted" w:sz="4" w:space="0" w:color="000000"/>
              <w:bottom w:val="dotted" w:sz="4" w:space="0" w:color="000000"/>
              <w:right w:val="dotted" w:sz="4" w:space="0" w:color="000000"/>
            </w:tcBorders>
          </w:tcPr>
          <w:p>
            <w:pPr/>
          </w:p>
        </w:tc>
        <w:tc>
          <w:tcPr>
            <w:tcW w:w="4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18" w:type="dxa"/>
            <w:tcBorders>
              <w:top w:val="dotted" w:sz="4" w:space="0" w:color="000000"/>
              <w:left w:val="dotted" w:sz="4" w:space="0" w:color="000000"/>
              <w:bottom w:val="dotted" w:sz="4" w:space="0" w:color="000000"/>
              <w:right w:val="dotted" w:sz="4" w:space="0" w:color="000000"/>
            </w:tcBorders>
          </w:tcPr>
          <w:p>
            <w:pPr>
              <w:pStyle w:val="TableParagraph"/>
              <w:spacing w:line="285" w:lineRule="auto"/>
              <w:ind w:left="103" w:right="103"/>
              <w:jc w:val="both"/>
              <w:rPr>
                <w:rFonts w:ascii="宋体" w:hAnsi="宋体" w:cs="宋体" w:eastAsia="宋体" w:hint="default"/>
                <w:sz w:val="20"/>
                <w:szCs w:val="20"/>
              </w:rPr>
            </w:pPr>
            <w:r>
              <w:rPr>
                <w:rFonts w:ascii="宋体" w:hAnsi="宋体" w:cs="宋体" w:eastAsia="宋体" w:hint="default"/>
                <w:sz w:val="20"/>
                <w:szCs w:val="20"/>
              </w:rPr>
              <w:t>不</w:t>
            </w:r>
            <w:r>
              <w:rPr>
                <w:rFonts w:ascii="宋体" w:hAnsi="宋体" w:cs="宋体" w:eastAsia="宋体" w:hint="default"/>
                <w:w w:val="99"/>
                <w:sz w:val="20"/>
                <w:szCs w:val="20"/>
              </w:rPr>
              <w:t> </w:t>
            </w:r>
            <w:r>
              <w:rPr>
                <w:rFonts w:ascii="宋体" w:hAnsi="宋体" w:cs="宋体" w:eastAsia="宋体" w:hint="default"/>
                <w:sz w:val="20"/>
                <w:szCs w:val="20"/>
              </w:rPr>
              <w:t>适</w:t>
            </w:r>
            <w:r>
              <w:rPr>
                <w:rFonts w:ascii="宋体" w:hAnsi="宋体" w:cs="宋体" w:eastAsia="宋体" w:hint="default"/>
                <w:w w:val="99"/>
                <w:sz w:val="20"/>
                <w:szCs w:val="20"/>
              </w:rPr>
              <w:t> </w:t>
            </w:r>
            <w:r>
              <w:rPr>
                <w:rFonts w:ascii="宋体" w:hAnsi="宋体" w:cs="宋体" w:eastAsia="宋体" w:hint="default"/>
                <w:sz w:val="20"/>
                <w:szCs w:val="20"/>
              </w:rPr>
              <w:t>用</w:t>
            </w:r>
          </w:p>
        </w:tc>
        <w:tc>
          <w:tcPr>
            <w:tcW w:w="48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36"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209" w:hRule="exact"/>
        </w:trPr>
        <w:tc>
          <w:tcPr>
            <w:tcW w:w="946"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07"/>
              <w:ind w:left="122" w:right="45"/>
              <w:jc w:val="both"/>
              <w:rPr>
                <w:rFonts w:ascii="宋体" w:hAnsi="宋体" w:cs="宋体" w:eastAsia="宋体" w:hint="default"/>
                <w:sz w:val="20"/>
                <w:szCs w:val="20"/>
              </w:rPr>
            </w:pPr>
            <w:r>
              <w:rPr>
                <w:rFonts w:ascii="宋体" w:hAnsi="宋体" w:cs="宋体" w:eastAsia="宋体" w:hint="default"/>
                <w:spacing w:val="38"/>
                <w:sz w:val="20"/>
                <w:szCs w:val="20"/>
              </w:rPr>
              <w:t>未达到</w:t>
            </w:r>
            <w:r>
              <w:rPr>
                <w:rFonts w:ascii="宋体" w:hAnsi="宋体" w:cs="宋体" w:eastAsia="宋体" w:hint="default"/>
                <w:spacing w:val="-43"/>
                <w:sz w:val="20"/>
                <w:szCs w:val="20"/>
              </w:rPr>
              <w:t> </w:t>
            </w:r>
            <w:r>
              <w:rPr>
                <w:rFonts w:ascii="宋体" w:hAnsi="宋体" w:cs="宋体" w:eastAsia="宋体" w:hint="default"/>
                <w:spacing w:val="38"/>
                <w:sz w:val="20"/>
                <w:szCs w:val="20"/>
              </w:rPr>
              <w:t>计划进</w:t>
            </w:r>
            <w:r>
              <w:rPr>
                <w:rFonts w:ascii="宋体" w:hAnsi="宋体" w:cs="宋体" w:eastAsia="宋体" w:hint="default"/>
                <w:spacing w:val="-43"/>
                <w:sz w:val="20"/>
                <w:szCs w:val="20"/>
              </w:rPr>
              <w:t> </w:t>
            </w:r>
            <w:r>
              <w:rPr>
                <w:rFonts w:ascii="宋体" w:hAnsi="宋体" w:cs="宋体" w:eastAsia="宋体" w:hint="default"/>
                <w:spacing w:val="38"/>
                <w:sz w:val="20"/>
                <w:szCs w:val="20"/>
              </w:rPr>
              <w:t>度或预</w:t>
            </w:r>
            <w:r>
              <w:rPr>
                <w:rFonts w:ascii="宋体" w:hAnsi="宋体" w:cs="宋体" w:eastAsia="宋体" w:hint="default"/>
                <w:spacing w:val="-43"/>
                <w:sz w:val="20"/>
                <w:szCs w:val="20"/>
              </w:rPr>
              <w:t> </w:t>
            </w:r>
            <w:r>
              <w:rPr>
                <w:rFonts w:ascii="宋体" w:hAnsi="宋体" w:cs="宋体" w:eastAsia="宋体" w:hint="default"/>
                <w:spacing w:val="38"/>
                <w:sz w:val="20"/>
                <w:szCs w:val="20"/>
              </w:rPr>
              <w:t>计收益</w:t>
            </w:r>
            <w:r>
              <w:rPr>
                <w:rFonts w:ascii="宋体" w:hAnsi="宋体" w:cs="宋体" w:eastAsia="宋体" w:hint="default"/>
                <w:spacing w:val="-43"/>
                <w:sz w:val="20"/>
                <w:szCs w:val="20"/>
              </w:rPr>
              <w:t> </w:t>
            </w:r>
            <w:r>
              <w:rPr>
                <w:rFonts w:ascii="宋体" w:hAnsi="宋体" w:cs="宋体" w:eastAsia="宋体" w:hint="default"/>
                <w:spacing w:val="38"/>
                <w:sz w:val="20"/>
                <w:szCs w:val="20"/>
              </w:rPr>
              <w:t>的情况</w:t>
            </w:r>
            <w:r>
              <w:rPr>
                <w:rFonts w:ascii="宋体" w:hAnsi="宋体" w:cs="宋体" w:eastAsia="宋体" w:hint="default"/>
                <w:spacing w:val="-43"/>
                <w:sz w:val="20"/>
                <w:szCs w:val="20"/>
              </w:rPr>
              <w:t> </w:t>
            </w:r>
            <w:r>
              <w:rPr>
                <w:rFonts w:ascii="宋体" w:hAnsi="宋体" w:cs="宋体" w:eastAsia="宋体" w:hint="default"/>
                <w:spacing w:val="38"/>
                <w:sz w:val="20"/>
                <w:szCs w:val="20"/>
              </w:rPr>
              <w:t>和原因</w:t>
            </w:r>
            <w:r>
              <w:rPr>
                <w:rFonts w:ascii="宋体" w:hAnsi="宋体" w:cs="宋体" w:eastAsia="宋体" w:hint="default"/>
                <w:spacing w:val="-43"/>
                <w:sz w:val="20"/>
                <w:szCs w:val="20"/>
              </w:rPr>
              <w:t> </w:t>
            </w:r>
            <w:r>
              <w:rPr>
                <w:rFonts w:ascii="宋体" w:hAnsi="宋体" w:cs="宋体" w:eastAsia="宋体" w:hint="default"/>
                <w:sz w:val="20"/>
                <w:szCs w:val="20"/>
              </w:rPr>
            </w:r>
          </w:p>
          <w:p>
            <w:pPr>
              <w:pStyle w:val="TableParagraph"/>
              <w:spacing w:line="240" w:lineRule="auto" w:before="33"/>
              <w:ind w:left="122" w:right="0"/>
              <w:jc w:val="both"/>
              <w:rPr>
                <w:rFonts w:ascii="宋体" w:hAnsi="宋体" w:cs="宋体" w:eastAsia="宋体" w:hint="default"/>
                <w:sz w:val="20"/>
                <w:szCs w:val="20"/>
              </w:rPr>
            </w:pPr>
            <w:r>
              <w:rPr>
                <w:rFonts w:ascii="宋体" w:hAnsi="宋体" w:cs="宋体" w:eastAsia="宋体" w:hint="default"/>
                <w:spacing w:val="38"/>
                <w:sz w:val="20"/>
                <w:szCs w:val="20"/>
              </w:rPr>
              <w:t>（分具</w:t>
            </w:r>
            <w:r>
              <w:rPr>
                <w:rFonts w:ascii="宋体" w:hAnsi="宋体" w:cs="宋体" w:eastAsia="宋体" w:hint="default"/>
                <w:spacing w:val="-43"/>
                <w:sz w:val="20"/>
                <w:szCs w:val="20"/>
              </w:rPr>
              <w:t> </w:t>
            </w:r>
            <w:r>
              <w:rPr>
                <w:rFonts w:ascii="宋体" w:hAnsi="宋体" w:cs="宋体" w:eastAsia="宋体" w:hint="default"/>
                <w:sz w:val="20"/>
                <w:szCs w:val="20"/>
              </w:rPr>
            </w:r>
          </w:p>
          <w:p>
            <w:pPr>
              <w:pStyle w:val="TableParagraph"/>
              <w:spacing w:line="240" w:lineRule="auto" w:before="139"/>
              <w:ind w:left="122" w:right="0"/>
              <w:jc w:val="both"/>
              <w:rPr>
                <w:rFonts w:ascii="宋体" w:hAnsi="宋体" w:cs="宋体" w:eastAsia="宋体" w:hint="default"/>
                <w:sz w:val="20"/>
                <w:szCs w:val="20"/>
              </w:rPr>
            </w:pPr>
            <w:r>
              <w:rPr>
                <w:rFonts w:ascii="宋体" w:hAnsi="宋体" w:cs="宋体" w:eastAsia="宋体" w:hint="default"/>
                <w:sz w:val="20"/>
                <w:szCs w:val="20"/>
              </w:rPr>
              <w:t>体项目）</w:t>
            </w:r>
          </w:p>
        </w:tc>
        <w:tc>
          <w:tcPr>
            <w:tcW w:w="7593" w:type="dxa"/>
            <w:gridSpan w:val="10"/>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1222" w:hRule="exact"/>
        </w:trPr>
        <w:tc>
          <w:tcPr>
            <w:tcW w:w="946" w:type="dxa"/>
            <w:tcBorders>
              <w:top w:val="dotted" w:sz="4" w:space="0" w:color="000000"/>
              <w:left w:val="nil" w:sz="6" w:space="0" w:color="auto"/>
              <w:bottom w:val="single" w:sz="12" w:space="0" w:color="000000"/>
              <w:right w:val="dotted" w:sz="4" w:space="0" w:color="000000"/>
            </w:tcBorders>
          </w:tcPr>
          <w:p>
            <w:pPr>
              <w:pStyle w:val="TableParagraph"/>
              <w:spacing w:line="364" w:lineRule="auto" w:before="109"/>
              <w:ind w:left="122" w:right="45"/>
              <w:jc w:val="left"/>
              <w:rPr>
                <w:rFonts w:ascii="宋体" w:hAnsi="宋体" w:cs="宋体" w:eastAsia="宋体" w:hint="default"/>
                <w:sz w:val="20"/>
                <w:szCs w:val="20"/>
              </w:rPr>
            </w:pPr>
            <w:r>
              <w:rPr>
                <w:rFonts w:ascii="宋体" w:hAnsi="宋体" w:cs="宋体" w:eastAsia="宋体" w:hint="default"/>
                <w:spacing w:val="38"/>
                <w:sz w:val="20"/>
                <w:szCs w:val="20"/>
              </w:rPr>
              <w:t>项目可</w:t>
            </w:r>
            <w:r>
              <w:rPr>
                <w:rFonts w:ascii="宋体" w:hAnsi="宋体" w:cs="宋体" w:eastAsia="宋体" w:hint="default"/>
                <w:spacing w:val="-43"/>
                <w:sz w:val="20"/>
                <w:szCs w:val="20"/>
              </w:rPr>
              <w:t> </w:t>
            </w:r>
            <w:r>
              <w:rPr>
                <w:rFonts w:ascii="宋体" w:hAnsi="宋体" w:cs="宋体" w:eastAsia="宋体" w:hint="default"/>
                <w:sz w:val="20"/>
                <w:szCs w:val="20"/>
              </w:rPr>
              <w:t>行</w:t>
            </w:r>
            <w:r>
              <w:rPr>
                <w:rFonts w:ascii="宋体" w:hAnsi="宋体" w:cs="宋体" w:eastAsia="宋体" w:hint="default"/>
                <w:spacing w:val="-45"/>
                <w:sz w:val="20"/>
                <w:szCs w:val="20"/>
              </w:rPr>
              <w:t> </w:t>
            </w:r>
            <w:r>
              <w:rPr>
                <w:rFonts w:ascii="宋体" w:hAnsi="宋体" w:cs="宋体" w:eastAsia="宋体" w:hint="default"/>
                <w:spacing w:val="28"/>
                <w:sz w:val="20"/>
                <w:szCs w:val="20"/>
              </w:rPr>
              <w:t>性发</w:t>
            </w:r>
            <w:r>
              <w:rPr>
                <w:rFonts w:ascii="宋体" w:hAnsi="宋体" w:cs="宋体" w:eastAsia="宋体" w:hint="default"/>
                <w:spacing w:val="-43"/>
                <w:sz w:val="20"/>
                <w:szCs w:val="20"/>
              </w:rPr>
              <w:t> </w:t>
            </w:r>
            <w:r>
              <w:rPr>
                <w:rFonts w:ascii="宋体" w:hAnsi="宋体" w:cs="宋体" w:eastAsia="宋体" w:hint="default"/>
                <w:sz w:val="20"/>
                <w:szCs w:val="20"/>
              </w:rPr>
            </w:r>
          </w:p>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pacing w:val="38"/>
                <w:sz w:val="20"/>
                <w:szCs w:val="20"/>
              </w:rPr>
              <w:t>生重大</w:t>
            </w:r>
            <w:r>
              <w:rPr>
                <w:rFonts w:ascii="宋体" w:hAnsi="宋体" w:cs="宋体" w:eastAsia="宋体" w:hint="default"/>
                <w:spacing w:val="-43"/>
                <w:sz w:val="20"/>
                <w:szCs w:val="20"/>
              </w:rPr>
              <w:t> </w:t>
            </w:r>
            <w:r>
              <w:rPr>
                <w:rFonts w:ascii="宋体" w:hAnsi="宋体" w:cs="宋体" w:eastAsia="宋体" w:hint="default"/>
                <w:sz w:val="20"/>
                <w:szCs w:val="20"/>
              </w:rPr>
            </w:r>
          </w:p>
        </w:tc>
        <w:tc>
          <w:tcPr>
            <w:tcW w:w="7593" w:type="dxa"/>
            <w:gridSpan w:val="10"/>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bl>
    <w:p>
      <w:pPr>
        <w:spacing w:after="0" w:line="240" w:lineRule="auto"/>
        <w:jc w:val="center"/>
        <w:rPr>
          <w:rFonts w:ascii="宋体" w:hAnsi="宋体" w:cs="宋体" w:eastAsia="宋体" w:hint="default"/>
          <w:sz w:val="20"/>
          <w:szCs w:val="20"/>
        </w:rPr>
        <w:sectPr>
          <w:pgSz w:w="11910" w:h="16840"/>
          <w:pgMar w:header="884" w:footer="980" w:top="1140" w:bottom="1160" w:left="1560" w:right="1560"/>
        </w:sectPr>
      </w:pPr>
    </w:p>
    <w:p>
      <w:pPr>
        <w:spacing w:line="240" w:lineRule="auto" w:before="5"/>
        <w:rPr>
          <w:rFonts w:ascii="Times New Roman" w:hAnsi="Times New Roman" w:cs="Times New Roman" w:eastAsia="Times New Roman"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946"/>
        <w:gridCol w:w="7593"/>
      </w:tblGrid>
      <w:tr>
        <w:trPr>
          <w:trHeight w:val="1222" w:hRule="exact"/>
        </w:trPr>
        <w:tc>
          <w:tcPr>
            <w:tcW w:w="946" w:type="dxa"/>
            <w:tcBorders>
              <w:top w:val="single" w:sz="12" w:space="0" w:color="000000"/>
              <w:left w:val="nil" w:sz="6" w:space="0" w:color="auto"/>
              <w:bottom w:val="dotted" w:sz="4" w:space="0" w:color="000000"/>
              <w:right w:val="dotted" w:sz="4" w:space="0" w:color="000000"/>
            </w:tcBorders>
          </w:tcPr>
          <w:p>
            <w:pPr>
              <w:pStyle w:val="TableParagraph"/>
              <w:spacing w:line="364" w:lineRule="auto" w:before="109"/>
              <w:ind w:left="122" w:right="45"/>
              <w:jc w:val="left"/>
              <w:rPr>
                <w:rFonts w:ascii="宋体" w:hAnsi="宋体" w:cs="宋体" w:eastAsia="宋体" w:hint="default"/>
                <w:sz w:val="20"/>
                <w:szCs w:val="20"/>
              </w:rPr>
            </w:pPr>
            <w:r>
              <w:rPr>
                <w:rFonts w:ascii="宋体" w:hAnsi="宋体" w:cs="宋体" w:eastAsia="宋体" w:hint="default"/>
                <w:spacing w:val="38"/>
                <w:sz w:val="20"/>
                <w:szCs w:val="20"/>
              </w:rPr>
              <w:t>变化的</w:t>
            </w:r>
            <w:r>
              <w:rPr>
                <w:rFonts w:ascii="宋体" w:hAnsi="宋体" w:cs="宋体" w:eastAsia="宋体" w:hint="default"/>
                <w:spacing w:val="-43"/>
                <w:sz w:val="20"/>
                <w:szCs w:val="20"/>
              </w:rPr>
              <w:t> </w:t>
            </w:r>
            <w:r>
              <w:rPr>
                <w:rFonts w:ascii="宋体" w:hAnsi="宋体" w:cs="宋体" w:eastAsia="宋体" w:hint="default"/>
                <w:spacing w:val="38"/>
                <w:sz w:val="20"/>
                <w:szCs w:val="20"/>
              </w:rPr>
              <w:t>情况说</w:t>
            </w:r>
            <w:r>
              <w:rPr>
                <w:rFonts w:ascii="宋体" w:hAnsi="宋体" w:cs="宋体" w:eastAsia="宋体" w:hint="default"/>
                <w:spacing w:val="-43"/>
                <w:sz w:val="20"/>
                <w:szCs w:val="20"/>
              </w:rPr>
              <w:t> </w:t>
            </w:r>
            <w:r>
              <w:rPr>
                <w:rFonts w:ascii="宋体" w:hAnsi="宋体" w:cs="宋体" w:eastAsia="宋体" w:hint="default"/>
                <w:sz w:val="20"/>
                <w:szCs w:val="20"/>
              </w:rPr>
            </w:r>
          </w:p>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w w:val="99"/>
                <w:sz w:val="20"/>
                <w:szCs w:val="20"/>
              </w:rPr>
              <w:t>明</w:t>
            </w:r>
            <w:r>
              <w:rPr>
                <w:rFonts w:ascii="宋体" w:hAnsi="宋体" w:cs="宋体" w:eastAsia="宋体" w:hint="default"/>
                <w:sz w:val="20"/>
                <w:szCs w:val="20"/>
              </w:rPr>
            </w:r>
          </w:p>
        </w:tc>
        <w:tc>
          <w:tcPr>
            <w:tcW w:w="7593" w:type="dxa"/>
            <w:tcBorders>
              <w:top w:val="single" w:sz="12" w:space="0" w:color="000000"/>
              <w:left w:val="dotted" w:sz="4" w:space="0" w:color="000000"/>
              <w:bottom w:val="dotted" w:sz="4" w:space="0" w:color="000000"/>
              <w:right w:val="nil" w:sz="6" w:space="0" w:color="auto"/>
            </w:tcBorders>
          </w:tcPr>
          <w:p>
            <w:pPr/>
          </w:p>
        </w:tc>
      </w:tr>
      <w:tr>
        <w:trPr>
          <w:trHeight w:val="2410" w:hRule="exact"/>
        </w:trPr>
        <w:tc>
          <w:tcPr>
            <w:tcW w:w="946"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07"/>
              <w:ind w:left="122" w:right="45"/>
              <w:jc w:val="both"/>
              <w:rPr>
                <w:rFonts w:ascii="宋体" w:hAnsi="宋体" w:cs="宋体" w:eastAsia="宋体" w:hint="default"/>
                <w:sz w:val="20"/>
                <w:szCs w:val="20"/>
              </w:rPr>
            </w:pPr>
            <w:r>
              <w:rPr>
                <w:rFonts w:ascii="宋体" w:hAnsi="宋体" w:cs="宋体" w:eastAsia="宋体" w:hint="default"/>
                <w:spacing w:val="38"/>
                <w:sz w:val="20"/>
                <w:szCs w:val="20"/>
              </w:rPr>
              <w:t>超募资</w:t>
            </w:r>
            <w:r>
              <w:rPr>
                <w:rFonts w:ascii="宋体" w:hAnsi="宋体" w:cs="宋体" w:eastAsia="宋体" w:hint="default"/>
                <w:spacing w:val="-43"/>
                <w:sz w:val="20"/>
                <w:szCs w:val="20"/>
              </w:rPr>
              <w:t> </w:t>
            </w:r>
            <w:r>
              <w:rPr>
                <w:rFonts w:ascii="宋体" w:hAnsi="宋体" w:cs="宋体" w:eastAsia="宋体" w:hint="default"/>
                <w:spacing w:val="38"/>
                <w:sz w:val="20"/>
                <w:szCs w:val="20"/>
              </w:rPr>
              <w:t>金的金</w:t>
            </w:r>
            <w:r>
              <w:rPr>
                <w:rFonts w:ascii="宋体" w:hAnsi="宋体" w:cs="宋体" w:eastAsia="宋体" w:hint="default"/>
                <w:spacing w:val="-43"/>
                <w:sz w:val="20"/>
                <w:szCs w:val="20"/>
              </w:rPr>
              <w:t> </w:t>
            </w:r>
            <w:r>
              <w:rPr>
                <w:rFonts w:ascii="宋体" w:hAnsi="宋体" w:cs="宋体" w:eastAsia="宋体" w:hint="default"/>
                <w:spacing w:val="-22"/>
                <w:w w:val="99"/>
                <w:sz w:val="20"/>
                <w:szCs w:val="20"/>
              </w:rPr>
              <w:t>额、用途</w:t>
            </w:r>
            <w:r>
              <w:rPr>
                <w:rFonts w:ascii="宋体" w:hAnsi="宋体" w:cs="宋体" w:eastAsia="宋体" w:hint="default"/>
                <w:spacing w:val="-97"/>
                <w:w w:val="99"/>
                <w:sz w:val="20"/>
                <w:szCs w:val="20"/>
              </w:rPr>
              <w:t> </w:t>
            </w:r>
            <w:r>
              <w:rPr>
                <w:rFonts w:ascii="宋体" w:hAnsi="宋体" w:cs="宋体" w:eastAsia="宋体" w:hint="default"/>
                <w:spacing w:val="-97"/>
                <w:w w:val="99"/>
                <w:sz w:val="20"/>
                <w:szCs w:val="20"/>
              </w:rPr>
            </w:r>
            <w:r>
              <w:rPr>
                <w:rFonts w:ascii="宋体" w:hAnsi="宋体" w:cs="宋体" w:eastAsia="宋体" w:hint="default"/>
                <w:spacing w:val="38"/>
                <w:sz w:val="20"/>
                <w:szCs w:val="20"/>
              </w:rPr>
              <w:t>及使用</w:t>
            </w:r>
            <w:r>
              <w:rPr>
                <w:rFonts w:ascii="宋体" w:hAnsi="宋体" w:cs="宋体" w:eastAsia="宋体" w:hint="default"/>
                <w:spacing w:val="-43"/>
                <w:sz w:val="20"/>
                <w:szCs w:val="20"/>
              </w:rPr>
              <w:t> </w:t>
            </w:r>
            <w:r>
              <w:rPr>
                <w:rFonts w:ascii="宋体" w:hAnsi="宋体" w:cs="宋体" w:eastAsia="宋体" w:hint="default"/>
                <w:spacing w:val="38"/>
                <w:sz w:val="20"/>
                <w:szCs w:val="20"/>
              </w:rPr>
              <w:t>进展情</w:t>
            </w:r>
            <w:r>
              <w:rPr>
                <w:rFonts w:ascii="宋体" w:hAnsi="宋体" w:cs="宋体" w:eastAsia="宋体" w:hint="default"/>
                <w:spacing w:val="-43"/>
                <w:sz w:val="20"/>
                <w:szCs w:val="20"/>
              </w:rPr>
              <w:t> </w:t>
            </w:r>
            <w:r>
              <w:rPr>
                <w:rFonts w:ascii="宋体" w:hAnsi="宋体" w:cs="宋体" w:eastAsia="宋体" w:hint="default"/>
                <w:sz w:val="20"/>
                <w:szCs w:val="20"/>
              </w:rPr>
            </w:r>
          </w:p>
          <w:p>
            <w:pPr>
              <w:pStyle w:val="TableParagraph"/>
              <w:spacing w:line="240" w:lineRule="auto" w:before="33"/>
              <w:ind w:left="122" w:right="0"/>
              <w:jc w:val="both"/>
              <w:rPr>
                <w:rFonts w:ascii="宋体" w:hAnsi="宋体" w:cs="宋体" w:eastAsia="宋体" w:hint="default"/>
                <w:sz w:val="20"/>
                <w:szCs w:val="20"/>
              </w:rPr>
            </w:pPr>
            <w:r>
              <w:rPr>
                <w:rFonts w:ascii="宋体" w:hAnsi="宋体" w:cs="宋体" w:eastAsia="宋体" w:hint="default"/>
                <w:w w:val="99"/>
                <w:sz w:val="20"/>
                <w:szCs w:val="20"/>
              </w:rPr>
              <w:t>况</w:t>
            </w:r>
            <w:r>
              <w:rPr>
                <w:rFonts w:ascii="宋体" w:hAnsi="宋体" w:cs="宋体" w:eastAsia="宋体" w:hint="default"/>
                <w:sz w:val="20"/>
                <w:szCs w:val="20"/>
              </w:rPr>
            </w:r>
          </w:p>
        </w:tc>
        <w:tc>
          <w:tcPr>
            <w:tcW w:w="759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78" w:lineRule="auto"/>
              <w:ind w:left="103" w:right="108"/>
              <w:jc w:val="center"/>
              <w:rPr>
                <w:rFonts w:ascii="宋体" w:hAnsi="宋体" w:cs="宋体" w:eastAsia="宋体" w:hint="default"/>
                <w:sz w:val="20"/>
                <w:szCs w:val="20"/>
              </w:rPr>
            </w:pPr>
            <w:r>
              <w:rPr>
                <w:rFonts w:ascii="宋体" w:hAnsi="宋体" w:cs="宋体" w:eastAsia="宋体" w:hint="default"/>
                <w:sz w:val="20"/>
                <w:szCs w:val="20"/>
              </w:rPr>
              <w:t>公司募集资金净额为</w:t>
            </w:r>
            <w:r>
              <w:rPr>
                <w:rFonts w:ascii="宋体" w:hAnsi="宋体" w:cs="宋体" w:eastAsia="宋体" w:hint="default"/>
                <w:spacing w:val="-58"/>
                <w:sz w:val="20"/>
                <w:szCs w:val="20"/>
              </w:rPr>
              <w:t> </w:t>
            </w:r>
            <w:r>
              <w:rPr>
                <w:rFonts w:ascii="Times New Roman" w:hAnsi="Times New Roman" w:cs="Times New Roman" w:eastAsia="Times New Roman" w:hint="default"/>
                <w:sz w:val="20"/>
                <w:szCs w:val="20"/>
              </w:rPr>
              <w:t>71,373.31</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万元，与预计募集资金相比，超募资金为</w:t>
            </w:r>
            <w:r>
              <w:rPr>
                <w:rFonts w:ascii="宋体" w:hAnsi="宋体" w:cs="宋体" w:eastAsia="宋体" w:hint="default"/>
                <w:spacing w:val="-58"/>
                <w:sz w:val="20"/>
                <w:szCs w:val="20"/>
              </w:rPr>
              <w:t> </w:t>
            </w:r>
            <w:r>
              <w:rPr>
                <w:rFonts w:ascii="Times New Roman" w:hAnsi="Times New Roman" w:cs="Times New Roman" w:eastAsia="Times New Roman" w:hint="default"/>
                <w:sz w:val="20"/>
                <w:szCs w:val="20"/>
              </w:rPr>
              <w:t>40,212.26</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万</w:t>
            </w:r>
            <w:r>
              <w:rPr>
                <w:rFonts w:ascii="宋体" w:hAnsi="宋体" w:cs="宋体" w:eastAsia="宋体" w:hint="default"/>
                <w:w w:val="99"/>
                <w:sz w:val="20"/>
                <w:szCs w:val="20"/>
              </w:rPr>
              <w:t> </w:t>
            </w:r>
            <w:r>
              <w:rPr>
                <w:rFonts w:ascii="宋体" w:hAnsi="宋体" w:cs="宋体" w:eastAsia="宋体" w:hint="default"/>
                <w:w w:val="95"/>
                <w:sz w:val="20"/>
                <w:szCs w:val="20"/>
              </w:rPr>
              <w:t>元。对于超募部分资金，公司将严格按照中国证监会和深交所有关规定，科学合理规</w:t>
            </w:r>
            <w:r>
              <w:rPr>
                <w:rFonts w:ascii="宋体" w:hAnsi="宋体" w:cs="宋体" w:eastAsia="宋体" w:hint="default"/>
                <w:spacing w:val="43"/>
                <w:w w:val="95"/>
                <w:sz w:val="20"/>
                <w:szCs w:val="20"/>
              </w:rPr>
              <w:t> </w:t>
            </w:r>
            <w:r>
              <w:rPr>
                <w:rFonts w:ascii="宋体" w:hAnsi="宋体" w:cs="宋体" w:eastAsia="宋体" w:hint="default"/>
                <w:spacing w:val="43"/>
                <w:w w:val="95"/>
                <w:sz w:val="20"/>
                <w:szCs w:val="20"/>
              </w:rPr>
            </w:r>
            <w:r>
              <w:rPr>
                <w:rFonts w:ascii="宋体" w:hAnsi="宋体" w:cs="宋体" w:eastAsia="宋体" w:hint="default"/>
                <w:sz w:val="20"/>
                <w:szCs w:val="20"/>
              </w:rPr>
              <w:t>划，谨慎稳妥实施。</w:t>
            </w:r>
          </w:p>
        </w:tc>
      </w:tr>
      <w:tr>
        <w:trPr>
          <w:trHeight w:val="2410" w:hRule="exact"/>
        </w:trPr>
        <w:tc>
          <w:tcPr>
            <w:tcW w:w="946"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07"/>
              <w:ind w:left="122" w:right="45"/>
              <w:jc w:val="both"/>
              <w:rPr>
                <w:rFonts w:ascii="宋体" w:hAnsi="宋体" w:cs="宋体" w:eastAsia="宋体" w:hint="default"/>
                <w:sz w:val="20"/>
                <w:szCs w:val="20"/>
              </w:rPr>
            </w:pPr>
            <w:r>
              <w:rPr>
                <w:rFonts w:ascii="宋体" w:hAnsi="宋体" w:cs="宋体" w:eastAsia="宋体" w:hint="default"/>
                <w:spacing w:val="38"/>
                <w:sz w:val="20"/>
                <w:szCs w:val="20"/>
              </w:rPr>
              <w:t>募集资</w:t>
            </w:r>
            <w:r>
              <w:rPr>
                <w:rFonts w:ascii="宋体" w:hAnsi="宋体" w:cs="宋体" w:eastAsia="宋体" w:hint="default"/>
                <w:spacing w:val="-43"/>
                <w:sz w:val="20"/>
                <w:szCs w:val="20"/>
              </w:rPr>
              <w:t> </w:t>
            </w:r>
            <w:r>
              <w:rPr>
                <w:rFonts w:ascii="宋体" w:hAnsi="宋体" w:cs="宋体" w:eastAsia="宋体" w:hint="default"/>
                <w:spacing w:val="38"/>
                <w:sz w:val="20"/>
                <w:szCs w:val="20"/>
              </w:rPr>
              <w:t>金投资</w:t>
            </w:r>
            <w:r>
              <w:rPr>
                <w:rFonts w:ascii="宋体" w:hAnsi="宋体" w:cs="宋体" w:eastAsia="宋体" w:hint="default"/>
                <w:spacing w:val="-43"/>
                <w:sz w:val="20"/>
                <w:szCs w:val="20"/>
              </w:rPr>
              <w:t> </w:t>
            </w:r>
            <w:r>
              <w:rPr>
                <w:rFonts w:ascii="宋体" w:hAnsi="宋体" w:cs="宋体" w:eastAsia="宋体" w:hint="default"/>
                <w:spacing w:val="38"/>
                <w:sz w:val="20"/>
                <w:szCs w:val="20"/>
              </w:rPr>
              <w:t>项目实</w:t>
            </w:r>
            <w:r>
              <w:rPr>
                <w:rFonts w:ascii="宋体" w:hAnsi="宋体" w:cs="宋体" w:eastAsia="宋体" w:hint="default"/>
                <w:spacing w:val="-43"/>
                <w:sz w:val="20"/>
                <w:szCs w:val="20"/>
              </w:rPr>
              <w:t> </w:t>
            </w:r>
            <w:r>
              <w:rPr>
                <w:rFonts w:ascii="宋体" w:hAnsi="宋体" w:cs="宋体" w:eastAsia="宋体" w:hint="default"/>
                <w:spacing w:val="38"/>
                <w:sz w:val="20"/>
                <w:szCs w:val="20"/>
              </w:rPr>
              <w:t>施地点</w:t>
            </w:r>
            <w:r>
              <w:rPr>
                <w:rFonts w:ascii="宋体" w:hAnsi="宋体" w:cs="宋体" w:eastAsia="宋体" w:hint="default"/>
                <w:spacing w:val="-43"/>
                <w:sz w:val="20"/>
                <w:szCs w:val="20"/>
              </w:rPr>
              <w:t> </w:t>
            </w:r>
            <w:r>
              <w:rPr>
                <w:rFonts w:ascii="宋体" w:hAnsi="宋体" w:cs="宋体" w:eastAsia="宋体" w:hint="default"/>
                <w:spacing w:val="38"/>
                <w:sz w:val="20"/>
                <w:szCs w:val="20"/>
              </w:rPr>
              <w:t>变更情</w:t>
            </w:r>
            <w:r>
              <w:rPr>
                <w:rFonts w:ascii="宋体" w:hAnsi="宋体" w:cs="宋体" w:eastAsia="宋体" w:hint="default"/>
                <w:spacing w:val="-43"/>
                <w:sz w:val="20"/>
                <w:szCs w:val="20"/>
              </w:rPr>
              <w:t> </w:t>
            </w:r>
            <w:r>
              <w:rPr>
                <w:rFonts w:ascii="宋体" w:hAnsi="宋体" w:cs="宋体" w:eastAsia="宋体" w:hint="default"/>
                <w:sz w:val="20"/>
                <w:szCs w:val="20"/>
              </w:rPr>
            </w:r>
          </w:p>
          <w:p>
            <w:pPr>
              <w:pStyle w:val="TableParagraph"/>
              <w:spacing w:line="240" w:lineRule="auto" w:before="30"/>
              <w:ind w:left="122" w:right="0"/>
              <w:jc w:val="both"/>
              <w:rPr>
                <w:rFonts w:ascii="宋体" w:hAnsi="宋体" w:cs="宋体" w:eastAsia="宋体" w:hint="default"/>
                <w:sz w:val="20"/>
                <w:szCs w:val="20"/>
              </w:rPr>
            </w:pPr>
            <w:r>
              <w:rPr>
                <w:rFonts w:ascii="宋体" w:hAnsi="宋体" w:cs="宋体" w:eastAsia="宋体" w:hint="default"/>
                <w:w w:val="99"/>
                <w:sz w:val="20"/>
                <w:szCs w:val="20"/>
              </w:rPr>
              <w:t>况</w:t>
            </w:r>
            <w:r>
              <w:rPr>
                <w:rFonts w:ascii="宋体" w:hAnsi="宋体" w:cs="宋体" w:eastAsia="宋体" w:hint="default"/>
                <w:sz w:val="20"/>
                <w:szCs w:val="20"/>
              </w:rPr>
            </w:r>
          </w:p>
        </w:tc>
        <w:tc>
          <w:tcPr>
            <w:tcW w:w="759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3490"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2410" w:hRule="exact"/>
        </w:trPr>
        <w:tc>
          <w:tcPr>
            <w:tcW w:w="946"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07"/>
              <w:ind w:left="122" w:right="45"/>
              <w:jc w:val="both"/>
              <w:rPr>
                <w:rFonts w:ascii="宋体" w:hAnsi="宋体" w:cs="宋体" w:eastAsia="宋体" w:hint="default"/>
                <w:sz w:val="20"/>
                <w:szCs w:val="20"/>
              </w:rPr>
            </w:pPr>
            <w:r>
              <w:rPr>
                <w:rFonts w:ascii="宋体" w:hAnsi="宋体" w:cs="宋体" w:eastAsia="宋体" w:hint="default"/>
                <w:spacing w:val="38"/>
                <w:sz w:val="20"/>
                <w:szCs w:val="20"/>
              </w:rPr>
              <w:t>募集资</w:t>
            </w:r>
            <w:r>
              <w:rPr>
                <w:rFonts w:ascii="宋体" w:hAnsi="宋体" w:cs="宋体" w:eastAsia="宋体" w:hint="default"/>
                <w:spacing w:val="-43"/>
                <w:sz w:val="20"/>
                <w:szCs w:val="20"/>
              </w:rPr>
              <w:t> </w:t>
            </w:r>
            <w:r>
              <w:rPr>
                <w:rFonts w:ascii="宋体" w:hAnsi="宋体" w:cs="宋体" w:eastAsia="宋体" w:hint="default"/>
                <w:spacing w:val="38"/>
                <w:sz w:val="20"/>
                <w:szCs w:val="20"/>
              </w:rPr>
              <w:t>金投资</w:t>
            </w:r>
            <w:r>
              <w:rPr>
                <w:rFonts w:ascii="宋体" w:hAnsi="宋体" w:cs="宋体" w:eastAsia="宋体" w:hint="default"/>
                <w:spacing w:val="-43"/>
                <w:sz w:val="20"/>
                <w:szCs w:val="20"/>
              </w:rPr>
              <w:t> </w:t>
            </w:r>
            <w:r>
              <w:rPr>
                <w:rFonts w:ascii="宋体" w:hAnsi="宋体" w:cs="宋体" w:eastAsia="宋体" w:hint="default"/>
                <w:spacing w:val="38"/>
                <w:sz w:val="20"/>
                <w:szCs w:val="20"/>
              </w:rPr>
              <w:t>项目实</w:t>
            </w:r>
            <w:r>
              <w:rPr>
                <w:rFonts w:ascii="宋体" w:hAnsi="宋体" w:cs="宋体" w:eastAsia="宋体" w:hint="default"/>
                <w:spacing w:val="-43"/>
                <w:sz w:val="20"/>
                <w:szCs w:val="20"/>
              </w:rPr>
              <w:t> </w:t>
            </w:r>
            <w:r>
              <w:rPr>
                <w:rFonts w:ascii="宋体" w:hAnsi="宋体" w:cs="宋体" w:eastAsia="宋体" w:hint="default"/>
                <w:spacing w:val="38"/>
                <w:sz w:val="20"/>
                <w:szCs w:val="20"/>
              </w:rPr>
              <w:t>施方式</w:t>
            </w:r>
            <w:r>
              <w:rPr>
                <w:rFonts w:ascii="宋体" w:hAnsi="宋体" w:cs="宋体" w:eastAsia="宋体" w:hint="default"/>
                <w:spacing w:val="-43"/>
                <w:sz w:val="20"/>
                <w:szCs w:val="20"/>
              </w:rPr>
              <w:t> </w:t>
            </w:r>
            <w:r>
              <w:rPr>
                <w:rFonts w:ascii="宋体" w:hAnsi="宋体" w:cs="宋体" w:eastAsia="宋体" w:hint="default"/>
                <w:spacing w:val="38"/>
                <w:sz w:val="20"/>
                <w:szCs w:val="20"/>
              </w:rPr>
              <w:t>调整情</w:t>
            </w:r>
            <w:r>
              <w:rPr>
                <w:rFonts w:ascii="宋体" w:hAnsi="宋体" w:cs="宋体" w:eastAsia="宋体" w:hint="default"/>
                <w:spacing w:val="-43"/>
                <w:sz w:val="20"/>
                <w:szCs w:val="20"/>
              </w:rPr>
              <w:t> </w:t>
            </w:r>
            <w:r>
              <w:rPr>
                <w:rFonts w:ascii="宋体" w:hAnsi="宋体" w:cs="宋体" w:eastAsia="宋体" w:hint="default"/>
                <w:sz w:val="20"/>
                <w:szCs w:val="20"/>
              </w:rPr>
            </w:r>
          </w:p>
          <w:p>
            <w:pPr>
              <w:pStyle w:val="TableParagraph"/>
              <w:spacing w:line="240" w:lineRule="auto" w:before="30"/>
              <w:ind w:left="122" w:right="0"/>
              <w:jc w:val="both"/>
              <w:rPr>
                <w:rFonts w:ascii="宋体" w:hAnsi="宋体" w:cs="宋体" w:eastAsia="宋体" w:hint="default"/>
                <w:sz w:val="20"/>
                <w:szCs w:val="20"/>
              </w:rPr>
            </w:pPr>
            <w:r>
              <w:rPr>
                <w:rFonts w:ascii="宋体" w:hAnsi="宋体" w:cs="宋体" w:eastAsia="宋体" w:hint="default"/>
                <w:w w:val="99"/>
                <w:sz w:val="20"/>
                <w:szCs w:val="20"/>
              </w:rPr>
              <w:t>况</w:t>
            </w:r>
            <w:r>
              <w:rPr>
                <w:rFonts w:ascii="宋体" w:hAnsi="宋体" w:cs="宋体" w:eastAsia="宋体" w:hint="default"/>
                <w:sz w:val="20"/>
                <w:szCs w:val="20"/>
              </w:rPr>
            </w:r>
          </w:p>
        </w:tc>
        <w:tc>
          <w:tcPr>
            <w:tcW w:w="759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3490"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2410" w:hRule="exact"/>
        </w:trPr>
        <w:tc>
          <w:tcPr>
            <w:tcW w:w="946"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07"/>
              <w:ind w:left="122" w:right="45"/>
              <w:jc w:val="both"/>
              <w:rPr>
                <w:rFonts w:ascii="宋体" w:hAnsi="宋体" w:cs="宋体" w:eastAsia="宋体" w:hint="default"/>
                <w:sz w:val="20"/>
                <w:szCs w:val="20"/>
              </w:rPr>
            </w:pPr>
            <w:r>
              <w:rPr>
                <w:rFonts w:ascii="宋体" w:hAnsi="宋体" w:cs="宋体" w:eastAsia="宋体" w:hint="default"/>
                <w:spacing w:val="38"/>
                <w:sz w:val="20"/>
                <w:szCs w:val="20"/>
              </w:rPr>
              <w:t>募集资</w:t>
            </w:r>
            <w:r>
              <w:rPr>
                <w:rFonts w:ascii="宋体" w:hAnsi="宋体" w:cs="宋体" w:eastAsia="宋体" w:hint="default"/>
                <w:spacing w:val="-43"/>
                <w:sz w:val="20"/>
                <w:szCs w:val="20"/>
              </w:rPr>
              <w:t> </w:t>
            </w:r>
            <w:r>
              <w:rPr>
                <w:rFonts w:ascii="宋体" w:hAnsi="宋体" w:cs="宋体" w:eastAsia="宋体" w:hint="default"/>
                <w:spacing w:val="38"/>
                <w:sz w:val="20"/>
                <w:szCs w:val="20"/>
              </w:rPr>
              <w:t>金投资</w:t>
            </w:r>
            <w:r>
              <w:rPr>
                <w:rFonts w:ascii="宋体" w:hAnsi="宋体" w:cs="宋体" w:eastAsia="宋体" w:hint="default"/>
                <w:spacing w:val="-43"/>
                <w:sz w:val="20"/>
                <w:szCs w:val="20"/>
              </w:rPr>
              <w:t> </w:t>
            </w:r>
            <w:r>
              <w:rPr>
                <w:rFonts w:ascii="宋体" w:hAnsi="宋体" w:cs="宋体" w:eastAsia="宋体" w:hint="default"/>
                <w:spacing w:val="38"/>
                <w:sz w:val="20"/>
                <w:szCs w:val="20"/>
              </w:rPr>
              <w:t>项目先</w:t>
            </w:r>
            <w:r>
              <w:rPr>
                <w:rFonts w:ascii="宋体" w:hAnsi="宋体" w:cs="宋体" w:eastAsia="宋体" w:hint="default"/>
                <w:spacing w:val="-43"/>
                <w:sz w:val="20"/>
                <w:szCs w:val="20"/>
              </w:rPr>
              <w:t> </w:t>
            </w:r>
            <w:r>
              <w:rPr>
                <w:rFonts w:ascii="宋体" w:hAnsi="宋体" w:cs="宋体" w:eastAsia="宋体" w:hint="default"/>
                <w:spacing w:val="38"/>
                <w:sz w:val="20"/>
                <w:szCs w:val="20"/>
              </w:rPr>
              <w:t>期投入</w:t>
            </w:r>
            <w:r>
              <w:rPr>
                <w:rFonts w:ascii="宋体" w:hAnsi="宋体" w:cs="宋体" w:eastAsia="宋体" w:hint="default"/>
                <w:spacing w:val="-43"/>
                <w:sz w:val="20"/>
                <w:szCs w:val="20"/>
              </w:rPr>
              <w:t> </w:t>
            </w:r>
            <w:r>
              <w:rPr>
                <w:rFonts w:ascii="宋体" w:hAnsi="宋体" w:cs="宋体" w:eastAsia="宋体" w:hint="default"/>
                <w:spacing w:val="38"/>
                <w:sz w:val="20"/>
                <w:szCs w:val="20"/>
              </w:rPr>
              <w:t>及置换</w:t>
            </w:r>
            <w:r>
              <w:rPr>
                <w:rFonts w:ascii="宋体" w:hAnsi="宋体" w:cs="宋体" w:eastAsia="宋体" w:hint="default"/>
                <w:spacing w:val="-43"/>
                <w:sz w:val="20"/>
                <w:szCs w:val="20"/>
              </w:rPr>
              <w:t> </w:t>
            </w:r>
            <w:r>
              <w:rPr>
                <w:rFonts w:ascii="宋体" w:hAnsi="宋体" w:cs="宋体" w:eastAsia="宋体" w:hint="default"/>
                <w:sz w:val="20"/>
                <w:szCs w:val="20"/>
              </w:rPr>
            </w:r>
          </w:p>
          <w:p>
            <w:pPr>
              <w:pStyle w:val="TableParagraph"/>
              <w:spacing w:line="240" w:lineRule="auto" w:before="33"/>
              <w:ind w:left="122" w:right="0"/>
              <w:jc w:val="both"/>
              <w:rPr>
                <w:rFonts w:ascii="宋体" w:hAnsi="宋体" w:cs="宋体" w:eastAsia="宋体" w:hint="default"/>
                <w:sz w:val="20"/>
                <w:szCs w:val="20"/>
              </w:rPr>
            </w:pPr>
            <w:r>
              <w:rPr>
                <w:rFonts w:ascii="宋体" w:hAnsi="宋体" w:cs="宋体" w:eastAsia="宋体" w:hint="default"/>
                <w:sz w:val="20"/>
                <w:szCs w:val="20"/>
              </w:rPr>
              <w:t>情况</w:t>
            </w:r>
          </w:p>
        </w:tc>
        <w:tc>
          <w:tcPr>
            <w:tcW w:w="759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3490"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2422" w:hRule="exact"/>
        </w:trPr>
        <w:tc>
          <w:tcPr>
            <w:tcW w:w="946" w:type="dxa"/>
            <w:tcBorders>
              <w:top w:val="dotted" w:sz="4" w:space="0" w:color="000000"/>
              <w:left w:val="nil" w:sz="6" w:space="0" w:color="auto"/>
              <w:bottom w:val="single" w:sz="12" w:space="0" w:color="000000"/>
              <w:right w:val="dotted" w:sz="4" w:space="0" w:color="000000"/>
            </w:tcBorders>
          </w:tcPr>
          <w:p>
            <w:pPr>
              <w:pStyle w:val="TableParagraph"/>
              <w:spacing w:line="367" w:lineRule="auto" w:before="107"/>
              <w:ind w:left="122" w:right="45"/>
              <w:jc w:val="both"/>
              <w:rPr>
                <w:rFonts w:ascii="宋体" w:hAnsi="宋体" w:cs="宋体" w:eastAsia="宋体" w:hint="default"/>
                <w:sz w:val="20"/>
                <w:szCs w:val="20"/>
              </w:rPr>
            </w:pPr>
            <w:r>
              <w:rPr>
                <w:rFonts w:ascii="宋体" w:hAnsi="宋体" w:cs="宋体" w:eastAsia="宋体" w:hint="default"/>
                <w:spacing w:val="38"/>
                <w:sz w:val="20"/>
                <w:szCs w:val="20"/>
              </w:rPr>
              <w:t>用闲置</w:t>
            </w:r>
            <w:r>
              <w:rPr>
                <w:rFonts w:ascii="宋体" w:hAnsi="宋体" w:cs="宋体" w:eastAsia="宋体" w:hint="default"/>
                <w:spacing w:val="-43"/>
                <w:sz w:val="20"/>
                <w:szCs w:val="20"/>
              </w:rPr>
              <w:t> </w:t>
            </w:r>
            <w:r>
              <w:rPr>
                <w:rFonts w:ascii="宋体" w:hAnsi="宋体" w:cs="宋体" w:eastAsia="宋体" w:hint="default"/>
                <w:spacing w:val="38"/>
                <w:sz w:val="20"/>
                <w:szCs w:val="20"/>
              </w:rPr>
              <w:t>募集资</w:t>
            </w:r>
            <w:r>
              <w:rPr>
                <w:rFonts w:ascii="宋体" w:hAnsi="宋体" w:cs="宋体" w:eastAsia="宋体" w:hint="default"/>
                <w:spacing w:val="-43"/>
                <w:sz w:val="20"/>
                <w:szCs w:val="20"/>
              </w:rPr>
              <w:t> </w:t>
            </w:r>
            <w:r>
              <w:rPr>
                <w:rFonts w:ascii="宋体" w:hAnsi="宋体" w:cs="宋体" w:eastAsia="宋体" w:hint="default"/>
                <w:spacing w:val="38"/>
                <w:sz w:val="20"/>
                <w:szCs w:val="20"/>
              </w:rPr>
              <w:t>金暂时</w:t>
            </w:r>
            <w:r>
              <w:rPr>
                <w:rFonts w:ascii="宋体" w:hAnsi="宋体" w:cs="宋体" w:eastAsia="宋体" w:hint="default"/>
                <w:spacing w:val="-43"/>
                <w:sz w:val="20"/>
                <w:szCs w:val="20"/>
              </w:rPr>
              <w:t> </w:t>
            </w:r>
            <w:r>
              <w:rPr>
                <w:rFonts w:ascii="宋体" w:hAnsi="宋体" w:cs="宋体" w:eastAsia="宋体" w:hint="default"/>
                <w:spacing w:val="38"/>
                <w:sz w:val="20"/>
                <w:szCs w:val="20"/>
              </w:rPr>
              <w:t>补充流</w:t>
            </w:r>
            <w:r>
              <w:rPr>
                <w:rFonts w:ascii="宋体" w:hAnsi="宋体" w:cs="宋体" w:eastAsia="宋体" w:hint="default"/>
                <w:spacing w:val="-43"/>
                <w:sz w:val="20"/>
                <w:szCs w:val="20"/>
              </w:rPr>
              <w:t> </w:t>
            </w:r>
            <w:r>
              <w:rPr>
                <w:rFonts w:ascii="宋体" w:hAnsi="宋体" w:cs="宋体" w:eastAsia="宋体" w:hint="default"/>
                <w:spacing w:val="38"/>
                <w:sz w:val="20"/>
                <w:szCs w:val="20"/>
              </w:rPr>
              <w:t>动资金</w:t>
            </w:r>
            <w:r>
              <w:rPr>
                <w:rFonts w:ascii="宋体" w:hAnsi="宋体" w:cs="宋体" w:eastAsia="宋体" w:hint="default"/>
                <w:spacing w:val="-43"/>
                <w:sz w:val="20"/>
                <w:szCs w:val="20"/>
              </w:rPr>
              <w:t> </w:t>
            </w:r>
            <w:r>
              <w:rPr>
                <w:rFonts w:ascii="宋体" w:hAnsi="宋体" w:cs="宋体" w:eastAsia="宋体" w:hint="default"/>
                <w:sz w:val="20"/>
                <w:szCs w:val="20"/>
              </w:rPr>
            </w:r>
          </w:p>
          <w:p>
            <w:pPr>
              <w:pStyle w:val="TableParagraph"/>
              <w:spacing w:line="240" w:lineRule="auto" w:before="33"/>
              <w:ind w:left="122" w:right="0"/>
              <w:jc w:val="both"/>
              <w:rPr>
                <w:rFonts w:ascii="宋体" w:hAnsi="宋体" w:cs="宋体" w:eastAsia="宋体" w:hint="default"/>
                <w:sz w:val="20"/>
                <w:szCs w:val="20"/>
              </w:rPr>
            </w:pPr>
            <w:r>
              <w:rPr>
                <w:rFonts w:ascii="宋体" w:hAnsi="宋体" w:cs="宋体" w:eastAsia="宋体" w:hint="default"/>
                <w:sz w:val="20"/>
                <w:szCs w:val="20"/>
              </w:rPr>
              <w:t>情况</w:t>
            </w:r>
          </w:p>
        </w:tc>
        <w:tc>
          <w:tcPr>
            <w:tcW w:w="7593"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3490" w:right="0"/>
              <w:jc w:val="left"/>
              <w:rPr>
                <w:rFonts w:ascii="宋体" w:hAnsi="宋体" w:cs="宋体" w:eastAsia="宋体" w:hint="default"/>
                <w:sz w:val="20"/>
                <w:szCs w:val="20"/>
              </w:rPr>
            </w:pPr>
            <w:r>
              <w:rPr>
                <w:rFonts w:ascii="宋体" w:hAnsi="宋体" w:cs="宋体" w:eastAsia="宋体" w:hint="default"/>
                <w:sz w:val="20"/>
                <w:szCs w:val="20"/>
              </w:rPr>
              <w:t>不适用</w:t>
            </w:r>
          </w:p>
        </w:tc>
      </w:tr>
    </w:tbl>
    <w:p>
      <w:pPr>
        <w:spacing w:after="0" w:line="240" w:lineRule="auto"/>
        <w:jc w:val="left"/>
        <w:rPr>
          <w:rFonts w:ascii="宋体" w:hAnsi="宋体" w:cs="宋体" w:eastAsia="宋体" w:hint="default"/>
          <w:sz w:val="20"/>
          <w:szCs w:val="20"/>
        </w:rPr>
        <w:sectPr>
          <w:pgSz w:w="11910" w:h="16840"/>
          <w:pgMar w:header="884" w:footer="980" w:top="1140" w:bottom="1160" w:left="1560" w:right="1560"/>
        </w:sectPr>
      </w:pPr>
    </w:p>
    <w:p>
      <w:pPr>
        <w:spacing w:line="240" w:lineRule="auto" w:before="6"/>
        <w:rPr>
          <w:rFonts w:ascii="Times New Roman" w:hAnsi="Times New Roman" w:cs="Times New Roman" w:eastAsia="Times New Roman" w:hint="default"/>
          <w:sz w:val="25"/>
          <w:szCs w:val="25"/>
        </w:rPr>
      </w:pPr>
    </w:p>
    <w:p>
      <w:pPr>
        <w:pStyle w:val="BodyText"/>
        <w:spacing w:line="357" w:lineRule="auto" w:before="26"/>
        <w:ind w:left="605" w:right="178" w:firstLine="14"/>
        <w:jc w:val="left"/>
      </w:pPr>
      <w:r>
        <w:rPr>
          <w:rFonts w:ascii="宋体" w:hAnsi="宋体" w:cs="宋体" w:eastAsia="宋体" w:hint="default"/>
        </w:rPr>
        <w:t>4</w:t>
      </w:r>
      <w:r>
        <w:rPr/>
        <w:t>、变更募集资金投资项目的资金使用情况 报告期内，公司无募集资金投资项目资金使用发生变更的情况。 </w:t>
      </w:r>
      <w:r>
        <w:rPr>
          <w:rFonts w:ascii="宋体" w:hAnsi="宋体" w:cs="宋体" w:eastAsia="宋体" w:hint="default"/>
        </w:rPr>
        <w:t>5</w:t>
      </w:r>
      <w:r>
        <w:rPr/>
        <w:t>、会计师事务所对募集资金使用情况的专项审核意见 立信会计师事务所认为：公司董事会编制的 </w:t>
      </w:r>
      <w:r>
        <w:rPr>
          <w:rFonts w:ascii="Times New Roman" w:hAnsi="Times New Roman" w:cs="Times New Roman" w:eastAsia="Times New Roman" w:hint="default"/>
        </w:rPr>
        <w:t>2011</w:t>
      </w:r>
      <w:r>
        <w:rPr>
          <w:rFonts w:ascii="Times New Roman" w:hAnsi="Times New Roman" w:cs="Times New Roman" w:eastAsia="Times New Roman" w:hint="default"/>
          <w:spacing w:val="-17"/>
        </w:rPr>
        <w:t> </w:t>
      </w:r>
      <w:r>
        <w:rPr/>
        <w:t>年度《关于公司募集资金</w:t>
      </w:r>
    </w:p>
    <w:p>
      <w:pPr>
        <w:pStyle w:val="BodyText"/>
        <w:spacing w:line="348" w:lineRule="auto" w:before="5"/>
        <w:ind w:right="196"/>
        <w:jc w:val="both"/>
      </w:pPr>
      <w:r>
        <w:rPr>
          <w:spacing w:val="-3"/>
        </w:rPr>
        <w:t>存放与使用情况的专项报告》符合《深圳证券交易所创业板上市公司规范运作指</w:t>
      </w:r>
      <w:r>
        <w:rPr>
          <w:spacing w:val="-109"/>
        </w:rPr>
        <w:t> </w:t>
      </w:r>
      <w:r>
        <w:rPr>
          <w:spacing w:val="-109"/>
        </w:rPr>
      </w:r>
      <w:r>
        <w:rPr/>
        <w:t>引》及相关格式指引的规定，如实反映了公司募集资金 </w:t>
      </w:r>
      <w:r>
        <w:rPr>
          <w:rFonts w:ascii="Times New Roman" w:hAnsi="Times New Roman" w:cs="Times New Roman" w:eastAsia="Times New Roman" w:hint="default"/>
        </w:rPr>
        <w:t>2011</w:t>
      </w:r>
      <w:r>
        <w:rPr>
          <w:rFonts w:ascii="Times New Roman" w:hAnsi="Times New Roman" w:cs="Times New Roman" w:eastAsia="Times New Roman" w:hint="default"/>
          <w:spacing w:val="-35"/>
        </w:rPr>
        <w:t> </w:t>
      </w:r>
      <w:r>
        <w:rPr/>
        <w:t>年度实际存放与使 用情况。</w:t>
      </w:r>
    </w:p>
    <w:p>
      <w:pPr>
        <w:pStyle w:val="BodyText"/>
        <w:spacing w:line="357" w:lineRule="auto" w:before="46"/>
        <w:ind w:right="86"/>
        <w:jc w:val="left"/>
      </w:pPr>
      <w:r>
        <w:rPr/>
        <w:t>（二）报告期内，公司没有持有其他上市公司股权、参股商业银行、证券公司、 保险公司、信托公司和期货公司等金融企业股权。</w:t>
      </w:r>
    </w:p>
    <w:p>
      <w:pPr>
        <w:pStyle w:val="BodyText"/>
        <w:spacing w:line="357" w:lineRule="auto" w:before="37"/>
        <w:ind w:right="86"/>
        <w:jc w:val="left"/>
      </w:pPr>
      <w:r>
        <w:rPr/>
        <w:t>（三）报告期内，公司没有持有以公允价值计量的境内基金、债券、信托产品、 期货、金融衍生工具等金融资产。</w:t>
      </w:r>
    </w:p>
    <w:p>
      <w:pPr>
        <w:spacing w:line="240" w:lineRule="auto" w:before="0"/>
        <w:rPr>
          <w:rFonts w:ascii="宋体" w:hAnsi="宋体" w:cs="宋体" w:eastAsia="宋体" w:hint="default"/>
          <w:sz w:val="24"/>
          <w:szCs w:val="24"/>
        </w:rPr>
      </w:pPr>
    </w:p>
    <w:p>
      <w:pPr>
        <w:pStyle w:val="Heading5"/>
        <w:spacing w:line="357" w:lineRule="auto" w:before="190"/>
        <w:ind w:right="192"/>
        <w:jc w:val="left"/>
        <w:rPr>
          <w:b w:val="0"/>
          <w:bCs w:val="0"/>
        </w:rPr>
      </w:pPr>
      <w:r>
        <w:rPr>
          <w:spacing w:val="3"/>
        </w:rPr>
        <w:t>四、报告期内，公司没有发行在外的可转换为股份的各种金融工具、以公允价</w:t>
      </w:r>
      <w:r>
        <w:rPr>
          <w:w w:val="99"/>
        </w:rPr>
        <w:t> </w:t>
      </w:r>
      <w:r>
        <w:rPr/>
        <w:t>值计量的负债。</w:t>
      </w:r>
      <w:r>
        <w:rPr>
          <w:b w:val="0"/>
          <w:bCs w:val="0"/>
        </w:rPr>
      </w:r>
    </w:p>
    <w:p>
      <w:pPr>
        <w:spacing w:line="240" w:lineRule="auto" w:before="0"/>
        <w:rPr>
          <w:rFonts w:ascii="宋体" w:hAnsi="宋体" w:cs="宋体" w:eastAsia="宋体" w:hint="default"/>
          <w:b/>
          <w:bCs/>
          <w:sz w:val="24"/>
          <w:szCs w:val="24"/>
        </w:rPr>
      </w:pPr>
    </w:p>
    <w:p>
      <w:pPr>
        <w:pStyle w:val="Heading5"/>
        <w:spacing w:line="357" w:lineRule="auto" w:before="190"/>
        <w:ind w:right="192"/>
        <w:jc w:val="left"/>
        <w:rPr>
          <w:b w:val="0"/>
          <w:bCs w:val="0"/>
        </w:rPr>
      </w:pPr>
      <w:r>
        <w:rPr>
          <w:spacing w:val="3"/>
        </w:rPr>
        <w:t>五、报告期财务会计报告审计情况及会计政策、会计估计变更以及会计差错更</w:t>
      </w:r>
      <w:r>
        <w:rPr>
          <w:spacing w:val="4"/>
          <w:w w:val="99"/>
        </w:rPr>
        <w:t> </w:t>
      </w:r>
      <w:r>
        <w:rPr/>
        <w:t>正的说明</w:t>
      </w:r>
      <w:r>
        <w:rPr>
          <w:b w:val="0"/>
          <w:bCs w:val="0"/>
        </w:rPr>
      </w:r>
    </w:p>
    <w:p>
      <w:pPr>
        <w:pStyle w:val="BodyText"/>
        <w:spacing w:line="290" w:lineRule="exact" w:before="0"/>
        <w:ind w:right="182"/>
        <w:jc w:val="left"/>
      </w:pPr>
      <w:r>
        <w:rPr/>
        <w:t>（一）立信会计师事务所有限公司对本公司</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日的资产负债表和</w:t>
      </w:r>
    </w:p>
    <w:p>
      <w:pPr>
        <w:pStyle w:val="BodyText"/>
        <w:spacing w:line="343" w:lineRule="auto" w:before="133"/>
        <w:ind w:right="207"/>
        <w:jc w:val="left"/>
      </w:pPr>
      <w:r>
        <w:rPr/>
        <w:t>合并资产负债表、</w:t>
      </w:r>
      <w:r>
        <w:rPr>
          <w:rFonts w:ascii="Times New Roman" w:hAnsi="Times New Roman" w:cs="Times New Roman" w:eastAsia="Times New Roman" w:hint="default"/>
        </w:rPr>
        <w:t>2011 </w:t>
      </w:r>
      <w:r>
        <w:rPr/>
        <w:t>年度的利润表和合并利润表、</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年度的现金流量表和 合并现金流量表、</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年度的所有者权益变动表和合并所有者权益变动表以及 财务报表附注进行了审计，并出具了标准无保留意见的审计报告（信会师报字 </w:t>
      </w:r>
      <w:r>
        <w:rPr>
          <w:rFonts w:ascii="Times New Roman" w:hAnsi="Times New Roman" w:cs="Times New Roman" w:eastAsia="Times New Roman" w:hint="default"/>
        </w:rPr>
        <w:t>[2012]</w:t>
      </w:r>
      <w:r>
        <w:rPr/>
        <w:t>第</w:t>
      </w:r>
      <w:r>
        <w:rPr>
          <w:spacing w:val="-59"/>
        </w:rPr>
        <w:t> </w:t>
      </w:r>
      <w:r>
        <w:rPr>
          <w:rFonts w:ascii="Times New Roman" w:hAnsi="Times New Roman" w:cs="Times New Roman" w:eastAsia="Times New Roman" w:hint="default"/>
        </w:rPr>
        <w:t>112309</w:t>
      </w:r>
      <w:r>
        <w:rPr>
          <w:rFonts w:ascii="Times New Roman" w:hAnsi="Times New Roman" w:cs="Times New Roman" w:eastAsia="Times New Roman" w:hint="default"/>
          <w:spacing w:val="1"/>
        </w:rPr>
        <w:t> </w:t>
      </w:r>
      <w:r>
        <w:rPr/>
        <w:t>号）</w:t>
      </w:r>
    </w:p>
    <w:p>
      <w:pPr>
        <w:pStyle w:val="BodyText"/>
        <w:spacing w:line="240" w:lineRule="auto" w:before="100"/>
        <w:ind w:right="182"/>
        <w:jc w:val="left"/>
      </w:pPr>
      <w:r>
        <w:rPr/>
        <w:t>（二）报告期内，公司无会计政策变更事项</w:t>
      </w:r>
    </w:p>
    <w:p>
      <w:pPr>
        <w:pStyle w:val="BodyText"/>
        <w:spacing w:line="240" w:lineRule="auto"/>
        <w:ind w:right="182"/>
        <w:jc w:val="left"/>
      </w:pPr>
      <w:r>
        <w:rPr/>
        <w:t>（三）报告期内、公司无会计估计变更事项</w:t>
      </w:r>
    </w:p>
    <w:p>
      <w:pPr>
        <w:pStyle w:val="BodyText"/>
        <w:spacing w:line="240" w:lineRule="auto"/>
        <w:ind w:right="182"/>
        <w:jc w:val="left"/>
      </w:pPr>
      <w:r>
        <w:rPr/>
        <w:t>（四）报告期内，公司无重要前期差错更正事项</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5"/>
        <w:spacing w:line="240" w:lineRule="auto"/>
        <w:ind w:right="182"/>
        <w:jc w:val="left"/>
        <w:rPr>
          <w:b w:val="0"/>
          <w:bCs w:val="0"/>
        </w:rPr>
      </w:pPr>
      <w:r>
        <w:rPr/>
        <w:t>六、利润分配和资本公积转增股本预案</w:t>
      </w:r>
      <w:r>
        <w:rPr>
          <w:b w:val="0"/>
          <w:bCs w:val="0"/>
        </w:rPr>
      </w:r>
    </w:p>
    <w:p>
      <w:pPr>
        <w:pStyle w:val="BodyText"/>
        <w:spacing w:line="240" w:lineRule="auto"/>
        <w:ind w:right="182"/>
        <w:jc w:val="left"/>
      </w:pPr>
      <w:r>
        <w:rPr/>
        <w:t>（一）</w:t>
      </w:r>
      <w:r>
        <w:rPr>
          <w:spacing w:val="-75"/>
        </w:rPr>
        <w:t> </w:t>
      </w:r>
      <w:r>
        <w:rPr/>
        <w:t>公司利润分配政策</w:t>
      </w:r>
    </w:p>
    <w:p>
      <w:pPr>
        <w:pStyle w:val="BodyText"/>
        <w:spacing w:line="357" w:lineRule="auto"/>
        <w:ind w:right="191" w:firstLine="470"/>
        <w:jc w:val="left"/>
      </w:pPr>
      <w:r>
        <w:rPr>
          <w:spacing w:val="-3"/>
        </w:rPr>
        <w:t>《公司章程》第一百七十五条规定：“公司利润分配注重对股东合理的投资</w:t>
      </w:r>
      <w:r>
        <w:rPr/>
        <w:t> </w:t>
      </w:r>
      <w:r>
        <w:rPr>
          <w:spacing w:val="-3"/>
        </w:rPr>
        <w:t>回报，利润分配政策保持连续性和稳定性。公司可以采取现金、股票或现金与股</w:t>
      </w:r>
    </w:p>
    <w:p>
      <w:pPr>
        <w:spacing w:after="0" w:line="357" w:lineRule="auto"/>
        <w:jc w:val="left"/>
        <w:sectPr>
          <w:pgSz w:w="11910" w:h="16840"/>
          <w:pgMar w:header="884" w:footer="980" w:top="1140" w:bottom="1160" w:left="1660" w:right="1600"/>
        </w:sectPr>
      </w:pPr>
    </w:p>
    <w:p>
      <w:pPr>
        <w:spacing w:line="240" w:lineRule="auto" w:before="6"/>
        <w:rPr>
          <w:rFonts w:ascii="宋体" w:hAnsi="宋体" w:cs="宋体" w:eastAsia="宋体" w:hint="default"/>
          <w:sz w:val="22"/>
          <w:szCs w:val="22"/>
        </w:rPr>
      </w:pPr>
    </w:p>
    <w:p>
      <w:pPr>
        <w:pStyle w:val="BodyText"/>
        <w:spacing w:line="357" w:lineRule="auto" w:before="26"/>
        <w:ind w:right="237"/>
        <w:jc w:val="both"/>
      </w:pPr>
      <w:r>
        <w:rPr>
          <w:spacing w:val="-3"/>
        </w:rPr>
        <w:t>票相结合的方式分配股利，可以进行中期利润分配。在公司当年实现盈利符合利</w:t>
      </w:r>
      <w:r>
        <w:rPr>
          <w:spacing w:val="-111"/>
        </w:rPr>
        <w:t> </w:t>
      </w:r>
      <w:r>
        <w:rPr>
          <w:spacing w:val="-111"/>
        </w:rPr>
      </w:r>
      <w:r>
        <w:rPr>
          <w:spacing w:val="-3"/>
        </w:rPr>
        <w:t>润分配条件时，公司董事会应根据公司的具体经营情况和市场环境，制定利润分</w:t>
      </w:r>
      <w:r>
        <w:rPr>
          <w:spacing w:val="-111"/>
        </w:rPr>
        <w:t> </w:t>
      </w:r>
      <w:r>
        <w:rPr>
          <w:spacing w:val="-111"/>
        </w:rPr>
      </w:r>
      <w:r>
        <w:rPr>
          <w:spacing w:val="-3"/>
        </w:rPr>
        <w:t>配预案报股东大会批准。原则上公司每年分配的利润不低于当年实现的可分配利</w:t>
      </w:r>
      <w:r>
        <w:rPr>
          <w:spacing w:val="-109"/>
        </w:rPr>
        <w:t> </w:t>
      </w:r>
      <w:r>
        <w:rPr>
          <w:spacing w:val="-109"/>
        </w:rPr>
      </w:r>
      <w:r>
        <w:rPr/>
        <w:t>润的</w:t>
      </w:r>
      <w:r>
        <w:rPr>
          <w:spacing w:val="-91"/>
        </w:rPr>
        <w:t> </w:t>
      </w:r>
      <w:r>
        <w:rPr>
          <w:rFonts w:ascii="宋体" w:hAnsi="宋体" w:cs="宋体" w:eastAsia="宋体" w:hint="default"/>
        </w:rPr>
        <w:t>20%</w:t>
      </w:r>
      <w:r>
        <w:rPr/>
        <w:t>；并且连续任何三个会计年度内以现金方式累计分配的利润不少于该三 年实现的年均可分配利润的 </w:t>
      </w:r>
      <w:r>
        <w:rPr>
          <w:rFonts w:ascii="宋体" w:hAnsi="宋体" w:cs="宋体" w:eastAsia="宋体" w:hint="default"/>
        </w:rPr>
        <w:t>30%</w:t>
      </w:r>
      <w:r>
        <w:rPr/>
        <w:t>。当公司年末资产负债率超过</w:t>
      </w:r>
      <w:r>
        <w:rPr>
          <w:spacing w:val="-96"/>
        </w:rPr>
        <w:t> </w:t>
      </w:r>
      <w:r>
        <w:rPr>
          <w:rFonts w:ascii="宋体" w:hAnsi="宋体" w:cs="宋体" w:eastAsia="宋体" w:hint="default"/>
        </w:rPr>
        <w:t>70%</w:t>
      </w:r>
      <w:r>
        <w:rPr/>
        <w:t>、拟进行重大 </w:t>
      </w:r>
      <w:r>
        <w:rPr>
          <w:spacing w:val="-3"/>
        </w:rPr>
        <w:t>资本性支出、或者当年经营活动产生的现金流量净额为负数时，公司可不进行分</w:t>
      </w:r>
      <w:r>
        <w:rPr>
          <w:spacing w:val="-111"/>
        </w:rPr>
        <w:t> </w:t>
      </w:r>
      <w:r>
        <w:rPr>
          <w:spacing w:val="-111"/>
        </w:rPr>
      </w:r>
      <w:r>
        <w:rPr>
          <w:spacing w:val="-3"/>
        </w:rPr>
        <w:t>红。公司董事会未做出现金利润分配预案的，应当在定期报告中披露原因，独立</w:t>
      </w:r>
      <w:r>
        <w:rPr>
          <w:spacing w:val="-111"/>
        </w:rPr>
        <w:t> </w:t>
      </w:r>
      <w:r>
        <w:rPr>
          <w:spacing w:val="-111"/>
        </w:rPr>
      </w:r>
      <w:r>
        <w:rPr>
          <w:spacing w:val="-3"/>
        </w:rPr>
        <w:t>董事应当对此发表独立意见。存在股东违规占用公司资金情况的，公司应当扣减</w:t>
      </w:r>
      <w:r>
        <w:rPr>
          <w:spacing w:val="-111"/>
        </w:rPr>
        <w:t> </w:t>
      </w:r>
      <w:r>
        <w:rPr>
          <w:spacing w:val="-111"/>
        </w:rPr>
      </w:r>
      <w:r>
        <w:rPr/>
        <w:t>该股东所分配的现金红利，以偿还其占用的资金。”</w:t>
      </w:r>
    </w:p>
    <w:p>
      <w:pPr>
        <w:pStyle w:val="BodyText"/>
        <w:spacing w:line="357" w:lineRule="auto" w:before="37"/>
        <w:ind w:right="126" w:firstLine="470"/>
        <w:jc w:val="left"/>
      </w:pPr>
      <w:r>
        <w:rPr>
          <w:spacing w:val="-3"/>
        </w:rPr>
        <w:t>根据中国证监会《关于进一步明确与细化上市公司利润分配政策的指导性意</w:t>
      </w:r>
      <w:r>
        <w:rPr/>
        <w:t> </w:t>
      </w:r>
      <w:r>
        <w:rPr>
          <w:spacing w:val="-3"/>
        </w:rPr>
        <w:t>见》，公司将结合实际情况和投资者意愿，不断完善公司利润分配政策，保持利</w:t>
      </w:r>
      <w:r>
        <w:rPr>
          <w:spacing w:val="-111"/>
        </w:rPr>
        <w:t> </w:t>
      </w:r>
      <w:r>
        <w:rPr>
          <w:spacing w:val="-111"/>
        </w:rPr>
      </w:r>
      <w:r>
        <w:rPr/>
        <w:t>润分配政策的稳定性和持续性，使投资者对未来分红有更加明确与合理的预期， 切实提升对公司投资者的回报。</w:t>
      </w:r>
    </w:p>
    <w:p>
      <w:pPr>
        <w:pStyle w:val="BodyText"/>
        <w:spacing w:line="240" w:lineRule="auto" w:before="36"/>
        <w:ind w:right="0"/>
        <w:jc w:val="both"/>
      </w:pPr>
      <w:r>
        <w:rPr/>
        <w:t>（二）</w:t>
      </w:r>
      <w:r>
        <w:rPr>
          <w:spacing w:val="-75"/>
        </w:rPr>
        <w:t> </w:t>
      </w:r>
      <w:r>
        <w:rPr/>
        <w:t>最近三年利润分配情况</w:t>
      </w:r>
    </w:p>
    <w:p>
      <w:pPr>
        <w:pStyle w:val="BodyText"/>
        <w:spacing w:line="240" w:lineRule="auto"/>
        <w:ind w:left="560" w:right="3443"/>
        <w:jc w:val="left"/>
      </w:pPr>
      <w:r>
        <w:rPr>
          <w:rFonts w:ascii="宋体" w:hAnsi="宋体" w:cs="宋体" w:eastAsia="宋体" w:hint="default"/>
        </w:rPr>
        <w:t>1. 2008 </w:t>
      </w:r>
      <w:r>
        <w:rPr/>
        <w:t>年度利润未进行分配。</w:t>
      </w:r>
    </w:p>
    <w:p>
      <w:pPr>
        <w:pStyle w:val="BodyText"/>
        <w:spacing w:line="240" w:lineRule="auto"/>
        <w:ind w:left="560" w:right="3443"/>
        <w:jc w:val="left"/>
      </w:pPr>
      <w:r>
        <w:rPr>
          <w:rFonts w:ascii="宋体" w:hAnsi="宋体" w:cs="宋体" w:eastAsia="宋体" w:hint="default"/>
        </w:rPr>
        <w:t>2. 2009 </w:t>
      </w:r>
      <w:r>
        <w:rPr/>
        <w:t>年度利润未进行分配。</w:t>
      </w:r>
    </w:p>
    <w:p>
      <w:pPr>
        <w:pStyle w:val="BodyText"/>
        <w:spacing w:line="240" w:lineRule="auto"/>
        <w:ind w:left="560" w:right="0"/>
        <w:jc w:val="left"/>
      </w:pPr>
      <w:r>
        <w:rPr>
          <w:rFonts w:ascii="宋体" w:hAnsi="宋体" w:cs="宋体" w:eastAsia="宋体" w:hint="default"/>
        </w:rPr>
        <w:t>3.</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60"/>
        </w:rPr>
        <w:t> </w:t>
      </w:r>
      <w:r>
        <w:rPr>
          <w:spacing w:val="-4"/>
        </w:rPr>
        <w:t>年度利润分配情况。</w:t>
      </w:r>
      <w:r>
        <w:rPr>
          <w:rFonts w:ascii="宋体" w:hAnsi="宋体" w:cs="宋体" w:eastAsia="宋体" w:hint="default"/>
          <w:spacing w:val="-4"/>
        </w:rPr>
        <w:t>2011</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spacing w:val="-8"/>
        </w:rPr>
        <w:t>日，公司召开</w:t>
      </w:r>
      <w:r>
        <w:rPr>
          <w:spacing w:val="-60"/>
        </w:rPr>
        <w:t> </w:t>
      </w:r>
      <w:r>
        <w:rPr>
          <w:rFonts w:ascii="宋体" w:hAnsi="宋体" w:cs="宋体" w:eastAsia="宋体" w:hint="default"/>
        </w:rPr>
        <w:t>2010</w:t>
      </w:r>
      <w:r>
        <w:rPr>
          <w:rFonts w:ascii="宋体" w:hAnsi="宋体" w:cs="宋体" w:eastAsia="宋体" w:hint="default"/>
          <w:spacing w:val="-60"/>
        </w:rPr>
        <w:t> </w:t>
      </w:r>
      <w:r>
        <w:rPr/>
        <w:t>年年度股东</w:t>
      </w:r>
    </w:p>
    <w:p>
      <w:pPr>
        <w:pStyle w:val="BodyText"/>
        <w:spacing w:line="240" w:lineRule="auto"/>
        <w:ind w:left="980" w:right="0"/>
        <w:jc w:val="left"/>
      </w:pPr>
      <w:r>
        <w:rPr/>
        <w:t>大会，同意以首次公开发行股票后的总股本 </w:t>
      </w:r>
      <w:r>
        <w:rPr>
          <w:rFonts w:ascii="Times New Roman" w:hAnsi="Times New Roman" w:cs="Times New Roman" w:eastAsia="Times New Roman" w:hint="default"/>
        </w:rPr>
        <w:t>115,724,482 </w:t>
      </w:r>
      <w:r>
        <w:rPr>
          <w:rFonts w:ascii="Times New Roman" w:hAnsi="Times New Roman" w:cs="Times New Roman" w:eastAsia="Times New Roman" w:hint="default"/>
          <w:spacing w:val="23"/>
        </w:rPr>
        <w:t> </w:t>
      </w:r>
      <w:r>
        <w:rPr/>
        <w:t>股为基数，向</w:t>
      </w:r>
    </w:p>
    <w:p>
      <w:pPr>
        <w:pStyle w:val="BodyText"/>
        <w:spacing w:line="240" w:lineRule="auto" w:before="135"/>
        <w:ind w:left="980" w:right="0"/>
        <w:jc w:val="left"/>
      </w:pPr>
      <w:r>
        <w:rPr/>
        <w:t>全体股东以每 </w:t>
      </w:r>
      <w:r>
        <w:rPr>
          <w:rFonts w:ascii="宋体" w:hAnsi="宋体" w:cs="宋体" w:eastAsia="宋体" w:hint="default"/>
        </w:rPr>
        <w:t>10 </w:t>
      </w:r>
      <w:r>
        <w:rPr/>
        <w:t>股派发人民币 </w:t>
      </w:r>
      <w:r>
        <w:rPr>
          <w:rFonts w:ascii="宋体" w:hAnsi="宋体" w:cs="宋体" w:eastAsia="宋体" w:hint="default"/>
        </w:rPr>
        <w:t>3</w:t>
      </w:r>
      <w:r>
        <w:rPr>
          <w:rFonts w:ascii="宋体" w:hAnsi="宋体" w:cs="宋体" w:eastAsia="宋体" w:hint="default"/>
          <w:spacing w:val="-96"/>
        </w:rPr>
        <w:t> </w:t>
      </w:r>
      <w:r>
        <w:rPr/>
        <w:t>元现金（含税）的股利分红，合计派</w:t>
      </w:r>
    </w:p>
    <w:p>
      <w:pPr>
        <w:pStyle w:val="BodyText"/>
        <w:spacing w:line="240" w:lineRule="auto"/>
        <w:ind w:left="980" w:right="0"/>
        <w:jc w:val="left"/>
      </w:pPr>
      <w:r>
        <w:rPr/>
        <w:t>发现金红利人民币 </w:t>
      </w:r>
      <w:r>
        <w:rPr>
          <w:rFonts w:ascii="Times New Roman" w:hAnsi="Times New Roman" w:cs="Times New Roman" w:eastAsia="Times New Roman" w:hint="default"/>
        </w:rPr>
        <w:t>34,717,345 </w:t>
      </w:r>
      <w:r>
        <w:rPr>
          <w:rFonts w:ascii="Times New Roman" w:hAnsi="Times New Roman" w:cs="Times New Roman" w:eastAsia="Times New Roman" w:hint="default"/>
          <w:spacing w:val="14"/>
        </w:rPr>
        <w:t> </w:t>
      </w:r>
      <w:r>
        <w:rPr>
          <w:spacing w:val="-6"/>
        </w:rPr>
        <w:t>元。同时，以首次公开发行股票后的总股</w:t>
      </w:r>
    </w:p>
    <w:p>
      <w:pPr>
        <w:pStyle w:val="BodyText"/>
        <w:spacing w:line="240" w:lineRule="auto" w:before="135"/>
        <w:ind w:left="980" w:right="0"/>
        <w:jc w:val="left"/>
      </w:pPr>
      <w:r>
        <w:rPr/>
        <w:t>本</w:t>
      </w:r>
      <w:r>
        <w:rPr>
          <w:spacing w:val="-8"/>
        </w:rPr>
        <w:t> </w:t>
      </w:r>
      <w:r>
        <w:rPr>
          <w:rFonts w:ascii="Times New Roman" w:hAnsi="Times New Roman" w:cs="Times New Roman" w:eastAsia="Times New Roman" w:hint="default"/>
        </w:rPr>
        <w:t>115,724,482</w:t>
      </w:r>
      <w:r>
        <w:rPr>
          <w:rFonts w:ascii="Times New Roman" w:hAnsi="Times New Roman" w:cs="Times New Roman" w:eastAsia="Times New Roman" w:hint="default"/>
          <w:spacing w:val="-4"/>
        </w:rPr>
        <w:t> </w:t>
      </w:r>
      <w:r>
        <w:rPr/>
        <w:t>股为基数，以资本公积金向全体股东每</w:t>
      </w:r>
      <w:r>
        <w:rPr>
          <w:spacing w:val="-8"/>
        </w:rPr>
        <w:t> </w:t>
      </w:r>
      <w:r>
        <w:rPr>
          <w:rFonts w:ascii="宋体" w:hAnsi="宋体" w:cs="宋体" w:eastAsia="宋体" w:hint="default"/>
        </w:rPr>
        <w:t>10</w:t>
      </w:r>
      <w:r>
        <w:rPr>
          <w:rFonts w:ascii="宋体" w:hAnsi="宋体" w:cs="宋体" w:eastAsia="宋体" w:hint="default"/>
          <w:spacing w:val="-64"/>
        </w:rPr>
        <w:t> </w:t>
      </w:r>
      <w:r>
        <w:rPr/>
        <w:t>股转增</w:t>
      </w:r>
      <w:r>
        <w:rPr>
          <w:spacing w:val="-8"/>
        </w:rPr>
        <w:t> </w:t>
      </w:r>
      <w:r>
        <w:rPr>
          <w:rFonts w:ascii="宋体" w:hAnsi="宋体" w:cs="宋体" w:eastAsia="宋体" w:hint="default"/>
        </w:rPr>
        <w:t>4</w:t>
      </w:r>
      <w:r>
        <w:rPr>
          <w:rFonts w:ascii="宋体" w:hAnsi="宋体" w:cs="宋体" w:eastAsia="宋体" w:hint="default"/>
          <w:spacing w:val="-64"/>
        </w:rPr>
        <w:t> </w:t>
      </w:r>
      <w:r>
        <w:rPr/>
        <w:t>股，</w:t>
      </w:r>
    </w:p>
    <w:p>
      <w:pPr>
        <w:pStyle w:val="BodyText"/>
        <w:spacing w:line="240" w:lineRule="auto" w:before="135"/>
        <w:ind w:left="980" w:right="3443"/>
        <w:jc w:val="left"/>
      </w:pPr>
      <w:r>
        <w:rPr/>
        <w:t>共计 </w:t>
      </w:r>
      <w:r>
        <w:rPr>
          <w:rFonts w:ascii="Times New Roman" w:hAnsi="Times New Roman" w:cs="Times New Roman" w:eastAsia="Times New Roman" w:hint="default"/>
        </w:rPr>
        <w:t>46,289,792 </w:t>
      </w:r>
      <w:r>
        <w:rPr/>
        <w:t>股。</w:t>
      </w:r>
    </w:p>
    <w:p>
      <w:pPr>
        <w:pStyle w:val="BodyText"/>
        <w:spacing w:line="357" w:lineRule="auto" w:before="135"/>
        <w:ind w:left="620" w:right="224" w:hanging="480"/>
        <w:jc w:val="left"/>
      </w:pPr>
      <w:r>
        <w:rPr/>
        <w:t>（三）</w:t>
      </w:r>
      <w:r>
        <w:rPr>
          <w:spacing w:val="-75"/>
        </w:rPr>
        <w:t> </w:t>
      </w:r>
      <w:r>
        <w:rPr>
          <w:rFonts w:ascii="宋体" w:hAnsi="宋体" w:cs="宋体" w:eastAsia="宋体" w:hint="default"/>
        </w:rPr>
        <w:t>2011</w:t>
      </w:r>
      <w:r>
        <w:rPr>
          <w:rFonts w:ascii="宋体" w:hAnsi="宋体" w:cs="宋体" w:eastAsia="宋体" w:hint="default"/>
          <w:spacing w:val="-60"/>
        </w:rPr>
        <w:t> </w:t>
      </w:r>
      <w:r>
        <w:rPr/>
        <w:t>年度利润分配预案或资本公积金转增股本预案 经立信会计师事务所有限公司审计，</w:t>
      </w:r>
      <w:r>
        <w:rPr>
          <w:rFonts w:ascii="Times New Roman" w:hAnsi="Times New Roman" w:cs="Times New Roman" w:eastAsia="Times New Roman" w:hint="default"/>
        </w:rPr>
        <w:t>2011 </w:t>
      </w:r>
      <w:r>
        <w:rPr>
          <w:rFonts w:ascii="Times New Roman" w:hAnsi="Times New Roman" w:cs="Times New Roman" w:eastAsia="Times New Roman" w:hint="default"/>
          <w:spacing w:val="22"/>
        </w:rPr>
        <w:t> </w:t>
      </w:r>
      <w:r>
        <w:rPr/>
        <w:t>年实现归属于母公司股东的净利</w:t>
      </w:r>
    </w:p>
    <w:p>
      <w:pPr>
        <w:pStyle w:val="BodyText"/>
        <w:spacing w:line="338" w:lineRule="auto" w:before="5"/>
        <w:ind w:right="236"/>
        <w:jc w:val="both"/>
      </w:pPr>
      <w:r>
        <w:rPr/>
        <w:t>润为</w:t>
      </w:r>
      <w:r>
        <w:rPr>
          <w:spacing w:val="-54"/>
        </w:rPr>
        <w:t> </w:t>
      </w:r>
      <w:r>
        <w:rPr>
          <w:rFonts w:ascii="Times New Roman" w:hAnsi="Times New Roman" w:cs="Times New Roman" w:eastAsia="Times New Roman" w:hint="default"/>
        </w:rPr>
        <w:t>93,770,452.46</w:t>
      </w:r>
      <w:r>
        <w:rPr>
          <w:rFonts w:ascii="Times New Roman" w:hAnsi="Times New Roman" w:cs="Times New Roman" w:eastAsia="Times New Roman" w:hint="default"/>
          <w:spacing w:val="6"/>
        </w:rPr>
        <w:t> </w:t>
      </w:r>
      <w:r>
        <w:rPr/>
        <w:t>元，其中母公司实现的净利润为</w:t>
      </w:r>
      <w:r>
        <w:rPr>
          <w:spacing w:val="-53"/>
        </w:rPr>
        <w:t> </w:t>
      </w:r>
      <w:r>
        <w:rPr>
          <w:rFonts w:ascii="Times New Roman" w:hAnsi="Times New Roman" w:cs="Times New Roman" w:eastAsia="Times New Roman" w:hint="default"/>
        </w:rPr>
        <w:t>93,866,140.86</w:t>
      </w:r>
      <w:r>
        <w:rPr>
          <w:rFonts w:ascii="Times New Roman" w:hAnsi="Times New Roman" w:cs="Times New Roman" w:eastAsia="Times New Roman" w:hint="default"/>
          <w:spacing w:val="3"/>
        </w:rPr>
        <w:t> </w:t>
      </w:r>
      <w:r>
        <w:rPr/>
        <w:t>元。根据公司 章程的有关规定，按照母公司</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年度实现净利润的</w:t>
      </w:r>
      <w:r>
        <w:rPr>
          <w:spacing w:val="-59"/>
        </w:rPr>
        <w:t> </w:t>
      </w:r>
      <w:r>
        <w:rPr>
          <w:rFonts w:ascii="Times New Roman" w:hAnsi="Times New Roman" w:cs="Times New Roman" w:eastAsia="Times New Roman" w:hint="default"/>
        </w:rPr>
        <w:t>10%</w:t>
      </w:r>
      <w:r>
        <w:rPr/>
        <w:t>计提法定盈余公积金 </w:t>
      </w:r>
      <w:r>
        <w:rPr>
          <w:rFonts w:ascii="Times New Roman" w:hAnsi="Times New Roman" w:cs="Times New Roman" w:eastAsia="Times New Roman" w:hint="default"/>
        </w:rPr>
        <w:t>9,386,614.09  </w:t>
      </w:r>
      <w:r>
        <w:rPr>
          <w:spacing w:val="6"/>
        </w:rPr>
        <w:t>元，加年初未分配利润 </w:t>
      </w:r>
      <w:r>
        <w:rPr>
          <w:rFonts w:ascii="Times New Roman" w:hAnsi="Times New Roman" w:cs="Times New Roman" w:eastAsia="Times New Roman" w:hint="default"/>
        </w:rPr>
        <w:t>75,975,571.97</w:t>
      </w:r>
      <w:r>
        <w:rPr/>
        <w:t>，减去 </w:t>
      </w:r>
      <w:r>
        <w:rPr>
          <w:rFonts w:ascii="Times New Roman" w:hAnsi="Times New Roman" w:cs="Times New Roman" w:eastAsia="Times New Roman" w:hint="default"/>
        </w:rPr>
        <w:t>2010 </w:t>
      </w:r>
      <w:r>
        <w:rPr>
          <w:rFonts w:ascii="Times New Roman" w:hAnsi="Times New Roman" w:cs="Times New Roman" w:eastAsia="Times New Roman" w:hint="default"/>
          <w:spacing w:val="46"/>
        </w:rPr>
        <w:t> </w:t>
      </w:r>
      <w:r>
        <w:rPr>
          <w:spacing w:val="4"/>
        </w:rPr>
        <w:t>年度分配利润</w:t>
      </w:r>
    </w:p>
    <w:p>
      <w:pPr>
        <w:pStyle w:val="BodyText"/>
        <w:spacing w:line="240" w:lineRule="auto" w:before="27"/>
        <w:ind w:right="0"/>
        <w:jc w:val="both"/>
      </w:pPr>
      <w:r>
        <w:rPr>
          <w:rFonts w:ascii="Times New Roman" w:hAnsi="Times New Roman" w:cs="Times New Roman" w:eastAsia="Times New Roman" w:hint="default"/>
        </w:rPr>
        <w:t>34,717,344.60</w:t>
      </w:r>
      <w:r>
        <w:rPr>
          <w:rFonts w:ascii="Times New Roman" w:hAnsi="Times New Roman" w:cs="Times New Roman" w:eastAsia="Times New Roman" w:hint="default"/>
          <w:spacing w:val="-29"/>
        </w:rPr>
        <w:t> </w:t>
      </w:r>
      <w:r>
        <w:rPr/>
        <w:t>，</w:t>
      </w:r>
      <w:r>
        <w:rPr>
          <w:spacing w:val="-89"/>
        </w:rPr>
        <w:t> </w:t>
      </w:r>
      <w:r>
        <w:rPr>
          <w:spacing w:val="15"/>
        </w:rPr>
        <w:t>截至</w:t>
      </w:r>
      <w:r>
        <w:rPr>
          <w:spacing w:val="31"/>
        </w:rPr>
        <w:t> </w:t>
      </w:r>
      <w:r>
        <w:rPr>
          <w:rFonts w:ascii="Times New Roman" w:hAnsi="Times New Roman" w:cs="Times New Roman" w:eastAsia="Times New Roman" w:hint="default"/>
        </w:rPr>
        <w:t>2011 </w:t>
      </w:r>
      <w:r>
        <w:rPr>
          <w:rFonts w:ascii="Times New Roman" w:hAnsi="Times New Roman" w:cs="Times New Roman" w:eastAsia="Times New Roman" w:hint="default"/>
          <w:spacing w:val="31"/>
        </w:rPr>
        <w:t> </w:t>
      </w:r>
      <w:r>
        <w:rPr/>
        <w:t>年</w:t>
      </w:r>
      <w:r>
        <w:rPr>
          <w:spacing w:val="31"/>
        </w:rPr>
        <w:t> </w:t>
      </w:r>
      <w:r>
        <w:rPr>
          <w:rFonts w:ascii="Times New Roman" w:hAnsi="Times New Roman" w:cs="Times New Roman" w:eastAsia="Times New Roman" w:hint="default"/>
        </w:rPr>
        <w:t>12 </w:t>
      </w:r>
      <w:r>
        <w:rPr>
          <w:rFonts w:ascii="Times New Roman" w:hAnsi="Times New Roman" w:cs="Times New Roman" w:eastAsia="Times New Roman" w:hint="default"/>
          <w:spacing w:val="31"/>
        </w:rPr>
        <w:t> </w:t>
      </w:r>
      <w:r>
        <w:rPr/>
        <w:t>月</w:t>
      </w:r>
      <w:r>
        <w:rPr>
          <w:spacing w:val="31"/>
        </w:rPr>
        <w:t> </w:t>
      </w:r>
      <w:r>
        <w:rPr>
          <w:rFonts w:ascii="Times New Roman" w:hAnsi="Times New Roman" w:cs="Times New Roman" w:eastAsia="Times New Roman" w:hint="default"/>
        </w:rPr>
        <w:t>31 </w:t>
      </w:r>
      <w:r>
        <w:rPr>
          <w:rFonts w:ascii="Times New Roman" w:hAnsi="Times New Roman" w:cs="Times New Roman" w:eastAsia="Times New Roman" w:hint="default"/>
          <w:spacing w:val="31"/>
        </w:rPr>
        <w:t> </w:t>
      </w:r>
      <w:r>
        <w:rPr>
          <w:spacing w:val="15"/>
        </w:rPr>
        <w:t>日，</w:t>
      </w:r>
      <w:r>
        <w:rPr>
          <w:spacing w:val="-89"/>
        </w:rPr>
        <w:t> </w:t>
      </w:r>
      <w:r>
        <w:rPr/>
        <w:t>母</w:t>
      </w:r>
      <w:r>
        <w:rPr>
          <w:spacing w:val="-89"/>
        </w:rPr>
        <w:t> </w:t>
      </w:r>
      <w:r>
        <w:rPr>
          <w:spacing w:val="28"/>
        </w:rPr>
        <w:t>公司可供股东分配利润为</w:t>
      </w:r>
      <w:r>
        <w:rPr>
          <w:spacing w:val="-89"/>
        </w:rPr>
        <w:t> </w:t>
      </w:r>
      <w:r>
        <w:rPr/>
      </w:r>
    </w:p>
    <w:p>
      <w:pPr>
        <w:pStyle w:val="BodyText"/>
        <w:spacing w:line="240" w:lineRule="auto" w:before="135"/>
        <w:ind w:right="0"/>
        <w:jc w:val="both"/>
      </w:pPr>
      <w:r>
        <w:rPr>
          <w:rFonts w:ascii="Times New Roman" w:hAnsi="Times New Roman" w:cs="Times New Roman" w:eastAsia="Times New Roman" w:hint="default"/>
        </w:rPr>
        <w:t>125,737,754.14</w:t>
      </w:r>
      <w:r>
        <w:rPr>
          <w:rFonts w:ascii="Times New Roman" w:hAnsi="Times New Roman" w:cs="Times New Roman" w:eastAsia="Times New Roman" w:hint="default"/>
          <w:spacing w:val="-1"/>
        </w:rPr>
        <w:t> </w:t>
      </w:r>
      <w:r>
        <w:rPr/>
        <w:t>元，母公司年末资本公积金余额为</w:t>
      </w:r>
      <w:r>
        <w:rPr>
          <w:spacing w:val="-60"/>
        </w:rPr>
        <w:t> </w:t>
      </w:r>
      <w:r>
        <w:rPr>
          <w:rFonts w:ascii="Times New Roman" w:hAnsi="Times New Roman" w:cs="Times New Roman" w:eastAsia="Times New Roman" w:hint="default"/>
        </w:rPr>
        <w:t>747,973,060.48 </w:t>
      </w:r>
      <w:r>
        <w:rPr/>
        <w:t>元。</w:t>
      </w:r>
    </w:p>
    <w:p>
      <w:pPr>
        <w:spacing w:after="0" w:line="240" w:lineRule="auto"/>
        <w:jc w:val="both"/>
        <w:sectPr>
          <w:pgSz w:w="11910" w:h="16840"/>
          <w:pgMar w:header="884" w:footer="980" w:top="1140" w:bottom="1160" w:left="1660" w:right="1560"/>
        </w:sectPr>
      </w:pPr>
    </w:p>
    <w:p>
      <w:pPr>
        <w:spacing w:line="240" w:lineRule="auto" w:before="6"/>
        <w:rPr>
          <w:rFonts w:ascii="宋体" w:hAnsi="宋体" w:cs="宋体" w:eastAsia="宋体" w:hint="default"/>
          <w:sz w:val="22"/>
          <w:szCs w:val="22"/>
        </w:rPr>
      </w:pPr>
    </w:p>
    <w:p>
      <w:pPr>
        <w:pStyle w:val="BodyText"/>
        <w:spacing w:line="240" w:lineRule="auto" w:before="26"/>
        <w:ind w:left="620" w:right="138"/>
        <w:jc w:val="left"/>
      </w:pPr>
      <w:r>
        <w:rPr/>
        <w:t>公司</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spacing w:val="-4"/>
        </w:rPr>
        <w:t>年利润分配预案为：以总股本</w:t>
      </w:r>
      <w:r>
        <w:rPr>
          <w:spacing w:val="-59"/>
        </w:rPr>
        <w:t> </w:t>
      </w:r>
      <w:r>
        <w:rPr>
          <w:rFonts w:ascii="Times New Roman" w:hAnsi="Times New Roman" w:cs="Times New Roman" w:eastAsia="Times New Roman" w:hint="default"/>
        </w:rPr>
        <w:t>168,007,774</w:t>
      </w:r>
      <w:r>
        <w:rPr>
          <w:rFonts w:ascii="Times New Roman" w:hAnsi="Times New Roman" w:cs="Times New Roman" w:eastAsia="Times New Roman" w:hint="default"/>
          <w:spacing w:val="1"/>
        </w:rPr>
        <w:t> </w:t>
      </w:r>
      <w:r>
        <w:rPr>
          <w:spacing w:val="-5"/>
        </w:rPr>
        <w:t>股为基数，向全体股东</w:t>
      </w:r>
    </w:p>
    <w:p>
      <w:pPr>
        <w:pStyle w:val="BodyText"/>
        <w:spacing w:line="240" w:lineRule="auto" w:before="136"/>
        <w:ind w:right="0"/>
        <w:jc w:val="both"/>
        <w:rPr>
          <w:rFonts w:ascii="Times New Roman" w:hAnsi="Times New Roman" w:cs="Times New Roman" w:eastAsia="Times New Roman" w:hint="default"/>
        </w:rPr>
      </w:pPr>
      <w:r>
        <w:rPr/>
        <w:t>每</w:t>
      </w:r>
      <w:r>
        <w:rPr>
          <w:spacing w:val="-80"/>
        </w:rPr>
        <w:t> </w:t>
      </w:r>
      <w:r>
        <w:rPr>
          <w:rFonts w:ascii="Times New Roman" w:hAnsi="Times New Roman" w:cs="Times New Roman" w:eastAsia="Times New Roman" w:hint="default"/>
        </w:rPr>
        <w:t>10</w:t>
      </w:r>
      <w:r>
        <w:rPr>
          <w:rFonts w:ascii="Times New Roman" w:hAnsi="Times New Roman" w:cs="Times New Roman" w:eastAsia="Times New Roman" w:hint="default"/>
          <w:spacing w:val="-20"/>
        </w:rPr>
        <w:t> </w:t>
      </w:r>
      <w:r>
        <w:rPr/>
        <w:t>股派发</w:t>
      </w:r>
      <w:r>
        <w:rPr>
          <w:spacing w:val="-80"/>
        </w:rPr>
        <w:t> </w:t>
      </w: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t>元现</w:t>
      </w:r>
      <w:r>
        <w:rPr>
          <w:spacing w:val="-120"/>
        </w:rPr>
        <w:t>金</w:t>
      </w:r>
      <w:r>
        <w:rPr>
          <w:spacing w:val="2"/>
        </w:rPr>
        <w:t>（</w:t>
      </w:r>
      <w:r>
        <w:rPr/>
        <w:t>含税</w:t>
      </w:r>
      <w:r>
        <w:rPr>
          <w:spacing w:val="-120"/>
        </w:rPr>
        <w:t>）</w:t>
      </w:r>
      <w:r>
        <w:rPr/>
        <w:t>的股利分红</w:t>
      </w:r>
      <w:r>
        <w:rPr>
          <w:spacing w:val="-120"/>
        </w:rPr>
        <w:t>，</w:t>
      </w:r>
      <w:r>
        <w:rPr/>
        <w:t>合计派发现金红利人民币</w:t>
      </w:r>
      <w:r>
        <w:rPr>
          <w:spacing w:val="-78"/>
        </w:rPr>
        <w:t> </w:t>
      </w:r>
      <w:r>
        <w:rPr>
          <w:rFonts w:ascii="Times New Roman" w:hAnsi="Times New Roman" w:cs="Times New Roman" w:eastAsia="Times New Roman" w:hint="default"/>
        </w:rPr>
        <w:t>33,601,554.80</w:t>
      </w:r>
    </w:p>
    <w:p>
      <w:pPr>
        <w:pStyle w:val="BodyText"/>
        <w:spacing w:line="240" w:lineRule="auto" w:before="135"/>
        <w:ind w:right="0"/>
        <w:jc w:val="both"/>
      </w:pPr>
      <w:r>
        <w:rPr/>
        <w:t>元。本预案尚需提交</w:t>
      </w:r>
      <w:r>
        <w:rPr>
          <w:spacing w:val="-6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年年度股东大会审议。</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Heading5"/>
        <w:spacing w:line="240" w:lineRule="auto"/>
        <w:ind w:right="0"/>
        <w:jc w:val="both"/>
        <w:rPr>
          <w:b w:val="0"/>
          <w:bCs w:val="0"/>
        </w:rPr>
      </w:pPr>
      <w:r>
        <w:rPr/>
        <w:t>七、报告期内，内幕信息知情人管理制度的建立和执行情况</w:t>
      </w:r>
      <w:r>
        <w:rPr>
          <w:b w:val="0"/>
          <w:bCs w:val="0"/>
        </w:rPr>
      </w:r>
    </w:p>
    <w:p>
      <w:pPr>
        <w:pStyle w:val="BodyText"/>
        <w:spacing w:line="357" w:lineRule="auto"/>
        <w:ind w:left="620" w:right="205" w:hanging="480"/>
        <w:jc w:val="left"/>
      </w:pPr>
      <w:r>
        <w:rPr/>
        <w:t>（一）内幕信息知情人管理制度的建设情况 </w:t>
      </w:r>
      <w:r>
        <w:rPr>
          <w:spacing w:val="-3"/>
        </w:rPr>
        <w:t>公司上市以来，严格按照《公司法》、《证券法》、《上市公司信息披露管</w:t>
      </w:r>
    </w:p>
    <w:p>
      <w:pPr>
        <w:pStyle w:val="BodyText"/>
        <w:spacing w:line="357" w:lineRule="auto" w:before="36"/>
        <w:ind w:right="82"/>
        <w:jc w:val="left"/>
      </w:pPr>
      <w:r>
        <w:rPr>
          <w:spacing w:val="-3"/>
        </w:rPr>
        <w:t>理办法》、《深圳证券交易所创业板股票上市规则》等相关法律法规的规定，不</w:t>
      </w:r>
      <w:r>
        <w:rPr>
          <w:spacing w:val="-112"/>
        </w:rPr>
        <w:t> </w:t>
      </w:r>
      <w:r>
        <w:rPr>
          <w:spacing w:val="-112"/>
        </w:rPr>
      </w:r>
      <w:r>
        <w:rPr>
          <w:spacing w:val="-6"/>
        </w:rPr>
        <w:t>断加强和完善公司治理水平。为加强对内幕信息的保密措施，防范内幕交易行为，</w:t>
      </w:r>
      <w:r>
        <w:rPr/>
        <w:t> </w:t>
      </w:r>
      <w:r>
        <w:rPr>
          <w:spacing w:val="-3"/>
        </w:rPr>
        <w:t>切实保护广大股东的利益，公司已制订《信息披露管理制度》、《对外信息报送</w:t>
      </w:r>
      <w:r>
        <w:rPr>
          <w:spacing w:val="-112"/>
        </w:rPr>
        <w:t> </w:t>
      </w:r>
      <w:r>
        <w:rPr>
          <w:spacing w:val="-112"/>
        </w:rPr>
      </w:r>
      <w:r>
        <w:rPr>
          <w:spacing w:val="-3"/>
        </w:rPr>
        <w:t>和使用管理制度》《年报信息披露重大差错责任追究制度》等。根据中国证监会</w:t>
      </w:r>
    </w:p>
    <w:p>
      <w:pPr>
        <w:pStyle w:val="BodyText"/>
        <w:spacing w:line="357" w:lineRule="auto" w:before="36"/>
        <w:ind w:right="216"/>
        <w:jc w:val="both"/>
      </w:pPr>
      <w:r>
        <w:rPr>
          <w:spacing w:val="-3"/>
        </w:rPr>
        <w:t>《关于上市公司建立内幕信息知情人登记管理制度的规定》，公司制订了《内幕</w:t>
      </w:r>
      <w:r>
        <w:rPr>
          <w:spacing w:val="-111"/>
        </w:rPr>
        <w:t> </w:t>
      </w:r>
      <w:r>
        <w:rPr>
          <w:spacing w:val="-111"/>
        </w:rPr>
      </w:r>
      <w:r>
        <w:rPr/>
        <w:t>信息知情人登记管理制度》，并于</w:t>
      </w:r>
      <w:r>
        <w:rPr>
          <w:spacing w:val="-55"/>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8"/>
        </w:rPr>
        <w:t> </w:t>
      </w:r>
      <w:r>
        <w:rPr/>
        <w:t>月</w:t>
      </w:r>
      <w:r>
        <w:rPr>
          <w:spacing w:val="-55"/>
        </w:rPr>
        <w:t> </w:t>
      </w:r>
      <w:r>
        <w:rPr>
          <w:rFonts w:ascii="宋体" w:hAnsi="宋体" w:cs="宋体" w:eastAsia="宋体" w:hint="default"/>
        </w:rPr>
        <w:t>31</w:t>
      </w:r>
      <w:r>
        <w:rPr>
          <w:rFonts w:ascii="宋体" w:hAnsi="宋体" w:cs="宋体" w:eastAsia="宋体" w:hint="default"/>
          <w:spacing w:val="-56"/>
        </w:rPr>
        <w:t> </w:t>
      </w:r>
      <w:r>
        <w:rPr/>
        <w:t>日经第一届董事会第二十二 次（临时）会议审议通过，现已正式实施。</w:t>
      </w:r>
    </w:p>
    <w:p>
      <w:pPr>
        <w:pStyle w:val="BodyText"/>
        <w:spacing w:line="357" w:lineRule="auto" w:before="36"/>
        <w:ind w:left="620" w:right="205" w:hanging="480"/>
        <w:jc w:val="left"/>
      </w:pPr>
      <w:r>
        <w:rPr/>
        <w:t>（二）内幕信息知情人管理制度的执行情况 </w:t>
      </w:r>
      <w:r>
        <w:rPr>
          <w:rFonts w:ascii="宋体" w:hAnsi="宋体" w:cs="宋体" w:eastAsia="宋体" w:hint="default"/>
        </w:rPr>
        <w:t>1</w:t>
      </w:r>
      <w:r>
        <w:rPr/>
        <w:t>．定期报告披露期间的信息保密工作 </w:t>
      </w:r>
      <w:r>
        <w:rPr>
          <w:spacing w:val="-3"/>
        </w:rPr>
        <w:t>报告期内，公司严格执行内幕信息保密制度，严格规范信息传递流程，在定</w:t>
      </w:r>
    </w:p>
    <w:p>
      <w:pPr>
        <w:pStyle w:val="BodyText"/>
        <w:spacing w:line="357" w:lineRule="auto" w:before="36"/>
        <w:ind w:right="217"/>
        <w:jc w:val="both"/>
      </w:pPr>
      <w:r>
        <w:rPr>
          <w:spacing w:val="-3"/>
        </w:rPr>
        <w:t>期报告披露期间，对于未公开信息，公司都会严格控制知情人范围，并组织相关</w:t>
      </w:r>
      <w:r>
        <w:rPr>
          <w:spacing w:val="-111"/>
        </w:rPr>
        <w:t> </w:t>
      </w:r>
      <w:r>
        <w:rPr>
          <w:spacing w:val="-111"/>
        </w:rPr>
      </w:r>
      <w:r>
        <w:rPr>
          <w:spacing w:val="-3"/>
        </w:rPr>
        <w:t>内幕信息知情人填写《内幕信息知情人登记表》，如实、完整记录上述信息在公</w:t>
      </w:r>
      <w:r>
        <w:rPr>
          <w:spacing w:val="-109"/>
        </w:rPr>
        <w:t> </w:t>
      </w:r>
      <w:r>
        <w:rPr>
          <w:spacing w:val="-109"/>
        </w:rPr>
      </w:r>
      <w:r>
        <w:rPr>
          <w:spacing w:val="-3"/>
        </w:rPr>
        <w:t>开前的所有内幕信息知情人名单，以及知情人知悉内幕信息的时间。经公司核实</w:t>
      </w:r>
      <w:r>
        <w:rPr>
          <w:spacing w:val="-111"/>
        </w:rPr>
        <w:t> </w:t>
      </w:r>
      <w:r>
        <w:rPr>
          <w:spacing w:val="-111"/>
        </w:rPr>
      </w:r>
      <w:r>
        <w:rPr>
          <w:spacing w:val="-3"/>
        </w:rPr>
        <w:t>无误后，按照相关法规规定在向深交所报送定期报告相关资料的同时报备内幕信</w:t>
      </w:r>
      <w:r>
        <w:rPr>
          <w:spacing w:val="-109"/>
        </w:rPr>
        <w:t> </w:t>
      </w:r>
      <w:r>
        <w:rPr>
          <w:spacing w:val="-109"/>
        </w:rPr>
      </w:r>
      <w:r>
        <w:rPr/>
        <w:t>息知情人登记情况。</w:t>
      </w:r>
    </w:p>
    <w:p>
      <w:pPr>
        <w:pStyle w:val="BodyText"/>
        <w:spacing w:line="357" w:lineRule="auto" w:before="36"/>
        <w:ind w:left="620" w:right="205"/>
        <w:jc w:val="left"/>
      </w:pPr>
      <w:r>
        <w:rPr>
          <w:rFonts w:ascii="宋体" w:hAnsi="宋体" w:cs="宋体" w:eastAsia="宋体" w:hint="default"/>
        </w:rPr>
        <w:t>2</w:t>
      </w:r>
      <w:r>
        <w:rPr/>
        <w:t>．投资者调研期间的信息保密工作 </w:t>
      </w:r>
      <w:r>
        <w:rPr>
          <w:spacing w:val="-3"/>
        </w:rPr>
        <w:t>在定期报告及重大事项披露期间，公司尽量避免接待投资者的调研，努力做</w:t>
      </w:r>
    </w:p>
    <w:p>
      <w:pPr>
        <w:pStyle w:val="BodyText"/>
        <w:spacing w:line="357" w:lineRule="auto" w:before="36"/>
        <w:ind w:right="217"/>
        <w:jc w:val="both"/>
      </w:pPr>
      <w:r>
        <w:rPr>
          <w:spacing w:val="-3"/>
        </w:rPr>
        <w:t>好定期报告及重大事项披露期间的信息保密工作。在日常接待投资者调研时，公</w:t>
      </w:r>
      <w:r>
        <w:rPr>
          <w:spacing w:val="-112"/>
        </w:rPr>
        <w:t> </w:t>
      </w:r>
      <w:r>
        <w:rPr>
          <w:spacing w:val="-112"/>
        </w:rPr>
      </w:r>
      <w:r>
        <w:rPr>
          <w:spacing w:val="-3"/>
        </w:rPr>
        <w:t>司履行相关的信息保密工作程序。在进行调研前，先对调研人员的个人信息进行</w:t>
      </w:r>
      <w:r>
        <w:rPr>
          <w:spacing w:val="-111"/>
        </w:rPr>
        <w:t> </w:t>
      </w:r>
      <w:r>
        <w:rPr>
          <w:spacing w:val="-111"/>
        </w:rPr>
      </w:r>
      <w:r>
        <w:rPr>
          <w:spacing w:val="-3"/>
        </w:rPr>
        <w:t>备案，同时要求签署投资者（机构）调研登记表与保密承诺书，并承诺在对外出</w:t>
      </w:r>
      <w:r>
        <w:rPr>
          <w:spacing w:val="-111"/>
        </w:rPr>
        <w:t> </w:t>
      </w:r>
      <w:r>
        <w:rPr>
          <w:spacing w:val="-111"/>
        </w:rPr>
      </w:r>
      <w:r>
        <w:rPr>
          <w:spacing w:val="-3"/>
        </w:rPr>
        <w:t>具报告前需经公司认可。在调研过程中，公司认真做好相关会议记录，并按照相</w:t>
      </w:r>
      <w:r>
        <w:rPr>
          <w:spacing w:val="-111"/>
        </w:rPr>
        <w:t> </w:t>
      </w:r>
      <w:r>
        <w:rPr>
          <w:spacing w:val="-111"/>
        </w:rPr>
      </w:r>
      <w:r>
        <w:rPr/>
        <w:t>关法规规定向深交所报备。</w:t>
      </w:r>
    </w:p>
    <w:p>
      <w:pPr>
        <w:spacing w:after="0" w:line="357" w:lineRule="auto"/>
        <w:jc w:val="both"/>
        <w:sectPr>
          <w:pgSz w:w="11910" w:h="16840"/>
          <w:pgMar w:header="884" w:footer="980" w:top="1140" w:bottom="1160" w:left="1660" w:right="1580"/>
        </w:sectPr>
      </w:pPr>
    </w:p>
    <w:p>
      <w:pPr>
        <w:spacing w:line="240" w:lineRule="auto" w:before="6"/>
        <w:rPr>
          <w:rFonts w:ascii="宋体" w:hAnsi="宋体" w:cs="宋体" w:eastAsia="宋体" w:hint="default"/>
          <w:sz w:val="22"/>
          <w:szCs w:val="22"/>
        </w:rPr>
      </w:pPr>
    </w:p>
    <w:p>
      <w:pPr>
        <w:pStyle w:val="BodyText"/>
        <w:spacing w:line="357" w:lineRule="auto" w:before="26"/>
        <w:ind w:left="620" w:right="205"/>
        <w:jc w:val="left"/>
      </w:pPr>
      <w:r>
        <w:rPr>
          <w:rFonts w:ascii="宋体" w:hAnsi="宋体" w:cs="宋体" w:eastAsia="宋体" w:hint="default"/>
        </w:rPr>
        <w:t>3</w:t>
      </w:r>
      <w:r>
        <w:rPr/>
        <w:t>．其他重大事件的信息保密工作 </w:t>
      </w:r>
      <w:r>
        <w:rPr>
          <w:spacing w:val="-3"/>
        </w:rPr>
        <w:t>在其他重大事项（如对外投资等）未披露前，首先公司尽量减少获知重大事</w:t>
      </w:r>
    </w:p>
    <w:p>
      <w:pPr>
        <w:pStyle w:val="BodyText"/>
        <w:spacing w:line="357" w:lineRule="auto" w:before="36"/>
        <w:ind w:right="82"/>
        <w:jc w:val="left"/>
      </w:pPr>
      <w:r>
        <w:rPr>
          <w:spacing w:val="-6"/>
        </w:rPr>
        <w:t>项信息的人员范围，然后分阶段地对内幕知情人进行登记，并签订相关保密协议，</w:t>
      </w:r>
      <w:r>
        <w:rPr/>
        <w:t> 以保证信息处于可控范围。</w:t>
      </w:r>
    </w:p>
    <w:p>
      <w:pPr>
        <w:pStyle w:val="BodyText"/>
        <w:spacing w:line="357" w:lineRule="auto" w:before="36"/>
        <w:ind w:right="211"/>
        <w:jc w:val="left"/>
      </w:pPr>
      <w:r>
        <w:rPr>
          <w:spacing w:val="-3"/>
        </w:rPr>
        <w:t>（三）报告期内自查内幕信息知情人涉嫌内幕交易以及监管部门的查处和整改情</w:t>
      </w:r>
      <w:r>
        <w:rPr>
          <w:spacing w:val="-109"/>
        </w:rPr>
        <w:t> </w:t>
      </w:r>
      <w:r>
        <w:rPr>
          <w:spacing w:val="-109"/>
        </w:rPr>
      </w:r>
      <w:r>
        <w:rPr/>
        <w:t>况</w:t>
      </w:r>
    </w:p>
    <w:p>
      <w:pPr>
        <w:pStyle w:val="BodyText"/>
        <w:spacing w:line="357" w:lineRule="auto" w:before="36"/>
        <w:ind w:right="217" w:firstLine="479"/>
        <w:jc w:val="both"/>
      </w:pPr>
      <w:r>
        <w:rPr>
          <w:spacing w:val="-3"/>
        </w:rPr>
        <w:t>报告期内，公司董事、监事及高级管理人员和其他相关知情人严格遵守了内</w:t>
      </w:r>
      <w:r>
        <w:rPr/>
        <w:t> </w:t>
      </w:r>
      <w:r>
        <w:rPr>
          <w:spacing w:val="-3"/>
        </w:rPr>
        <w:t>幕信息知情人登记管理制度，未发现有内幕信息知情人利用内幕信息买卖本公司</w:t>
      </w:r>
      <w:r>
        <w:rPr>
          <w:spacing w:val="-109"/>
        </w:rPr>
        <w:t> </w:t>
      </w:r>
      <w:r>
        <w:rPr>
          <w:spacing w:val="-109"/>
        </w:rPr>
      </w:r>
      <w:r>
        <w:rPr/>
        <w:t>股份的情况。报告期内公司也未发生受到监管部门查处和整改的情形。</w:t>
      </w:r>
    </w:p>
    <w:p>
      <w:pPr>
        <w:spacing w:after="0" w:line="357" w:lineRule="auto"/>
        <w:jc w:val="both"/>
        <w:sectPr>
          <w:pgSz w:w="11910" w:h="16840"/>
          <w:pgMar w:header="884" w:footer="980" w:top="1140" w:bottom="1160" w:left="1660" w:right="15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1"/>
        <w:spacing w:line="460" w:lineRule="exact"/>
        <w:ind w:right="279"/>
        <w:jc w:val="center"/>
        <w:rPr>
          <w:b w:val="0"/>
          <w:bCs w:val="0"/>
        </w:rPr>
      </w:pPr>
      <w:bookmarkStart w:name="_bookmark3" w:id="4"/>
      <w:bookmarkEnd w:id="4"/>
      <w:r>
        <w:rPr>
          <w:b w:val="0"/>
          <w:bCs w:val="0"/>
        </w:rPr>
      </w:r>
      <w:r>
        <w:rPr/>
        <w:t>第四节</w:t>
      </w:r>
      <w:r>
        <w:rPr>
          <w:spacing w:val="-3"/>
        </w:rPr>
        <w:t> </w:t>
      </w:r>
      <w:r>
        <w:rPr/>
        <w:t>重要事项</w:t>
      </w:r>
      <w:r>
        <w:rPr>
          <w:b w:val="0"/>
          <w:bCs w:val="0"/>
        </w:rPr>
      </w:r>
    </w:p>
    <w:p>
      <w:pPr>
        <w:spacing w:line="240" w:lineRule="auto" w:before="6"/>
        <w:rPr>
          <w:rFonts w:ascii="宋体" w:hAnsi="宋体" w:cs="宋体" w:eastAsia="宋体" w:hint="default"/>
          <w:b/>
          <w:bCs/>
          <w:sz w:val="46"/>
          <w:szCs w:val="46"/>
        </w:rPr>
      </w:pPr>
    </w:p>
    <w:p>
      <w:pPr>
        <w:pStyle w:val="Heading5"/>
        <w:spacing w:line="240" w:lineRule="auto"/>
        <w:ind w:right="0"/>
        <w:jc w:val="both"/>
        <w:rPr>
          <w:b w:val="0"/>
          <w:bCs w:val="0"/>
        </w:rPr>
      </w:pPr>
      <w:r>
        <w:rPr/>
        <w:t>一、重大诉讼、仲裁事项</w:t>
      </w:r>
      <w:r>
        <w:rPr>
          <w:b w:val="0"/>
          <w:bCs w:val="0"/>
        </w:rPr>
      </w:r>
    </w:p>
    <w:p>
      <w:pPr>
        <w:pStyle w:val="BodyText"/>
        <w:spacing w:line="240" w:lineRule="auto" w:before="74"/>
        <w:ind w:left="620" w:right="0"/>
        <w:jc w:val="left"/>
      </w:pPr>
      <w:r>
        <w:rPr>
          <w:rFonts w:ascii="宋体" w:hAnsi="宋体" w:cs="宋体" w:eastAsia="宋体" w:hint="default"/>
        </w:rPr>
        <w:t>1</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6"/>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16"/>
        </w:rPr>
        <w:t> </w:t>
      </w:r>
      <w:r>
        <w:rPr/>
        <w:t>日，公司诉购宝商业集团，要求购宝商业集团承担全资</w:t>
      </w:r>
    </w:p>
    <w:p>
      <w:pPr>
        <w:pStyle w:val="BodyText"/>
        <w:spacing w:line="336" w:lineRule="auto" w:before="135"/>
        <w:ind w:right="136"/>
        <w:jc w:val="both"/>
      </w:pPr>
      <w:r>
        <w:rPr>
          <w:spacing w:val="-4"/>
        </w:rPr>
        <w:t>子公司购宝联商企业咨询（上海）有限公司的付款义务，支付</w:t>
      </w:r>
      <w:r>
        <w:rPr>
          <w:spacing w:val="-55"/>
        </w:rPr>
        <w:t> </w:t>
      </w:r>
      <w:r>
        <w:rPr>
          <w:rFonts w:ascii="Times New Roman" w:hAnsi="Times New Roman" w:cs="Times New Roman" w:eastAsia="Times New Roman" w:hint="default"/>
        </w:rPr>
        <w:t>278,000.00</w:t>
      </w:r>
      <w:r>
        <w:rPr>
          <w:rFonts w:ascii="Times New Roman" w:hAnsi="Times New Roman" w:cs="Times New Roman" w:eastAsia="Times New Roman" w:hint="default"/>
          <w:spacing w:val="5"/>
        </w:rPr>
        <w:t> </w:t>
      </w:r>
      <w:r>
        <w:rPr/>
        <w:t>元服务 费，及逾期利息 </w:t>
      </w:r>
      <w:r>
        <w:rPr>
          <w:rFonts w:ascii="Times New Roman" w:hAnsi="Times New Roman" w:cs="Times New Roman" w:eastAsia="Times New Roman" w:hint="default"/>
        </w:rPr>
        <w:t>68,183.00 </w:t>
      </w:r>
      <w:r>
        <w:rPr/>
        <w:t>元，案号为（</w:t>
      </w:r>
      <w:r>
        <w:rPr>
          <w:rFonts w:ascii="Times New Roman" w:hAnsi="Times New Roman" w:cs="Times New Roman" w:eastAsia="Times New Roman" w:hint="default"/>
        </w:rPr>
        <w:t>2010</w:t>
      </w:r>
      <w:r>
        <w:rPr/>
        <w:t>）沪二中民五（知）初字第</w:t>
      </w:r>
      <w:r>
        <w:rPr>
          <w:spacing w:val="-34"/>
        </w:rPr>
        <w:t> </w:t>
      </w:r>
      <w:r>
        <w:rPr>
          <w:rFonts w:ascii="Times New Roman" w:hAnsi="Times New Roman" w:cs="Times New Roman" w:eastAsia="Times New Roman" w:hint="default"/>
        </w:rPr>
        <w:t>118</w:t>
      </w:r>
      <w:r>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4"/>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日，公司诉购宝商业集团，要求购宝商业集团支付</w:t>
      </w:r>
      <w:r>
        <w:rPr>
          <w:spacing w:val="-45"/>
        </w:rPr>
        <w:t> </w:t>
      </w:r>
      <w:r>
        <w:rPr>
          <w:rFonts w:ascii="Times New Roman" w:hAnsi="Times New Roman" w:cs="Times New Roman" w:eastAsia="Times New Roman" w:hint="default"/>
        </w:rPr>
        <w:t>1,580,000.00 </w:t>
      </w:r>
      <w:r>
        <w:rPr/>
        <w:t>元服务费，案号为（</w:t>
      </w:r>
      <w:r>
        <w:rPr>
          <w:rFonts w:ascii="Times New Roman" w:hAnsi="Times New Roman" w:cs="Times New Roman" w:eastAsia="Times New Roman" w:hint="default"/>
        </w:rPr>
        <w:t>2010</w:t>
      </w:r>
      <w:r>
        <w:rPr/>
        <w:t>）沪二中民五（知）初字第</w:t>
      </w:r>
      <w:r>
        <w:rPr>
          <w:spacing w:val="-61"/>
        </w:rPr>
        <w:t> </w:t>
      </w:r>
      <w:r>
        <w:rPr>
          <w:rFonts w:ascii="Times New Roman" w:hAnsi="Times New Roman" w:cs="Times New Roman" w:eastAsia="Times New Roman" w:hint="default"/>
        </w:rPr>
        <w:t>120</w:t>
      </w:r>
      <w:r>
        <w:rPr/>
        <w:t>。</w:t>
      </w:r>
    </w:p>
    <w:p>
      <w:pPr>
        <w:pStyle w:val="BodyText"/>
        <w:spacing w:line="240" w:lineRule="auto" w:before="30"/>
        <w:ind w:left="620" w:right="0"/>
        <w:jc w:val="left"/>
      </w:pPr>
      <w:r>
        <w:rPr>
          <w:rFonts w:ascii="宋体" w:hAnsi="宋体" w:cs="宋体" w:eastAsia="宋体" w:hint="default"/>
        </w:rPr>
        <w:t>2</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16"/>
        </w:rPr>
        <w:t> </w:t>
      </w:r>
      <w:r>
        <w:rPr/>
        <w:t>月</w:t>
      </w:r>
      <w:r>
        <w:rPr>
          <w:spacing w:val="-43"/>
        </w:rPr>
        <w:t> </w:t>
      </w:r>
      <w:r>
        <w:rPr>
          <w:rFonts w:ascii="Times New Roman" w:hAnsi="Times New Roman" w:cs="Times New Roman" w:eastAsia="Times New Roman" w:hint="default"/>
        </w:rPr>
        <w:t>28</w:t>
      </w:r>
      <w:r>
        <w:rPr>
          <w:rFonts w:ascii="Times New Roman" w:hAnsi="Times New Roman" w:cs="Times New Roman" w:eastAsia="Times New Roman" w:hint="default"/>
          <w:spacing w:val="16"/>
        </w:rPr>
        <w:t> </w:t>
      </w:r>
      <w:r>
        <w:rPr/>
        <w:t>日，公司与被告购宝商业集团达成和解协议：购宝商业</w:t>
      </w:r>
    </w:p>
    <w:p>
      <w:pPr>
        <w:pStyle w:val="BodyText"/>
        <w:spacing w:line="240" w:lineRule="auto" w:before="133"/>
        <w:ind w:right="0"/>
        <w:jc w:val="both"/>
        <w:rPr>
          <w:rFonts w:ascii="Times New Roman" w:hAnsi="Times New Roman" w:cs="Times New Roman" w:eastAsia="Times New Roman" w:hint="default"/>
        </w:rPr>
      </w:pPr>
      <w:r>
        <w:rPr/>
        <w:t>集团承诺于</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日前向我司支付人民币</w:t>
      </w:r>
      <w:r>
        <w:rPr>
          <w:spacing w:val="-50"/>
        </w:rPr>
        <w:t> </w:t>
      </w:r>
      <w:r>
        <w:rPr>
          <w:rFonts w:ascii="Times New Roman" w:hAnsi="Times New Roman" w:cs="Times New Roman" w:eastAsia="Times New Roman" w:hint="default"/>
        </w:rPr>
        <w:t>80</w:t>
      </w:r>
      <w:r>
        <w:rPr>
          <w:rFonts w:ascii="Times New Roman" w:hAnsi="Times New Roman" w:cs="Times New Roman" w:eastAsia="Times New Roman" w:hint="default"/>
          <w:spacing w:val="9"/>
        </w:rPr>
        <w:t> </w:t>
      </w:r>
      <w:r>
        <w:rPr/>
        <w:t>万元；公司在收到上述</w:t>
      </w:r>
      <w:r>
        <w:rPr>
          <w:spacing w:val="-50"/>
        </w:rPr>
        <w:t> </w:t>
      </w:r>
      <w:r>
        <w:rPr>
          <w:rFonts w:ascii="Times New Roman" w:hAnsi="Times New Roman" w:cs="Times New Roman" w:eastAsia="Times New Roman" w:hint="default"/>
        </w:rPr>
        <w:t>80</w:t>
      </w:r>
    </w:p>
    <w:p>
      <w:pPr>
        <w:pStyle w:val="BodyText"/>
        <w:spacing w:line="336" w:lineRule="auto" w:before="135"/>
        <w:ind w:right="136"/>
        <w:jc w:val="both"/>
      </w:pPr>
      <w:r>
        <w:rPr/>
        <w:t>万元之日立即撤回上述两案的起诉。</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日，公司已经收到对方支付 的和解款项并撤回了上述起诉。</w:t>
      </w:r>
    </w:p>
    <w:p>
      <w:pPr>
        <w:spacing w:line="357" w:lineRule="auto" w:before="137"/>
        <w:ind w:left="140" w:right="2187" w:firstLine="479"/>
        <w:jc w:val="left"/>
        <w:rPr>
          <w:rFonts w:ascii="宋体" w:hAnsi="宋体" w:cs="宋体" w:eastAsia="宋体" w:hint="default"/>
          <w:sz w:val="24"/>
          <w:szCs w:val="24"/>
        </w:rPr>
      </w:pPr>
      <w:r>
        <w:rPr>
          <w:rFonts w:ascii="宋体" w:hAnsi="宋体" w:cs="宋体" w:eastAsia="宋体" w:hint="default"/>
          <w:sz w:val="24"/>
          <w:szCs w:val="24"/>
        </w:rPr>
        <w:t>截止报告期末，公司已无尚未了结的诉讼或仲裁事项。 </w:t>
      </w:r>
      <w:r>
        <w:rPr>
          <w:rFonts w:ascii="宋体" w:hAnsi="宋体" w:cs="宋体" w:eastAsia="宋体" w:hint="default"/>
          <w:b/>
          <w:bCs/>
          <w:sz w:val="24"/>
          <w:szCs w:val="24"/>
        </w:rPr>
        <w:t>二、破产相关事项</w:t>
      </w:r>
      <w:r>
        <w:rPr>
          <w:rFonts w:ascii="宋体" w:hAnsi="宋体" w:cs="宋体" w:eastAsia="宋体" w:hint="default"/>
          <w:sz w:val="24"/>
          <w:szCs w:val="24"/>
        </w:rPr>
      </w:r>
    </w:p>
    <w:p>
      <w:pPr>
        <w:spacing w:line="357" w:lineRule="auto" w:before="36"/>
        <w:ind w:left="140" w:right="4347" w:firstLine="479"/>
        <w:jc w:val="left"/>
        <w:rPr>
          <w:rFonts w:ascii="宋体" w:hAnsi="宋体" w:cs="宋体" w:eastAsia="宋体" w:hint="default"/>
          <w:sz w:val="24"/>
          <w:szCs w:val="24"/>
        </w:rPr>
      </w:pPr>
      <w:r>
        <w:rPr>
          <w:rFonts w:ascii="宋体" w:hAnsi="宋体" w:cs="宋体" w:eastAsia="宋体" w:hint="default"/>
          <w:sz w:val="24"/>
          <w:szCs w:val="24"/>
        </w:rPr>
        <w:t>报告期内，公司无破产相关事项。 </w:t>
      </w:r>
      <w:r>
        <w:rPr>
          <w:rFonts w:ascii="宋体" w:hAnsi="宋体" w:cs="宋体" w:eastAsia="宋体" w:hint="default"/>
          <w:b/>
          <w:bCs/>
          <w:sz w:val="24"/>
          <w:szCs w:val="24"/>
        </w:rPr>
        <w:t>三、收购及出售资产、企业合并事项</w:t>
      </w:r>
      <w:r>
        <w:rPr>
          <w:rFonts w:ascii="宋体" w:hAnsi="宋体" w:cs="宋体" w:eastAsia="宋体" w:hint="default"/>
          <w:sz w:val="24"/>
          <w:szCs w:val="24"/>
        </w:rPr>
      </w:r>
    </w:p>
    <w:p>
      <w:pPr>
        <w:spacing w:line="357" w:lineRule="auto" w:before="36"/>
        <w:ind w:left="140" w:right="2427" w:firstLine="479"/>
        <w:jc w:val="left"/>
        <w:rPr>
          <w:rFonts w:ascii="宋体" w:hAnsi="宋体" w:cs="宋体" w:eastAsia="宋体" w:hint="default"/>
          <w:sz w:val="24"/>
          <w:szCs w:val="24"/>
        </w:rPr>
      </w:pPr>
      <w:r>
        <w:rPr>
          <w:rFonts w:ascii="宋体" w:hAnsi="宋体" w:cs="宋体" w:eastAsia="宋体" w:hint="default"/>
          <w:sz w:val="24"/>
          <w:szCs w:val="24"/>
        </w:rPr>
        <w:t>报告期内。公司无收购及出售资产、企业合并事项。 </w:t>
      </w:r>
      <w:r>
        <w:rPr>
          <w:rFonts w:ascii="宋体" w:hAnsi="宋体" w:cs="宋体" w:eastAsia="宋体" w:hint="default"/>
          <w:b/>
          <w:bCs/>
          <w:sz w:val="24"/>
          <w:szCs w:val="24"/>
        </w:rPr>
        <w:t>四、股权激励计划事项</w:t>
      </w:r>
      <w:r>
        <w:rPr>
          <w:rFonts w:ascii="宋体" w:hAnsi="宋体" w:cs="宋体" w:eastAsia="宋体" w:hint="default"/>
          <w:sz w:val="24"/>
          <w:szCs w:val="24"/>
        </w:rPr>
      </w:r>
    </w:p>
    <w:p>
      <w:pPr>
        <w:pStyle w:val="BodyText"/>
        <w:spacing w:line="355" w:lineRule="auto" w:before="36"/>
        <w:ind w:right="136" w:firstLine="479"/>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27</w:t>
      </w:r>
      <w:r>
        <w:rPr>
          <w:rFonts w:ascii="Times New Roman" w:hAnsi="Times New Roman" w:cs="Times New Roman" w:eastAsia="Times New Roman" w:hint="default"/>
          <w:spacing w:val="-7"/>
        </w:rPr>
        <w:t> </w:t>
      </w:r>
      <w:r>
        <w:rPr/>
        <w:t>日，公司召开了第一届董事会第九次（临时）会议，审议通 </w:t>
      </w:r>
      <w:r>
        <w:rPr>
          <w:spacing w:val="-3"/>
        </w:rPr>
        <w:t>过了《上海汉得信息技术股份有限公司限制性股票激励计划（草案）》（以下简</w:t>
      </w:r>
      <w:r>
        <w:rPr>
          <w:spacing w:val="-114"/>
        </w:rPr>
        <w:t> </w:t>
      </w:r>
      <w:r>
        <w:rPr>
          <w:spacing w:val="-114"/>
        </w:rPr>
      </w:r>
      <w:r>
        <w:rPr>
          <w:spacing w:val="-3"/>
        </w:rPr>
        <w:t>称“《激励计划（草案）》”）及摘要、《关于提请股东大会授权董事会办理限</w:t>
      </w:r>
      <w:r>
        <w:rPr>
          <w:spacing w:val="-113"/>
        </w:rPr>
        <w:t> </w:t>
      </w:r>
      <w:r>
        <w:rPr>
          <w:spacing w:val="-113"/>
        </w:rPr>
      </w:r>
      <w:r>
        <w:rPr>
          <w:spacing w:val="-3"/>
        </w:rPr>
        <w:t>制性股票激励计划相关事宜的议案》以及《上海汉得信息技术股份有限公司限制</w:t>
      </w:r>
      <w:r>
        <w:rPr>
          <w:spacing w:val="-109"/>
        </w:rPr>
        <w:t> </w:t>
      </w:r>
      <w:r>
        <w:rPr>
          <w:spacing w:val="-109"/>
        </w:rPr>
      </w:r>
      <w:r>
        <w:rPr>
          <w:spacing w:val="-3"/>
        </w:rPr>
        <w:t>性股票激励计划实施考核办法》。根据中国证监会的反馈意见，公司对《激励计</w:t>
      </w:r>
      <w:r>
        <w:rPr>
          <w:spacing w:val="-111"/>
        </w:rPr>
        <w:t> </w:t>
      </w:r>
      <w:r>
        <w:rPr>
          <w:spacing w:val="-111"/>
        </w:rPr>
      </w:r>
      <w:r>
        <w:rPr>
          <w:spacing w:val="-3"/>
        </w:rPr>
        <w:t>划（草案）》进行了修订，形成了《上海汉得信息技术股份有限公司限制性股票</w:t>
      </w:r>
      <w:r>
        <w:rPr>
          <w:spacing w:val="-112"/>
        </w:rPr>
        <w:t> </w:t>
      </w:r>
      <w:r>
        <w:rPr>
          <w:spacing w:val="-112"/>
        </w:rPr>
      </w:r>
      <w:r>
        <w:rPr>
          <w:spacing w:val="-3"/>
        </w:rPr>
        <w:t>激励计划（草案修订稿）》（以下简称“《限制性股票激励计划》”），并报中</w:t>
      </w:r>
      <w:r>
        <w:rPr>
          <w:spacing w:val="-112"/>
        </w:rPr>
        <w:t> </w:t>
      </w:r>
      <w:r>
        <w:rPr>
          <w:spacing w:val="-112"/>
        </w:rPr>
      </w:r>
      <w:r>
        <w:rPr/>
        <w:t>国证监会备案无异议。</w:t>
      </w:r>
    </w:p>
    <w:p>
      <w:pPr>
        <w:pStyle w:val="BodyText"/>
        <w:spacing w:line="348" w:lineRule="auto" w:before="38"/>
        <w:ind w:right="140" w:firstLine="479"/>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68"/>
        </w:rPr>
        <w:t> </w:t>
      </w:r>
      <w:r>
        <w:rPr>
          <w:rFonts w:ascii="Times New Roman" w:hAnsi="Times New Roman" w:cs="Times New Roman" w:eastAsia="Times New Roman" w:hint="default"/>
        </w:rPr>
        <w:t>22</w:t>
      </w:r>
      <w:r>
        <w:rPr>
          <w:rFonts w:ascii="Times New Roman" w:hAnsi="Times New Roman" w:cs="Times New Roman" w:eastAsia="Times New Roman" w:hint="default"/>
          <w:spacing w:val="-8"/>
        </w:rPr>
        <w:t> </w:t>
      </w:r>
      <w:r>
        <w:rPr/>
        <w:t>日，公司召开了第一届董事会第十二次（临时）会议，审议 </w:t>
      </w:r>
      <w:r>
        <w:rPr>
          <w:spacing w:val="3"/>
        </w:rPr>
        <w:t>通过了《限制性股票激励计划》及其摘要、《上海汉得信息技术股份有限公司</w:t>
      </w:r>
      <w:r>
        <w:rPr>
          <w:spacing w:val="-98"/>
        </w:rPr>
        <w:t> </w:t>
      </w:r>
      <w:r>
        <w:rPr>
          <w:spacing w:val="-98"/>
        </w:rPr>
      </w:r>
      <w:r>
        <w:rPr/>
        <w:t>限制性股票激励计划首期激励对象名单（修订）》。</w:t>
      </w:r>
    </w:p>
    <w:p>
      <w:pPr>
        <w:spacing w:after="0" w:line="348" w:lineRule="auto"/>
        <w:jc w:val="both"/>
        <w:sectPr>
          <w:pgSz w:w="11910" w:h="16840"/>
          <w:pgMar w:header="884" w:footer="980" w:top="1140" w:bottom="1160" w:left="1660" w:right="1660"/>
        </w:sectPr>
      </w:pPr>
    </w:p>
    <w:p>
      <w:pPr>
        <w:spacing w:line="240" w:lineRule="auto" w:before="6"/>
        <w:rPr>
          <w:rFonts w:ascii="宋体" w:hAnsi="宋体" w:cs="宋体" w:eastAsia="宋体" w:hint="default"/>
          <w:sz w:val="22"/>
          <w:szCs w:val="22"/>
        </w:rPr>
      </w:pPr>
    </w:p>
    <w:p>
      <w:pPr>
        <w:pStyle w:val="BodyText"/>
        <w:spacing w:line="350" w:lineRule="auto" w:before="26"/>
        <w:ind w:right="217" w:firstLine="479"/>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spacing w:val="-14"/>
        </w:rPr>
        <w:t>日，公司召开了</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spacing w:val="-11"/>
        </w:rPr>
        <w:t>年第一次临时股东大会，审议通过了《限</w:t>
      </w:r>
      <w:r>
        <w:rPr/>
        <w:t> </w:t>
      </w:r>
      <w:r>
        <w:rPr>
          <w:spacing w:val="3"/>
        </w:rPr>
        <w:t>制性股票激励计划》及其摘要、《上海汉得信息技术股份有限公司限制性股票</w:t>
      </w:r>
      <w:r>
        <w:rPr>
          <w:spacing w:val="-101"/>
        </w:rPr>
        <w:t> </w:t>
      </w:r>
      <w:r>
        <w:rPr>
          <w:spacing w:val="-101"/>
        </w:rPr>
      </w:r>
      <w:r>
        <w:rPr>
          <w:spacing w:val="-3"/>
        </w:rPr>
        <w:t>激励计划实施考核办法》及《上海汉得信息技术股份有限公司关于提请股东大会</w:t>
      </w:r>
      <w:r>
        <w:rPr>
          <w:spacing w:val="-109"/>
        </w:rPr>
        <w:t> </w:t>
      </w:r>
      <w:r>
        <w:rPr>
          <w:spacing w:val="-109"/>
        </w:rPr>
      </w:r>
      <w:r>
        <w:rPr/>
        <w:t>授权董事会办理公司股权激励计划相关事宜的议案》。</w:t>
      </w:r>
    </w:p>
    <w:p>
      <w:pPr>
        <w:pStyle w:val="BodyText"/>
        <w:spacing w:line="357" w:lineRule="auto" w:before="43"/>
        <w:ind w:right="98" w:firstLine="479"/>
        <w:jc w:val="both"/>
      </w:pPr>
      <w:r>
        <w:rPr>
          <w:spacing w:val="-7"/>
        </w:rPr>
        <w:t>截止本报告期末，董事会已根据股东大会的授权，完成了限制性股票的授予、</w:t>
      </w:r>
      <w:r>
        <w:rPr/>
        <w:t> 登记、公告等相关事宜。</w:t>
      </w:r>
    </w:p>
    <w:p>
      <w:pPr>
        <w:spacing w:line="357" w:lineRule="auto" w:before="36"/>
        <w:ind w:left="620" w:right="4186" w:hanging="480"/>
        <w:jc w:val="left"/>
        <w:rPr>
          <w:rFonts w:ascii="宋体" w:hAnsi="宋体" w:cs="宋体" w:eastAsia="宋体" w:hint="default"/>
          <w:sz w:val="24"/>
          <w:szCs w:val="24"/>
        </w:rPr>
      </w:pPr>
      <w:r>
        <w:rPr>
          <w:rFonts w:ascii="宋体" w:hAnsi="宋体" w:cs="宋体" w:eastAsia="宋体" w:hint="default"/>
          <w:b/>
          <w:bCs/>
          <w:sz w:val="24"/>
          <w:szCs w:val="24"/>
        </w:rPr>
        <w:t>五、重大关联交易事项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报告期内，公司无重大关联交易事项</w:t>
      </w:r>
    </w:p>
    <w:p>
      <w:pPr>
        <w:pStyle w:val="Heading5"/>
        <w:spacing w:line="357" w:lineRule="auto" w:before="36"/>
        <w:ind w:right="212"/>
        <w:jc w:val="left"/>
        <w:rPr>
          <w:b w:val="0"/>
          <w:bCs w:val="0"/>
        </w:rPr>
      </w:pPr>
      <w:r>
        <w:rPr/>
        <w:t>六、报告期内，公司无证券投资情况。</w:t>
      </w:r>
      <w:r>
        <w:rPr>
          <w:w w:val="99"/>
        </w:rPr>
        <w:t> </w:t>
      </w:r>
      <w:r>
        <w:rPr>
          <w:spacing w:val="3"/>
        </w:rPr>
        <w:t>七、报告期内，公司不存在控股股东及其它关联方非经营性占用公司资金的情</w:t>
      </w:r>
      <w:r>
        <w:rPr>
          <w:spacing w:val="4"/>
          <w:w w:val="99"/>
        </w:rPr>
        <w:t> </w:t>
      </w:r>
      <w:r>
        <w:rPr/>
        <w:t>况。</w:t>
      </w:r>
      <w:r>
        <w:rPr>
          <w:b w:val="0"/>
          <w:bCs w:val="0"/>
        </w:rPr>
      </w:r>
    </w:p>
    <w:p>
      <w:pPr>
        <w:pStyle w:val="Heading5"/>
        <w:spacing w:line="357" w:lineRule="auto" w:before="36"/>
        <w:ind w:right="3928"/>
        <w:jc w:val="left"/>
        <w:rPr>
          <w:b w:val="0"/>
          <w:bCs w:val="0"/>
        </w:rPr>
      </w:pPr>
      <w:r>
        <w:rPr/>
        <w:t>八、报告期内，公司无重大关联交易事项。</w:t>
      </w:r>
      <w:r>
        <w:rPr>
          <w:w w:val="99"/>
        </w:rPr>
        <w:t> </w:t>
      </w:r>
      <w:r>
        <w:rPr/>
        <w:t>九、报告期内，公司无重大合同。</w:t>
      </w:r>
      <w:r>
        <w:rPr>
          <w:b w:val="0"/>
          <w:bCs w:val="0"/>
        </w:rPr>
      </w:r>
    </w:p>
    <w:p>
      <w:pPr>
        <w:pStyle w:val="Heading5"/>
        <w:spacing w:line="338" w:lineRule="auto" w:before="36"/>
        <w:ind w:right="205"/>
        <w:jc w:val="left"/>
        <w:rPr>
          <w:b w:val="0"/>
          <w:bCs w:val="0"/>
        </w:rPr>
      </w:pPr>
      <w:r>
        <w:rPr/>
        <w:t>十、公司或持有公司股份</w:t>
      </w:r>
      <w:r>
        <w:rPr>
          <w:spacing w:val="-65"/>
        </w:rPr>
        <w:t> </w:t>
      </w:r>
      <w:r>
        <w:rPr>
          <w:rFonts w:ascii="Times New Roman" w:hAnsi="Times New Roman" w:cs="Times New Roman" w:eastAsia="Times New Roman" w:hint="default"/>
        </w:rPr>
        <w:t>5%</w:t>
      </w:r>
      <w:r>
        <w:rPr/>
        <w:t>以上（含</w:t>
      </w:r>
      <w:r>
        <w:rPr>
          <w:spacing w:val="-65"/>
        </w:rPr>
        <w:t> </w:t>
      </w:r>
      <w:r>
        <w:rPr>
          <w:rFonts w:ascii="Times New Roman" w:hAnsi="Times New Roman" w:cs="Times New Roman" w:eastAsia="Times New Roman" w:hint="default"/>
        </w:rPr>
        <w:t>5%</w:t>
      </w:r>
      <w:r>
        <w:rPr/>
        <w:t>）的股东在报告期内发生或持续发生</w:t>
      </w:r>
      <w:r>
        <w:rPr>
          <w:w w:val="99"/>
        </w:rPr>
        <w:t> </w:t>
      </w:r>
      <w:r>
        <w:rPr/>
        <w:t>到报告期内的承诺事项</w:t>
      </w:r>
      <w:r>
        <w:rPr>
          <w:b w:val="0"/>
          <w:bCs w:val="0"/>
        </w:rPr>
      </w:r>
    </w:p>
    <w:p>
      <w:pPr>
        <w:pStyle w:val="BodyText"/>
        <w:spacing w:line="297" w:lineRule="auto" w:before="55"/>
        <w:ind w:left="620" w:right="205" w:hanging="480"/>
        <w:jc w:val="left"/>
      </w:pPr>
      <w:r>
        <w:rPr/>
        <w:t>（一）避免同业竞争的承诺 </w:t>
      </w:r>
      <w:r>
        <w:rPr>
          <w:spacing w:val="-3"/>
        </w:rPr>
        <w:t>公司实际控制人范建震、陈迪清及控股股东上海迪宣投资管理有限公司已于</w:t>
      </w:r>
    </w:p>
    <w:p>
      <w:pPr>
        <w:pStyle w:val="BodyText"/>
        <w:spacing w:line="338" w:lineRule="auto" w:before="94"/>
        <w:ind w:left="620" w:right="138" w:hanging="48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日出具《不竞争承诺函》，向公司作出如下承诺： </w:t>
      </w:r>
      <w:r>
        <w:rPr>
          <w:spacing w:val="-2"/>
        </w:rPr>
        <w:t>“</w:t>
      </w:r>
      <w:r>
        <w:rPr>
          <w:rFonts w:ascii="Times New Roman" w:hAnsi="Times New Roman" w:cs="Times New Roman" w:eastAsia="Times New Roman" w:hint="default"/>
          <w:spacing w:val="-2"/>
        </w:rPr>
        <w:t>1</w:t>
      </w:r>
      <w:r>
        <w:rPr>
          <w:spacing w:val="-2"/>
        </w:rPr>
        <w:t>、我们及我们直接或间接控制的子公司、合作或联营企业和</w:t>
      </w:r>
      <w:r>
        <w:rPr>
          <w:rFonts w:ascii="Times New Roman" w:hAnsi="Times New Roman" w:cs="Times New Roman" w:eastAsia="Times New Roman" w:hint="default"/>
          <w:spacing w:val="-2"/>
        </w:rPr>
        <w:t>/</w:t>
      </w:r>
      <w:r>
        <w:rPr>
          <w:spacing w:val="-2"/>
        </w:rPr>
        <w:t>或下属企业</w:t>
      </w:r>
    </w:p>
    <w:p>
      <w:pPr>
        <w:pStyle w:val="BodyText"/>
        <w:spacing w:line="355" w:lineRule="auto" w:before="27"/>
        <w:ind w:right="138"/>
        <w:jc w:val="left"/>
      </w:pPr>
      <w:r>
        <w:rPr>
          <w:spacing w:val="3"/>
        </w:rPr>
        <w:t>目前没有直接或间接地从事任何与汉得的主营业务及其它业务相同或相似的业</w:t>
      </w:r>
      <w:r>
        <w:rPr>
          <w:spacing w:val="-99"/>
        </w:rPr>
        <w:t> </w:t>
      </w:r>
      <w:r>
        <w:rPr>
          <w:spacing w:val="-99"/>
        </w:rPr>
      </w:r>
      <w:r>
        <w:rPr/>
        <w:t>务（以下称“竞争业务”）；</w:t>
      </w:r>
    </w:p>
    <w:p>
      <w:pPr>
        <w:pStyle w:val="BodyText"/>
        <w:spacing w:line="338" w:lineRule="auto" w:before="38"/>
        <w:ind w:right="175" w:firstLine="479"/>
        <w:jc w:val="both"/>
      </w:pPr>
      <w:r>
        <w:rPr>
          <w:rFonts w:ascii="Times New Roman" w:hAnsi="Times New Roman" w:cs="Times New Roman" w:eastAsia="Times New Roman" w:hint="default"/>
        </w:rPr>
        <w:t>2</w:t>
      </w:r>
      <w:r>
        <w:rPr/>
        <w:t>、我们及我们直接或间接控制的子公司、合作或联营企业和</w:t>
      </w:r>
      <w:r>
        <w:rPr>
          <w:rFonts w:ascii="Times New Roman" w:hAnsi="Times New Roman" w:cs="Times New Roman" w:eastAsia="Times New Roman" w:hint="default"/>
        </w:rPr>
        <w:t>/</w:t>
      </w:r>
      <w:r>
        <w:rPr/>
        <w:t>或下属企业， 于我们作为对汉得直接</w:t>
      </w:r>
      <w:r>
        <w:rPr>
          <w:rFonts w:ascii="Times New Roman" w:hAnsi="Times New Roman" w:cs="Times New Roman" w:eastAsia="Times New Roman" w:hint="default"/>
        </w:rPr>
        <w:t>/</w:t>
      </w:r>
      <w:r>
        <w:rPr/>
        <w:t>间接拥有权益的主要股东</w:t>
      </w:r>
      <w:r>
        <w:rPr>
          <w:rFonts w:ascii="Times New Roman" w:hAnsi="Times New Roman" w:cs="Times New Roman" w:eastAsia="Times New Roman" w:hint="default"/>
        </w:rPr>
        <w:t>/</w:t>
      </w:r>
      <w:r>
        <w:rPr/>
        <w:t>关联方期间，不会直接或间接</w:t>
      </w:r>
      <w:r>
        <w:rPr>
          <w:spacing w:val="-112"/>
        </w:rPr>
        <w:t> </w:t>
      </w:r>
      <w:r>
        <w:rPr>
          <w:spacing w:val="-112"/>
        </w:rPr>
      </w:r>
      <w:r>
        <w:rPr/>
        <w:t>地以任何方式从事竞争业务或可能构成竞争业务的业务；</w:t>
      </w:r>
    </w:p>
    <w:p>
      <w:pPr>
        <w:pStyle w:val="BodyText"/>
        <w:spacing w:line="348" w:lineRule="auto" w:before="53"/>
        <w:ind w:right="175" w:firstLine="479"/>
        <w:jc w:val="both"/>
      </w:pPr>
      <w:r>
        <w:rPr>
          <w:rFonts w:ascii="Times New Roman" w:hAnsi="Times New Roman" w:cs="Times New Roman" w:eastAsia="Times New Roman" w:hint="default"/>
        </w:rPr>
        <w:t>3</w:t>
      </w:r>
      <w:r>
        <w:rPr/>
        <w:t>、我们及我们直接或间接控制的子公司、合作或联营企业和</w:t>
      </w:r>
      <w:r>
        <w:rPr>
          <w:rFonts w:ascii="Times New Roman" w:hAnsi="Times New Roman" w:cs="Times New Roman" w:eastAsia="Times New Roman" w:hint="default"/>
        </w:rPr>
        <w:t>/</w:t>
      </w:r>
      <w:r>
        <w:rPr/>
        <w:t>或下属企业， </w:t>
      </w:r>
      <w:r>
        <w:rPr>
          <w:spacing w:val="-3"/>
        </w:rPr>
        <w:t>将来面临或可能取得任何与竞争业务有关的投资机会或其它商业机会，在同等条</w:t>
      </w:r>
      <w:r>
        <w:rPr>
          <w:spacing w:val="-109"/>
        </w:rPr>
        <w:t> </w:t>
      </w:r>
      <w:r>
        <w:rPr>
          <w:spacing w:val="-109"/>
        </w:rPr>
      </w:r>
      <w:r>
        <w:rPr/>
        <w:t>件下赋予汉得该等投资机会或商业机会之优先选择权；</w:t>
      </w:r>
    </w:p>
    <w:p>
      <w:pPr>
        <w:pStyle w:val="BodyText"/>
        <w:spacing w:line="336" w:lineRule="auto" w:before="46"/>
        <w:ind w:right="224" w:firstLine="479"/>
        <w:jc w:val="both"/>
      </w:pPr>
      <w:r>
        <w:rPr>
          <w:rFonts w:ascii="Times New Roman" w:hAnsi="Times New Roman" w:cs="Times New Roman" w:eastAsia="Times New Roman" w:hint="default"/>
        </w:rPr>
        <w:t>4</w:t>
      </w:r>
      <w:r>
        <w:rPr/>
        <w:t>、自本函出具日起，本函及本函项下之承诺为不可撤销的，且持续有效， 直至我们不再成为对汉得直接</w:t>
      </w:r>
      <w:r>
        <w:rPr>
          <w:rFonts w:ascii="Times New Roman" w:hAnsi="Times New Roman" w:cs="Times New Roman" w:eastAsia="Times New Roman" w:hint="default"/>
        </w:rPr>
        <w:t>/</w:t>
      </w:r>
      <w:r>
        <w:rPr/>
        <w:t>间接拥有权益的主要股东</w:t>
      </w:r>
      <w:r>
        <w:rPr>
          <w:rFonts w:ascii="Times New Roman" w:hAnsi="Times New Roman" w:cs="Times New Roman" w:eastAsia="Times New Roman" w:hint="default"/>
        </w:rPr>
        <w:t>/</w:t>
      </w:r>
      <w:r>
        <w:rPr/>
        <w:t>关联方为止；</w:t>
      </w:r>
    </w:p>
    <w:p>
      <w:pPr>
        <w:spacing w:after="0" w:line="336" w:lineRule="auto"/>
        <w:jc w:val="both"/>
        <w:sectPr>
          <w:pgSz w:w="11910" w:h="16840"/>
          <w:pgMar w:header="884" w:footer="980" w:top="1140" w:bottom="1160" w:left="1660" w:right="1580"/>
        </w:sectPr>
      </w:pPr>
    </w:p>
    <w:p>
      <w:pPr>
        <w:spacing w:line="240" w:lineRule="auto" w:before="6"/>
        <w:rPr>
          <w:rFonts w:ascii="宋体" w:hAnsi="宋体" w:cs="宋体" w:eastAsia="宋体" w:hint="default"/>
          <w:sz w:val="22"/>
          <w:szCs w:val="22"/>
        </w:rPr>
      </w:pPr>
    </w:p>
    <w:p>
      <w:pPr>
        <w:pStyle w:val="BodyText"/>
        <w:spacing w:line="348" w:lineRule="auto" w:before="26"/>
        <w:ind w:right="235" w:firstLine="479"/>
        <w:jc w:val="both"/>
      </w:pPr>
      <w:r>
        <w:rPr>
          <w:rFonts w:ascii="Times New Roman" w:hAnsi="Times New Roman" w:cs="Times New Roman" w:eastAsia="Times New Roman" w:hint="default"/>
          <w:spacing w:val="-4"/>
        </w:rPr>
        <w:t>5</w:t>
      </w:r>
      <w:r>
        <w:rPr>
          <w:spacing w:val="-4"/>
        </w:rPr>
        <w:t>、我们和</w:t>
      </w:r>
      <w:r>
        <w:rPr>
          <w:rFonts w:ascii="Times New Roman" w:hAnsi="Times New Roman" w:cs="Times New Roman" w:eastAsia="Times New Roman" w:hint="default"/>
          <w:spacing w:val="-4"/>
        </w:rPr>
        <w:t>/</w:t>
      </w:r>
      <w:r>
        <w:rPr>
          <w:spacing w:val="-4"/>
        </w:rPr>
        <w:t>或我们直接或间接控制的子公司、合作或联营企业和</w:t>
      </w:r>
      <w:r>
        <w:rPr>
          <w:rFonts w:ascii="Times New Roman" w:hAnsi="Times New Roman" w:cs="Times New Roman" w:eastAsia="Times New Roman" w:hint="default"/>
          <w:spacing w:val="-4"/>
        </w:rPr>
        <w:t>/</w:t>
      </w:r>
      <w:r>
        <w:rPr>
          <w:spacing w:val="-4"/>
        </w:rPr>
        <w:t>或下属企业</w:t>
      </w:r>
      <w:r>
        <w:rPr/>
        <w:t> </w:t>
      </w:r>
      <w:r>
        <w:rPr>
          <w:spacing w:val="3"/>
        </w:rPr>
        <w:t>如违反上述任何承诺，我们将赔偿汉得及汉得其他股东因此遭受的一切经济损</w:t>
      </w:r>
      <w:r>
        <w:rPr>
          <w:spacing w:val="-99"/>
        </w:rPr>
        <w:t> </w:t>
      </w:r>
      <w:r>
        <w:rPr>
          <w:spacing w:val="-99"/>
        </w:rPr>
      </w:r>
      <w:r>
        <w:rPr/>
        <w:t>失，该等责任是连带责任。”</w:t>
      </w:r>
    </w:p>
    <w:p>
      <w:pPr>
        <w:pStyle w:val="BodyText"/>
        <w:spacing w:line="338" w:lineRule="auto" w:before="46"/>
        <w:ind w:right="224" w:firstLine="479"/>
        <w:jc w:val="left"/>
      </w:pPr>
      <w:r>
        <w:rPr/>
        <w:t>截至</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日，公司实际控制人范建震、陈迪清及控股股东迪宣 投资均遵守上述承诺，未发现违反上述承诺情况。</w:t>
      </w:r>
    </w:p>
    <w:p>
      <w:pPr>
        <w:pStyle w:val="BodyText"/>
        <w:spacing w:line="357" w:lineRule="auto" w:before="55"/>
        <w:ind w:left="620" w:right="225" w:hanging="480"/>
        <w:jc w:val="left"/>
      </w:pPr>
      <w:r>
        <w:rPr/>
        <w:t>（二）股份锁定承诺 </w:t>
      </w:r>
      <w:r>
        <w:rPr>
          <w:spacing w:val="-3"/>
        </w:rPr>
        <w:t>为了保证公司的稳定性，延续性，本公司相关股东已经分别作出股份锁定承</w:t>
      </w:r>
    </w:p>
    <w:p>
      <w:pPr>
        <w:pStyle w:val="BodyText"/>
        <w:spacing w:line="240" w:lineRule="auto" w:before="36"/>
        <w:ind w:right="0"/>
        <w:jc w:val="both"/>
      </w:pPr>
      <w:r>
        <w:rPr/>
        <w:t>诺。</w:t>
      </w:r>
    </w:p>
    <w:p>
      <w:pPr>
        <w:pStyle w:val="BodyText"/>
        <w:spacing w:line="350" w:lineRule="auto"/>
        <w:ind w:right="237" w:firstLine="470"/>
        <w:jc w:val="both"/>
      </w:pPr>
      <w:r>
        <w:rPr>
          <w:rFonts w:ascii="Times New Roman" w:hAnsi="Times New Roman" w:cs="Times New Roman" w:eastAsia="Times New Roman" w:hint="default"/>
        </w:rPr>
        <w:t>1</w:t>
      </w:r>
      <w:r>
        <w:rPr/>
        <w:t>、本公司控股股东迪宣投资、实际控制人范建震、陈迪清以及黄良之、徐 </w:t>
      </w:r>
      <w:r>
        <w:rPr>
          <w:spacing w:val="-3"/>
        </w:rPr>
        <w:t>华承诺：自公司股票上市之日起三十六个月内，不转让或者委托他人管理本承诺</w:t>
      </w:r>
      <w:r>
        <w:rPr>
          <w:spacing w:val="-111"/>
        </w:rPr>
        <w:t> </w:t>
      </w:r>
      <w:r>
        <w:rPr>
          <w:spacing w:val="-111"/>
        </w:rPr>
      </w:r>
      <w:r>
        <w:rPr>
          <w:spacing w:val="-3"/>
        </w:rPr>
        <w:t>人在公司首次公开发行前已直接或间接持有的公司股份，也不由公司回购该部分</w:t>
      </w:r>
      <w:r>
        <w:rPr>
          <w:spacing w:val="-109"/>
        </w:rPr>
        <w:t> </w:t>
      </w:r>
      <w:r>
        <w:rPr>
          <w:spacing w:val="-109"/>
        </w:rPr>
      </w:r>
      <w:r>
        <w:rPr/>
        <w:t>股份。</w:t>
      </w:r>
    </w:p>
    <w:p>
      <w:pPr>
        <w:pStyle w:val="BodyText"/>
        <w:spacing w:line="350" w:lineRule="auto" w:before="43"/>
        <w:ind w:right="111" w:firstLine="470"/>
        <w:jc w:val="left"/>
      </w:pPr>
      <w:r>
        <w:rPr>
          <w:rFonts w:ascii="Times New Roman" w:hAnsi="Times New Roman" w:cs="Times New Roman" w:eastAsia="Times New Roman" w:hint="default"/>
          <w:spacing w:val="-5"/>
        </w:rPr>
        <w:t>2</w:t>
      </w:r>
      <w:r>
        <w:rPr>
          <w:spacing w:val="-5"/>
        </w:rPr>
        <w:t>、本公司股东</w:t>
      </w:r>
      <w:r>
        <w:rPr>
          <w:rFonts w:ascii="Times New Roman" w:hAnsi="Times New Roman" w:cs="Times New Roman" w:eastAsia="Times New Roman" w:hint="default"/>
          <w:spacing w:val="-5"/>
        </w:rPr>
        <w:t>Inspire </w:t>
      </w:r>
      <w:r>
        <w:rPr>
          <w:rFonts w:ascii="Times New Roman" w:hAnsi="Times New Roman" w:cs="Times New Roman" w:eastAsia="Times New Roman" w:hint="default"/>
        </w:rPr>
        <w:t>Investment </w:t>
      </w:r>
      <w:r>
        <w:rPr>
          <w:rFonts w:ascii="Times New Roman" w:hAnsi="Times New Roman" w:cs="Times New Roman" w:eastAsia="Times New Roman" w:hint="default"/>
          <w:spacing w:val="-5"/>
        </w:rPr>
        <w:t>Limited</w:t>
      </w:r>
      <w:r>
        <w:rPr>
          <w:spacing w:val="-5"/>
        </w:rPr>
        <w:t>、</w:t>
      </w:r>
      <w:r>
        <w:rPr>
          <w:rFonts w:ascii="Times New Roman" w:hAnsi="Times New Roman" w:cs="Times New Roman" w:eastAsia="Times New Roman" w:hint="default"/>
          <w:spacing w:val="-5"/>
        </w:rPr>
        <w:t>China</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8"/>
        </w:rPr>
        <w:t>Fund</w:t>
      </w:r>
      <w:r>
        <w:rPr>
          <w:spacing w:val="-8"/>
        </w:rPr>
        <w:t>、上海得逸、上海得帆、</w:t>
      </w:r>
      <w:r>
        <w:rPr/>
        <w:t> </w:t>
      </w:r>
      <w:r>
        <w:rPr>
          <w:spacing w:val="-3"/>
        </w:rPr>
        <w:t>上海得拓、上海得竞以及石胜利、邹秉灵、石伟民承诺：自公司股票上市之日起</w:t>
      </w:r>
      <w:r>
        <w:rPr>
          <w:spacing w:val="-111"/>
        </w:rPr>
        <w:t> </w:t>
      </w:r>
      <w:r>
        <w:rPr>
          <w:spacing w:val="-111"/>
        </w:rPr>
      </w:r>
      <w:r>
        <w:rPr>
          <w:spacing w:val="-3"/>
        </w:rPr>
        <w:t>十二个月内，不转让或者委托他人管理本承诺人在公司首次公开发行前已直接或</w:t>
      </w:r>
      <w:r>
        <w:rPr>
          <w:spacing w:val="-109"/>
        </w:rPr>
        <w:t> </w:t>
      </w:r>
      <w:r>
        <w:rPr>
          <w:spacing w:val="-109"/>
        </w:rPr>
      </w:r>
      <w:r>
        <w:rPr/>
        <w:t>间接持有的公司股份，也不由公司回购该部分股份。</w:t>
      </w:r>
    </w:p>
    <w:p>
      <w:pPr>
        <w:pStyle w:val="BodyText"/>
        <w:spacing w:line="297" w:lineRule="exact" w:before="0"/>
        <w:ind w:right="0" w:firstLine="479"/>
        <w:jc w:val="both"/>
      </w:pPr>
      <w:r>
        <w:rPr>
          <w:rFonts w:ascii="Times New Roman" w:hAnsi="Times New Roman" w:cs="Times New Roman" w:eastAsia="Times New Roman" w:hint="default"/>
        </w:rPr>
        <w:t>3</w:t>
      </w:r>
      <w:r>
        <w:rPr/>
        <w:t>、担任公司董事、监事、高级管理人员的范建震、陈迪清、石胜利、邹秉</w:t>
      </w:r>
    </w:p>
    <w:p>
      <w:pPr>
        <w:pStyle w:val="BodyText"/>
        <w:spacing w:line="357" w:lineRule="auto" w:before="133"/>
        <w:ind w:right="237"/>
        <w:jc w:val="both"/>
      </w:pPr>
      <w:r>
        <w:rPr>
          <w:spacing w:val="-3"/>
        </w:rPr>
        <w:t>灵、石伟民和黄良之承诺：上述期限届满后，在其任职期间每年转让的股份不超</w:t>
      </w:r>
      <w:r>
        <w:rPr>
          <w:spacing w:val="-111"/>
        </w:rPr>
        <w:t> </w:t>
      </w:r>
      <w:r>
        <w:rPr>
          <w:spacing w:val="-111"/>
        </w:rPr>
      </w:r>
      <w:r>
        <w:rPr>
          <w:spacing w:val="-3"/>
        </w:rPr>
        <w:t>过其直接或间接持有的公司股份总数的百分之二十五，离职后六个月内，不转让</w:t>
      </w:r>
      <w:r>
        <w:rPr>
          <w:spacing w:val="-111"/>
        </w:rPr>
        <w:t> </w:t>
      </w:r>
      <w:r>
        <w:rPr>
          <w:spacing w:val="-111"/>
        </w:rPr>
      </w:r>
      <w:r>
        <w:rPr/>
        <w:t>其直接或间接持有的公司股份。</w:t>
      </w:r>
    </w:p>
    <w:p>
      <w:pPr>
        <w:pStyle w:val="BodyText"/>
        <w:spacing w:line="348" w:lineRule="auto" w:before="34"/>
        <w:ind w:right="239" w:firstLine="479"/>
        <w:jc w:val="both"/>
      </w:pPr>
      <w:r>
        <w:rPr>
          <w:rFonts w:ascii="Times New Roman" w:hAnsi="Times New Roman" w:cs="Times New Roman" w:eastAsia="Times New Roman" w:hint="default"/>
        </w:rPr>
        <w:t>4</w:t>
      </w:r>
      <w:r>
        <w:rPr/>
        <w:t>、担任公司董事会秘书的张伟锋承诺：在其任职期间每年转让的股份不超 </w:t>
      </w:r>
      <w:r>
        <w:rPr>
          <w:spacing w:val="-3"/>
        </w:rPr>
        <w:t>过其直接或间接持有的公司股份总数的百分之二十五，离职后六个月内，不转让</w:t>
      </w:r>
      <w:r>
        <w:rPr>
          <w:spacing w:val="-111"/>
        </w:rPr>
        <w:t> </w:t>
      </w:r>
      <w:r>
        <w:rPr>
          <w:spacing w:val="-111"/>
        </w:rPr>
      </w:r>
      <w:r>
        <w:rPr/>
        <w:t>其直接或间接持有的公司股份。</w:t>
      </w:r>
    </w:p>
    <w:p>
      <w:pPr>
        <w:spacing w:line="415" w:lineRule="auto" w:before="46"/>
        <w:ind w:left="140" w:right="2527" w:firstLine="479"/>
        <w:jc w:val="left"/>
        <w:rPr>
          <w:rFonts w:ascii="宋体" w:hAnsi="宋体" w:cs="宋体" w:eastAsia="宋体" w:hint="default"/>
          <w:sz w:val="24"/>
          <w:szCs w:val="24"/>
        </w:rPr>
      </w:pPr>
      <w:r>
        <w:rPr>
          <w:rFonts w:ascii="宋体" w:hAnsi="宋体" w:cs="宋体" w:eastAsia="宋体" w:hint="default"/>
          <w:sz w:val="24"/>
          <w:szCs w:val="24"/>
        </w:rPr>
        <w:t>报告期内，上述股东均严格遵守并履行了相应承诺。 </w:t>
      </w:r>
      <w:r>
        <w:rPr>
          <w:rFonts w:ascii="宋体" w:hAnsi="宋体" w:cs="宋体" w:eastAsia="宋体" w:hint="default"/>
          <w:b/>
          <w:bCs/>
          <w:sz w:val="24"/>
          <w:szCs w:val="24"/>
        </w:rPr>
        <w:t>十一、聘任会计师事务所情况</w:t>
      </w:r>
      <w:r>
        <w:rPr>
          <w:rFonts w:ascii="宋体" w:hAnsi="宋体" w:cs="宋体" w:eastAsia="宋体" w:hint="default"/>
          <w:sz w:val="24"/>
          <w:szCs w:val="24"/>
        </w:rPr>
      </w:r>
    </w:p>
    <w:p>
      <w:pPr>
        <w:pStyle w:val="BodyText"/>
        <w:spacing w:line="312" w:lineRule="exact" w:before="0"/>
        <w:ind w:left="620" w:right="0"/>
        <w:jc w:val="left"/>
      </w:pPr>
      <w:r>
        <w:rPr>
          <w:rFonts w:ascii="Times New Roman" w:hAnsi="Times New Roman" w:cs="Times New Roman" w:eastAsia="Times New Roman" w:hint="default"/>
        </w:rPr>
        <w:t>2010</w:t>
      </w:r>
      <w:r>
        <w:rPr/>
        <w:t>年年度股东大会决定聘请立信会计师事务所为本公司会计报表审计的</w:t>
      </w:r>
    </w:p>
    <w:p>
      <w:pPr>
        <w:pStyle w:val="BodyText"/>
        <w:spacing w:line="240" w:lineRule="auto" w:before="135"/>
        <w:ind w:right="0"/>
        <w:jc w:val="both"/>
      </w:pPr>
      <w:r>
        <w:rPr/>
        <w:t>审计机构。</w:t>
      </w:r>
    </w:p>
    <w:p>
      <w:pPr>
        <w:spacing w:line="348" w:lineRule="auto" w:before="154"/>
        <w:ind w:left="140" w:right="226" w:firstLine="479"/>
        <w:jc w:val="left"/>
        <w:rPr>
          <w:rFonts w:ascii="宋体" w:hAnsi="宋体" w:cs="宋体" w:eastAsia="宋体" w:hint="default"/>
          <w:sz w:val="24"/>
          <w:szCs w:val="24"/>
        </w:rPr>
      </w:pPr>
      <w:r>
        <w:rPr>
          <w:rFonts w:ascii="宋体" w:hAnsi="宋体" w:cs="宋体" w:eastAsia="宋体" w:hint="default"/>
          <w:spacing w:val="-3"/>
          <w:sz w:val="24"/>
          <w:szCs w:val="24"/>
        </w:rPr>
        <w:t>经公司第一届董事会审计委员会事前审核及同意，董事会同意续聘立信会计</w:t>
      </w:r>
      <w:r>
        <w:rPr>
          <w:rFonts w:ascii="宋体" w:hAnsi="宋体" w:cs="宋体" w:eastAsia="宋体" w:hint="default"/>
          <w:sz w:val="24"/>
          <w:szCs w:val="24"/>
        </w:rPr>
        <w:t> 师事务所为公司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2012 </w:t>
      </w:r>
      <w:r>
        <w:rPr>
          <w:rFonts w:ascii="宋体" w:hAnsi="宋体" w:cs="宋体" w:eastAsia="宋体" w:hint="default"/>
          <w:sz w:val="24"/>
          <w:szCs w:val="24"/>
        </w:rPr>
        <w:t>年度审计机构。 </w:t>
      </w:r>
      <w:r>
        <w:rPr>
          <w:rFonts w:ascii="宋体" w:hAnsi="宋体" w:cs="宋体" w:eastAsia="宋体" w:hint="default"/>
          <w:b/>
          <w:bCs/>
          <w:sz w:val="24"/>
          <w:szCs w:val="24"/>
        </w:rPr>
        <w:t>十二、受监管部门处罚、通报批评、公开谴责等情况</w:t>
      </w:r>
      <w:r>
        <w:rPr>
          <w:rFonts w:ascii="宋体" w:hAnsi="宋体" w:cs="宋体" w:eastAsia="宋体" w:hint="default"/>
          <w:sz w:val="24"/>
          <w:szCs w:val="24"/>
        </w:rPr>
      </w:r>
    </w:p>
    <w:p>
      <w:pPr>
        <w:spacing w:after="0" w:line="348" w:lineRule="auto"/>
        <w:jc w:val="left"/>
        <w:rPr>
          <w:rFonts w:ascii="宋体" w:hAnsi="宋体" w:cs="宋体" w:eastAsia="宋体" w:hint="default"/>
          <w:sz w:val="24"/>
          <w:szCs w:val="24"/>
        </w:rPr>
        <w:sectPr>
          <w:pgSz w:w="11910" w:h="16840"/>
          <w:pgMar w:header="884" w:footer="980" w:top="1140" w:bottom="1160" w:left="1660" w:right="1560"/>
        </w:sectPr>
      </w:pPr>
    </w:p>
    <w:p>
      <w:pPr>
        <w:spacing w:line="240" w:lineRule="auto" w:before="6"/>
        <w:rPr>
          <w:rFonts w:ascii="宋体" w:hAnsi="宋体" w:cs="宋体" w:eastAsia="宋体" w:hint="default"/>
          <w:b/>
          <w:bCs/>
          <w:sz w:val="22"/>
          <w:szCs w:val="22"/>
        </w:rPr>
      </w:pPr>
    </w:p>
    <w:p>
      <w:pPr>
        <w:spacing w:line="357" w:lineRule="auto" w:before="26"/>
        <w:ind w:left="140" w:right="126" w:firstLine="479"/>
        <w:jc w:val="left"/>
        <w:rPr>
          <w:rFonts w:ascii="宋体" w:hAnsi="宋体" w:cs="宋体" w:eastAsia="宋体" w:hint="default"/>
          <w:sz w:val="24"/>
          <w:szCs w:val="24"/>
        </w:rPr>
      </w:pPr>
      <w:r>
        <w:rPr>
          <w:rFonts w:ascii="宋体" w:hAnsi="宋体" w:cs="宋体" w:eastAsia="宋体" w:hint="default"/>
          <w:spacing w:val="-3"/>
          <w:sz w:val="24"/>
          <w:szCs w:val="24"/>
        </w:rPr>
        <w:t>报告期内，公司及公司董事、监事、高级管理人员、公司控股股东、实际控</w:t>
      </w:r>
      <w:r>
        <w:rPr>
          <w:rFonts w:ascii="宋体" w:hAnsi="宋体" w:cs="宋体" w:eastAsia="宋体" w:hint="default"/>
          <w:sz w:val="24"/>
          <w:szCs w:val="24"/>
        </w:rPr>
        <w:t> </w:t>
      </w:r>
      <w:r>
        <w:rPr>
          <w:rFonts w:ascii="宋体" w:hAnsi="宋体" w:cs="宋体" w:eastAsia="宋体" w:hint="default"/>
          <w:spacing w:val="-3"/>
          <w:sz w:val="24"/>
          <w:szCs w:val="24"/>
        </w:rPr>
        <w:t>制人不存在受有权机关调查、司法纪检部门采取强制措施、被移送司法机关或追</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究刑事责任、中国证监会稽查、中国证监会行政处罚、证券市场禁入、认定为不</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适当人选被其他行政管理部门处罚及证券交易所公开谴责的情形。 </w:t>
      </w:r>
      <w:r>
        <w:rPr>
          <w:rFonts w:ascii="宋体" w:hAnsi="宋体" w:cs="宋体" w:eastAsia="宋体" w:hint="default"/>
          <w:b/>
          <w:bCs/>
          <w:sz w:val="24"/>
          <w:szCs w:val="24"/>
        </w:rPr>
        <w:t>十三、报告期内，中国证监会及其派出机构没有对公司提出整改意见。</w:t>
      </w:r>
      <w:r>
        <w:rPr>
          <w:rFonts w:ascii="宋体" w:hAnsi="宋体" w:cs="宋体" w:eastAsia="宋体" w:hint="default"/>
          <w:b/>
          <w:bCs/>
          <w:w w:val="99"/>
          <w:sz w:val="24"/>
          <w:szCs w:val="24"/>
        </w:rPr>
        <w:t> </w:t>
      </w:r>
      <w:r>
        <w:rPr>
          <w:rFonts w:ascii="宋体" w:hAnsi="宋体" w:cs="宋体" w:eastAsia="宋体" w:hint="default"/>
          <w:b/>
          <w:bCs/>
          <w:sz w:val="24"/>
          <w:szCs w:val="24"/>
        </w:rPr>
        <w:t>十四、报告期内公司和子公司没有发生其他《证券法》第六十七条、《上市公</w:t>
      </w:r>
      <w:r>
        <w:rPr>
          <w:rFonts w:ascii="宋体" w:hAnsi="宋体" w:cs="宋体" w:eastAsia="宋体" w:hint="default"/>
          <w:b/>
          <w:bCs/>
          <w:w w:val="99"/>
          <w:sz w:val="24"/>
          <w:szCs w:val="24"/>
        </w:rPr>
        <w:t> </w:t>
      </w:r>
      <w:r>
        <w:rPr>
          <w:rFonts w:ascii="宋体" w:hAnsi="宋体" w:cs="宋体" w:eastAsia="宋体" w:hint="default"/>
          <w:b/>
          <w:bCs/>
          <w:sz w:val="24"/>
          <w:szCs w:val="24"/>
        </w:rPr>
        <w:t>司信息披露管理办法》第三十条所列的重大事件，以及公司董事会判断为重大</w:t>
      </w:r>
      <w:r>
        <w:rPr>
          <w:rFonts w:ascii="宋体" w:hAnsi="宋体" w:cs="宋体" w:eastAsia="宋体" w:hint="default"/>
          <w:b/>
          <w:bCs/>
          <w:w w:val="99"/>
          <w:sz w:val="24"/>
          <w:szCs w:val="24"/>
        </w:rPr>
        <w:t> </w:t>
      </w:r>
      <w:r>
        <w:rPr>
          <w:rFonts w:ascii="宋体" w:hAnsi="宋体" w:cs="宋体" w:eastAsia="宋体" w:hint="default"/>
          <w:b/>
          <w:bCs/>
          <w:sz w:val="24"/>
          <w:szCs w:val="24"/>
        </w:rPr>
        <w:t>事件的事项。</w:t>
      </w:r>
      <w:r>
        <w:rPr>
          <w:rFonts w:ascii="宋体" w:hAnsi="宋体" w:cs="宋体" w:eastAsia="宋体" w:hint="default"/>
          <w:b/>
          <w:bCs/>
          <w:w w:val="99"/>
          <w:sz w:val="24"/>
          <w:szCs w:val="24"/>
        </w:rPr>
        <w:t> </w:t>
      </w:r>
      <w:r>
        <w:rPr>
          <w:rFonts w:ascii="宋体" w:hAnsi="宋体" w:cs="宋体" w:eastAsia="宋体" w:hint="default"/>
          <w:b/>
          <w:bCs/>
          <w:sz w:val="24"/>
          <w:szCs w:val="24"/>
        </w:rPr>
        <w:t>十五、公司内部审计机构的设置、人员安排和内部审计制度的执行情况。</w:t>
      </w:r>
      <w:r>
        <w:rPr>
          <w:rFonts w:ascii="宋体" w:hAnsi="宋体" w:cs="宋体" w:eastAsia="宋体" w:hint="default"/>
          <w:sz w:val="24"/>
          <w:szCs w:val="24"/>
        </w:rPr>
      </w:r>
    </w:p>
    <w:p>
      <w:pPr>
        <w:pStyle w:val="Heading5"/>
        <w:spacing w:line="357" w:lineRule="auto" w:before="37"/>
        <w:ind w:right="234" w:firstLine="482"/>
        <w:jc w:val="left"/>
        <w:rPr>
          <w:b w:val="0"/>
          <w:bCs w:val="0"/>
        </w:rPr>
      </w:pPr>
      <w:r>
        <w:rPr/>
        <w:t>公司根据制定的《内部审计制度》设立独立的内部审计部门，配备了内部</w:t>
      </w:r>
      <w:r>
        <w:rPr>
          <w:w w:val="99"/>
        </w:rPr>
        <w:t> </w:t>
      </w:r>
      <w:r>
        <w:rPr/>
        <w:t>审计人员，严格按制度执行，定期进行了内部审计工作。</w:t>
      </w:r>
      <w:r>
        <w:rPr>
          <w:w w:val="99"/>
        </w:rPr>
        <w:t> </w:t>
      </w:r>
      <w:r>
        <w:rPr/>
        <w:t>十六、报告期内重大信息索引</w:t>
      </w:r>
      <w:r>
        <w:rPr>
          <w:b w:val="0"/>
          <w:bCs w:val="0"/>
        </w:rPr>
      </w:r>
    </w:p>
    <w:tbl>
      <w:tblPr>
        <w:tblW w:w="0" w:type="auto"/>
        <w:jc w:val="left"/>
        <w:tblInd w:w="418" w:type="dxa"/>
        <w:tblLayout w:type="fixed"/>
        <w:tblCellMar>
          <w:top w:w="0" w:type="dxa"/>
          <w:left w:w="0" w:type="dxa"/>
          <w:bottom w:w="0" w:type="dxa"/>
          <w:right w:w="0" w:type="dxa"/>
        </w:tblCellMar>
        <w:tblLook w:val="01E0"/>
      </w:tblPr>
      <w:tblGrid>
        <w:gridCol w:w="797"/>
        <w:gridCol w:w="1841"/>
        <w:gridCol w:w="1598"/>
        <w:gridCol w:w="2535"/>
        <w:gridCol w:w="1232"/>
      </w:tblGrid>
      <w:tr>
        <w:trPr>
          <w:trHeight w:val="322"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0" w:lineRule="exact"/>
              <w:ind w:left="182"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时间</w:t>
            </w:r>
            <w:r>
              <w:rPr>
                <w:rFonts w:ascii="宋体" w:hAnsi="宋体" w:cs="宋体" w:eastAsia="宋体" w:hint="default"/>
                <w:sz w:val="21"/>
                <w:szCs w:val="21"/>
              </w:rPr>
            </w:r>
          </w:p>
        </w:tc>
        <w:tc>
          <w:tcPr>
            <w:tcW w:w="159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公告编号</w:t>
            </w:r>
            <w:r>
              <w:rPr>
                <w:rFonts w:ascii="宋体" w:hAnsi="宋体" w:cs="宋体" w:eastAsia="宋体" w:hint="default"/>
                <w:sz w:val="21"/>
                <w:szCs w:val="21"/>
              </w:rPr>
            </w:r>
          </w:p>
        </w:tc>
        <w:tc>
          <w:tcPr>
            <w:tcW w:w="253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0" w:lineRule="exact"/>
              <w:ind w:left="840" w:right="0"/>
              <w:jc w:val="left"/>
              <w:rPr>
                <w:rFonts w:ascii="宋体" w:hAnsi="宋体" w:cs="宋体" w:eastAsia="宋体" w:hint="default"/>
                <w:sz w:val="21"/>
                <w:szCs w:val="21"/>
              </w:rPr>
            </w:pPr>
            <w:r>
              <w:rPr>
                <w:rFonts w:ascii="宋体" w:hAnsi="宋体" w:cs="宋体" w:eastAsia="宋体" w:hint="default"/>
                <w:b/>
                <w:bCs/>
                <w:sz w:val="21"/>
                <w:szCs w:val="21"/>
              </w:rPr>
              <w:t>公告内容</w:t>
            </w:r>
            <w:r>
              <w:rPr>
                <w:rFonts w:ascii="宋体" w:hAnsi="宋体" w:cs="宋体" w:eastAsia="宋体" w:hint="default"/>
                <w:sz w:val="21"/>
                <w:szCs w:val="21"/>
              </w:rPr>
            </w:r>
          </w:p>
        </w:tc>
        <w:tc>
          <w:tcPr>
            <w:tcW w:w="123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刊登媒体</w:t>
            </w:r>
            <w:r>
              <w:rPr>
                <w:rFonts w:ascii="宋体" w:hAnsi="宋体" w:cs="宋体" w:eastAsia="宋体" w:hint="default"/>
                <w:sz w:val="21"/>
                <w:szCs w:val="21"/>
              </w:rPr>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1"/>
              <w:ind w:left="182" w:right="0"/>
              <w:jc w:val="left"/>
              <w:rPr>
                <w:rFonts w:ascii="宋体" w:hAnsi="宋体" w:cs="宋体" w:eastAsia="宋体" w:hint="default"/>
                <w:sz w:val="21"/>
                <w:szCs w:val="21"/>
              </w:rPr>
            </w:pPr>
            <w:r>
              <w:rPr>
                <w:rFonts w:ascii="宋体"/>
                <w:w w:val="100"/>
                <w:sz w:val="21"/>
              </w:rPr>
              <w:t>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2011-001</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第一届董事会第六次（临</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时）会议决议公告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1"/>
              <w:ind w:left="182" w:right="0"/>
              <w:jc w:val="left"/>
              <w:rPr>
                <w:rFonts w:ascii="宋体" w:hAnsi="宋体" w:cs="宋体" w:eastAsia="宋体" w:hint="default"/>
                <w:sz w:val="21"/>
                <w:szCs w:val="21"/>
              </w:rPr>
            </w:pPr>
            <w:r>
              <w:rPr>
                <w:rFonts w:ascii="宋体"/>
                <w:w w:val="100"/>
                <w:sz w:val="21"/>
              </w:rPr>
              <w:t>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2011-002</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关于签署募集资金三方监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管协议的公告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6"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3"/>
              <w:ind w:left="182" w:right="0"/>
              <w:jc w:val="left"/>
              <w:rPr>
                <w:rFonts w:ascii="宋体" w:hAnsi="宋体" w:cs="宋体" w:eastAsia="宋体" w:hint="default"/>
                <w:sz w:val="21"/>
                <w:szCs w:val="21"/>
              </w:rPr>
            </w:pPr>
            <w:r>
              <w:rPr>
                <w:rFonts w:ascii="宋体"/>
                <w:w w:val="100"/>
                <w:sz w:val="21"/>
              </w:rPr>
              <w:t>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2011-003</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left"/>
              <w:rPr>
                <w:rFonts w:ascii="宋体" w:hAnsi="宋体" w:cs="宋体" w:eastAsia="宋体" w:hint="default"/>
                <w:sz w:val="21"/>
                <w:szCs w:val="21"/>
              </w:rPr>
            </w:pPr>
            <w:r>
              <w:rPr>
                <w:rFonts w:ascii="宋体" w:hAnsi="宋体" w:cs="宋体" w:eastAsia="宋体" w:hint="default"/>
                <w:spacing w:val="-2"/>
                <w:sz w:val="21"/>
                <w:szCs w:val="21"/>
              </w:rPr>
              <w:t>关于公司被认定为国家重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点软件企业的公告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418"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39" w:lineRule="exact"/>
              <w:ind w:left="182" w:right="0"/>
              <w:jc w:val="left"/>
              <w:rPr>
                <w:rFonts w:ascii="宋体" w:hAnsi="宋体" w:cs="宋体" w:eastAsia="宋体" w:hint="default"/>
                <w:sz w:val="21"/>
                <w:szCs w:val="21"/>
              </w:rPr>
            </w:pPr>
            <w:r>
              <w:rPr>
                <w:rFonts w:ascii="宋体"/>
                <w:w w:val="100"/>
                <w:sz w:val="21"/>
              </w:rPr>
              <w:t>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Times New Roman" w:hAnsi="Times New Roman" w:cs="Times New Roman" w:eastAsia="Times New Roman" w:hint="default"/>
                <w:sz w:val="21"/>
                <w:szCs w:val="21"/>
              </w:rPr>
            </w:pPr>
            <w:r>
              <w:rPr>
                <w:rFonts w:ascii="Times New Roman"/>
                <w:sz w:val="21"/>
              </w:rPr>
              <w:t>2011-004</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年度业绩快报公告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1"/>
              <w:ind w:left="182" w:right="0"/>
              <w:jc w:val="left"/>
              <w:rPr>
                <w:rFonts w:ascii="宋体" w:hAnsi="宋体" w:cs="宋体" w:eastAsia="宋体" w:hint="default"/>
                <w:sz w:val="21"/>
                <w:szCs w:val="21"/>
              </w:rPr>
            </w:pPr>
            <w:r>
              <w:rPr>
                <w:rFonts w:ascii="宋体"/>
                <w:w w:val="100"/>
                <w:sz w:val="21"/>
              </w:rPr>
              <w:t>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2011-005</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第一届董事会第七次会议</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决议公告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1"/>
              <w:ind w:left="182" w:right="0"/>
              <w:jc w:val="left"/>
              <w:rPr>
                <w:rFonts w:ascii="宋体" w:hAnsi="宋体" w:cs="宋体" w:eastAsia="宋体" w:hint="default"/>
                <w:sz w:val="21"/>
                <w:szCs w:val="21"/>
              </w:rPr>
            </w:pPr>
            <w:r>
              <w:rPr>
                <w:rFonts w:ascii="宋体"/>
                <w:w w:val="100"/>
                <w:sz w:val="21"/>
              </w:rPr>
              <w:t>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2011-006</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38"/>
                <w:sz w:val="21"/>
                <w:szCs w:val="21"/>
              </w:rPr>
              <w:t> </w:t>
            </w:r>
            <w:r>
              <w:rPr>
                <w:rFonts w:ascii="宋体" w:hAnsi="宋体" w:cs="宋体" w:eastAsia="宋体" w:hint="default"/>
                <w:spacing w:val="9"/>
                <w:sz w:val="21"/>
                <w:szCs w:val="21"/>
              </w:rPr>
              <w:t>年度公司内部控制</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的自我评价报告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1"/>
              <w:ind w:left="182" w:right="0"/>
              <w:jc w:val="left"/>
              <w:rPr>
                <w:rFonts w:ascii="宋体" w:hAnsi="宋体" w:cs="宋体" w:eastAsia="宋体" w:hint="default"/>
                <w:sz w:val="21"/>
                <w:szCs w:val="21"/>
              </w:rPr>
            </w:pPr>
            <w:r>
              <w:rPr>
                <w:rFonts w:ascii="宋体"/>
                <w:w w:val="100"/>
                <w:sz w:val="21"/>
              </w:rPr>
              <w:t>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2011-007</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103" w:right="99"/>
              <w:jc w:val="left"/>
              <w:rPr>
                <w:rFonts w:ascii="宋体" w:hAnsi="宋体" w:cs="宋体" w:eastAsia="宋体" w:hint="default"/>
                <w:sz w:val="21"/>
                <w:szCs w:val="21"/>
              </w:rPr>
            </w:pPr>
            <w:r>
              <w:rPr>
                <w:rFonts w:ascii="宋体" w:hAnsi="宋体" w:cs="宋体" w:eastAsia="宋体" w:hint="default"/>
                <w:sz w:val="21"/>
                <w:szCs w:val="21"/>
              </w:rPr>
              <w:t>第一届监事会第四次会议</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决议公告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6"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3"/>
              <w:ind w:left="182" w:right="0"/>
              <w:jc w:val="left"/>
              <w:rPr>
                <w:rFonts w:ascii="宋体" w:hAnsi="宋体" w:cs="宋体" w:eastAsia="宋体" w:hint="default"/>
                <w:sz w:val="21"/>
                <w:szCs w:val="21"/>
              </w:rPr>
            </w:pPr>
            <w:r>
              <w:rPr>
                <w:rFonts w:ascii="宋体"/>
                <w:w w:val="100"/>
                <w:sz w:val="21"/>
              </w:rPr>
              <w:t>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2011-008</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left"/>
              <w:rPr>
                <w:rFonts w:ascii="宋体" w:hAnsi="宋体" w:cs="宋体" w:eastAsia="宋体" w:hint="default"/>
                <w:sz w:val="21"/>
                <w:szCs w:val="21"/>
              </w:rPr>
            </w:pPr>
            <w:r>
              <w:rPr>
                <w:rFonts w:ascii="宋体" w:hAnsi="宋体" w:cs="宋体" w:eastAsia="宋体" w:hint="default"/>
                <w:spacing w:val="-2"/>
                <w:sz w:val="21"/>
                <w:szCs w:val="21"/>
              </w:rPr>
              <w:t>监事会对公司内部控制自</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我评价报告的意见</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1258"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
              <w:ind w:right="0"/>
              <w:jc w:val="left"/>
              <w:rPr>
                <w:rFonts w:ascii="宋体" w:hAnsi="宋体" w:cs="宋体" w:eastAsia="宋体" w:hint="default"/>
                <w:b/>
                <w:bCs/>
                <w:sz w:val="29"/>
                <w:szCs w:val="29"/>
              </w:rPr>
            </w:pPr>
          </w:p>
          <w:p>
            <w:pPr>
              <w:pStyle w:val="TableParagraph"/>
              <w:spacing w:line="240" w:lineRule="auto"/>
              <w:ind w:left="182" w:right="0"/>
              <w:jc w:val="left"/>
              <w:rPr>
                <w:rFonts w:ascii="宋体" w:hAnsi="宋体" w:cs="宋体" w:eastAsia="宋体" w:hint="default"/>
                <w:sz w:val="21"/>
                <w:szCs w:val="21"/>
              </w:rPr>
            </w:pPr>
            <w:r>
              <w:rPr>
                <w:rFonts w:ascii="宋体"/>
                <w:w w:val="100"/>
                <w:sz w:val="21"/>
              </w:rPr>
              <w:t>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65"/>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2011-009</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独立董事关于控股股东及</w:t>
            </w:r>
          </w:p>
          <w:p>
            <w:pPr>
              <w:pStyle w:val="TableParagraph"/>
              <w:spacing w:line="273" w:lineRule="auto" w:before="37"/>
              <w:ind w:left="103" w:right="106"/>
              <w:jc w:val="left"/>
              <w:rPr>
                <w:rFonts w:ascii="宋体" w:hAnsi="宋体" w:cs="宋体" w:eastAsia="宋体" w:hint="default"/>
                <w:sz w:val="21"/>
                <w:szCs w:val="21"/>
              </w:rPr>
            </w:pPr>
            <w:r>
              <w:rPr>
                <w:rFonts w:ascii="宋体" w:hAnsi="宋体" w:cs="宋体" w:eastAsia="宋体" w:hint="default"/>
                <w:sz w:val="21"/>
                <w:szCs w:val="21"/>
              </w:rPr>
              <w:t>其他关联方占用公司资</w:t>
            </w:r>
            <w:r>
              <w:rPr>
                <w:rFonts w:ascii="宋体" w:hAnsi="宋体" w:cs="宋体" w:eastAsia="宋体" w:hint="default"/>
                <w:w w:val="100"/>
                <w:sz w:val="21"/>
                <w:szCs w:val="21"/>
              </w:rPr>
              <w:t> </w:t>
            </w:r>
            <w:r>
              <w:rPr>
                <w:rFonts w:ascii="宋体" w:hAnsi="宋体" w:cs="宋体" w:eastAsia="宋体" w:hint="default"/>
                <w:spacing w:val="-2"/>
                <w:sz w:val="21"/>
                <w:szCs w:val="21"/>
              </w:rPr>
              <w:t>金、公司对外担保情况的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专项说明和独立意见</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946"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82" w:right="0"/>
              <w:jc w:val="left"/>
              <w:rPr>
                <w:rFonts w:ascii="宋体" w:hAnsi="宋体" w:cs="宋体" w:eastAsia="宋体" w:hint="default"/>
                <w:sz w:val="21"/>
                <w:szCs w:val="21"/>
              </w:rPr>
            </w:pPr>
            <w:r>
              <w:rPr>
                <w:rFonts w:ascii="宋体"/>
                <w:sz w:val="21"/>
              </w:rPr>
              <w:t>10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2011-010</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独立董事对于公司内部控</w:t>
            </w:r>
          </w:p>
          <w:p>
            <w:pPr>
              <w:pStyle w:val="TableParagraph"/>
              <w:spacing w:line="273" w:lineRule="auto" w:before="37"/>
              <w:ind w:left="103" w:right="106"/>
              <w:jc w:val="left"/>
              <w:rPr>
                <w:rFonts w:ascii="宋体" w:hAnsi="宋体" w:cs="宋体" w:eastAsia="宋体" w:hint="default"/>
                <w:sz w:val="21"/>
                <w:szCs w:val="21"/>
              </w:rPr>
            </w:pPr>
            <w:r>
              <w:rPr>
                <w:rFonts w:ascii="宋体" w:hAnsi="宋体" w:cs="宋体" w:eastAsia="宋体" w:hint="default"/>
                <w:spacing w:val="-2"/>
                <w:sz w:val="21"/>
                <w:szCs w:val="21"/>
              </w:rPr>
              <w:t>制自我评价报告的独立意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见</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1"/>
              <w:ind w:left="182" w:right="0"/>
              <w:jc w:val="left"/>
              <w:rPr>
                <w:rFonts w:ascii="宋体" w:hAnsi="宋体" w:cs="宋体" w:eastAsia="宋体" w:hint="default"/>
                <w:sz w:val="21"/>
                <w:szCs w:val="21"/>
              </w:rPr>
            </w:pPr>
            <w:r>
              <w:rPr>
                <w:rFonts w:ascii="宋体"/>
                <w:sz w:val="21"/>
              </w:rPr>
              <w:t>11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2011-011</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年年度股东</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大会的通知</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bl>
    <w:p>
      <w:pPr>
        <w:spacing w:after="0" w:line="240" w:lineRule="auto"/>
        <w:jc w:val="center"/>
        <w:rPr>
          <w:rFonts w:ascii="宋体" w:hAnsi="宋体" w:cs="宋体" w:eastAsia="宋体" w:hint="default"/>
          <w:sz w:val="21"/>
          <w:szCs w:val="21"/>
        </w:rPr>
        <w:sectPr>
          <w:pgSz w:w="11910" w:h="16840"/>
          <w:pgMar w:header="884" w:footer="980" w:top="1140" w:bottom="1160" w:left="1660" w:right="1660"/>
        </w:sectPr>
      </w:pPr>
    </w:p>
    <w:p>
      <w:pPr>
        <w:spacing w:line="240" w:lineRule="auto" w:before="5"/>
        <w:rPr>
          <w:rFonts w:ascii="Times New Roman" w:hAnsi="Times New Roman" w:cs="Times New Roman" w:eastAsia="Times New Roman" w:hint="default"/>
          <w:sz w:val="24"/>
          <w:szCs w:val="24"/>
        </w:rPr>
      </w:pPr>
    </w:p>
    <w:tbl>
      <w:tblPr>
        <w:tblW w:w="0" w:type="auto"/>
        <w:jc w:val="left"/>
        <w:tblInd w:w="418" w:type="dxa"/>
        <w:tblLayout w:type="fixed"/>
        <w:tblCellMar>
          <w:top w:w="0" w:type="dxa"/>
          <w:left w:w="0" w:type="dxa"/>
          <w:bottom w:w="0" w:type="dxa"/>
          <w:right w:w="0" w:type="dxa"/>
        </w:tblCellMar>
        <w:tblLook w:val="01E0"/>
      </w:tblPr>
      <w:tblGrid>
        <w:gridCol w:w="797"/>
        <w:gridCol w:w="1841"/>
        <w:gridCol w:w="1598"/>
        <w:gridCol w:w="2535"/>
        <w:gridCol w:w="1232"/>
      </w:tblGrid>
      <w:tr>
        <w:trPr>
          <w:trHeight w:val="322"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82"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时间</w:t>
            </w:r>
            <w:r>
              <w:rPr>
                <w:rFonts w:ascii="宋体" w:hAnsi="宋体" w:cs="宋体" w:eastAsia="宋体" w:hint="default"/>
                <w:sz w:val="21"/>
                <w:szCs w:val="21"/>
              </w:rPr>
            </w:r>
          </w:p>
        </w:tc>
        <w:tc>
          <w:tcPr>
            <w:tcW w:w="159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公告编号</w:t>
            </w:r>
            <w:r>
              <w:rPr>
                <w:rFonts w:ascii="宋体" w:hAnsi="宋体" w:cs="宋体" w:eastAsia="宋体" w:hint="default"/>
                <w:sz w:val="21"/>
                <w:szCs w:val="21"/>
              </w:rPr>
            </w:r>
          </w:p>
        </w:tc>
        <w:tc>
          <w:tcPr>
            <w:tcW w:w="253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840" w:right="0"/>
              <w:jc w:val="left"/>
              <w:rPr>
                <w:rFonts w:ascii="宋体" w:hAnsi="宋体" w:cs="宋体" w:eastAsia="宋体" w:hint="default"/>
                <w:sz w:val="21"/>
                <w:szCs w:val="21"/>
              </w:rPr>
            </w:pPr>
            <w:r>
              <w:rPr>
                <w:rFonts w:ascii="宋体" w:hAnsi="宋体" w:cs="宋体" w:eastAsia="宋体" w:hint="default"/>
                <w:b/>
                <w:bCs/>
                <w:sz w:val="21"/>
                <w:szCs w:val="21"/>
              </w:rPr>
              <w:t>公告内容</w:t>
            </w:r>
            <w:r>
              <w:rPr>
                <w:rFonts w:ascii="宋体" w:hAnsi="宋体" w:cs="宋体" w:eastAsia="宋体" w:hint="default"/>
                <w:sz w:val="21"/>
                <w:szCs w:val="21"/>
              </w:rPr>
            </w:r>
          </w:p>
        </w:tc>
        <w:tc>
          <w:tcPr>
            <w:tcW w:w="123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刊登媒体</w:t>
            </w:r>
            <w:r>
              <w:rPr>
                <w:rFonts w:ascii="宋体" w:hAnsi="宋体" w:cs="宋体" w:eastAsia="宋体" w:hint="default"/>
                <w:sz w:val="21"/>
                <w:szCs w:val="21"/>
              </w:rPr>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12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2011-012</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211" w:firstLine="105"/>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年年度股东大会决</w:t>
            </w:r>
            <w:r>
              <w:rPr>
                <w:rFonts w:ascii="宋体" w:hAnsi="宋体" w:cs="宋体" w:eastAsia="宋体" w:hint="default"/>
                <w:w w:val="100"/>
                <w:sz w:val="21"/>
                <w:szCs w:val="21"/>
              </w:rPr>
              <w:t> </w:t>
            </w:r>
            <w:r>
              <w:rPr>
                <w:rFonts w:ascii="宋体" w:hAnsi="宋体" w:cs="宋体" w:eastAsia="宋体" w:hint="default"/>
                <w:sz w:val="21"/>
                <w:szCs w:val="21"/>
              </w:rPr>
              <w:t>议公告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13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2011-013</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105"/>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年度权益分派实施公</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6"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6"/>
              <w:ind w:left="182" w:right="0"/>
              <w:jc w:val="left"/>
              <w:rPr>
                <w:rFonts w:ascii="宋体" w:hAnsi="宋体" w:cs="宋体" w:eastAsia="宋体" w:hint="default"/>
                <w:sz w:val="21"/>
                <w:szCs w:val="21"/>
              </w:rPr>
            </w:pPr>
            <w:r>
              <w:rPr>
                <w:rFonts w:ascii="宋体"/>
                <w:sz w:val="21"/>
              </w:rPr>
              <w:t>14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2011-014</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105"/>
              <w:jc w:val="left"/>
              <w:rPr>
                <w:rFonts w:ascii="宋体" w:hAnsi="宋体" w:cs="宋体" w:eastAsia="宋体" w:hint="default"/>
                <w:sz w:val="21"/>
                <w:szCs w:val="21"/>
              </w:rPr>
            </w:pPr>
            <w:r>
              <w:rPr>
                <w:rFonts w:ascii="宋体" w:hAnsi="宋体" w:cs="宋体" w:eastAsia="宋体" w:hint="default"/>
                <w:spacing w:val="-1"/>
                <w:sz w:val="21"/>
                <w:szCs w:val="21"/>
              </w:rPr>
              <w:t>关于举行</w:t>
            </w: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年度网上业</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绩说明会的通知</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15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2011-015</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left"/>
              <w:rPr>
                <w:rFonts w:ascii="宋体" w:hAnsi="宋体" w:cs="宋体" w:eastAsia="宋体" w:hint="default"/>
                <w:sz w:val="21"/>
                <w:szCs w:val="21"/>
              </w:rPr>
            </w:pPr>
            <w:r>
              <w:rPr>
                <w:rFonts w:ascii="宋体" w:hAnsi="宋体" w:cs="宋体" w:eastAsia="宋体" w:hint="default"/>
                <w:spacing w:val="-2"/>
                <w:sz w:val="21"/>
                <w:szCs w:val="21"/>
              </w:rPr>
              <w:t>关于完成工商变更登记的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16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2011-016</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105"/>
              <w:jc w:val="left"/>
              <w:rPr>
                <w:rFonts w:ascii="宋体" w:hAnsi="宋体" w:cs="宋体" w:eastAsia="宋体" w:hint="default"/>
                <w:sz w:val="21"/>
                <w:szCs w:val="21"/>
              </w:rPr>
            </w:pPr>
            <w:r>
              <w:rPr>
                <w:rFonts w:ascii="宋体" w:hAnsi="宋体" w:cs="宋体" w:eastAsia="宋体" w:hint="default"/>
                <w:spacing w:val="-1"/>
                <w:sz w:val="21"/>
                <w:szCs w:val="21"/>
              </w:rPr>
              <w:t>关于《</w:t>
            </w: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年年度股东大</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会决议公告》之更正公告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17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2011-017</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105"/>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年第一季度季度报告</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正文</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18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2011-018</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left"/>
              <w:rPr>
                <w:rFonts w:ascii="宋体" w:hAnsi="宋体" w:cs="宋体" w:eastAsia="宋体" w:hint="default"/>
                <w:sz w:val="21"/>
                <w:szCs w:val="21"/>
              </w:rPr>
            </w:pPr>
            <w:r>
              <w:rPr>
                <w:rFonts w:ascii="宋体" w:hAnsi="宋体" w:cs="宋体" w:eastAsia="宋体" w:hint="default"/>
                <w:spacing w:val="-2"/>
                <w:sz w:val="21"/>
                <w:szCs w:val="21"/>
              </w:rPr>
              <w:t>加强上市公司治理专项活</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动自查报告和整改计划</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19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2011-019</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left"/>
              <w:rPr>
                <w:rFonts w:ascii="宋体" w:hAnsi="宋体" w:cs="宋体" w:eastAsia="宋体" w:hint="default"/>
                <w:sz w:val="21"/>
                <w:szCs w:val="21"/>
              </w:rPr>
            </w:pPr>
            <w:r>
              <w:rPr>
                <w:rFonts w:ascii="宋体" w:hAnsi="宋体" w:cs="宋体" w:eastAsia="宋体" w:hint="default"/>
                <w:spacing w:val="-2"/>
                <w:sz w:val="21"/>
                <w:szCs w:val="21"/>
              </w:rPr>
              <w:t>加强上市公司治理专项活</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动自查事项报告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6"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6"/>
              <w:ind w:left="182" w:right="0"/>
              <w:jc w:val="left"/>
              <w:rPr>
                <w:rFonts w:ascii="宋体" w:hAnsi="宋体" w:cs="宋体" w:eastAsia="宋体" w:hint="default"/>
                <w:sz w:val="21"/>
                <w:szCs w:val="21"/>
              </w:rPr>
            </w:pPr>
            <w:r>
              <w:rPr>
                <w:rFonts w:ascii="宋体"/>
                <w:sz w:val="21"/>
              </w:rPr>
              <w:t>20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2011-020</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left"/>
              <w:rPr>
                <w:rFonts w:ascii="宋体" w:hAnsi="宋体" w:cs="宋体" w:eastAsia="宋体" w:hint="default"/>
                <w:sz w:val="21"/>
                <w:szCs w:val="21"/>
              </w:rPr>
            </w:pPr>
            <w:r>
              <w:rPr>
                <w:rFonts w:ascii="宋体" w:hAnsi="宋体" w:cs="宋体" w:eastAsia="宋体" w:hint="default"/>
                <w:spacing w:val="-2"/>
                <w:sz w:val="21"/>
                <w:szCs w:val="21"/>
              </w:rPr>
              <w:t>第一届董事会第八次（临</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时）会议决议公告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21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2011-021</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left"/>
              <w:rPr>
                <w:rFonts w:ascii="宋体" w:hAnsi="宋体" w:cs="宋体" w:eastAsia="宋体" w:hint="default"/>
                <w:sz w:val="21"/>
                <w:szCs w:val="21"/>
              </w:rPr>
            </w:pPr>
            <w:r>
              <w:rPr>
                <w:rFonts w:ascii="宋体" w:hAnsi="宋体" w:cs="宋体" w:eastAsia="宋体" w:hint="default"/>
                <w:spacing w:val="-2"/>
                <w:sz w:val="21"/>
                <w:szCs w:val="21"/>
              </w:rPr>
              <w:t>第一届监事会第五次（临</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时）会议决议公告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22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2011-022</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left"/>
              <w:rPr>
                <w:rFonts w:ascii="宋体" w:hAnsi="宋体" w:cs="宋体" w:eastAsia="宋体" w:hint="default"/>
                <w:sz w:val="21"/>
                <w:szCs w:val="21"/>
              </w:rPr>
            </w:pPr>
            <w:r>
              <w:rPr>
                <w:rFonts w:ascii="宋体" w:hAnsi="宋体" w:cs="宋体" w:eastAsia="宋体" w:hint="default"/>
                <w:spacing w:val="-2"/>
                <w:sz w:val="21"/>
                <w:szCs w:val="21"/>
              </w:rPr>
              <w:t>关于网下配售股份上市流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通的提示性公告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23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2011-023</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247"/>
              <w:jc w:val="left"/>
              <w:rPr>
                <w:rFonts w:ascii="宋体" w:hAnsi="宋体" w:cs="宋体" w:eastAsia="宋体" w:hint="default"/>
                <w:sz w:val="21"/>
                <w:szCs w:val="21"/>
              </w:rPr>
            </w:pPr>
            <w:r>
              <w:rPr>
                <w:rFonts w:ascii="宋体" w:hAnsi="宋体" w:cs="宋体" w:eastAsia="宋体" w:hint="default"/>
                <w:spacing w:val="-2"/>
                <w:sz w:val="21"/>
                <w:szCs w:val="21"/>
              </w:rPr>
              <w:t>第一届董事会第九次</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临</w:t>
            </w:r>
            <w:r>
              <w:rPr>
                <w:rFonts w:ascii="宋体" w:hAnsi="宋体" w:cs="宋体" w:eastAsia="宋体" w:hint="default"/>
                <w:spacing w:val="-84"/>
                <w:sz w:val="21"/>
                <w:szCs w:val="21"/>
              </w:rPr>
              <w:t> </w:t>
            </w:r>
            <w:r>
              <w:rPr>
                <w:rFonts w:ascii="宋体" w:hAnsi="宋体" w:cs="宋体" w:eastAsia="宋体" w:hint="default"/>
                <w:sz w:val="21"/>
                <w:szCs w:val="21"/>
              </w:rPr>
              <w:t>时</w:t>
            </w:r>
            <w:r>
              <w:rPr>
                <w:rFonts w:ascii="Times New Roman" w:hAnsi="Times New Roman" w:cs="Times New Roman" w:eastAsia="Times New Roman" w:hint="default"/>
                <w:sz w:val="21"/>
                <w:szCs w:val="21"/>
              </w:rPr>
              <w:t>)</w:t>
            </w:r>
            <w:r>
              <w:rPr>
                <w:rFonts w:ascii="宋体" w:hAnsi="宋体" w:cs="宋体" w:eastAsia="宋体" w:hint="default"/>
                <w:sz w:val="21"/>
                <w:szCs w:val="21"/>
              </w:rPr>
              <w:t>会议决议公告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24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2011-024</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left"/>
              <w:rPr>
                <w:rFonts w:ascii="宋体" w:hAnsi="宋体" w:cs="宋体" w:eastAsia="宋体" w:hint="default"/>
                <w:sz w:val="21"/>
                <w:szCs w:val="21"/>
              </w:rPr>
            </w:pPr>
            <w:r>
              <w:rPr>
                <w:rFonts w:ascii="宋体" w:hAnsi="宋体" w:cs="宋体" w:eastAsia="宋体" w:hint="default"/>
                <w:spacing w:val="-2"/>
                <w:sz w:val="21"/>
                <w:szCs w:val="21"/>
              </w:rPr>
              <w:t>第一届监事会第六次（临</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时）会议决议公告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25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2011-025</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left"/>
              <w:rPr>
                <w:rFonts w:ascii="宋体" w:hAnsi="宋体" w:cs="宋体" w:eastAsia="宋体" w:hint="default"/>
                <w:sz w:val="21"/>
                <w:szCs w:val="21"/>
              </w:rPr>
            </w:pPr>
            <w:r>
              <w:rPr>
                <w:rFonts w:ascii="宋体" w:hAnsi="宋体" w:cs="宋体" w:eastAsia="宋体" w:hint="default"/>
                <w:spacing w:val="-2"/>
                <w:sz w:val="21"/>
                <w:szCs w:val="21"/>
              </w:rPr>
              <w:t>第一届董事会第十次（临</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时）会议决议公告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6"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6"/>
              <w:ind w:left="182" w:right="0"/>
              <w:jc w:val="left"/>
              <w:rPr>
                <w:rFonts w:ascii="宋体" w:hAnsi="宋体" w:cs="宋体" w:eastAsia="宋体" w:hint="default"/>
                <w:sz w:val="21"/>
                <w:szCs w:val="21"/>
              </w:rPr>
            </w:pPr>
            <w:r>
              <w:rPr>
                <w:rFonts w:ascii="宋体"/>
                <w:sz w:val="21"/>
              </w:rPr>
              <w:t>26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2011-026</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left"/>
              <w:rPr>
                <w:rFonts w:ascii="宋体" w:hAnsi="宋体" w:cs="宋体" w:eastAsia="宋体" w:hint="default"/>
                <w:sz w:val="21"/>
                <w:szCs w:val="21"/>
              </w:rPr>
            </w:pPr>
            <w:r>
              <w:rPr>
                <w:rFonts w:ascii="宋体" w:hAnsi="宋体" w:cs="宋体" w:eastAsia="宋体" w:hint="default"/>
                <w:spacing w:val="-2"/>
                <w:sz w:val="21"/>
                <w:szCs w:val="21"/>
              </w:rPr>
              <w:t>关于加强上市公司治理专</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项活动的整改报告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418"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82" w:right="0"/>
              <w:jc w:val="left"/>
              <w:rPr>
                <w:rFonts w:ascii="宋体" w:hAnsi="宋体" w:cs="宋体" w:eastAsia="宋体" w:hint="default"/>
                <w:sz w:val="21"/>
                <w:szCs w:val="21"/>
              </w:rPr>
            </w:pPr>
            <w:r>
              <w:rPr>
                <w:rFonts w:ascii="宋体"/>
                <w:sz w:val="21"/>
              </w:rPr>
              <w:t>27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Times New Roman" w:hAnsi="Times New Roman" w:cs="Times New Roman" w:eastAsia="Times New Roman" w:hint="default"/>
                <w:sz w:val="21"/>
                <w:szCs w:val="21"/>
              </w:rPr>
            </w:pPr>
            <w:r>
              <w:rPr>
                <w:rFonts w:ascii="Times New Roman"/>
                <w:sz w:val="21"/>
              </w:rPr>
              <w:t>2011-027</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年半年度业绩预告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946"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宋体" w:hAnsi="宋体" w:cs="宋体" w:eastAsia="宋体" w:hint="default"/>
                <w:sz w:val="21"/>
                <w:szCs w:val="21"/>
              </w:rPr>
            </w:pPr>
            <w:r>
              <w:rPr>
                <w:rFonts w:ascii="宋体"/>
                <w:sz w:val="21"/>
              </w:rPr>
              <w:t>28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4" w:right="0"/>
              <w:jc w:val="center"/>
              <w:rPr>
                <w:rFonts w:ascii="Times New Roman" w:hAnsi="Times New Roman" w:cs="Times New Roman" w:eastAsia="Times New Roman" w:hint="default"/>
                <w:sz w:val="21"/>
                <w:szCs w:val="21"/>
              </w:rPr>
            </w:pPr>
            <w:r>
              <w:rPr>
                <w:rFonts w:ascii="Times New Roman"/>
                <w:sz w:val="21"/>
              </w:rPr>
              <w:t>2011-028</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3"/>
                <w:szCs w:val="23"/>
              </w:rPr>
            </w:pPr>
            <w:r>
              <w:rPr>
                <w:rFonts w:ascii="宋体" w:hAnsi="宋体" w:cs="宋体" w:eastAsia="宋体" w:hint="default"/>
                <w:sz w:val="23"/>
                <w:szCs w:val="23"/>
              </w:rPr>
              <w:t>关于运用自有闲置资金</w:t>
            </w:r>
          </w:p>
          <w:p>
            <w:pPr>
              <w:pStyle w:val="TableParagraph"/>
              <w:spacing w:line="249" w:lineRule="auto" w:before="11"/>
              <w:ind w:left="103" w:right="118"/>
              <w:jc w:val="left"/>
              <w:rPr>
                <w:rFonts w:ascii="宋体" w:hAnsi="宋体" w:cs="宋体" w:eastAsia="宋体" w:hint="default"/>
                <w:sz w:val="23"/>
                <w:szCs w:val="23"/>
              </w:rPr>
            </w:pPr>
            <w:r>
              <w:rPr>
                <w:rFonts w:ascii="宋体" w:hAnsi="宋体" w:cs="宋体" w:eastAsia="宋体" w:hint="default"/>
                <w:sz w:val="23"/>
                <w:szCs w:val="23"/>
              </w:rPr>
              <w:t>购买短期银行保本理财</w:t>
            </w:r>
            <w:r>
              <w:rPr>
                <w:rFonts w:ascii="宋体" w:hAnsi="宋体" w:cs="宋体" w:eastAsia="宋体" w:hint="default"/>
                <w:w w:val="100"/>
                <w:sz w:val="23"/>
                <w:szCs w:val="23"/>
              </w:rPr>
              <w:t> </w:t>
            </w:r>
            <w:r>
              <w:rPr>
                <w:rFonts w:ascii="宋体" w:hAnsi="宋体" w:cs="宋体" w:eastAsia="宋体" w:hint="default"/>
                <w:sz w:val="23"/>
                <w:szCs w:val="23"/>
              </w:rPr>
              <w:t>产品的公告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29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2011-029</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3"/>
                <w:szCs w:val="23"/>
              </w:rPr>
            </w:pPr>
            <w:r>
              <w:rPr>
                <w:rFonts w:ascii="宋体" w:hAnsi="宋体" w:cs="宋体" w:eastAsia="宋体" w:hint="default"/>
                <w:sz w:val="23"/>
                <w:szCs w:val="23"/>
              </w:rPr>
              <w:t>第一届董事会第十一次</w:t>
            </w:r>
          </w:p>
          <w:p>
            <w:pPr>
              <w:pStyle w:val="TableParagraph"/>
              <w:spacing w:line="240" w:lineRule="auto" w:before="11"/>
              <w:ind w:left="103" w:right="0"/>
              <w:jc w:val="left"/>
              <w:rPr>
                <w:rFonts w:ascii="宋体" w:hAnsi="宋体" w:cs="宋体" w:eastAsia="宋体" w:hint="default"/>
                <w:sz w:val="23"/>
                <w:szCs w:val="23"/>
              </w:rPr>
            </w:pPr>
            <w:r>
              <w:rPr>
                <w:rFonts w:ascii="宋体" w:hAnsi="宋体" w:cs="宋体" w:eastAsia="宋体" w:hint="default"/>
                <w:sz w:val="23"/>
                <w:szCs w:val="23"/>
              </w:rPr>
              <w:t>（临时）会议决议公告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6"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30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2011-030</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3"/>
                <w:szCs w:val="23"/>
              </w:rPr>
            </w:pPr>
            <w:r>
              <w:rPr>
                <w:rFonts w:ascii="宋体" w:hAnsi="宋体" w:cs="宋体" w:eastAsia="宋体" w:hint="default"/>
                <w:sz w:val="23"/>
                <w:szCs w:val="23"/>
              </w:rPr>
              <w:t>第一届监事会第七次</w:t>
            </w:r>
          </w:p>
          <w:p>
            <w:pPr>
              <w:pStyle w:val="TableParagraph"/>
              <w:spacing w:line="240" w:lineRule="auto" w:before="11"/>
              <w:ind w:left="103" w:right="0"/>
              <w:jc w:val="left"/>
              <w:rPr>
                <w:rFonts w:ascii="宋体" w:hAnsi="宋体" w:cs="宋体" w:eastAsia="宋体" w:hint="default"/>
                <w:sz w:val="23"/>
                <w:szCs w:val="23"/>
              </w:rPr>
            </w:pPr>
            <w:r>
              <w:rPr>
                <w:rFonts w:ascii="宋体" w:hAnsi="宋体" w:cs="宋体" w:eastAsia="宋体" w:hint="default"/>
                <w:sz w:val="23"/>
                <w:szCs w:val="23"/>
              </w:rPr>
              <w:t>（临时）会议决议公告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31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2011-031</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3"/>
                <w:szCs w:val="23"/>
              </w:rPr>
            </w:pPr>
            <w:r>
              <w:rPr>
                <w:rFonts w:ascii="宋体" w:hAnsi="宋体" w:cs="宋体" w:eastAsia="宋体" w:hint="default"/>
                <w:sz w:val="23"/>
                <w:szCs w:val="23"/>
              </w:rPr>
              <w:t>关于增设投资者咨询热</w:t>
            </w:r>
          </w:p>
          <w:p>
            <w:pPr>
              <w:pStyle w:val="TableParagraph"/>
              <w:spacing w:line="240" w:lineRule="auto" w:before="11"/>
              <w:ind w:left="103" w:right="0"/>
              <w:jc w:val="left"/>
              <w:rPr>
                <w:rFonts w:ascii="宋体" w:hAnsi="宋体" w:cs="宋体" w:eastAsia="宋体" w:hint="default"/>
                <w:sz w:val="23"/>
                <w:szCs w:val="23"/>
              </w:rPr>
            </w:pPr>
            <w:r>
              <w:rPr>
                <w:rFonts w:ascii="宋体" w:hAnsi="宋体" w:cs="宋体" w:eastAsia="宋体" w:hint="default"/>
                <w:sz w:val="23"/>
                <w:szCs w:val="23"/>
              </w:rPr>
              <w:t>线的公告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32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2011-032</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3"/>
                <w:szCs w:val="23"/>
              </w:rPr>
            </w:pPr>
            <w:r>
              <w:rPr>
                <w:rFonts w:ascii="宋体" w:hAnsi="宋体" w:cs="宋体" w:eastAsia="宋体" w:hint="default"/>
                <w:sz w:val="23"/>
                <w:szCs w:val="23"/>
              </w:rPr>
              <w:t>第一届董事会第十二次</w:t>
            </w:r>
          </w:p>
          <w:p>
            <w:pPr>
              <w:pStyle w:val="TableParagraph"/>
              <w:spacing w:line="240" w:lineRule="auto" w:before="11"/>
              <w:ind w:left="103" w:right="0"/>
              <w:jc w:val="left"/>
              <w:rPr>
                <w:rFonts w:ascii="宋体" w:hAnsi="宋体" w:cs="宋体" w:eastAsia="宋体" w:hint="default"/>
                <w:sz w:val="23"/>
                <w:szCs w:val="23"/>
              </w:rPr>
            </w:pPr>
            <w:r>
              <w:rPr>
                <w:rFonts w:ascii="宋体" w:hAnsi="宋体" w:cs="宋体" w:eastAsia="宋体" w:hint="default"/>
                <w:sz w:val="23"/>
                <w:szCs w:val="23"/>
              </w:rPr>
              <w:t>（临时）会议决议公告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bl>
    <w:p>
      <w:pPr>
        <w:spacing w:after="0" w:line="240" w:lineRule="auto"/>
        <w:jc w:val="center"/>
        <w:rPr>
          <w:rFonts w:ascii="宋体" w:hAnsi="宋体" w:cs="宋体" w:eastAsia="宋体" w:hint="default"/>
          <w:sz w:val="21"/>
          <w:szCs w:val="21"/>
        </w:rPr>
        <w:sectPr>
          <w:pgSz w:w="11910" w:h="16840"/>
          <w:pgMar w:header="884" w:footer="980" w:top="1140" w:bottom="1160" w:left="1660" w:right="1660"/>
        </w:sectPr>
      </w:pPr>
    </w:p>
    <w:p>
      <w:pPr>
        <w:spacing w:line="240" w:lineRule="auto" w:before="5"/>
        <w:rPr>
          <w:rFonts w:ascii="Times New Roman" w:hAnsi="Times New Roman" w:cs="Times New Roman" w:eastAsia="Times New Roman" w:hint="default"/>
          <w:sz w:val="24"/>
          <w:szCs w:val="24"/>
        </w:rPr>
      </w:pPr>
    </w:p>
    <w:tbl>
      <w:tblPr>
        <w:tblW w:w="0" w:type="auto"/>
        <w:jc w:val="left"/>
        <w:tblInd w:w="418" w:type="dxa"/>
        <w:tblLayout w:type="fixed"/>
        <w:tblCellMar>
          <w:top w:w="0" w:type="dxa"/>
          <w:left w:w="0" w:type="dxa"/>
          <w:bottom w:w="0" w:type="dxa"/>
          <w:right w:w="0" w:type="dxa"/>
        </w:tblCellMar>
        <w:tblLook w:val="01E0"/>
      </w:tblPr>
      <w:tblGrid>
        <w:gridCol w:w="797"/>
        <w:gridCol w:w="1841"/>
        <w:gridCol w:w="1598"/>
        <w:gridCol w:w="2535"/>
        <w:gridCol w:w="1232"/>
      </w:tblGrid>
      <w:tr>
        <w:trPr>
          <w:trHeight w:val="322"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82"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时间</w:t>
            </w:r>
            <w:r>
              <w:rPr>
                <w:rFonts w:ascii="宋体" w:hAnsi="宋体" w:cs="宋体" w:eastAsia="宋体" w:hint="default"/>
                <w:sz w:val="21"/>
                <w:szCs w:val="21"/>
              </w:rPr>
            </w:r>
          </w:p>
        </w:tc>
        <w:tc>
          <w:tcPr>
            <w:tcW w:w="159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公告编号</w:t>
            </w:r>
            <w:r>
              <w:rPr>
                <w:rFonts w:ascii="宋体" w:hAnsi="宋体" w:cs="宋体" w:eastAsia="宋体" w:hint="default"/>
                <w:sz w:val="21"/>
                <w:szCs w:val="21"/>
              </w:rPr>
            </w:r>
          </w:p>
        </w:tc>
        <w:tc>
          <w:tcPr>
            <w:tcW w:w="253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840" w:right="0"/>
              <w:jc w:val="left"/>
              <w:rPr>
                <w:rFonts w:ascii="宋体" w:hAnsi="宋体" w:cs="宋体" w:eastAsia="宋体" w:hint="default"/>
                <w:sz w:val="21"/>
                <w:szCs w:val="21"/>
              </w:rPr>
            </w:pPr>
            <w:r>
              <w:rPr>
                <w:rFonts w:ascii="宋体" w:hAnsi="宋体" w:cs="宋体" w:eastAsia="宋体" w:hint="default"/>
                <w:b/>
                <w:bCs/>
                <w:sz w:val="21"/>
                <w:szCs w:val="21"/>
              </w:rPr>
              <w:t>公告内容</w:t>
            </w:r>
            <w:r>
              <w:rPr>
                <w:rFonts w:ascii="宋体" w:hAnsi="宋体" w:cs="宋体" w:eastAsia="宋体" w:hint="default"/>
                <w:sz w:val="21"/>
                <w:szCs w:val="21"/>
              </w:rPr>
            </w:r>
          </w:p>
        </w:tc>
        <w:tc>
          <w:tcPr>
            <w:tcW w:w="123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刊登媒体</w:t>
            </w:r>
            <w:r>
              <w:rPr>
                <w:rFonts w:ascii="宋体" w:hAnsi="宋体" w:cs="宋体" w:eastAsia="宋体" w:hint="default"/>
                <w:sz w:val="21"/>
                <w:szCs w:val="21"/>
              </w:rPr>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33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2011-033</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3"/>
                <w:szCs w:val="23"/>
              </w:rPr>
            </w:pPr>
            <w:r>
              <w:rPr>
                <w:rFonts w:ascii="宋体" w:hAnsi="宋体" w:cs="宋体" w:eastAsia="宋体" w:hint="default"/>
                <w:sz w:val="23"/>
                <w:szCs w:val="23"/>
              </w:rPr>
              <w:t>第一届监事会第八次</w:t>
            </w:r>
          </w:p>
          <w:p>
            <w:pPr>
              <w:pStyle w:val="TableParagraph"/>
              <w:spacing w:line="240" w:lineRule="auto" w:before="11"/>
              <w:ind w:left="103" w:right="0"/>
              <w:jc w:val="left"/>
              <w:rPr>
                <w:rFonts w:ascii="宋体" w:hAnsi="宋体" w:cs="宋体" w:eastAsia="宋体" w:hint="default"/>
                <w:sz w:val="23"/>
                <w:szCs w:val="23"/>
              </w:rPr>
            </w:pPr>
            <w:r>
              <w:rPr>
                <w:rFonts w:ascii="宋体" w:hAnsi="宋体" w:cs="宋体" w:eastAsia="宋体" w:hint="default"/>
                <w:sz w:val="23"/>
                <w:szCs w:val="23"/>
              </w:rPr>
              <w:t>（临时）会议决议公告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34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2011-034</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left"/>
              <w:rPr>
                <w:rFonts w:ascii="宋体" w:hAnsi="宋体" w:cs="宋体" w:eastAsia="宋体" w:hint="default"/>
                <w:sz w:val="21"/>
                <w:szCs w:val="21"/>
              </w:rPr>
            </w:pPr>
            <w:r>
              <w:rPr>
                <w:rFonts w:ascii="宋体" w:hAnsi="宋体" w:cs="宋体" w:eastAsia="宋体" w:hint="default"/>
                <w:spacing w:val="-2"/>
                <w:sz w:val="21"/>
                <w:szCs w:val="21"/>
              </w:rPr>
              <w:t>独立董事公开征集委托投</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票权报告书</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6"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6"/>
              <w:ind w:left="182" w:right="0"/>
              <w:jc w:val="left"/>
              <w:rPr>
                <w:rFonts w:ascii="宋体" w:hAnsi="宋体" w:cs="宋体" w:eastAsia="宋体" w:hint="default"/>
                <w:sz w:val="21"/>
                <w:szCs w:val="21"/>
              </w:rPr>
            </w:pPr>
            <w:r>
              <w:rPr>
                <w:rFonts w:ascii="宋体"/>
                <w:sz w:val="21"/>
              </w:rPr>
              <w:t>35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2011-035</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03" w:right="0"/>
              <w:jc w:val="left"/>
              <w:rPr>
                <w:rFonts w:ascii="宋体" w:hAnsi="宋体" w:cs="宋体" w:eastAsia="宋体" w:hint="default"/>
                <w:sz w:val="23"/>
                <w:szCs w:val="23"/>
              </w:rPr>
            </w:pPr>
            <w:r>
              <w:rPr>
                <w:rFonts w:ascii="宋体" w:hAnsi="宋体" w:cs="宋体" w:eastAsia="宋体" w:hint="default"/>
                <w:sz w:val="23"/>
                <w:szCs w:val="23"/>
              </w:rPr>
              <w:t>关于召开</w:t>
            </w:r>
            <w:r>
              <w:rPr>
                <w:rFonts w:ascii="宋体" w:hAnsi="宋体" w:cs="宋体" w:eastAsia="宋体" w:hint="default"/>
                <w:spacing w:val="-57"/>
                <w:sz w:val="23"/>
                <w:szCs w:val="23"/>
              </w:rPr>
              <w:t> </w:t>
            </w:r>
            <w:r>
              <w:rPr>
                <w:rFonts w:ascii="Times New Roman" w:hAnsi="Times New Roman" w:cs="Times New Roman" w:eastAsia="Times New Roman" w:hint="default"/>
                <w:sz w:val="23"/>
                <w:szCs w:val="23"/>
              </w:rPr>
              <w:t>2011 </w:t>
            </w:r>
            <w:r>
              <w:rPr>
                <w:rFonts w:ascii="宋体" w:hAnsi="宋体" w:cs="宋体" w:eastAsia="宋体" w:hint="default"/>
                <w:sz w:val="23"/>
                <w:szCs w:val="23"/>
              </w:rPr>
              <w:t>年第一</w:t>
            </w:r>
          </w:p>
          <w:p>
            <w:pPr>
              <w:pStyle w:val="TableParagraph"/>
              <w:spacing w:line="298" w:lineRule="exact"/>
              <w:ind w:left="103" w:right="0"/>
              <w:jc w:val="left"/>
              <w:rPr>
                <w:rFonts w:ascii="宋体" w:hAnsi="宋体" w:cs="宋体" w:eastAsia="宋体" w:hint="default"/>
                <w:sz w:val="23"/>
                <w:szCs w:val="23"/>
              </w:rPr>
            </w:pPr>
            <w:r>
              <w:rPr>
                <w:rFonts w:ascii="宋体" w:hAnsi="宋体" w:cs="宋体" w:eastAsia="宋体" w:hint="default"/>
                <w:sz w:val="23"/>
                <w:szCs w:val="23"/>
              </w:rPr>
              <w:t>次临时股东大会的通知</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418"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82" w:right="0"/>
              <w:jc w:val="left"/>
              <w:rPr>
                <w:rFonts w:ascii="宋体" w:hAnsi="宋体" w:cs="宋体" w:eastAsia="宋体" w:hint="default"/>
                <w:sz w:val="21"/>
                <w:szCs w:val="21"/>
              </w:rPr>
            </w:pPr>
            <w:r>
              <w:rPr>
                <w:rFonts w:ascii="宋体"/>
                <w:sz w:val="21"/>
              </w:rPr>
              <w:t>36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Times New Roman" w:hAnsi="Times New Roman" w:cs="Times New Roman" w:eastAsia="Times New Roman" w:hint="default"/>
                <w:sz w:val="21"/>
                <w:szCs w:val="21"/>
              </w:rPr>
            </w:pPr>
            <w:r>
              <w:rPr>
                <w:rFonts w:ascii="Times New Roman"/>
                <w:sz w:val="21"/>
              </w:rPr>
              <w:t>2011-036</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年半年度报告摘要</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946"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宋体" w:hAnsi="宋体" w:cs="宋体" w:eastAsia="宋体" w:hint="default"/>
                <w:sz w:val="21"/>
                <w:szCs w:val="21"/>
              </w:rPr>
            </w:pPr>
            <w:r>
              <w:rPr>
                <w:rFonts w:ascii="宋体"/>
                <w:sz w:val="21"/>
              </w:rPr>
              <w:t>37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4" w:right="0"/>
              <w:jc w:val="center"/>
              <w:rPr>
                <w:rFonts w:ascii="Times New Roman" w:hAnsi="Times New Roman" w:cs="Times New Roman" w:eastAsia="Times New Roman" w:hint="default"/>
                <w:sz w:val="21"/>
                <w:szCs w:val="21"/>
              </w:rPr>
            </w:pPr>
            <w:r>
              <w:rPr>
                <w:rFonts w:ascii="Times New Roman"/>
                <w:sz w:val="21"/>
              </w:rPr>
              <w:t>2011-037</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3"/>
                <w:szCs w:val="23"/>
              </w:rPr>
            </w:pPr>
            <w:r>
              <w:rPr>
                <w:rFonts w:ascii="宋体" w:hAnsi="宋体" w:cs="宋体" w:eastAsia="宋体" w:hint="default"/>
                <w:sz w:val="23"/>
                <w:szCs w:val="23"/>
              </w:rPr>
              <w:t>关于召开</w:t>
            </w:r>
            <w:r>
              <w:rPr>
                <w:rFonts w:ascii="宋体" w:hAnsi="宋体" w:cs="宋体" w:eastAsia="宋体" w:hint="default"/>
                <w:spacing w:val="-57"/>
                <w:sz w:val="23"/>
                <w:szCs w:val="23"/>
              </w:rPr>
              <w:t> </w:t>
            </w:r>
            <w:r>
              <w:rPr>
                <w:rFonts w:ascii="Times New Roman" w:hAnsi="Times New Roman" w:cs="Times New Roman" w:eastAsia="Times New Roman" w:hint="default"/>
                <w:sz w:val="23"/>
                <w:szCs w:val="23"/>
              </w:rPr>
              <w:t>2011 </w:t>
            </w:r>
            <w:r>
              <w:rPr>
                <w:rFonts w:ascii="宋体" w:hAnsi="宋体" w:cs="宋体" w:eastAsia="宋体" w:hint="default"/>
                <w:sz w:val="23"/>
                <w:szCs w:val="23"/>
              </w:rPr>
              <w:t>年第一</w:t>
            </w:r>
          </w:p>
          <w:p>
            <w:pPr>
              <w:pStyle w:val="TableParagraph"/>
              <w:spacing w:line="249" w:lineRule="auto"/>
              <w:ind w:left="103" w:right="118"/>
              <w:jc w:val="left"/>
              <w:rPr>
                <w:rFonts w:ascii="宋体" w:hAnsi="宋体" w:cs="宋体" w:eastAsia="宋体" w:hint="default"/>
                <w:sz w:val="23"/>
                <w:szCs w:val="23"/>
              </w:rPr>
            </w:pPr>
            <w:r>
              <w:rPr>
                <w:rFonts w:ascii="宋体" w:hAnsi="宋体" w:cs="宋体" w:eastAsia="宋体" w:hint="default"/>
                <w:sz w:val="23"/>
                <w:szCs w:val="23"/>
              </w:rPr>
              <w:t>次临时股东大会的提示</w:t>
            </w:r>
            <w:r>
              <w:rPr>
                <w:rFonts w:ascii="宋体" w:hAnsi="宋体" w:cs="宋体" w:eastAsia="宋体" w:hint="default"/>
                <w:w w:val="100"/>
                <w:sz w:val="23"/>
                <w:szCs w:val="23"/>
              </w:rPr>
              <w:t> </w:t>
            </w:r>
            <w:r>
              <w:rPr>
                <w:rFonts w:ascii="宋体" w:hAnsi="宋体" w:cs="宋体" w:eastAsia="宋体" w:hint="default"/>
                <w:sz w:val="23"/>
                <w:szCs w:val="23"/>
              </w:rPr>
              <w:t>性公告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38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2011-038</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264"/>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年第一次临时股东</w:t>
            </w:r>
            <w:r>
              <w:rPr>
                <w:rFonts w:ascii="宋体" w:hAnsi="宋体" w:cs="宋体" w:eastAsia="宋体" w:hint="default"/>
                <w:w w:val="100"/>
                <w:sz w:val="21"/>
                <w:szCs w:val="21"/>
              </w:rPr>
              <w:t> </w:t>
            </w:r>
            <w:r>
              <w:rPr>
                <w:rFonts w:ascii="宋体" w:hAnsi="宋体" w:cs="宋体" w:eastAsia="宋体" w:hint="default"/>
                <w:sz w:val="21"/>
                <w:szCs w:val="21"/>
              </w:rPr>
              <w:t>大会决议公告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948"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宋体" w:hAnsi="宋体" w:cs="宋体" w:eastAsia="宋体" w:hint="default"/>
                <w:sz w:val="21"/>
                <w:szCs w:val="21"/>
              </w:rPr>
            </w:pPr>
            <w:r>
              <w:rPr>
                <w:rFonts w:ascii="宋体"/>
                <w:sz w:val="21"/>
              </w:rPr>
              <w:t>39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4" w:right="0"/>
              <w:jc w:val="center"/>
              <w:rPr>
                <w:rFonts w:ascii="Times New Roman" w:hAnsi="Times New Roman" w:cs="Times New Roman" w:eastAsia="Times New Roman" w:hint="default"/>
                <w:sz w:val="21"/>
                <w:szCs w:val="21"/>
              </w:rPr>
            </w:pPr>
            <w:r>
              <w:rPr>
                <w:rFonts w:ascii="Times New Roman"/>
                <w:sz w:val="21"/>
              </w:rPr>
              <w:t>2011-039</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firstLine="120"/>
              <w:jc w:val="left"/>
              <w:rPr>
                <w:rFonts w:ascii="宋体" w:hAnsi="宋体" w:cs="宋体" w:eastAsia="宋体" w:hint="default"/>
                <w:sz w:val="23"/>
                <w:szCs w:val="23"/>
              </w:rPr>
            </w:pPr>
            <w:r>
              <w:rPr>
                <w:rFonts w:ascii="宋体" w:hAnsi="宋体" w:cs="宋体" w:eastAsia="宋体" w:hint="default"/>
                <w:sz w:val="23"/>
                <w:szCs w:val="23"/>
              </w:rPr>
              <w:t>第一届董事会第十四</w:t>
            </w:r>
          </w:p>
          <w:p>
            <w:pPr>
              <w:pStyle w:val="TableParagraph"/>
              <w:spacing w:line="249" w:lineRule="auto" w:before="11"/>
              <w:ind w:left="103" w:right="117"/>
              <w:jc w:val="left"/>
              <w:rPr>
                <w:rFonts w:ascii="宋体" w:hAnsi="宋体" w:cs="宋体" w:eastAsia="宋体" w:hint="default"/>
                <w:sz w:val="23"/>
                <w:szCs w:val="23"/>
              </w:rPr>
            </w:pPr>
            <w:r>
              <w:rPr>
                <w:rFonts w:ascii="宋体" w:hAnsi="宋体" w:cs="宋体" w:eastAsia="宋体" w:hint="default"/>
                <w:sz w:val="23"/>
                <w:szCs w:val="23"/>
              </w:rPr>
              <w:t>次（临时）会议决议公</w:t>
            </w:r>
            <w:r>
              <w:rPr>
                <w:rFonts w:ascii="宋体" w:hAnsi="宋体" w:cs="宋体" w:eastAsia="宋体" w:hint="default"/>
                <w:w w:val="100"/>
                <w:sz w:val="23"/>
                <w:szCs w:val="23"/>
              </w:rPr>
              <w:t> </w:t>
            </w:r>
            <w:r>
              <w:rPr>
                <w:rFonts w:ascii="宋体" w:hAnsi="宋体" w:cs="宋体" w:eastAsia="宋体" w:hint="default"/>
                <w:sz w:val="23"/>
                <w:szCs w:val="23"/>
              </w:rPr>
              <w:t>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40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2011-040</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3"/>
                <w:szCs w:val="23"/>
              </w:rPr>
            </w:pPr>
            <w:r>
              <w:rPr>
                <w:rFonts w:ascii="宋体" w:hAnsi="宋体" w:cs="宋体" w:eastAsia="宋体" w:hint="default"/>
                <w:sz w:val="23"/>
                <w:szCs w:val="23"/>
              </w:rPr>
              <w:t>第一届监事会第十次</w:t>
            </w:r>
          </w:p>
          <w:p>
            <w:pPr>
              <w:pStyle w:val="TableParagraph"/>
              <w:spacing w:line="240" w:lineRule="auto" w:before="11"/>
              <w:ind w:left="103" w:right="0"/>
              <w:jc w:val="left"/>
              <w:rPr>
                <w:rFonts w:ascii="宋体" w:hAnsi="宋体" w:cs="宋体" w:eastAsia="宋体" w:hint="default"/>
                <w:sz w:val="23"/>
                <w:szCs w:val="23"/>
              </w:rPr>
            </w:pPr>
            <w:r>
              <w:rPr>
                <w:rFonts w:ascii="宋体" w:hAnsi="宋体" w:cs="宋体" w:eastAsia="宋体" w:hint="default"/>
                <w:sz w:val="23"/>
                <w:szCs w:val="23"/>
              </w:rPr>
              <w:t>（临时）会议决议公告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41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2011-041</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left"/>
              <w:rPr>
                <w:rFonts w:ascii="宋体" w:hAnsi="宋体" w:cs="宋体" w:eastAsia="宋体" w:hint="default"/>
                <w:sz w:val="21"/>
                <w:szCs w:val="21"/>
              </w:rPr>
            </w:pPr>
            <w:r>
              <w:rPr>
                <w:rFonts w:ascii="宋体" w:hAnsi="宋体" w:cs="宋体" w:eastAsia="宋体" w:hint="default"/>
                <w:spacing w:val="-2"/>
                <w:sz w:val="21"/>
                <w:szCs w:val="21"/>
              </w:rPr>
              <w:t>关于向激励对象授予限制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性股票的公告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42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2011-042</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3"/>
                <w:szCs w:val="23"/>
              </w:rPr>
            </w:pPr>
            <w:r>
              <w:rPr>
                <w:rFonts w:ascii="宋体" w:hAnsi="宋体" w:cs="宋体" w:eastAsia="宋体" w:hint="default"/>
                <w:sz w:val="23"/>
                <w:szCs w:val="23"/>
              </w:rPr>
              <w:t>第一届董事会第十五次</w:t>
            </w:r>
          </w:p>
          <w:p>
            <w:pPr>
              <w:pStyle w:val="TableParagraph"/>
              <w:spacing w:line="240" w:lineRule="auto" w:before="11"/>
              <w:ind w:left="103" w:right="0"/>
              <w:jc w:val="left"/>
              <w:rPr>
                <w:rFonts w:ascii="宋体" w:hAnsi="宋体" w:cs="宋体" w:eastAsia="宋体" w:hint="default"/>
                <w:sz w:val="23"/>
                <w:szCs w:val="23"/>
              </w:rPr>
            </w:pPr>
            <w:r>
              <w:rPr>
                <w:rFonts w:ascii="宋体" w:hAnsi="宋体" w:cs="宋体" w:eastAsia="宋体" w:hint="default"/>
                <w:sz w:val="23"/>
                <w:szCs w:val="23"/>
              </w:rPr>
              <w:t>（临时）会议决议公告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43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2011-043</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left"/>
              <w:rPr>
                <w:rFonts w:ascii="宋体" w:hAnsi="宋体" w:cs="宋体" w:eastAsia="宋体" w:hint="default"/>
                <w:sz w:val="21"/>
                <w:szCs w:val="21"/>
              </w:rPr>
            </w:pPr>
            <w:r>
              <w:rPr>
                <w:rFonts w:ascii="宋体" w:hAnsi="宋体" w:cs="宋体" w:eastAsia="宋体" w:hint="default"/>
                <w:spacing w:val="-2"/>
                <w:sz w:val="21"/>
                <w:szCs w:val="21"/>
              </w:rPr>
              <w:t>关于签署募集资金三方监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管协议的公告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44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2011-044</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left"/>
              <w:rPr>
                <w:rFonts w:ascii="宋体" w:hAnsi="宋体" w:cs="宋体" w:eastAsia="宋体" w:hint="default"/>
                <w:sz w:val="21"/>
                <w:szCs w:val="21"/>
              </w:rPr>
            </w:pPr>
            <w:r>
              <w:rPr>
                <w:rFonts w:ascii="宋体" w:hAnsi="宋体" w:cs="宋体" w:eastAsia="宋体" w:hint="default"/>
                <w:spacing w:val="-2"/>
                <w:sz w:val="21"/>
                <w:szCs w:val="21"/>
              </w:rPr>
              <w:t>关于完成工商变更登记的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420"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3" w:lineRule="exact"/>
              <w:ind w:left="182" w:right="0"/>
              <w:jc w:val="left"/>
              <w:rPr>
                <w:rFonts w:ascii="宋体" w:hAnsi="宋体" w:cs="宋体" w:eastAsia="宋体" w:hint="default"/>
                <w:sz w:val="21"/>
                <w:szCs w:val="21"/>
              </w:rPr>
            </w:pPr>
            <w:r>
              <w:rPr>
                <w:rFonts w:ascii="宋体"/>
                <w:sz w:val="21"/>
              </w:rPr>
              <w:t>45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center"/>
              <w:rPr>
                <w:rFonts w:ascii="Times New Roman" w:hAnsi="Times New Roman" w:cs="Times New Roman" w:eastAsia="Times New Roman" w:hint="default"/>
                <w:sz w:val="21"/>
                <w:szCs w:val="21"/>
              </w:rPr>
            </w:pPr>
            <w:r>
              <w:rPr>
                <w:rFonts w:ascii="Times New Roman"/>
                <w:sz w:val="21"/>
              </w:rPr>
              <w:t>2011-045</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关于公司董事辞职公告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46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2011-046</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3"/>
                <w:szCs w:val="23"/>
              </w:rPr>
            </w:pPr>
            <w:r>
              <w:rPr>
                <w:rFonts w:ascii="宋体" w:hAnsi="宋体" w:cs="宋体" w:eastAsia="宋体" w:hint="default"/>
                <w:sz w:val="23"/>
                <w:szCs w:val="23"/>
              </w:rPr>
              <w:t>第一届董事会第十七次</w:t>
            </w:r>
          </w:p>
          <w:p>
            <w:pPr>
              <w:pStyle w:val="TableParagraph"/>
              <w:spacing w:line="240" w:lineRule="auto" w:before="11"/>
              <w:ind w:left="103" w:right="0"/>
              <w:jc w:val="left"/>
              <w:rPr>
                <w:rFonts w:ascii="宋体" w:hAnsi="宋体" w:cs="宋体" w:eastAsia="宋体" w:hint="default"/>
                <w:sz w:val="23"/>
                <w:szCs w:val="23"/>
              </w:rPr>
            </w:pPr>
            <w:r>
              <w:rPr>
                <w:rFonts w:ascii="宋体" w:hAnsi="宋体" w:cs="宋体" w:eastAsia="宋体" w:hint="default"/>
                <w:sz w:val="23"/>
                <w:szCs w:val="23"/>
              </w:rPr>
              <w:t>（临时）会议决议公告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47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2011-047</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3"/>
                <w:szCs w:val="23"/>
              </w:rPr>
            </w:pPr>
            <w:r>
              <w:rPr>
                <w:rFonts w:ascii="宋体" w:hAnsi="宋体" w:cs="宋体" w:eastAsia="宋体" w:hint="default"/>
                <w:sz w:val="23"/>
                <w:szCs w:val="23"/>
              </w:rPr>
              <w:t>第一届监事会第十一次</w:t>
            </w:r>
          </w:p>
          <w:p>
            <w:pPr>
              <w:pStyle w:val="TableParagraph"/>
              <w:spacing w:line="240" w:lineRule="auto" w:before="11"/>
              <w:ind w:left="103" w:right="0"/>
              <w:jc w:val="left"/>
              <w:rPr>
                <w:rFonts w:ascii="宋体" w:hAnsi="宋体" w:cs="宋体" w:eastAsia="宋体" w:hint="default"/>
                <w:sz w:val="23"/>
                <w:szCs w:val="23"/>
              </w:rPr>
            </w:pPr>
            <w:r>
              <w:rPr>
                <w:rFonts w:ascii="宋体" w:hAnsi="宋体" w:cs="宋体" w:eastAsia="宋体" w:hint="default"/>
                <w:sz w:val="23"/>
                <w:szCs w:val="23"/>
              </w:rPr>
              <w:t>（临时）会议决议公告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48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2011-048</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3"/>
                <w:szCs w:val="23"/>
              </w:rPr>
            </w:pPr>
            <w:r>
              <w:rPr>
                <w:rFonts w:ascii="宋体" w:hAnsi="宋体" w:cs="宋体" w:eastAsia="宋体" w:hint="default"/>
                <w:sz w:val="23"/>
                <w:szCs w:val="23"/>
              </w:rPr>
              <w:t>限制性股票授予完成公</w:t>
            </w:r>
          </w:p>
          <w:p>
            <w:pPr>
              <w:pStyle w:val="TableParagraph"/>
              <w:spacing w:line="240" w:lineRule="auto" w:before="11"/>
              <w:ind w:left="103" w:right="0"/>
              <w:jc w:val="left"/>
              <w:rPr>
                <w:rFonts w:ascii="宋体" w:hAnsi="宋体" w:cs="宋体" w:eastAsia="宋体" w:hint="default"/>
                <w:sz w:val="23"/>
                <w:szCs w:val="23"/>
              </w:rPr>
            </w:pPr>
            <w:r>
              <w:rPr>
                <w:rFonts w:ascii="宋体" w:hAnsi="宋体" w:cs="宋体" w:eastAsia="宋体" w:hint="default"/>
                <w:w w:val="100"/>
                <w:sz w:val="23"/>
                <w:szCs w:val="23"/>
              </w:rPr>
              <w:t>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49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2011-049</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第一届董事会第十八次</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（临时）会议决议公告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7"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2011-050</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3"/>
                <w:szCs w:val="23"/>
              </w:rPr>
            </w:pPr>
            <w:r>
              <w:rPr>
                <w:rFonts w:ascii="宋体" w:hAnsi="宋体" w:cs="宋体" w:eastAsia="宋体" w:hint="default"/>
                <w:sz w:val="23"/>
                <w:szCs w:val="23"/>
              </w:rPr>
              <w:t>关于投资设立新加坡全</w:t>
            </w:r>
          </w:p>
          <w:p>
            <w:pPr>
              <w:pStyle w:val="TableParagraph"/>
              <w:spacing w:line="240" w:lineRule="auto" w:before="11"/>
              <w:ind w:left="103" w:right="0"/>
              <w:jc w:val="left"/>
              <w:rPr>
                <w:rFonts w:ascii="宋体" w:hAnsi="宋体" w:cs="宋体" w:eastAsia="宋体" w:hint="default"/>
                <w:sz w:val="23"/>
                <w:szCs w:val="23"/>
              </w:rPr>
            </w:pPr>
            <w:r>
              <w:rPr>
                <w:rFonts w:ascii="宋体" w:hAnsi="宋体" w:cs="宋体" w:eastAsia="宋体" w:hint="default"/>
                <w:sz w:val="23"/>
                <w:szCs w:val="23"/>
              </w:rPr>
              <w:t>资子公司的公告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51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2011-051</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3"/>
                <w:szCs w:val="23"/>
              </w:rPr>
            </w:pPr>
            <w:r>
              <w:rPr>
                <w:rFonts w:ascii="宋体" w:hAnsi="宋体" w:cs="宋体" w:eastAsia="宋体" w:hint="default"/>
                <w:sz w:val="23"/>
                <w:szCs w:val="23"/>
              </w:rPr>
              <w:t>关于设立上海青浦区汉</w:t>
            </w:r>
          </w:p>
          <w:p>
            <w:pPr>
              <w:pStyle w:val="TableParagraph"/>
              <w:spacing w:line="240" w:lineRule="auto" w:before="11"/>
              <w:ind w:left="103" w:right="0"/>
              <w:jc w:val="left"/>
              <w:rPr>
                <w:rFonts w:ascii="宋体" w:hAnsi="宋体" w:cs="宋体" w:eastAsia="宋体" w:hint="default"/>
                <w:sz w:val="23"/>
                <w:szCs w:val="23"/>
              </w:rPr>
            </w:pPr>
            <w:r>
              <w:rPr>
                <w:rFonts w:ascii="宋体" w:hAnsi="宋体" w:cs="宋体" w:eastAsia="宋体" w:hint="default"/>
                <w:sz w:val="23"/>
                <w:szCs w:val="23"/>
              </w:rPr>
              <w:t>得培训学校的公告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52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2011-052</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3"/>
                <w:szCs w:val="23"/>
              </w:rPr>
            </w:pPr>
            <w:r>
              <w:rPr>
                <w:rFonts w:ascii="宋体" w:hAnsi="宋体" w:cs="宋体" w:eastAsia="宋体" w:hint="default"/>
                <w:sz w:val="23"/>
                <w:szCs w:val="23"/>
              </w:rPr>
              <w:t>第一届董事会第十九次</w:t>
            </w:r>
          </w:p>
          <w:p>
            <w:pPr>
              <w:pStyle w:val="TableParagraph"/>
              <w:spacing w:line="240" w:lineRule="auto" w:before="11"/>
              <w:ind w:left="103" w:right="0"/>
              <w:jc w:val="left"/>
              <w:rPr>
                <w:rFonts w:ascii="宋体" w:hAnsi="宋体" w:cs="宋体" w:eastAsia="宋体" w:hint="default"/>
                <w:sz w:val="23"/>
                <w:szCs w:val="23"/>
              </w:rPr>
            </w:pPr>
            <w:r>
              <w:rPr>
                <w:rFonts w:ascii="宋体" w:hAnsi="宋体" w:cs="宋体" w:eastAsia="宋体" w:hint="default"/>
                <w:sz w:val="23"/>
                <w:szCs w:val="23"/>
              </w:rPr>
              <w:t>（临时）会议决议</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53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14</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2011-053</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264"/>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年前三季度业绩预</w:t>
            </w:r>
            <w:r>
              <w:rPr>
                <w:rFonts w:ascii="宋体" w:hAnsi="宋体" w:cs="宋体" w:eastAsia="宋体" w:hint="default"/>
                <w:w w:val="100"/>
                <w:sz w:val="21"/>
                <w:szCs w:val="21"/>
              </w:rPr>
              <w:t> </w:t>
            </w:r>
            <w:r>
              <w:rPr>
                <w:rFonts w:ascii="宋体" w:hAnsi="宋体" w:cs="宋体" w:eastAsia="宋体" w:hint="default"/>
                <w:sz w:val="21"/>
                <w:szCs w:val="21"/>
              </w:rPr>
              <w:t>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bl>
    <w:p>
      <w:pPr>
        <w:spacing w:after="0" w:line="240" w:lineRule="auto"/>
        <w:jc w:val="center"/>
        <w:rPr>
          <w:rFonts w:ascii="宋体" w:hAnsi="宋体" w:cs="宋体" w:eastAsia="宋体" w:hint="default"/>
          <w:sz w:val="21"/>
          <w:szCs w:val="21"/>
        </w:rPr>
        <w:sectPr>
          <w:pgSz w:w="11910" w:h="16840"/>
          <w:pgMar w:header="884" w:footer="980" w:top="1140" w:bottom="1160" w:left="1660" w:right="1660"/>
        </w:sectPr>
      </w:pPr>
    </w:p>
    <w:p>
      <w:pPr>
        <w:spacing w:line="240" w:lineRule="auto" w:before="5"/>
        <w:rPr>
          <w:rFonts w:ascii="Times New Roman" w:hAnsi="Times New Roman" w:cs="Times New Roman" w:eastAsia="Times New Roman" w:hint="default"/>
          <w:sz w:val="24"/>
          <w:szCs w:val="24"/>
        </w:rPr>
      </w:pPr>
    </w:p>
    <w:tbl>
      <w:tblPr>
        <w:tblW w:w="0" w:type="auto"/>
        <w:jc w:val="left"/>
        <w:tblInd w:w="418" w:type="dxa"/>
        <w:tblLayout w:type="fixed"/>
        <w:tblCellMar>
          <w:top w:w="0" w:type="dxa"/>
          <w:left w:w="0" w:type="dxa"/>
          <w:bottom w:w="0" w:type="dxa"/>
          <w:right w:w="0" w:type="dxa"/>
        </w:tblCellMar>
        <w:tblLook w:val="01E0"/>
      </w:tblPr>
      <w:tblGrid>
        <w:gridCol w:w="797"/>
        <w:gridCol w:w="1841"/>
        <w:gridCol w:w="1598"/>
        <w:gridCol w:w="2535"/>
        <w:gridCol w:w="1232"/>
      </w:tblGrid>
      <w:tr>
        <w:trPr>
          <w:trHeight w:val="322"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82"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时间</w:t>
            </w:r>
            <w:r>
              <w:rPr>
                <w:rFonts w:ascii="宋体" w:hAnsi="宋体" w:cs="宋体" w:eastAsia="宋体" w:hint="default"/>
                <w:sz w:val="21"/>
                <w:szCs w:val="21"/>
              </w:rPr>
            </w:r>
          </w:p>
        </w:tc>
        <w:tc>
          <w:tcPr>
            <w:tcW w:w="159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公告编号</w:t>
            </w:r>
            <w:r>
              <w:rPr>
                <w:rFonts w:ascii="宋体" w:hAnsi="宋体" w:cs="宋体" w:eastAsia="宋体" w:hint="default"/>
                <w:sz w:val="21"/>
                <w:szCs w:val="21"/>
              </w:rPr>
            </w:r>
          </w:p>
        </w:tc>
        <w:tc>
          <w:tcPr>
            <w:tcW w:w="253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840" w:right="0"/>
              <w:jc w:val="left"/>
              <w:rPr>
                <w:rFonts w:ascii="宋体" w:hAnsi="宋体" w:cs="宋体" w:eastAsia="宋体" w:hint="default"/>
                <w:sz w:val="21"/>
                <w:szCs w:val="21"/>
              </w:rPr>
            </w:pPr>
            <w:r>
              <w:rPr>
                <w:rFonts w:ascii="宋体" w:hAnsi="宋体" w:cs="宋体" w:eastAsia="宋体" w:hint="default"/>
                <w:b/>
                <w:bCs/>
                <w:sz w:val="21"/>
                <w:szCs w:val="21"/>
              </w:rPr>
              <w:t>公告内容</w:t>
            </w:r>
            <w:r>
              <w:rPr>
                <w:rFonts w:ascii="宋体" w:hAnsi="宋体" w:cs="宋体" w:eastAsia="宋体" w:hint="default"/>
                <w:sz w:val="21"/>
                <w:szCs w:val="21"/>
              </w:rPr>
            </w:r>
          </w:p>
        </w:tc>
        <w:tc>
          <w:tcPr>
            <w:tcW w:w="123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刊登媒体</w:t>
            </w:r>
            <w:r>
              <w:rPr>
                <w:rFonts w:ascii="宋体" w:hAnsi="宋体" w:cs="宋体" w:eastAsia="宋体" w:hint="default"/>
                <w:sz w:val="21"/>
                <w:szCs w:val="21"/>
              </w:rPr>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54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24</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2011-054</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264"/>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年第三季度季度报</w:t>
            </w:r>
            <w:r>
              <w:rPr>
                <w:rFonts w:ascii="宋体" w:hAnsi="宋体" w:cs="宋体" w:eastAsia="宋体" w:hint="default"/>
                <w:w w:val="100"/>
                <w:sz w:val="21"/>
                <w:szCs w:val="21"/>
              </w:rPr>
              <w:t> </w:t>
            </w:r>
            <w:r>
              <w:rPr>
                <w:rFonts w:ascii="宋体" w:hAnsi="宋体" w:cs="宋体" w:eastAsia="宋体" w:hint="default"/>
                <w:sz w:val="21"/>
                <w:szCs w:val="21"/>
              </w:rPr>
              <w:t>告正文</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55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2011-055</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left"/>
              <w:rPr>
                <w:rFonts w:ascii="宋体" w:hAnsi="宋体" w:cs="宋体" w:eastAsia="宋体" w:hint="default"/>
                <w:sz w:val="21"/>
                <w:szCs w:val="21"/>
              </w:rPr>
            </w:pPr>
            <w:r>
              <w:rPr>
                <w:rFonts w:ascii="宋体" w:hAnsi="宋体" w:cs="宋体" w:eastAsia="宋体" w:hint="default"/>
                <w:spacing w:val="-2"/>
                <w:sz w:val="21"/>
                <w:szCs w:val="21"/>
              </w:rPr>
              <w:t>关于完成工商变更登记的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6"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6"/>
              <w:ind w:left="182" w:right="0"/>
              <w:jc w:val="left"/>
              <w:rPr>
                <w:rFonts w:ascii="宋体" w:hAnsi="宋体" w:cs="宋体" w:eastAsia="宋体" w:hint="default"/>
                <w:sz w:val="21"/>
                <w:szCs w:val="21"/>
              </w:rPr>
            </w:pPr>
            <w:r>
              <w:rPr>
                <w:rFonts w:ascii="宋体"/>
                <w:sz w:val="21"/>
              </w:rPr>
              <w:t>56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2011-056</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left"/>
              <w:rPr>
                <w:rFonts w:ascii="宋体" w:hAnsi="宋体" w:cs="宋体" w:eastAsia="宋体" w:hint="default"/>
                <w:sz w:val="21"/>
                <w:szCs w:val="21"/>
              </w:rPr>
            </w:pPr>
            <w:r>
              <w:rPr>
                <w:rFonts w:ascii="宋体" w:hAnsi="宋体" w:cs="宋体" w:eastAsia="宋体" w:hint="default"/>
                <w:spacing w:val="-2"/>
                <w:sz w:val="21"/>
                <w:szCs w:val="21"/>
              </w:rPr>
              <w:t>关于董事会秘书变更的公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182" w:right="0"/>
              <w:jc w:val="left"/>
              <w:rPr>
                <w:rFonts w:ascii="宋体" w:hAnsi="宋体" w:cs="宋体" w:eastAsia="宋体" w:hint="default"/>
                <w:sz w:val="21"/>
                <w:szCs w:val="21"/>
              </w:rPr>
            </w:pPr>
            <w:r>
              <w:rPr>
                <w:rFonts w:ascii="宋体"/>
                <w:sz w:val="21"/>
              </w:rPr>
              <w:t>57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2011-057</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第一届董事会第二十一次</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（临时）会议决议公告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bl>
    <w:p>
      <w:pPr>
        <w:spacing w:after="0" w:line="240" w:lineRule="auto"/>
        <w:jc w:val="center"/>
        <w:rPr>
          <w:rFonts w:ascii="宋体" w:hAnsi="宋体" w:cs="宋体" w:eastAsia="宋体" w:hint="default"/>
          <w:sz w:val="21"/>
          <w:szCs w:val="21"/>
        </w:rPr>
        <w:sectPr>
          <w:pgSz w:w="11910" w:h="16840"/>
          <w:pgMar w:header="884" w:footer="980" w:top="1140" w:bottom="1160" w:left="1660" w:right="16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4"/>
          <w:szCs w:val="24"/>
        </w:rPr>
      </w:pPr>
    </w:p>
    <w:p>
      <w:pPr>
        <w:pStyle w:val="Heading1"/>
        <w:spacing w:line="460" w:lineRule="exact"/>
        <w:ind w:left="2033" w:right="159"/>
        <w:jc w:val="left"/>
        <w:rPr>
          <w:b w:val="0"/>
          <w:bCs w:val="0"/>
        </w:rPr>
      </w:pPr>
      <w:bookmarkStart w:name="_bookmark4" w:id="5"/>
      <w:bookmarkEnd w:id="5"/>
      <w:r>
        <w:rPr>
          <w:b w:val="0"/>
          <w:bCs w:val="0"/>
        </w:rPr>
      </w:r>
      <w:r>
        <w:rPr/>
        <w:t>第五节</w:t>
      </w:r>
      <w:r>
        <w:rPr>
          <w:spacing w:val="-2"/>
        </w:rPr>
        <w:t> </w:t>
      </w:r>
      <w:r>
        <w:rPr/>
        <w:t>股份变动及股东情况</w:t>
      </w:r>
      <w:r>
        <w:rPr>
          <w:b w:val="0"/>
          <w:bCs w:val="0"/>
        </w:rPr>
      </w:r>
    </w:p>
    <w:p>
      <w:pPr>
        <w:spacing w:line="240" w:lineRule="auto" w:before="6"/>
        <w:rPr>
          <w:rFonts w:ascii="宋体" w:hAnsi="宋体" w:cs="宋体" w:eastAsia="宋体" w:hint="default"/>
          <w:b/>
          <w:bCs/>
          <w:sz w:val="46"/>
          <w:szCs w:val="46"/>
        </w:rPr>
      </w:pPr>
    </w:p>
    <w:p>
      <w:pPr>
        <w:pStyle w:val="Heading5"/>
        <w:spacing w:line="240" w:lineRule="auto"/>
        <w:ind w:right="159"/>
        <w:jc w:val="left"/>
        <w:rPr>
          <w:b w:val="0"/>
          <w:bCs w:val="0"/>
        </w:rPr>
      </w:pPr>
      <w:r>
        <w:rPr/>
        <w:t>一、股本变动情况（截至</w:t>
      </w:r>
      <w:r>
        <w:rPr>
          <w:spacing w:val="-6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r>
        <w:rPr>
          <w:b w:val="0"/>
          <w:bCs w:val="0"/>
        </w:rPr>
      </w:r>
    </w:p>
    <w:p>
      <w:pPr>
        <w:pStyle w:val="BodyText"/>
        <w:spacing w:line="240" w:lineRule="auto" w:before="135"/>
        <w:ind w:right="159"/>
        <w:jc w:val="left"/>
      </w:pPr>
      <w:r>
        <w:rPr/>
        <w:t>（一）报告期内股份变动情况表（单位：股）</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934"/>
        <w:gridCol w:w="1013"/>
        <w:gridCol w:w="809"/>
        <w:gridCol w:w="1001"/>
        <w:gridCol w:w="338"/>
        <w:gridCol w:w="1001"/>
        <w:gridCol w:w="341"/>
        <w:gridCol w:w="1001"/>
        <w:gridCol w:w="1104"/>
        <w:gridCol w:w="812"/>
      </w:tblGrid>
      <w:tr>
        <w:trPr>
          <w:trHeight w:val="322" w:hRule="exact"/>
        </w:trPr>
        <w:tc>
          <w:tcPr>
            <w:tcW w:w="934"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386"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682"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796"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1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24"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1" w:hRule="exact"/>
        </w:trPr>
        <w:tc>
          <w:tcPr>
            <w:tcW w:w="934" w:type="dxa"/>
            <w:vMerge w:val="restart"/>
            <w:tcBorders>
              <w:top w:val="nil" w:sz="6" w:space="0" w:color="auto"/>
              <w:left w:val="single" w:sz="4" w:space="0" w:color="000000"/>
              <w:right w:val="single" w:sz="4" w:space="0" w:color="000000"/>
            </w:tcBorders>
            <w:shd w:val="clear" w:color="auto" w:fill="DCDCDC"/>
          </w:tcPr>
          <w:p>
            <w:pPr/>
          </w:p>
        </w:tc>
        <w:tc>
          <w:tcPr>
            <w:tcW w:w="1013" w:type="dxa"/>
            <w:tcBorders>
              <w:top w:val="single" w:sz="4" w:space="0" w:color="000000"/>
              <w:left w:val="single" w:sz="4" w:space="0" w:color="000000"/>
              <w:bottom w:val="nil" w:sz="6" w:space="0" w:color="auto"/>
              <w:right w:val="single" w:sz="4" w:space="0" w:color="000000"/>
            </w:tcBorders>
            <w:shd w:val="clear" w:color="auto" w:fill="DCDCDC"/>
          </w:tcPr>
          <w:p>
            <w:pPr/>
          </w:p>
        </w:tc>
        <w:tc>
          <w:tcPr>
            <w:tcW w:w="809" w:type="dxa"/>
            <w:tcBorders>
              <w:top w:val="single" w:sz="4" w:space="0" w:color="000000"/>
              <w:left w:val="single" w:sz="4" w:space="0" w:color="000000"/>
              <w:bottom w:val="nil" w:sz="6" w:space="0" w:color="auto"/>
              <w:right w:val="single" w:sz="4" w:space="0" w:color="000000"/>
            </w:tcBorders>
            <w:shd w:val="clear" w:color="auto" w:fill="DCDCDC"/>
          </w:tcPr>
          <w:p>
            <w:pPr/>
          </w:p>
        </w:tc>
        <w:tc>
          <w:tcPr>
            <w:tcW w:w="1001" w:type="dxa"/>
            <w:tcBorders>
              <w:top w:val="single" w:sz="4" w:space="0" w:color="000000"/>
              <w:left w:val="single" w:sz="4" w:space="0" w:color="000000"/>
              <w:bottom w:val="nil" w:sz="6" w:space="0" w:color="auto"/>
              <w:right w:val="single" w:sz="4" w:space="0" w:color="000000"/>
            </w:tcBorders>
            <w:shd w:val="clear" w:color="auto" w:fill="DCDCDC"/>
          </w:tcPr>
          <w:p>
            <w:pPr/>
          </w:p>
        </w:tc>
        <w:tc>
          <w:tcPr>
            <w:tcW w:w="338"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59" w:right="55"/>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001"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391" w:right="70" w:hanging="315"/>
              <w:jc w:val="left"/>
              <w:rPr>
                <w:rFonts w:ascii="宋体" w:hAnsi="宋体" w:cs="宋体" w:eastAsia="宋体" w:hint="default"/>
                <w:sz w:val="21"/>
                <w:szCs w:val="21"/>
              </w:rPr>
            </w:pPr>
            <w:r>
              <w:rPr>
                <w:rFonts w:ascii="宋体" w:hAnsi="宋体" w:cs="宋体" w:eastAsia="宋体" w:hint="default"/>
                <w:sz w:val="21"/>
                <w:szCs w:val="21"/>
              </w:rPr>
              <w:t>公积金转</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341"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60" w:right="59"/>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0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104" w:type="dxa"/>
            <w:tcBorders>
              <w:top w:val="single" w:sz="4" w:space="0" w:color="000000"/>
              <w:left w:val="single" w:sz="4" w:space="0" w:color="000000"/>
              <w:bottom w:val="nil" w:sz="6" w:space="0" w:color="auto"/>
              <w:right w:val="single" w:sz="4" w:space="0" w:color="000000"/>
            </w:tcBorders>
            <w:shd w:val="clear" w:color="auto" w:fill="DCDCDC"/>
          </w:tcPr>
          <w:p>
            <w:pPr/>
          </w:p>
        </w:tc>
        <w:tc>
          <w:tcPr>
            <w:tcW w:w="812"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1" w:hRule="exact"/>
        </w:trPr>
        <w:tc>
          <w:tcPr>
            <w:tcW w:w="934" w:type="dxa"/>
            <w:vMerge/>
            <w:tcBorders>
              <w:left w:val="single" w:sz="4" w:space="0" w:color="000000"/>
              <w:bottom w:val="nil" w:sz="6" w:space="0" w:color="auto"/>
              <w:right w:val="single" w:sz="4" w:space="0" w:color="000000"/>
            </w:tcBorders>
            <w:shd w:val="clear" w:color="auto" w:fill="DCDCDC"/>
          </w:tcPr>
          <w:p>
            <w:pPr/>
          </w:p>
        </w:tc>
        <w:tc>
          <w:tcPr>
            <w:tcW w:w="1013"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297"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09"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18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001"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76"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338" w:type="dxa"/>
            <w:vMerge/>
            <w:tcBorders>
              <w:left w:val="single" w:sz="4" w:space="0" w:color="000000"/>
              <w:right w:val="single" w:sz="4" w:space="0" w:color="000000"/>
            </w:tcBorders>
            <w:shd w:val="clear" w:color="auto" w:fill="DCDCDC"/>
          </w:tcPr>
          <w:p>
            <w:pPr/>
          </w:p>
        </w:tc>
        <w:tc>
          <w:tcPr>
            <w:tcW w:w="1001" w:type="dxa"/>
            <w:vMerge/>
            <w:tcBorders>
              <w:left w:val="single" w:sz="4" w:space="0" w:color="000000"/>
              <w:right w:val="single" w:sz="4" w:space="0" w:color="000000"/>
            </w:tcBorders>
            <w:shd w:val="clear" w:color="auto" w:fill="DCDCDC"/>
          </w:tcPr>
          <w:p>
            <w:pPr/>
          </w:p>
        </w:tc>
        <w:tc>
          <w:tcPr>
            <w:tcW w:w="341" w:type="dxa"/>
            <w:vMerge/>
            <w:tcBorders>
              <w:left w:val="single" w:sz="4" w:space="0" w:color="000000"/>
              <w:right w:val="single" w:sz="4" w:space="0" w:color="000000"/>
            </w:tcBorders>
            <w:shd w:val="clear" w:color="auto" w:fill="DCDCDC"/>
          </w:tcPr>
          <w:p>
            <w:pPr/>
          </w:p>
        </w:tc>
        <w:tc>
          <w:tcPr>
            <w:tcW w:w="1001"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28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04"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33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12"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19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61" w:hRule="exact"/>
        </w:trPr>
        <w:tc>
          <w:tcPr>
            <w:tcW w:w="934" w:type="dxa"/>
            <w:vMerge w:val="restart"/>
            <w:tcBorders>
              <w:top w:val="nil" w:sz="6" w:space="0" w:color="auto"/>
              <w:left w:val="single" w:sz="4" w:space="0" w:color="000000"/>
              <w:right w:val="single" w:sz="4" w:space="0" w:color="000000"/>
            </w:tcBorders>
            <w:shd w:val="clear" w:color="auto" w:fill="DCDCDC"/>
          </w:tcPr>
          <w:p>
            <w:pPr/>
          </w:p>
        </w:tc>
        <w:tc>
          <w:tcPr>
            <w:tcW w:w="1013" w:type="dxa"/>
            <w:vMerge/>
            <w:tcBorders>
              <w:left w:val="single" w:sz="4" w:space="0" w:color="000000"/>
              <w:bottom w:val="nil" w:sz="6" w:space="0" w:color="auto"/>
              <w:right w:val="single" w:sz="4" w:space="0" w:color="000000"/>
            </w:tcBorders>
            <w:shd w:val="clear" w:color="auto" w:fill="DCDCDC"/>
          </w:tcPr>
          <w:p>
            <w:pPr/>
          </w:p>
        </w:tc>
        <w:tc>
          <w:tcPr>
            <w:tcW w:w="809" w:type="dxa"/>
            <w:vMerge/>
            <w:tcBorders>
              <w:left w:val="single" w:sz="4" w:space="0" w:color="000000"/>
              <w:bottom w:val="nil" w:sz="6" w:space="0" w:color="auto"/>
              <w:right w:val="single" w:sz="4" w:space="0" w:color="000000"/>
            </w:tcBorders>
            <w:shd w:val="clear" w:color="auto" w:fill="DCDCDC"/>
          </w:tcPr>
          <w:p>
            <w:pPr/>
          </w:p>
        </w:tc>
        <w:tc>
          <w:tcPr>
            <w:tcW w:w="1001" w:type="dxa"/>
            <w:vMerge/>
            <w:tcBorders>
              <w:left w:val="single" w:sz="4" w:space="0" w:color="000000"/>
              <w:bottom w:val="nil" w:sz="6" w:space="0" w:color="auto"/>
              <w:right w:val="single" w:sz="4" w:space="0" w:color="000000"/>
            </w:tcBorders>
            <w:shd w:val="clear" w:color="auto" w:fill="DCDCDC"/>
          </w:tcPr>
          <w:p>
            <w:pPr/>
          </w:p>
        </w:tc>
        <w:tc>
          <w:tcPr>
            <w:tcW w:w="338" w:type="dxa"/>
            <w:vMerge/>
            <w:tcBorders>
              <w:left w:val="single" w:sz="4" w:space="0" w:color="000000"/>
              <w:right w:val="single" w:sz="4" w:space="0" w:color="000000"/>
            </w:tcBorders>
            <w:shd w:val="clear" w:color="auto" w:fill="DCDCDC"/>
          </w:tcPr>
          <w:p>
            <w:pPr/>
          </w:p>
        </w:tc>
        <w:tc>
          <w:tcPr>
            <w:tcW w:w="1001" w:type="dxa"/>
            <w:vMerge/>
            <w:tcBorders>
              <w:left w:val="single" w:sz="4" w:space="0" w:color="000000"/>
              <w:right w:val="single" w:sz="4" w:space="0" w:color="000000"/>
            </w:tcBorders>
            <w:shd w:val="clear" w:color="auto" w:fill="DCDCDC"/>
          </w:tcPr>
          <w:p>
            <w:pPr/>
          </w:p>
        </w:tc>
        <w:tc>
          <w:tcPr>
            <w:tcW w:w="341" w:type="dxa"/>
            <w:vMerge/>
            <w:tcBorders>
              <w:left w:val="single" w:sz="4" w:space="0" w:color="000000"/>
              <w:right w:val="single" w:sz="4" w:space="0" w:color="000000"/>
            </w:tcBorders>
            <w:shd w:val="clear" w:color="auto" w:fill="DCDCDC"/>
          </w:tcPr>
          <w:p>
            <w:pPr/>
          </w:p>
        </w:tc>
        <w:tc>
          <w:tcPr>
            <w:tcW w:w="1001" w:type="dxa"/>
            <w:vMerge/>
            <w:tcBorders>
              <w:left w:val="single" w:sz="4" w:space="0" w:color="000000"/>
              <w:bottom w:val="nil" w:sz="6" w:space="0" w:color="auto"/>
              <w:right w:val="single" w:sz="4" w:space="0" w:color="000000"/>
            </w:tcBorders>
            <w:shd w:val="clear" w:color="auto" w:fill="DCDCDC"/>
          </w:tcPr>
          <w:p>
            <w:pPr/>
          </w:p>
        </w:tc>
        <w:tc>
          <w:tcPr>
            <w:tcW w:w="1104" w:type="dxa"/>
            <w:vMerge/>
            <w:tcBorders>
              <w:left w:val="single" w:sz="4" w:space="0" w:color="000000"/>
              <w:bottom w:val="nil" w:sz="6" w:space="0" w:color="auto"/>
              <w:right w:val="single" w:sz="4" w:space="0" w:color="000000"/>
            </w:tcBorders>
            <w:shd w:val="clear" w:color="auto" w:fill="DCDCDC"/>
          </w:tcPr>
          <w:p>
            <w:pPr/>
          </w:p>
        </w:tc>
        <w:tc>
          <w:tcPr>
            <w:tcW w:w="812"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934" w:type="dxa"/>
            <w:vMerge/>
            <w:tcBorders>
              <w:left w:val="single" w:sz="4" w:space="0" w:color="000000"/>
              <w:bottom w:val="single" w:sz="4" w:space="0" w:color="000000"/>
              <w:right w:val="single" w:sz="4" w:space="0" w:color="000000"/>
            </w:tcBorders>
            <w:shd w:val="clear" w:color="auto" w:fill="DCDCDC"/>
          </w:tcPr>
          <w:p>
            <w:pPr/>
          </w:p>
        </w:tc>
        <w:tc>
          <w:tcPr>
            <w:tcW w:w="1013" w:type="dxa"/>
            <w:tcBorders>
              <w:top w:val="nil" w:sz="6" w:space="0" w:color="auto"/>
              <w:left w:val="single" w:sz="4" w:space="0" w:color="000000"/>
              <w:bottom w:val="single" w:sz="4" w:space="0" w:color="000000"/>
              <w:right w:val="single" w:sz="4" w:space="0" w:color="000000"/>
            </w:tcBorders>
            <w:shd w:val="clear" w:color="auto" w:fill="DCDCDC"/>
          </w:tcPr>
          <w:p>
            <w:pPr/>
          </w:p>
        </w:tc>
        <w:tc>
          <w:tcPr>
            <w:tcW w:w="809" w:type="dxa"/>
            <w:tcBorders>
              <w:top w:val="nil" w:sz="6" w:space="0" w:color="auto"/>
              <w:left w:val="single" w:sz="4" w:space="0" w:color="000000"/>
              <w:bottom w:val="single" w:sz="4" w:space="0" w:color="000000"/>
              <w:right w:val="single" w:sz="4" w:space="0" w:color="000000"/>
            </w:tcBorders>
            <w:shd w:val="clear" w:color="auto" w:fill="DCDCDC"/>
          </w:tcPr>
          <w:p>
            <w:pPr/>
          </w:p>
        </w:tc>
        <w:tc>
          <w:tcPr>
            <w:tcW w:w="1001" w:type="dxa"/>
            <w:tcBorders>
              <w:top w:val="nil" w:sz="6" w:space="0" w:color="auto"/>
              <w:left w:val="single" w:sz="4" w:space="0" w:color="000000"/>
              <w:bottom w:val="single" w:sz="4" w:space="0" w:color="000000"/>
              <w:right w:val="single" w:sz="4" w:space="0" w:color="000000"/>
            </w:tcBorders>
            <w:shd w:val="clear" w:color="auto" w:fill="DCDCDC"/>
          </w:tcPr>
          <w:p>
            <w:pPr/>
          </w:p>
        </w:tc>
        <w:tc>
          <w:tcPr>
            <w:tcW w:w="338" w:type="dxa"/>
            <w:vMerge/>
            <w:tcBorders>
              <w:left w:val="single" w:sz="4" w:space="0" w:color="000000"/>
              <w:bottom w:val="single" w:sz="4" w:space="0" w:color="000000"/>
              <w:right w:val="single" w:sz="4" w:space="0" w:color="000000"/>
            </w:tcBorders>
            <w:shd w:val="clear" w:color="auto" w:fill="DCDCDC"/>
          </w:tcPr>
          <w:p>
            <w:pPr/>
          </w:p>
        </w:tc>
        <w:tc>
          <w:tcPr>
            <w:tcW w:w="1001" w:type="dxa"/>
            <w:vMerge/>
            <w:tcBorders>
              <w:left w:val="single" w:sz="4" w:space="0" w:color="000000"/>
              <w:bottom w:val="single" w:sz="4" w:space="0" w:color="000000"/>
              <w:right w:val="single" w:sz="4" w:space="0" w:color="000000"/>
            </w:tcBorders>
            <w:shd w:val="clear" w:color="auto" w:fill="DCDCDC"/>
          </w:tcPr>
          <w:p>
            <w:pPr/>
          </w:p>
        </w:tc>
        <w:tc>
          <w:tcPr>
            <w:tcW w:w="341" w:type="dxa"/>
            <w:vMerge/>
            <w:tcBorders>
              <w:left w:val="single" w:sz="4" w:space="0" w:color="000000"/>
              <w:bottom w:val="single" w:sz="4" w:space="0" w:color="000000"/>
              <w:right w:val="single" w:sz="4" w:space="0" w:color="000000"/>
            </w:tcBorders>
            <w:shd w:val="clear" w:color="auto" w:fill="DCDCDC"/>
          </w:tcPr>
          <w:p>
            <w:pPr/>
          </w:p>
        </w:tc>
        <w:tc>
          <w:tcPr>
            <w:tcW w:w="10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104" w:type="dxa"/>
            <w:tcBorders>
              <w:top w:val="nil" w:sz="6" w:space="0" w:color="auto"/>
              <w:left w:val="single" w:sz="4" w:space="0" w:color="000000"/>
              <w:bottom w:val="single" w:sz="4" w:space="0" w:color="000000"/>
              <w:right w:val="single" w:sz="4" w:space="0" w:color="000000"/>
            </w:tcBorders>
            <w:shd w:val="clear" w:color="auto" w:fill="DCDCDC"/>
          </w:tcPr>
          <w:p>
            <w:pPr/>
          </w:p>
        </w:tc>
        <w:tc>
          <w:tcPr>
            <w:tcW w:w="812"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948" w:hRule="exact"/>
        </w:trPr>
        <w:tc>
          <w:tcPr>
            <w:tcW w:w="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67"/>
              <w:jc w:val="both"/>
              <w:rPr>
                <w:rFonts w:ascii="宋体" w:hAnsi="宋体" w:cs="宋体" w:eastAsia="宋体" w:hint="default"/>
                <w:sz w:val="21"/>
                <w:szCs w:val="21"/>
              </w:rPr>
            </w:pPr>
            <w:r>
              <w:rPr>
                <w:rFonts w:ascii="宋体" w:hAnsi="宋体" w:cs="宋体" w:eastAsia="宋体" w:hint="default"/>
                <w:sz w:val="21"/>
                <w:szCs w:val="21"/>
              </w:rPr>
              <w:t>一、有限</w:t>
            </w:r>
            <w:r>
              <w:rPr>
                <w:rFonts w:ascii="宋体" w:hAnsi="宋体" w:cs="宋体" w:eastAsia="宋体" w:hint="default"/>
                <w:w w:val="100"/>
                <w:sz w:val="21"/>
                <w:szCs w:val="21"/>
              </w:rPr>
              <w:t> </w:t>
            </w:r>
            <w:r>
              <w:rPr>
                <w:rFonts w:ascii="宋体" w:hAnsi="宋体" w:cs="宋体" w:eastAsia="宋体" w:hint="default"/>
                <w:sz w:val="21"/>
                <w:szCs w:val="21"/>
              </w:rPr>
              <w:t>售条件股</w:t>
            </w:r>
            <w:r>
              <w:rPr>
                <w:rFonts w:ascii="宋体" w:hAnsi="宋体" w:cs="宋体" w:eastAsia="宋体" w:hint="default"/>
                <w:w w:val="100"/>
                <w:sz w:val="21"/>
                <w:szCs w:val="21"/>
              </w:rPr>
              <w:t> </w:t>
            </w:r>
            <w:r>
              <w:rPr>
                <w:rFonts w:ascii="宋体" w:hAnsi="宋体" w:cs="宋体" w:eastAsia="宋体" w:hint="default"/>
                <w:sz w:val="21"/>
                <w:szCs w:val="21"/>
              </w:rPr>
              <w:t>份</w:t>
            </w:r>
          </w:p>
        </w:tc>
        <w:tc>
          <w:tcPr>
            <w:tcW w:w="101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8" w:right="0"/>
              <w:jc w:val="left"/>
              <w:rPr>
                <w:rFonts w:ascii="Times New Roman" w:hAnsi="Times New Roman" w:cs="Times New Roman" w:eastAsia="Times New Roman" w:hint="default"/>
                <w:sz w:val="21"/>
                <w:szCs w:val="21"/>
              </w:rPr>
            </w:pPr>
            <w:r>
              <w:rPr>
                <w:rFonts w:ascii="Times New Roman"/>
                <w:sz w:val="21"/>
              </w:rPr>
              <w:t>85,724,482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10" w:right="0"/>
              <w:jc w:val="center"/>
              <w:rPr>
                <w:rFonts w:ascii="Times New Roman" w:hAnsi="Times New Roman" w:cs="Times New Roman" w:eastAsia="Times New Roman" w:hint="default"/>
                <w:sz w:val="21"/>
                <w:szCs w:val="21"/>
              </w:rPr>
            </w:pPr>
            <w:r>
              <w:rPr>
                <w:rFonts w:ascii="Times New Roman"/>
                <w:sz w:val="21"/>
              </w:rPr>
              <w:t>5,993,500</w:t>
            </w:r>
          </w:p>
        </w:tc>
        <w:tc>
          <w:tcPr>
            <w:tcW w:w="3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34,289,792</w:t>
            </w:r>
          </w:p>
        </w:tc>
        <w:tc>
          <w:tcPr>
            <w:tcW w:w="3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40,283,292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126,007,774</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9" w:right="0"/>
              <w:jc w:val="center"/>
              <w:rPr>
                <w:rFonts w:ascii="Times New Roman" w:hAnsi="Times New Roman" w:cs="Times New Roman" w:eastAsia="Times New Roman" w:hint="default"/>
                <w:sz w:val="21"/>
                <w:szCs w:val="21"/>
              </w:rPr>
            </w:pPr>
            <w:r>
              <w:rPr>
                <w:rFonts w:ascii="Times New Roman"/>
                <w:sz w:val="21"/>
              </w:rPr>
              <w:t>75.00%</w:t>
            </w:r>
          </w:p>
        </w:tc>
      </w:tr>
      <w:tr>
        <w:trPr>
          <w:trHeight w:val="634" w:hRule="exact"/>
        </w:trPr>
        <w:tc>
          <w:tcPr>
            <w:tcW w:w="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auto"/>
              <w:ind w:left="11" w:right="7"/>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、国家持</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股</w:t>
            </w:r>
          </w:p>
        </w:tc>
        <w:tc>
          <w:tcPr>
            <w:tcW w:w="1013" w:type="dxa"/>
            <w:tcBorders>
              <w:top w:val="single" w:sz="4" w:space="0" w:color="000000"/>
              <w:left w:val="single" w:sz="10" w:space="0" w:color="DCDCDC"/>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auto"/>
              <w:ind w:left="11" w:right="7"/>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、国有法</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人持股</w:t>
            </w:r>
          </w:p>
        </w:tc>
        <w:tc>
          <w:tcPr>
            <w:tcW w:w="1013" w:type="dxa"/>
            <w:tcBorders>
              <w:top w:val="single" w:sz="4" w:space="0" w:color="000000"/>
              <w:left w:val="single" w:sz="10" w:space="0" w:color="DCDCDC"/>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auto"/>
              <w:ind w:left="11" w:right="7"/>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3</w:t>
            </w:r>
            <w:r>
              <w:rPr>
                <w:rFonts w:ascii="宋体" w:hAnsi="宋体" w:cs="宋体" w:eastAsia="宋体" w:hint="default"/>
                <w:spacing w:val="-10"/>
                <w:sz w:val="21"/>
                <w:szCs w:val="21"/>
              </w:rPr>
              <w:t>、其他内</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资持股</w:t>
            </w:r>
          </w:p>
        </w:tc>
        <w:tc>
          <w:tcPr>
            <w:tcW w:w="101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8" w:right="0"/>
              <w:jc w:val="left"/>
              <w:rPr>
                <w:rFonts w:ascii="Times New Roman" w:hAnsi="Times New Roman" w:cs="Times New Roman" w:eastAsia="Times New Roman" w:hint="default"/>
                <w:sz w:val="21"/>
                <w:szCs w:val="21"/>
              </w:rPr>
            </w:pPr>
            <w:r>
              <w:rPr>
                <w:rFonts w:ascii="Times New Roman"/>
                <w:sz w:val="21"/>
              </w:rPr>
              <w:t>69,670,000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81.27%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0" w:right="0"/>
              <w:jc w:val="center"/>
              <w:rPr>
                <w:rFonts w:ascii="Times New Roman" w:hAnsi="Times New Roman" w:cs="Times New Roman" w:eastAsia="Times New Roman" w:hint="default"/>
                <w:sz w:val="21"/>
                <w:szCs w:val="21"/>
              </w:rPr>
            </w:pPr>
            <w:r>
              <w:rPr>
                <w:rFonts w:ascii="Times New Roman"/>
                <w:sz w:val="21"/>
              </w:rPr>
              <w:t>5,993,500</w:t>
            </w:r>
          </w:p>
        </w:tc>
        <w:tc>
          <w:tcPr>
            <w:tcW w:w="3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27,868,000</w:t>
            </w:r>
          </w:p>
        </w:tc>
        <w:tc>
          <w:tcPr>
            <w:tcW w:w="3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33,861,500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103,531,500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9" w:right="0"/>
              <w:jc w:val="center"/>
              <w:rPr>
                <w:rFonts w:ascii="Times New Roman" w:hAnsi="Times New Roman" w:cs="Times New Roman" w:eastAsia="Times New Roman" w:hint="default"/>
                <w:sz w:val="21"/>
                <w:szCs w:val="21"/>
              </w:rPr>
            </w:pPr>
            <w:r>
              <w:rPr>
                <w:rFonts w:ascii="Times New Roman"/>
                <w:sz w:val="21"/>
              </w:rPr>
              <w:t>61.62%</w:t>
            </w:r>
          </w:p>
        </w:tc>
      </w:tr>
      <w:tr>
        <w:trPr>
          <w:trHeight w:val="946" w:hRule="exact"/>
        </w:trPr>
        <w:tc>
          <w:tcPr>
            <w:tcW w:w="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7" w:firstLine="105"/>
              <w:jc w:val="both"/>
              <w:rPr>
                <w:rFonts w:ascii="宋体" w:hAnsi="宋体" w:cs="宋体" w:eastAsia="宋体" w:hint="default"/>
                <w:sz w:val="21"/>
                <w:szCs w:val="21"/>
              </w:rPr>
            </w:pPr>
            <w:r>
              <w:rPr>
                <w:rFonts w:ascii="宋体" w:hAnsi="宋体" w:cs="宋体" w:eastAsia="宋体" w:hint="default"/>
                <w:spacing w:val="-13"/>
                <w:sz w:val="21"/>
                <w:szCs w:val="21"/>
              </w:rPr>
              <w:t>其中：境</w:t>
            </w:r>
            <w:r>
              <w:rPr>
                <w:rFonts w:ascii="宋体" w:hAnsi="宋体" w:cs="宋体" w:eastAsia="宋体" w:hint="default"/>
                <w:w w:val="100"/>
                <w:sz w:val="21"/>
                <w:szCs w:val="21"/>
              </w:rPr>
              <w:t> </w:t>
            </w:r>
            <w:r>
              <w:rPr>
                <w:rFonts w:ascii="宋体" w:hAnsi="宋体" w:cs="宋体" w:eastAsia="宋体" w:hint="default"/>
                <w:sz w:val="21"/>
                <w:szCs w:val="21"/>
              </w:rPr>
              <w:t>内非国有</w:t>
            </w:r>
            <w:r>
              <w:rPr>
                <w:rFonts w:ascii="宋体" w:hAnsi="宋体" w:cs="宋体" w:eastAsia="宋体" w:hint="default"/>
                <w:w w:val="100"/>
                <w:sz w:val="21"/>
                <w:szCs w:val="21"/>
              </w:rPr>
              <w:t> </w:t>
            </w:r>
            <w:r>
              <w:rPr>
                <w:rFonts w:ascii="宋体" w:hAnsi="宋体" w:cs="宋体" w:eastAsia="宋体" w:hint="default"/>
                <w:sz w:val="21"/>
                <w:szCs w:val="21"/>
              </w:rPr>
              <w:t>法人持股</w:t>
            </w:r>
          </w:p>
        </w:tc>
        <w:tc>
          <w:tcPr>
            <w:tcW w:w="101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8" w:right="0"/>
              <w:jc w:val="left"/>
              <w:rPr>
                <w:rFonts w:ascii="Times New Roman" w:hAnsi="Times New Roman" w:cs="Times New Roman" w:eastAsia="Times New Roman" w:hint="default"/>
                <w:sz w:val="21"/>
                <w:szCs w:val="21"/>
              </w:rPr>
            </w:pPr>
            <w:r>
              <w:rPr>
                <w:rFonts w:ascii="Times New Roman"/>
                <w:sz w:val="21"/>
              </w:rPr>
              <w:t>69,670,000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81.27%</w:t>
            </w:r>
          </w:p>
        </w:tc>
        <w:tc>
          <w:tcPr>
            <w:tcW w:w="1001"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27,868,000</w:t>
            </w:r>
          </w:p>
        </w:tc>
        <w:tc>
          <w:tcPr>
            <w:tcW w:w="3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27,868,000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97,538,000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9" w:right="0"/>
              <w:jc w:val="center"/>
              <w:rPr>
                <w:rFonts w:ascii="Times New Roman" w:hAnsi="Times New Roman" w:cs="Times New Roman" w:eastAsia="Times New Roman" w:hint="default"/>
                <w:sz w:val="21"/>
                <w:szCs w:val="21"/>
              </w:rPr>
            </w:pPr>
            <w:r>
              <w:rPr>
                <w:rFonts w:ascii="Times New Roman"/>
                <w:sz w:val="21"/>
              </w:rPr>
              <w:t>58.06%</w:t>
            </w:r>
          </w:p>
        </w:tc>
      </w:tr>
      <w:tr>
        <w:trPr>
          <w:trHeight w:val="946" w:hRule="exact"/>
        </w:trPr>
        <w:tc>
          <w:tcPr>
            <w:tcW w:w="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67" w:firstLine="525"/>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w w:val="100"/>
                <w:sz w:val="21"/>
                <w:szCs w:val="21"/>
              </w:rPr>
              <w:t> </w:t>
            </w:r>
            <w:r>
              <w:rPr>
                <w:rFonts w:ascii="宋体" w:hAnsi="宋体" w:cs="宋体" w:eastAsia="宋体" w:hint="default"/>
                <w:sz w:val="21"/>
                <w:szCs w:val="21"/>
              </w:rPr>
              <w:t>内自然人</w:t>
            </w:r>
            <w:r>
              <w:rPr>
                <w:rFonts w:ascii="宋体" w:hAnsi="宋体" w:cs="宋体" w:eastAsia="宋体" w:hint="default"/>
                <w:w w:val="100"/>
                <w:sz w:val="21"/>
                <w:szCs w:val="21"/>
              </w:rPr>
              <w:t> </w:t>
            </w:r>
            <w:r>
              <w:rPr>
                <w:rFonts w:ascii="宋体" w:hAnsi="宋体" w:cs="宋体" w:eastAsia="宋体" w:hint="default"/>
                <w:sz w:val="21"/>
                <w:szCs w:val="21"/>
              </w:rPr>
              <w:t>持股</w:t>
            </w:r>
          </w:p>
        </w:tc>
        <w:tc>
          <w:tcPr>
            <w:tcW w:w="1013" w:type="dxa"/>
            <w:tcBorders>
              <w:top w:val="single" w:sz="4" w:space="0" w:color="000000"/>
              <w:left w:val="single" w:sz="10" w:space="0" w:color="DCDCDC"/>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10" w:right="0"/>
              <w:jc w:val="center"/>
              <w:rPr>
                <w:rFonts w:ascii="Times New Roman" w:hAnsi="Times New Roman" w:cs="Times New Roman" w:eastAsia="Times New Roman" w:hint="default"/>
                <w:sz w:val="21"/>
                <w:szCs w:val="21"/>
              </w:rPr>
            </w:pPr>
            <w:r>
              <w:rPr>
                <w:rFonts w:ascii="Times New Roman"/>
                <w:sz w:val="21"/>
              </w:rPr>
              <w:t>5,993,500</w:t>
            </w:r>
          </w:p>
        </w:tc>
        <w:tc>
          <w:tcPr>
            <w:tcW w:w="3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5,993,500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5,993,500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14" w:right="0"/>
              <w:jc w:val="center"/>
              <w:rPr>
                <w:rFonts w:ascii="Times New Roman" w:hAnsi="Times New Roman" w:cs="Times New Roman" w:eastAsia="Times New Roman" w:hint="default"/>
                <w:sz w:val="21"/>
                <w:szCs w:val="21"/>
              </w:rPr>
            </w:pPr>
            <w:r>
              <w:rPr>
                <w:rFonts w:ascii="Times New Roman"/>
                <w:sz w:val="21"/>
              </w:rPr>
              <w:t>3.56%</w:t>
            </w:r>
          </w:p>
        </w:tc>
      </w:tr>
      <w:tr>
        <w:trPr>
          <w:trHeight w:val="636" w:hRule="exact"/>
        </w:trPr>
        <w:tc>
          <w:tcPr>
            <w:tcW w:w="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auto"/>
              <w:ind w:left="11" w:right="7"/>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4</w:t>
            </w:r>
            <w:r>
              <w:rPr>
                <w:rFonts w:ascii="宋体" w:hAnsi="宋体" w:cs="宋体" w:eastAsia="宋体" w:hint="default"/>
                <w:spacing w:val="-10"/>
                <w:sz w:val="21"/>
                <w:szCs w:val="21"/>
              </w:rPr>
              <w:t>、外资持</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股</w:t>
            </w:r>
          </w:p>
        </w:tc>
        <w:tc>
          <w:tcPr>
            <w:tcW w:w="101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8" w:right="0"/>
              <w:jc w:val="left"/>
              <w:rPr>
                <w:rFonts w:ascii="Times New Roman" w:hAnsi="Times New Roman" w:cs="Times New Roman" w:eastAsia="Times New Roman" w:hint="default"/>
                <w:sz w:val="21"/>
                <w:szCs w:val="21"/>
              </w:rPr>
            </w:pPr>
            <w:r>
              <w:rPr>
                <w:rFonts w:ascii="Times New Roman"/>
                <w:sz w:val="21"/>
              </w:rPr>
              <w:t>16,054,482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18.73%</w:t>
            </w:r>
          </w:p>
        </w:tc>
        <w:tc>
          <w:tcPr>
            <w:tcW w:w="1001"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6,421,792</w:t>
            </w:r>
          </w:p>
        </w:tc>
        <w:tc>
          <w:tcPr>
            <w:tcW w:w="3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6,421,792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22,476,274</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9" w:right="0"/>
              <w:jc w:val="center"/>
              <w:rPr>
                <w:rFonts w:ascii="Times New Roman" w:hAnsi="Times New Roman" w:cs="Times New Roman" w:eastAsia="Times New Roman" w:hint="default"/>
                <w:sz w:val="21"/>
                <w:szCs w:val="21"/>
              </w:rPr>
            </w:pPr>
            <w:r>
              <w:rPr>
                <w:rFonts w:ascii="Times New Roman"/>
                <w:sz w:val="21"/>
              </w:rPr>
              <w:t>13.38%</w:t>
            </w:r>
          </w:p>
        </w:tc>
      </w:tr>
      <w:tr>
        <w:trPr>
          <w:trHeight w:val="946" w:hRule="exact"/>
        </w:trPr>
        <w:tc>
          <w:tcPr>
            <w:tcW w:w="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7" w:firstLine="105"/>
              <w:jc w:val="both"/>
              <w:rPr>
                <w:rFonts w:ascii="宋体" w:hAnsi="宋体" w:cs="宋体" w:eastAsia="宋体" w:hint="default"/>
                <w:sz w:val="21"/>
                <w:szCs w:val="21"/>
              </w:rPr>
            </w:pPr>
            <w:r>
              <w:rPr>
                <w:rFonts w:ascii="宋体" w:hAnsi="宋体" w:cs="宋体" w:eastAsia="宋体" w:hint="default"/>
                <w:spacing w:val="-13"/>
                <w:sz w:val="21"/>
                <w:szCs w:val="21"/>
              </w:rPr>
              <w:t>其中：境</w:t>
            </w:r>
            <w:r>
              <w:rPr>
                <w:rFonts w:ascii="宋体" w:hAnsi="宋体" w:cs="宋体" w:eastAsia="宋体" w:hint="default"/>
                <w:w w:val="100"/>
                <w:sz w:val="21"/>
                <w:szCs w:val="21"/>
              </w:rPr>
              <w:t> </w:t>
            </w:r>
            <w:r>
              <w:rPr>
                <w:rFonts w:ascii="宋体" w:hAnsi="宋体" w:cs="宋体" w:eastAsia="宋体" w:hint="default"/>
                <w:sz w:val="21"/>
                <w:szCs w:val="21"/>
              </w:rPr>
              <w:t>外法人持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01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8" w:right="0"/>
              <w:jc w:val="left"/>
              <w:rPr>
                <w:rFonts w:ascii="Times New Roman" w:hAnsi="Times New Roman" w:cs="Times New Roman" w:eastAsia="Times New Roman" w:hint="default"/>
                <w:sz w:val="21"/>
                <w:szCs w:val="21"/>
              </w:rPr>
            </w:pPr>
            <w:r>
              <w:rPr>
                <w:rFonts w:ascii="Times New Roman"/>
                <w:sz w:val="21"/>
              </w:rPr>
              <w:t>16,054,482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18.73%</w:t>
            </w:r>
          </w:p>
        </w:tc>
        <w:tc>
          <w:tcPr>
            <w:tcW w:w="1001"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6,421,792</w:t>
            </w:r>
          </w:p>
        </w:tc>
        <w:tc>
          <w:tcPr>
            <w:tcW w:w="3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6,421,792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22,476,274</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9" w:right="0"/>
              <w:jc w:val="center"/>
              <w:rPr>
                <w:rFonts w:ascii="Times New Roman" w:hAnsi="Times New Roman" w:cs="Times New Roman" w:eastAsia="Times New Roman" w:hint="default"/>
                <w:sz w:val="21"/>
                <w:szCs w:val="21"/>
              </w:rPr>
            </w:pPr>
            <w:r>
              <w:rPr>
                <w:rFonts w:ascii="Times New Roman"/>
                <w:sz w:val="21"/>
              </w:rPr>
              <w:t>13.38%</w:t>
            </w:r>
          </w:p>
        </w:tc>
      </w:tr>
      <w:tr>
        <w:trPr>
          <w:trHeight w:val="946" w:hRule="exact"/>
        </w:trPr>
        <w:tc>
          <w:tcPr>
            <w:tcW w:w="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67" w:firstLine="525"/>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w w:val="100"/>
                <w:sz w:val="21"/>
                <w:szCs w:val="21"/>
              </w:rPr>
              <w:t> </w:t>
            </w:r>
            <w:r>
              <w:rPr>
                <w:rFonts w:ascii="宋体" w:hAnsi="宋体" w:cs="宋体" w:eastAsia="宋体" w:hint="default"/>
                <w:sz w:val="21"/>
                <w:szCs w:val="21"/>
              </w:rPr>
              <w:t>外自然人</w:t>
            </w:r>
            <w:r>
              <w:rPr>
                <w:rFonts w:ascii="宋体" w:hAnsi="宋体" w:cs="宋体" w:eastAsia="宋体" w:hint="default"/>
                <w:w w:val="100"/>
                <w:sz w:val="21"/>
                <w:szCs w:val="21"/>
              </w:rPr>
              <w:t> </w:t>
            </w:r>
            <w:r>
              <w:rPr>
                <w:rFonts w:ascii="宋体" w:hAnsi="宋体" w:cs="宋体" w:eastAsia="宋体" w:hint="default"/>
                <w:sz w:val="21"/>
                <w:szCs w:val="21"/>
              </w:rPr>
              <w:t>持股</w:t>
            </w:r>
          </w:p>
        </w:tc>
        <w:tc>
          <w:tcPr>
            <w:tcW w:w="1013" w:type="dxa"/>
            <w:tcBorders>
              <w:top w:val="single" w:sz="4" w:space="0" w:color="000000"/>
              <w:left w:val="single" w:sz="10" w:space="0" w:color="DCDCDC"/>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auto"/>
              <w:ind w:left="11" w:right="7"/>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5</w:t>
            </w:r>
            <w:r>
              <w:rPr>
                <w:rFonts w:ascii="宋体" w:hAnsi="宋体" w:cs="宋体" w:eastAsia="宋体" w:hint="default"/>
                <w:spacing w:val="-10"/>
                <w:sz w:val="21"/>
                <w:szCs w:val="21"/>
              </w:rPr>
              <w:t>、高管股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份</w:t>
            </w:r>
          </w:p>
        </w:tc>
        <w:tc>
          <w:tcPr>
            <w:tcW w:w="1013" w:type="dxa"/>
            <w:tcBorders>
              <w:top w:val="single" w:sz="4" w:space="0" w:color="000000"/>
              <w:left w:val="single" w:sz="10" w:space="0" w:color="DCDCDC"/>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67"/>
              <w:jc w:val="both"/>
              <w:rPr>
                <w:rFonts w:ascii="宋体" w:hAnsi="宋体" w:cs="宋体" w:eastAsia="宋体" w:hint="default"/>
                <w:sz w:val="21"/>
                <w:szCs w:val="21"/>
              </w:rPr>
            </w:pPr>
            <w:r>
              <w:rPr>
                <w:rFonts w:ascii="宋体" w:hAnsi="宋体" w:cs="宋体" w:eastAsia="宋体" w:hint="default"/>
                <w:sz w:val="21"/>
                <w:szCs w:val="21"/>
              </w:rPr>
              <w:t>二、无限</w:t>
            </w:r>
            <w:r>
              <w:rPr>
                <w:rFonts w:ascii="宋体" w:hAnsi="宋体" w:cs="宋体" w:eastAsia="宋体" w:hint="default"/>
                <w:w w:val="100"/>
                <w:sz w:val="21"/>
                <w:szCs w:val="21"/>
              </w:rPr>
              <w:t> </w:t>
            </w:r>
            <w:r>
              <w:rPr>
                <w:rFonts w:ascii="宋体" w:hAnsi="宋体" w:cs="宋体" w:eastAsia="宋体" w:hint="default"/>
                <w:sz w:val="21"/>
                <w:szCs w:val="21"/>
              </w:rPr>
              <w:t>售条件股</w:t>
            </w:r>
            <w:r>
              <w:rPr>
                <w:rFonts w:ascii="宋体" w:hAnsi="宋体" w:cs="宋体" w:eastAsia="宋体" w:hint="default"/>
                <w:w w:val="100"/>
                <w:sz w:val="21"/>
                <w:szCs w:val="21"/>
              </w:rPr>
              <w:t> </w:t>
            </w:r>
            <w:r>
              <w:rPr>
                <w:rFonts w:ascii="宋体" w:hAnsi="宋体" w:cs="宋体" w:eastAsia="宋体" w:hint="default"/>
                <w:sz w:val="21"/>
                <w:szCs w:val="21"/>
              </w:rPr>
              <w:t>份</w:t>
            </w:r>
          </w:p>
        </w:tc>
        <w:tc>
          <w:tcPr>
            <w:tcW w:w="1013" w:type="dxa"/>
            <w:tcBorders>
              <w:top w:val="single" w:sz="4" w:space="0" w:color="000000"/>
              <w:left w:val="single" w:sz="10" w:space="0" w:color="DCDCDC"/>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30,000,000</w:t>
            </w:r>
          </w:p>
        </w:tc>
        <w:tc>
          <w:tcPr>
            <w:tcW w:w="3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12,000,000</w:t>
            </w:r>
          </w:p>
        </w:tc>
        <w:tc>
          <w:tcPr>
            <w:tcW w:w="3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42,000,000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42,000,000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9" w:right="0"/>
              <w:jc w:val="center"/>
              <w:rPr>
                <w:rFonts w:ascii="Times New Roman" w:hAnsi="Times New Roman" w:cs="Times New Roman" w:eastAsia="Times New Roman" w:hint="default"/>
                <w:sz w:val="21"/>
                <w:szCs w:val="21"/>
              </w:rPr>
            </w:pPr>
            <w:r>
              <w:rPr>
                <w:rFonts w:ascii="Times New Roman"/>
                <w:sz w:val="21"/>
              </w:rPr>
              <w:t>25.00%</w:t>
            </w:r>
          </w:p>
        </w:tc>
      </w:tr>
      <w:tr>
        <w:trPr>
          <w:trHeight w:val="634" w:hRule="exact"/>
        </w:trPr>
        <w:tc>
          <w:tcPr>
            <w:tcW w:w="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auto"/>
              <w:ind w:left="11" w:right="7"/>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、人民币</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普通股</w:t>
            </w:r>
          </w:p>
        </w:tc>
        <w:tc>
          <w:tcPr>
            <w:tcW w:w="1013" w:type="dxa"/>
            <w:tcBorders>
              <w:top w:val="single" w:sz="4" w:space="0" w:color="000000"/>
              <w:left w:val="single" w:sz="10" w:space="0" w:color="DCDCDC"/>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30,000,000</w:t>
            </w:r>
          </w:p>
        </w:tc>
        <w:tc>
          <w:tcPr>
            <w:tcW w:w="3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12,000,000</w:t>
            </w:r>
          </w:p>
        </w:tc>
        <w:tc>
          <w:tcPr>
            <w:tcW w:w="3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42,000,000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42,000,000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9" w:right="0"/>
              <w:jc w:val="center"/>
              <w:rPr>
                <w:rFonts w:ascii="Times New Roman" w:hAnsi="Times New Roman" w:cs="Times New Roman" w:eastAsia="Times New Roman" w:hint="default"/>
                <w:sz w:val="21"/>
                <w:szCs w:val="21"/>
              </w:rPr>
            </w:pPr>
            <w:r>
              <w:rPr>
                <w:rFonts w:ascii="Times New Roman"/>
                <w:sz w:val="21"/>
              </w:rPr>
              <w:t>25.00%</w:t>
            </w:r>
          </w:p>
        </w:tc>
      </w:tr>
      <w:tr>
        <w:trPr>
          <w:trHeight w:val="948" w:hRule="exact"/>
        </w:trPr>
        <w:tc>
          <w:tcPr>
            <w:tcW w:w="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auto"/>
              <w:ind w:left="11" w:right="7"/>
              <w:jc w:val="both"/>
              <w:rPr>
                <w:rFonts w:ascii="宋体" w:hAnsi="宋体" w:cs="宋体" w:eastAsia="宋体" w:hint="default"/>
                <w:sz w:val="21"/>
                <w:szCs w:val="21"/>
              </w:rPr>
            </w:pP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、境内上</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市的外资</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013" w:type="dxa"/>
            <w:tcBorders>
              <w:top w:val="single" w:sz="4" w:space="0" w:color="000000"/>
              <w:left w:val="single" w:sz="10" w:space="0" w:color="DCDCDC"/>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3</w:t>
            </w:r>
            <w:r>
              <w:rPr>
                <w:rFonts w:ascii="宋体" w:hAnsi="宋体" w:cs="宋体" w:eastAsia="宋体" w:hint="default"/>
                <w:spacing w:val="-10"/>
                <w:sz w:val="21"/>
                <w:szCs w:val="21"/>
              </w:rPr>
              <w:t>、境外上</w:t>
            </w:r>
          </w:p>
        </w:tc>
        <w:tc>
          <w:tcPr>
            <w:tcW w:w="1013" w:type="dxa"/>
            <w:tcBorders>
              <w:top w:val="single" w:sz="4" w:space="0" w:color="000000"/>
              <w:left w:val="single" w:sz="10" w:space="0" w:color="DCDCDC"/>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980" w:top="1140" w:bottom="1160" w:left="1660" w:right="1640"/>
        </w:sectPr>
      </w:pPr>
    </w:p>
    <w:p>
      <w:pPr>
        <w:spacing w:line="240" w:lineRule="auto" w:before="6"/>
        <w:rPr>
          <w:rFonts w:ascii="宋体" w:hAnsi="宋体" w:cs="宋体" w:eastAsia="宋体" w:hint="default"/>
          <w:sz w:val="21"/>
          <w:szCs w:val="21"/>
        </w:rPr>
      </w:pPr>
    </w:p>
    <w:tbl>
      <w:tblPr>
        <w:tblW w:w="0" w:type="auto"/>
        <w:jc w:val="left"/>
        <w:tblInd w:w="186" w:type="dxa"/>
        <w:tblLayout w:type="fixed"/>
        <w:tblCellMar>
          <w:top w:w="0" w:type="dxa"/>
          <w:left w:w="0" w:type="dxa"/>
          <w:bottom w:w="0" w:type="dxa"/>
          <w:right w:w="0" w:type="dxa"/>
        </w:tblCellMar>
        <w:tblLook w:val="01E0"/>
      </w:tblPr>
      <w:tblGrid>
        <w:gridCol w:w="958"/>
        <w:gridCol w:w="1001"/>
        <w:gridCol w:w="809"/>
        <w:gridCol w:w="1001"/>
        <w:gridCol w:w="338"/>
        <w:gridCol w:w="1001"/>
        <w:gridCol w:w="341"/>
        <w:gridCol w:w="1001"/>
        <w:gridCol w:w="1104"/>
        <w:gridCol w:w="812"/>
      </w:tblGrid>
      <w:tr>
        <w:trPr>
          <w:trHeight w:val="634" w:hRule="exact"/>
        </w:trPr>
        <w:tc>
          <w:tcPr>
            <w:tcW w:w="9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3" w:right="79"/>
              <w:jc w:val="left"/>
              <w:rPr>
                <w:rFonts w:ascii="宋体" w:hAnsi="宋体" w:cs="宋体" w:eastAsia="宋体" w:hint="default"/>
                <w:sz w:val="21"/>
                <w:szCs w:val="21"/>
              </w:rPr>
            </w:pPr>
            <w:r>
              <w:rPr>
                <w:rFonts w:ascii="宋体" w:hAnsi="宋体" w:cs="宋体" w:eastAsia="宋体" w:hint="default"/>
                <w:sz w:val="21"/>
                <w:szCs w:val="21"/>
              </w:rPr>
              <w:t>市的外资</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00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00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9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3" w:right="79"/>
              <w:jc w:val="left"/>
              <w:rPr>
                <w:rFonts w:ascii="宋体" w:hAnsi="宋体" w:cs="宋体" w:eastAsia="宋体" w:hint="default"/>
                <w:sz w:val="21"/>
                <w:szCs w:val="21"/>
              </w:rPr>
            </w:pPr>
            <w:r>
              <w:rPr>
                <w:rFonts w:ascii="宋体" w:hAnsi="宋体" w:cs="宋体" w:eastAsia="宋体" w:hint="default"/>
                <w:sz w:val="21"/>
                <w:szCs w:val="21"/>
              </w:rPr>
              <w:t>三、股份</w:t>
            </w:r>
            <w:r>
              <w:rPr>
                <w:rFonts w:ascii="宋体" w:hAnsi="宋体" w:cs="宋体" w:eastAsia="宋体" w:hint="default"/>
                <w:w w:val="100"/>
                <w:sz w:val="21"/>
                <w:szCs w:val="21"/>
              </w:rPr>
              <w:t> </w:t>
            </w:r>
            <w:r>
              <w:rPr>
                <w:rFonts w:ascii="宋体" w:hAnsi="宋体" w:cs="宋体" w:eastAsia="宋体" w:hint="default"/>
                <w:sz w:val="21"/>
                <w:szCs w:val="21"/>
              </w:rPr>
              <w:t>总数</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85,724,482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35,993,500</w:t>
            </w:r>
          </w:p>
        </w:tc>
        <w:tc>
          <w:tcPr>
            <w:tcW w:w="3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46,289,792</w:t>
            </w:r>
          </w:p>
        </w:tc>
        <w:tc>
          <w:tcPr>
            <w:tcW w:w="3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82,283,292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168,007,774</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10"/>
        <w:rPr>
          <w:rFonts w:ascii="宋体" w:hAnsi="宋体" w:cs="宋体" w:eastAsia="宋体" w:hint="default"/>
          <w:sz w:val="18"/>
          <w:szCs w:val="18"/>
        </w:rPr>
      </w:pPr>
    </w:p>
    <w:p>
      <w:pPr>
        <w:pStyle w:val="BodyText"/>
        <w:spacing w:line="240" w:lineRule="auto" w:before="26"/>
        <w:ind w:left="220" w:right="3443"/>
        <w:jc w:val="left"/>
      </w:pPr>
      <w:r>
        <w:rPr/>
        <w:t>（二）报告期内限售股份变动情况表</w:t>
      </w:r>
    </w:p>
    <w:p>
      <w:pPr>
        <w:spacing w:line="240" w:lineRule="auto" w:before="10"/>
        <w:rPr>
          <w:rFonts w:ascii="宋体" w:hAnsi="宋体" w:cs="宋体" w:eastAsia="宋体" w:hint="default"/>
          <w:sz w:val="26"/>
          <w:szCs w:val="26"/>
        </w:rPr>
      </w:pPr>
    </w:p>
    <w:tbl>
      <w:tblPr>
        <w:tblW w:w="0" w:type="auto"/>
        <w:jc w:val="left"/>
        <w:tblInd w:w="198" w:type="dxa"/>
        <w:tblLayout w:type="fixed"/>
        <w:tblCellMar>
          <w:top w:w="0" w:type="dxa"/>
          <w:left w:w="0" w:type="dxa"/>
          <w:bottom w:w="0" w:type="dxa"/>
          <w:right w:w="0" w:type="dxa"/>
        </w:tblCellMar>
        <w:tblLook w:val="01E0"/>
      </w:tblPr>
      <w:tblGrid>
        <w:gridCol w:w="1172"/>
        <w:gridCol w:w="1207"/>
        <w:gridCol w:w="1195"/>
        <w:gridCol w:w="1195"/>
        <w:gridCol w:w="1206"/>
        <w:gridCol w:w="1182"/>
        <w:gridCol w:w="1184"/>
      </w:tblGrid>
      <w:tr>
        <w:trPr>
          <w:trHeight w:val="161" w:hRule="exact"/>
        </w:trPr>
        <w:tc>
          <w:tcPr>
            <w:tcW w:w="1172" w:type="dxa"/>
            <w:tcBorders>
              <w:top w:val="single" w:sz="4" w:space="0" w:color="000000"/>
              <w:left w:val="single" w:sz="4" w:space="0" w:color="000000"/>
              <w:bottom w:val="nil" w:sz="6" w:space="0" w:color="auto"/>
              <w:right w:val="single" w:sz="4" w:space="0" w:color="000000"/>
            </w:tcBorders>
            <w:shd w:val="clear" w:color="auto" w:fill="DCDCDC"/>
          </w:tcPr>
          <w:p>
            <w:pPr/>
          </w:p>
        </w:tc>
        <w:tc>
          <w:tcPr>
            <w:tcW w:w="1207"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498" w:right="63" w:hanging="420"/>
              <w:jc w:val="left"/>
              <w:rPr>
                <w:rFonts w:ascii="宋体" w:hAnsi="宋体" w:cs="宋体" w:eastAsia="宋体" w:hint="default"/>
                <w:sz w:val="21"/>
                <w:szCs w:val="21"/>
              </w:rPr>
            </w:pPr>
            <w:r>
              <w:rPr>
                <w:rFonts w:ascii="宋体" w:hAnsi="宋体" w:cs="宋体" w:eastAsia="宋体" w:hint="default"/>
                <w:sz w:val="21"/>
                <w:szCs w:val="21"/>
              </w:rPr>
              <w:t>年初限售股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195"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278" w:right="62" w:hanging="212"/>
              <w:jc w:val="left"/>
              <w:rPr>
                <w:rFonts w:ascii="宋体" w:hAnsi="宋体" w:cs="宋体" w:eastAsia="宋体" w:hint="default"/>
                <w:sz w:val="21"/>
                <w:szCs w:val="21"/>
              </w:rPr>
            </w:pPr>
            <w:r>
              <w:rPr>
                <w:rFonts w:ascii="宋体" w:hAnsi="宋体" w:cs="宋体" w:eastAsia="宋体" w:hint="default"/>
                <w:sz w:val="21"/>
                <w:szCs w:val="21"/>
              </w:rPr>
              <w:t>本年解除限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195"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278" w:right="62" w:hanging="212"/>
              <w:jc w:val="left"/>
              <w:rPr>
                <w:rFonts w:ascii="宋体" w:hAnsi="宋体" w:cs="宋体" w:eastAsia="宋体" w:hint="default"/>
                <w:sz w:val="21"/>
                <w:szCs w:val="21"/>
              </w:rPr>
            </w:pPr>
            <w:r>
              <w:rPr>
                <w:rFonts w:ascii="宋体" w:hAnsi="宋体" w:cs="宋体" w:eastAsia="宋体" w:hint="default"/>
                <w:sz w:val="21"/>
                <w:szCs w:val="21"/>
              </w:rPr>
              <w:t>本年增加限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206"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487" w:right="73" w:hanging="421"/>
              <w:jc w:val="left"/>
              <w:rPr>
                <w:rFonts w:ascii="宋体" w:hAnsi="宋体" w:cs="宋体" w:eastAsia="宋体" w:hint="default"/>
                <w:sz w:val="21"/>
                <w:szCs w:val="21"/>
              </w:rPr>
            </w:pPr>
            <w:r>
              <w:rPr>
                <w:rFonts w:ascii="宋体" w:hAnsi="宋体" w:cs="宋体" w:eastAsia="宋体" w:hint="default"/>
                <w:sz w:val="21"/>
                <w:szCs w:val="21"/>
              </w:rPr>
              <w:t>年末限售股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182" w:type="dxa"/>
            <w:tcBorders>
              <w:top w:val="single" w:sz="4" w:space="0" w:color="000000"/>
              <w:left w:val="single" w:sz="4" w:space="0" w:color="000000"/>
              <w:bottom w:val="nil" w:sz="6" w:space="0" w:color="auto"/>
              <w:right w:val="single" w:sz="4" w:space="0" w:color="000000"/>
            </w:tcBorders>
            <w:shd w:val="clear" w:color="auto" w:fill="DCDCDC"/>
          </w:tcPr>
          <w:p>
            <w:pPr/>
          </w:p>
        </w:tc>
        <w:tc>
          <w:tcPr>
            <w:tcW w:w="1184"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487" w:right="51" w:hanging="421"/>
              <w:jc w:val="left"/>
              <w:rPr>
                <w:rFonts w:ascii="宋体" w:hAnsi="宋体" w:cs="宋体" w:eastAsia="宋体" w:hint="default"/>
                <w:sz w:val="21"/>
                <w:szCs w:val="21"/>
              </w:rPr>
            </w:pPr>
            <w:r>
              <w:rPr>
                <w:rFonts w:ascii="宋体" w:hAnsi="宋体" w:cs="宋体" w:eastAsia="宋体" w:hint="default"/>
                <w:sz w:val="21"/>
                <w:szCs w:val="21"/>
              </w:rPr>
              <w:t>解除限售日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r>
      <w:tr>
        <w:trPr>
          <w:trHeight w:val="312" w:hRule="exact"/>
        </w:trPr>
        <w:tc>
          <w:tcPr>
            <w:tcW w:w="117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207" w:type="dxa"/>
            <w:vMerge/>
            <w:tcBorders>
              <w:left w:val="single" w:sz="4" w:space="0" w:color="000000"/>
              <w:right w:val="single" w:sz="4" w:space="0" w:color="000000"/>
            </w:tcBorders>
            <w:shd w:val="clear" w:color="auto" w:fill="DCDCDC"/>
          </w:tcPr>
          <w:p>
            <w:pPr/>
          </w:p>
        </w:tc>
        <w:tc>
          <w:tcPr>
            <w:tcW w:w="1195" w:type="dxa"/>
            <w:vMerge/>
            <w:tcBorders>
              <w:left w:val="single" w:sz="4" w:space="0" w:color="000000"/>
              <w:right w:val="single" w:sz="4" w:space="0" w:color="000000"/>
            </w:tcBorders>
            <w:shd w:val="clear" w:color="auto" w:fill="DCDCDC"/>
          </w:tcPr>
          <w:p>
            <w:pPr/>
          </w:p>
        </w:tc>
        <w:tc>
          <w:tcPr>
            <w:tcW w:w="1195" w:type="dxa"/>
            <w:vMerge/>
            <w:tcBorders>
              <w:left w:val="single" w:sz="4" w:space="0" w:color="000000"/>
              <w:right w:val="single" w:sz="4" w:space="0" w:color="000000"/>
            </w:tcBorders>
            <w:shd w:val="clear" w:color="auto" w:fill="DCDCDC"/>
          </w:tcPr>
          <w:p>
            <w:pPr/>
          </w:p>
        </w:tc>
        <w:tc>
          <w:tcPr>
            <w:tcW w:w="1206" w:type="dxa"/>
            <w:vMerge/>
            <w:tcBorders>
              <w:left w:val="single" w:sz="4" w:space="0" w:color="000000"/>
              <w:right w:val="single" w:sz="4" w:space="0" w:color="000000"/>
            </w:tcBorders>
            <w:shd w:val="clear" w:color="auto" w:fill="DCDCDC"/>
          </w:tcPr>
          <w:p>
            <w:pPr/>
          </w:p>
        </w:tc>
        <w:tc>
          <w:tcPr>
            <w:tcW w:w="118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8"/>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184" w:type="dxa"/>
            <w:vMerge/>
            <w:tcBorders>
              <w:left w:val="single" w:sz="4" w:space="0" w:color="000000"/>
              <w:right w:val="single" w:sz="4" w:space="0" w:color="000000"/>
            </w:tcBorders>
            <w:shd w:val="clear" w:color="auto" w:fill="DCDCDC"/>
          </w:tcPr>
          <w:p>
            <w:pPr/>
          </w:p>
        </w:tc>
      </w:tr>
      <w:tr>
        <w:trPr>
          <w:trHeight w:val="161" w:hRule="exact"/>
        </w:trPr>
        <w:tc>
          <w:tcPr>
            <w:tcW w:w="1172" w:type="dxa"/>
            <w:tcBorders>
              <w:top w:val="nil" w:sz="6" w:space="0" w:color="auto"/>
              <w:left w:val="single" w:sz="4" w:space="0" w:color="000000"/>
              <w:bottom w:val="single" w:sz="4" w:space="0" w:color="000000"/>
              <w:right w:val="single" w:sz="4" w:space="0" w:color="000000"/>
            </w:tcBorders>
            <w:shd w:val="clear" w:color="auto" w:fill="DCDCDC"/>
          </w:tcPr>
          <w:p>
            <w:pPr/>
          </w:p>
        </w:tc>
        <w:tc>
          <w:tcPr>
            <w:tcW w:w="1207" w:type="dxa"/>
            <w:vMerge/>
            <w:tcBorders>
              <w:left w:val="single" w:sz="4" w:space="0" w:color="000000"/>
              <w:bottom w:val="single" w:sz="4" w:space="0" w:color="000000"/>
              <w:right w:val="single" w:sz="4" w:space="0" w:color="000000"/>
            </w:tcBorders>
            <w:shd w:val="clear" w:color="auto" w:fill="DCDCDC"/>
          </w:tcPr>
          <w:p>
            <w:pPr/>
          </w:p>
        </w:tc>
        <w:tc>
          <w:tcPr>
            <w:tcW w:w="1195" w:type="dxa"/>
            <w:vMerge/>
            <w:tcBorders>
              <w:left w:val="single" w:sz="4" w:space="0" w:color="000000"/>
              <w:bottom w:val="single" w:sz="4" w:space="0" w:color="000000"/>
              <w:right w:val="single" w:sz="4" w:space="0" w:color="000000"/>
            </w:tcBorders>
            <w:shd w:val="clear" w:color="auto" w:fill="DCDCDC"/>
          </w:tcPr>
          <w:p>
            <w:pPr/>
          </w:p>
        </w:tc>
        <w:tc>
          <w:tcPr>
            <w:tcW w:w="1195" w:type="dxa"/>
            <w:vMerge/>
            <w:tcBorders>
              <w:left w:val="single" w:sz="4" w:space="0" w:color="000000"/>
              <w:bottom w:val="single" w:sz="4" w:space="0" w:color="000000"/>
              <w:right w:val="single" w:sz="4" w:space="0" w:color="000000"/>
            </w:tcBorders>
            <w:shd w:val="clear" w:color="auto" w:fill="DCDCDC"/>
          </w:tcPr>
          <w:p>
            <w:pPr/>
          </w:p>
        </w:tc>
        <w:tc>
          <w:tcPr>
            <w:tcW w:w="1206" w:type="dxa"/>
            <w:vMerge/>
            <w:tcBorders>
              <w:left w:val="single" w:sz="4" w:space="0" w:color="000000"/>
              <w:bottom w:val="single" w:sz="4" w:space="0" w:color="000000"/>
              <w:right w:val="single" w:sz="4" w:space="0" w:color="000000"/>
            </w:tcBorders>
            <w:shd w:val="clear" w:color="auto" w:fill="DCDCDC"/>
          </w:tcPr>
          <w:p>
            <w:pPr/>
          </w:p>
        </w:tc>
        <w:tc>
          <w:tcPr>
            <w:tcW w:w="1182" w:type="dxa"/>
            <w:tcBorders>
              <w:top w:val="nil" w:sz="6" w:space="0" w:color="auto"/>
              <w:left w:val="single" w:sz="4" w:space="0" w:color="000000"/>
              <w:bottom w:val="single" w:sz="4" w:space="0" w:color="000000"/>
              <w:right w:val="single" w:sz="4" w:space="0" w:color="000000"/>
            </w:tcBorders>
            <w:shd w:val="clear" w:color="auto" w:fill="DCDCDC"/>
          </w:tcPr>
          <w:p>
            <w:pPr/>
          </w:p>
        </w:tc>
        <w:tc>
          <w:tcPr>
            <w:tcW w:w="1184" w:type="dxa"/>
            <w:vMerge/>
            <w:tcBorders>
              <w:left w:val="single" w:sz="4" w:space="0" w:color="000000"/>
              <w:bottom w:val="single" w:sz="4" w:space="0" w:color="000000"/>
              <w:right w:val="single" w:sz="4" w:space="0" w:color="000000"/>
            </w:tcBorders>
            <w:shd w:val="clear" w:color="auto" w:fill="DCDCDC"/>
          </w:tcPr>
          <w:p>
            <w:pPr/>
          </w:p>
        </w:tc>
      </w:tr>
      <w:tr>
        <w:trPr>
          <w:trHeight w:val="317" w:hRule="exact"/>
        </w:trPr>
        <w:tc>
          <w:tcPr>
            <w:tcW w:w="1172"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55" w:right="51"/>
              <w:jc w:val="center"/>
              <w:rPr>
                <w:rFonts w:ascii="宋体" w:hAnsi="宋体" w:cs="宋体" w:eastAsia="宋体" w:hint="default"/>
                <w:sz w:val="21"/>
                <w:szCs w:val="21"/>
              </w:rPr>
            </w:pPr>
            <w:r>
              <w:rPr>
                <w:rFonts w:ascii="宋体" w:hAnsi="宋体" w:cs="宋体" w:eastAsia="宋体" w:hint="default"/>
                <w:sz w:val="21"/>
                <w:szCs w:val="21"/>
              </w:rPr>
              <w:t>上海迪宣投</w:t>
            </w:r>
            <w:r>
              <w:rPr>
                <w:rFonts w:ascii="宋体" w:hAnsi="宋体" w:cs="宋体" w:eastAsia="宋体" w:hint="default"/>
                <w:w w:val="100"/>
                <w:sz w:val="21"/>
                <w:szCs w:val="21"/>
              </w:rPr>
              <w:t> </w:t>
            </w:r>
            <w:r>
              <w:rPr>
                <w:rFonts w:ascii="宋体" w:hAnsi="宋体" w:cs="宋体" w:eastAsia="宋体" w:hint="default"/>
                <w:sz w:val="21"/>
                <w:szCs w:val="21"/>
              </w:rPr>
              <w:t>资管理有限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07" w:type="dxa"/>
            <w:vMerge w:val="restart"/>
            <w:tcBorders>
              <w:top w:val="single" w:sz="4" w:space="0" w:color="000000"/>
              <w:left w:val="single" w:sz="9" w:space="0" w:color="DCDCDC"/>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23" w:right="0"/>
              <w:jc w:val="left"/>
              <w:rPr>
                <w:rFonts w:ascii="Times New Roman" w:hAnsi="Times New Roman" w:cs="Times New Roman" w:eastAsia="Times New Roman" w:hint="default"/>
                <w:sz w:val="21"/>
                <w:szCs w:val="21"/>
              </w:rPr>
            </w:pPr>
            <w:r>
              <w:rPr>
                <w:rFonts w:ascii="Times New Roman"/>
                <w:sz w:val="21"/>
              </w:rPr>
              <w:t>43,350,000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18" w:right="0"/>
              <w:jc w:val="left"/>
              <w:rPr>
                <w:rFonts w:ascii="Times New Roman" w:hAnsi="Times New Roman" w:cs="Times New Roman" w:eastAsia="Times New Roman" w:hint="default"/>
                <w:sz w:val="21"/>
                <w:szCs w:val="21"/>
              </w:rPr>
            </w:pPr>
            <w:r>
              <w:rPr>
                <w:rFonts w:ascii="Times New Roman"/>
                <w:sz w:val="21"/>
              </w:rPr>
              <w:t>17,340,000</w:t>
            </w:r>
          </w:p>
        </w:tc>
        <w:tc>
          <w:tcPr>
            <w:tcW w:w="1206" w:type="dxa"/>
            <w:vMerge w:val="restart"/>
            <w:tcBorders>
              <w:top w:val="single" w:sz="4" w:space="0" w:color="000000"/>
              <w:left w:val="single" w:sz="4" w:space="0" w:color="000000"/>
              <w:right w:val="single" w:sz="9" w:space="0" w:color="DCDCDC"/>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16" w:right="0"/>
              <w:jc w:val="left"/>
              <w:rPr>
                <w:rFonts w:ascii="Times New Roman" w:hAnsi="Times New Roman" w:cs="Times New Roman" w:eastAsia="Times New Roman" w:hint="default"/>
                <w:sz w:val="21"/>
                <w:szCs w:val="21"/>
              </w:rPr>
            </w:pPr>
            <w:r>
              <w:rPr>
                <w:rFonts w:ascii="Times New Roman"/>
                <w:sz w:val="21"/>
              </w:rPr>
              <w:t>60,690,000</w:t>
            </w:r>
          </w:p>
        </w:tc>
        <w:tc>
          <w:tcPr>
            <w:tcW w:w="1182" w:type="dxa"/>
            <w:tcBorders>
              <w:top w:val="single" w:sz="4" w:space="0" w:color="000000"/>
              <w:left w:val="single" w:sz="4" w:space="0" w:color="000000"/>
              <w:bottom w:val="nil" w:sz="6" w:space="0" w:color="auto"/>
              <w:right w:val="single" w:sz="4" w:space="0" w:color="000000"/>
            </w:tcBorders>
            <w:shd w:val="clear" w:color="auto" w:fill="DCDCDC"/>
          </w:tcPr>
          <w:p>
            <w:pPr/>
          </w:p>
        </w:tc>
        <w:tc>
          <w:tcPr>
            <w:tcW w:w="118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172" w:type="dxa"/>
            <w:vMerge/>
            <w:tcBorders>
              <w:left w:val="single" w:sz="4" w:space="0" w:color="000000"/>
              <w:right w:val="single" w:sz="4" w:space="0" w:color="000000"/>
            </w:tcBorders>
            <w:shd w:val="clear" w:color="auto" w:fill="DCDCDC"/>
          </w:tcPr>
          <w:p>
            <w:pPr/>
          </w:p>
        </w:tc>
        <w:tc>
          <w:tcPr>
            <w:tcW w:w="1207" w:type="dxa"/>
            <w:vMerge/>
            <w:tcBorders>
              <w:left w:val="single" w:sz="9" w:space="0" w:color="DCDCDC"/>
              <w:right w:val="single" w:sz="4" w:space="0" w:color="000000"/>
            </w:tcBorders>
          </w:tcPr>
          <w:p>
            <w:pPr/>
          </w:p>
        </w:tc>
        <w:tc>
          <w:tcPr>
            <w:tcW w:w="1195"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06" w:type="dxa"/>
            <w:vMerge/>
            <w:tcBorders>
              <w:left w:val="single" w:sz="4" w:space="0" w:color="000000"/>
              <w:right w:val="single" w:sz="9" w:space="0" w:color="DCDCDC"/>
            </w:tcBorders>
          </w:tcPr>
          <w:p>
            <w:pPr/>
          </w:p>
        </w:tc>
        <w:tc>
          <w:tcPr>
            <w:tcW w:w="118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8"/>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18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4"/>
              <w:ind w:left="7" w:right="0"/>
              <w:jc w:val="center"/>
              <w:rPr>
                <w:rFonts w:ascii="Times New Roman" w:hAnsi="Times New Roman" w:cs="Times New Roman" w:eastAsia="Times New Roman" w:hint="default"/>
                <w:sz w:val="21"/>
                <w:szCs w:val="21"/>
              </w:rPr>
            </w:pPr>
            <w:r>
              <w:rPr>
                <w:rFonts w:ascii="Times New Roman"/>
                <w:sz w:val="21"/>
              </w:rPr>
              <w:t>2014-2-1</w:t>
            </w:r>
          </w:p>
        </w:tc>
      </w:tr>
      <w:tr>
        <w:trPr>
          <w:trHeight w:val="317" w:hRule="exact"/>
        </w:trPr>
        <w:tc>
          <w:tcPr>
            <w:tcW w:w="1172" w:type="dxa"/>
            <w:vMerge/>
            <w:tcBorders>
              <w:left w:val="single" w:sz="4" w:space="0" w:color="000000"/>
              <w:bottom w:val="single" w:sz="4" w:space="0" w:color="000000"/>
              <w:right w:val="single" w:sz="4" w:space="0" w:color="000000"/>
            </w:tcBorders>
            <w:shd w:val="clear" w:color="auto" w:fill="DCDCDC"/>
          </w:tcPr>
          <w:p>
            <w:pPr/>
          </w:p>
        </w:tc>
        <w:tc>
          <w:tcPr>
            <w:tcW w:w="1207" w:type="dxa"/>
            <w:vMerge/>
            <w:tcBorders>
              <w:left w:val="single" w:sz="9" w:space="0" w:color="DCDCDC"/>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06" w:type="dxa"/>
            <w:vMerge/>
            <w:tcBorders>
              <w:left w:val="single" w:sz="4" w:space="0" w:color="000000"/>
              <w:bottom w:val="single" w:sz="4" w:space="0" w:color="000000"/>
              <w:right w:val="single" w:sz="9" w:space="0" w:color="DCDCDC"/>
            </w:tcBorders>
          </w:tcPr>
          <w:p>
            <w:pPr/>
          </w:p>
        </w:tc>
        <w:tc>
          <w:tcPr>
            <w:tcW w:w="1182" w:type="dxa"/>
            <w:tcBorders>
              <w:top w:val="nil" w:sz="6" w:space="0" w:color="auto"/>
              <w:left w:val="single" w:sz="4" w:space="0" w:color="000000"/>
              <w:bottom w:val="single" w:sz="4" w:space="0" w:color="000000"/>
              <w:right w:val="single" w:sz="4" w:space="0" w:color="000000"/>
            </w:tcBorders>
            <w:shd w:val="clear" w:color="auto" w:fill="DCDCDC"/>
          </w:tcPr>
          <w:p>
            <w:pPr/>
          </w:p>
        </w:tc>
        <w:tc>
          <w:tcPr>
            <w:tcW w:w="118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17" w:hRule="exact"/>
        </w:trPr>
        <w:tc>
          <w:tcPr>
            <w:tcW w:w="1172"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11" w:right="-14"/>
              <w:jc w:val="both"/>
              <w:rPr>
                <w:rFonts w:ascii="宋体" w:hAnsi="宋体" w:cs="宋体" w:eastAsia="宋体" w:hint="default"/>
                <w:sz w:val="21"/>
                <w:szCs w:val="21"/>
              </w:rPr>
            </w:pPr>
            <w:r>
              <w:rPr>
                <w:rFonts w:ascii="宋体" w:hAnsi="宋体" w:cs="宋体" w:eastAsia="宋体" w:hint="default"/>
                <w:spacing w:val="16"/>
                <w:sz w:val="21"/>
                <w:szCs w:val="21"/>
              </w:rPr>
              <w:t>上海得逸投</w:t>
            </w:r>
            <w:r>
              <w:rPr>
                <w:rFonts w:ascii="宋体" w:hAnsi="宋体" w:cs="宋体" w:eastAsia="宋体" w:hint="default"/>
                <w:spacing w:val="-95"/>
                <w:sz w:val="21"/>
                <w:szCs w:val="21"/>
              </w:rPr>
              <w:t> </w:t>
            </w:r>
            <w:r>
              <w:rPr>
                <w:rFonts w:ascii="宋体" w:hAnsi="宋体" w:cs="宋体" w:eastAsia="宋体" w:hint="default"/>
                <w:spacing w:val="16"/>
                <w:sz w:val="21"/>
                <w:szCs w:val="21"/>
              </w:rPr>
              <w:t>资管理有限</w:t>
            </w:r>
            <w:r>
              <w:rPr>
                <w:rFonts w:ascii="宋体" w:hAnsi="宋体" w:cs="宋体" w:eastAsia="宋体" w:hint="default"/>
                <w:spacing w:val="-95"/>
                <w:sz w:val="21"/>
                <w:szCs w:val="21"/>
              </w:rPr>
              <w:t> </w:t>
            </w:r>
            <w:r>
              <w:rPr>
                <w:rFonts w:ascii="宋体" w:hAnsi="宋体" w:cs="宋体" w:eastAsia="宋体" w:hint="default"/>
                <w:sz w:val="21"/>
                <w:szCs w:val="21"/>
              </w:rPr>
              <w:t>公司</w:t>
            </w:r>
          </w:p>
        </w:tc>
        <w:tc>
          <w:tcPr>
            <w:tcW w:w="1207" w:type="dxa"/>
            <w:vMerge w:val="restart"/>
            <w:tcBorders>
              <w:top w:val="single" w:sz="4" w:space="0" w:color="000000"/>
              <w:left w:val="single" w:sz="9" w:space="0" w:color="DCDCDC"/>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23" w:right="0"/>
              <w:jc w:val="left"/>
              <w:rPr>
                <w:rFonts w:ascii="Times New Roman" w:hAnsi="Times New Roman" w:cs="Times New Roman" w:eastAsia="Times New Roman" w:hint="default"/>
                <w:sz w:val="21"/>
                <w:szCs w:val="21"/>
              </w:rPr>
            </w:pPr>
            <w:r>
              <w:rPr>
                <w:rFonts w:ascii="Times New Roman"/>
                <w:sz w:val="21"/>
              </w:rPr>
              <w:t>10,400,000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24" w:right="0"/>
              <w:jc w:val="left"/>
              <w:rPr>
                <w:rFonts w:ascii="Times New Roman" w:hAnsi="Times New Roman" w:cs="Times New Roman" w:eastAsia="Times New Roman" w:hint="default"/>
                <w:sz w:val="21"/>
                <w:szCs w:val="21"/>
              </w:rPr>
            </w:pPr>
            <w:r>
              <w:rPr>
                <w:rFonts w:ascii="Times New Roman"/>
                <w:sz w:val="21"/>
              </w:rPr>
              <w:t>4,160,000</w:t>
            </w:r>
          </w:p>
        </w:tc>
        <w:tc>
          <w:tcPr>
            <w:tcW w:w="1206" w:type="dxa"/>
            <w:vMerge w:val="restart"/>
            <w:tcBorders>
              <w:top w:val="single" w:sz="4" w:space="0" w:color="000000"/>
              <w:left w:val="single" w:sz="4" w:space="0" w:color="000000"/>
              <w:right w:val="single" w:sz="9" w:space="0" w:color="DCDCDC"/>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16" w:right="0"/>
              <w:jc w:val="left"/>
              <w:rPr>
                <w:rFonts w:ascii="Times New Roman" w:hAnsi="Times New Roman" w:cs="Times New Roman" w:eastAsia="Times New Roman" w:hint="default"/>
                <w:sz w:val="21"/>
                <w:szCs w:val="21"/>
              </w:rPr>
            </w:pPr>
            <w:r>
              <w:rPr>
                <w:rFonts w:ascii="Times New Roman"/>
                <w:sz w:val="21"/>
              </w:rPr>
              <w:t>14,560,000</w:t>
            </w:r>
          </w:p>
        </w:tc>
        <w:tc>
          <w:tcPr>
            <w:tcW w:w="1182" w:type="dxa"/>
            <w:tcBorders>
              <w:top w:val="single" w:sz="4" w:space="0" w:color="000000"/>
              <w:left w:val="single" w:sz="4" w:space="0" w:color="000000"/>
              <w:bottom w:val="nil" w:sz="6" w:space="0" w:color="auto"/>
              <w:right w:val="single" w:sz="4" w:space="0" w:color="000000"/>
            </w:tcBorders>
            <w:shd w:val="clear" w:color="auto" w:fill="DCDCDC"/>
          </w:tcPr>
          <w:p>
            <w:pPr/>
          </w:p>
        </w:tc>
        <w:tc>
          <w:tcPr>
            <w:tcW w:w="118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172" w:type="dxa"/>
            <w:vMerge/>
            <w:tcBorders>
              <w:left w:val="single" w:sz="4" w:space="0" w:color="000000"/>
              <w:right w:val="single" w:sz="4" w:space="0" w:color="000000"/>
            </w:tcBorders>
            <w:shd w:val="clear" w:color="auto" w:fill="DCDCDC"/>
          </w:tcPr>
          <w:p>
            <w:pPr/>
          </w:p>
        </w:tc>
        <w:tc>
          <w:tcPr>
            <w:tcW w:w="1207" w:type="dxa"/>
            <w:vMerge/>
            <w:tcBorders>
              <w:left w:val="single" w:sz="9" w:space="0" w:color="DCDCDC"/>
              <w:right w:val="single" w:sz="4" w:space="0" w:color="000000"/>
            </w:tcBorders>
          </w:tcPr>
          <w:p>
            <w:pPr/>
          </w:p>
        </w:tc>
        <w:tc>
          <w:tcPr>
            <w:tcW w:w="1195"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06" w:type="dxa"/>
            <w:vMerge/>
            <w:tcBorders>
              <w:left w:val="single" w:sz="4" w:space="0" w:color="000000"/>
              <w:right w:val="single" w:sz="9" w:space="0" w:color="DCDCDC"/>
            </w:tcBorders>
          </w:tcPr>
          <w:p>
            <w:pPr/>
          </w:p>
        </w:tc>
        <w:tc>
          <w:tcPr>
            <w:tcW w:w="118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8"/>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18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4"/>
              <w:ind w:left="7" w:right="0"/>
              <w:jc w:val="center"/>
              <w:rPr>
                <w:rFonts w:ascii="Times New Roman" w:hAnsi="Times New Roman" w:cs="Times New Roman" w:eastAsia="Times New Roman" w:hint="default"/>
                <w:sz w:val="21"/>
                <w:szCs w:val="21"/>
              </w:rPr>
            </w:pPr>
            <w:r>
              <w:rPr>
                <w:rFonts w:ascii="Times New Roman"/>
                <w:sz w:val="21"/>
              </w:rPr>
              <w:t>2012-2-1</w:t>
            </w:r>
          </w:p>
        </w:tc>
      </w:tr>
      <w:tr>
        <w:trPr>
          <w:trHeight w:val="317" w:hRule="exact"/>
        </w:trPr>
        <w:tc>
          <w:tcPr>
            <w:tcW w:w="1172" w:type="dxa"/>
            <w:vMerge/>
            <w:tcBorders>
              <w:left w:val="single" w:sz="4" w:space="0" w:color="000000"/>
              <w:bottom w:val="single" w:sz="4" w:space="0" w:color="000000"/>
              <w:right w:val="single" w:sz="4" w:space="0" w:color="000000"/>
            </w:tcBorders>
            <w:shd w:val="clear" w:color="auto" w:fill="DCDCDC"/>
          </w:tcPr>
          <w:p>
            <w:pPr/>
          </w:p>
        </w:tc>
        <w:tc>
          <w:tcPr>
            <w:tcW w:w="1207" w:type="dxa"/>
            <w:vMerge/>
            <w:tcBorders>
              <w:left w:val="single" w:sz="9" w:space="0" w:color="DCDCDC"/>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06" w:type="dxa"/>
            <w:vMerge/>
            <w:tcBorders>
              <w:left w:val="single" w:sz="4" w:space="0" w:color="000000"/>
              <w:bottom w:val="single" w:sz="4" w:space="0" w:color="000000"/>
              <w:right w:val="single" w:sz="9" w:space="0" w:color="DCDCDC"/>
            </w:tcBorders>
          </w:tcPr>
          <w:p>
            <w:pPr/>
          </w:p>
        </w:tc>
        <w:tc>
          <w:tcPr>
            <w:tcW w:w="1182" w:type="dxa"/>
            <w:tcBorders>
              <w:top w:val="nil" w:sz="6" w:space="0" w:color="auto"/>
              <w:left w:val="single" w:sz="4" w:space="0" w:color="000000"/>
              <w:bottom w:val="single" w:sz="4" w:space="0" w:color="000000"/>
              <w:right w:val="single" w:sz="4" w:space="0" w:color="000000"/>
            </w:tcBorders>
            <w:shd w:val="clear" w:color="auto" w:fill="DCDCDC"/>
          </w:tcPr>
          <w:p>
            <w:pPr/>
          </w:p>
        </w:tc>
        <w:tc>
          <w:tcPr>
            <w:tcW w:w="118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17" w:hRule="exact"/>
        </w:trPr>
        <w:tc>
          <w:tcPr>
            <w:tcW w:w="1172" w:type="dxa"/>
            <w:vMerge w:val="restart"/>
            <w:tcBorders>
              <w:top w:val="single" w:sz="4" w:space="0" w:color="000000"/>
              <w:left w:val="single" w:sz="4" w:space="0" w:color="000000"/>
              <w:right w:val="single" w:sz="4" w:space="0" w:color="000000"/>
            </w:tcBorders>
            <w:shd w:val="clear" w:color="auto" w:fill="DCDCDC"/>
          </w:tcPr>
          <w:p>
            <w:pPr>
              <w:pStyle w:val="TableParagraph"/>
              <w:spacing w:line="309" w:lineRule="auto" w:before="34"/>
              <w:ind w:left="74" w:right="73" w:firstLine="3"/>
              <w:jc w:val="center"/>
              <w:rPr>
                <w:rFonts w:ascii="Times New Roman" w:hAnsi="Times New Roman" w:cs="Times New Roman" w:eastAsia="Times New Roman" w:hint="default"/>
                <w:sz w:val="21"/>
                <w:szCs w:val="21"/>
              </w:rPr>
            </w:pPr>
            <w:r>
              <w:rPr>
                <w:rFonts w:ascii="Times New Roman"/>
                <w:sz w:val="21"/>
              </w:rPr>
              <w:t>Inspire</w:t>
            </w:r>
            <w:r>
              <w:rPr>
                <w:rFonts w:ascii="Times New Roman"/>
                <w:spacing w:val="-2"/>
                <w:sz w:val="21"/>
              </w:rPr>
              <w:t> </w:t>
            </w:r>
            <w:r>
              <w:rPr>
                <w:rFonts w:ascii="Times New Roman"/>
                <w:sz w:val="21"/>
              </w:rPr>
              <w:t>East</w:t>
            </w:r>
            <w:r>
              <w:rPr>
                <w:rFonts w:ascii="Times New Roman"/>
                <w:w w:val="100"/>
                <w:sz w:val="21"/>
              </w:rPr>
              <w:t> </w:t>
            </w:r>
            <w:r>
              <w:rPr>
                <w:rFonts w:ascii="Times New Roman"/>
                <w:spacing w:val="-1"/>
                <w:sz w:val="21"/>
              </w:rPr>
              <w:t>Investments</w:t>
            </w:r>
            <w:r>
              <w:rPr>
                <w:rFonts w:ascii="Times New Roman"/>
                <w:w w:val="100"/>
                <w:sz w:val="21"/>
              </w:rPr>
              <w:t> </w:t>
            </w:r>
            <w:r>
              <w:rPr>
                <w:rFonts w:ascii="Times New Roman"/>
                <w:sz w:val="21"/>
              </w:rPr>
              <w:t>Limited</w:t>
            </w:r>
          </w:p>
        </w:tc>
        <w:tc>
          <w:tcPr>
            <w:tcW w:w="1207" w:type="dxa"/>
            <w:vMerge w:val="restart"/>
            <w:tcBorders>
              <w:top w:val="single" w:sz="4" w:space="0" w:color="000000"/>
              <w:left w:val="single" w:sz="9" w:space="0" w:color="DCDCDC"/>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28" w:right="0"/>
              <w:jc w:val="left"/>
              <w:rPr>
                <w:rFonts w:ascii="Times New Roman" w:hAnsi="Times New Roman" w:cs="Times New Roman" w:eastAsia="Times New Roman" w:hint="default"/>
                <w:sz w:val="21"/>
                <w:szCs w:val="21"/>
              </w:rPr>
            </w:pPr>
            <w:r>
              <w:rPr>
                <w:rFonts w:ascii="Times New Roman"/>
                <w:sz w:val="21"/>
              </w:rPr>
              <w:t>8,027,241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24" w:right="0"/>
              <w:jc w:val="left"/>
              <w:rPr>
                <w:rFonts w:ascii="Times New Roman" w:hAnsi="Times New Roman" w:cs="Times New Roman" w:eastAsia="Times New Roman" w:hint="default"/>
                <w:sz w:val="21"/>
                <w:szCs w:val="21"/>
              </w:rPr>
            </w:pPr>
            <w:r>
              <w:rPr>
                <w:rFonts w:ascii="Times New Roman"/>
                <w:sz w:val="21"/>
              </w:rPr>
              <w:t>3,210,896</w:t>
            </w:r>
          </w:p>
        </w:tc>
        <w:tc>
          <w:tcPr>
            <w:tcW w:w="1206" w:type="dxa"/>
            <w:vMerge w:val="restart"/>
            <w:tcBorders>
              <w:top w:val="single" w:sz="4" w:space="0" w:color="000000"/>
              <w:left w:val="single" w:sz="4" w:space="0" w:color="000000"/>
              <w:right w:val="single" w:sz="9" w:space="0" w:color="DCDCDC"/>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16" w:right="0"/>
              <w:jc w:val="left"/>
              <w:rPr>
                <w:rFonts w:ascii="Times New Roman" w:hAnsi="Times New Roman" w:cs="Times New Roman" w:eastAsia="Times New Roman" w:hint="default"/>
                <w:sz w:val="21"/>
                <w:szCs w:val="21"/>
              </w:rPr>
            </w:pPr>
            <w:r>
              <w:rPr>
                <w:rFonts w:ascii="Times New Roman"/>
                <w:sz w:val="21"/>
              </w:rPr>
              <w:t>11,238,137</w:t>
            </w:r>
          </w:p>
        </w:tc>
        <w:tc>
          <w:tcPr>
            <w:tcW w:w="1182" w:type="dxa"/>
            <w:tcBorders>
              <w:top w:val="single" w:sz="4" w:space="0" w:color="000000"/>
              <w:left w:val="single" w:sz="4" w:space="0" w:color="000000"/>
              <w:bottom w:val="nil" w:sz="6" w:space="0" w:color="auto"/>
              <w:right w:val="single" w:sz="4" w:space="0" w:color="000000"/>
            </w:tcBorders>
            <w:shd w:val="clear" w:color="auto" w:fill="DCDCDC"/>
          </w:tcPr>
          <w:p>
            <w:pPr/>
          </w:p>
        </w:tc>
        <w:tc>
          <w:tcPr>
            <w:tcW w:w="118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172" w:type="dxa"/>
            <w:vMerge/>
            <w:tcBorders>
              <w:left w:val="single" w:sz="4" w:space="0" w:color="000000"/>
              <w:right w:val="single" w:sz="4" w:space="0" w:color="000000"/>
            </w:tcBorders>
            <w:shd w:val="clear" w:color="auto" w:fill="DCDCDC"/>
          </w:tcPr>
          <w:p>
            <w:pPr/>
          </w:p>
        </w:tc>
        <w:tc>
          <w:tcPr>
            <w:tcW w:w="1207" w:type="dxa"/>
            <w:vMerge/>
            <w:tcBorders>
              <w:left w:val="single" w:sz="9" w:space="0" w:color="DCDCDC"/>
              <w:right w:val="single" w:sz="4" w:space="0" w:color="000000"/>
            </w:tcBorders>
          </w:tcPr>
          <w:p>
            <w:pPr/>
          </w:p>
        </w:tc>
        <w:tc>
          <w:tcPr>
            <w:tcW w:w="1195"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06" w:type="dxa"/>
            <w:vMerge/>
            <w:tcBorders>
              <w:left w:val="single" w:sz="4" w:space="0" w:color="000000"/>
              <w:right w:val="single" w:sz="9" w:space="0" w:color="DCDCDC"/>
            </w:tcBorders>
          </w:tcPr>
          <w:p>
            <w:pPr/>
          </w:p>
        </w:tc>
        <w:tc>
          <w:tcPr>
            <w:tcW w:w="118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8"/>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18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4"/>
              <w:ind w:left="7" w:right="0"/>
              <w:jc w:val="center"/>
              <w:rPr>
                <w:rFonts w:ascii="Times New Roman" w:hAnsi="Times New Roman" w:cs="Times New Roman" w:eastAsia="Times New Roman" w:hint="default"/>
                <w:sz w:val="21"/>
                <w:szCs w:val="21"/>
              </w:rPr>
            </w:pPr>
            <w:r>
              <w:rPr>
                <w:rFonts w:ascii="Times New Roman"/>
                <w:sz w:val="21"/>
              </w:rPr>
              <w:t>2012-2-1</w:t>
            </w:r>
          </w:p>
        </w:tc>
      </w:tr>
      <w:tr>
        <w:trPr>
          <w:trHeight w:val="317" w:hRule="exact"/>
        </w:trPr>
        <w:tc>
          <w:tcPr>
            <w:tcW w:w="1172" w:type="dxa"/>
            <w:vMerge/>
            <w:tcBorders>
              <w:left w:val="single" w:sz="4" w:space="0" w:color="000000"/>
              <w:bottom w:val="single" w:sz="4" w:space="0" w:color="000000"/>
              <w:right w:val="single" w:sz="4" w:space="0" w:color="000000"/>
            </w:tcBorders>
            <w:shd w:val="clear" w:color="auto" w:fill="DCDCDC"/>
          </w:tcPr>
          <w:p>
            <w:pPr/>
          </w:p>
        </w:tc>
        <w:tc>
          <w:tcPr>
            <w:tcW w:w="1207" w:type="dxa"/>
            <w:vMerge/>
            <w:tcBorders>
              <w:left w:val="single" w:sz="9" w:space="0" w:color="DCDCDC"/>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06" w:type="dxa"/>
            <w:vMerge/>
            <w:tcBorders>
              <w:left w:val="single" w:sz="4" w:space="0" w:color="000000"/>
              <w:bottom w:val="single" w:sz="4" w:space="0" w:color="000000"/>
              <w:right w:val="single" w:sz="9" w:space="0" w:color="DCDCDC"/>
            </w:tcBorders>
          </w:tcPr>
          <w:p>
            <w:pPr/>
          </w:p>
        </w:tc>
        <w:tc>
          <w:tcPr>
            <w:tcW w:w="1182" w:type="dxa"/>
            <w:tcBorders>
              <w:top w:val="nil" w:sz="6" w:space="0" w:color="auto"/>
              <w:left w:val="single" w:sz="4" w:space="0" w:color="000000"/>
              <w:bottom w:val="single" w:sz="4" w:space="0" w:color="000000"/>
              <w:right w:val="single" w:sz="4" w:space="0" w:color="000000"/>
            </w:tcBorders>
            <w:shd w:val="clear" w:color="auto" w:fill="DCDCDC"/>
          </w:tcPr>
          <w:p>
            <w:pPr/>
          </w:p>
        </w:tc>
        <w:tc>
          <w:tcPr>
            <w:tcW w:w="118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161" w:hRule="exact"/>
        </w:trPr>
        <w:tc>
          <w:tcPr>
            <w:tcW w:w="1172" w:type="dxa"/>
            <w:vMerge w:val="restart"/>
            <w:tcBorders>
              <w:top w:val="single" w:sz="4" w:space="0" w:color="000000"/>
              <w:left w:val="single" w:sz="4" w:space="0" w:color="000000"/>
              <w:right w:val="single" w:sz="4" w:space="0" w:color="000000"/>
            </w:tcBorders>
            <w:shd w:val="clear" w:color="auto" w:fill="DCDCDC"/>
          </w:tcPr>
          <w:p>
            <w:pPr>
              <w:pStyle w:val="TableParagraph"/>
              <w:spacing w:line="309" w:lineRule="auto" w:before="34"/>
              <w:ind w:left="153" w:right="138" w:hanging="15"/>
              <w:jc w:val="left"/>
              <w:rPr>
                <w:rFonts w:ascii="Times New Roman" w:hAnsi="Times New Roman" w:cs="Times New Roman" w:eastAsia="Times New Roman" w:hint="default"/>
                <w:sz w:val="21"/>
                <w:szCs w:val="21"/>
              </w:rPr>
            </w:pPr>
            <w:r>
              <w:rPr>
                <w:rFonts w:ascii="Times New Roman"/>
                <w:sz w:val="21"/>
              </w:rPr>
              <w:t>The China</w:t>
            </w:r>
            <w:r>
              <w:rPr>
                <w:rFonts w:ascii="Times New Roman"/>
                <w:w w:val="100"/>
                <w:sz w:val="21"/>
              </w:rPr>
              <w:t> </w:t>
            </w:r>
            <w:r>
              <w:rPr>
                <w:rFonts w:ascii="Times New Roman"/>
                <w:sz w:val="21"/>
              </w:rPr>
              <w:t>Fund,</w:t>
            </w:r>
            <w:r>
              <w:rPr>
                <w:rFonts w:ascii="Times New Roman"/>
                <w:spacing w:val="-3"/>
                <w:sz w:val="21"/>
              </w:rPr>
              <w:t> </w:t>
            </w:r>
            <w:r>
              <w:rPr>
                <w:rFonts w:ascii="Times New Roman"/>
                <w:sz w:val="21"/>
              </w:rPr>
              <w:t>Inc.</w:t>
            </w:r>
          </w:p>
        </w:tc>
        <w:tc>
          <w:tcPr>
            <w:tcW w:w="1207" w:type="dxa"/>
            <w:vMerge w:val="restart"/>
            <w:tcBorders>
              <w:top w:val="single" w:sz="4" w:space="0" w:color="000000"/>
              <w:left w:val="single" w:sz="9" w:space="0" w:color="DCDCDC"/>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28" w:right="0"/>
              <w:jc w:val="left"/>
              <w:rPr>
                <w:rFonts w:ascii="Times New Roman" w:hAnsi="Times New Roman" w:cs="Times New Roman" w:eastAsia="Times New Roman" w:hint="default"/>
                <w:sz w:val="21"/>
                <w:szCs w:val="21"/>
              </w:rPr>
            </w:pPr>
            <w:r>
              <w:rPr>
                <w:rFonts w:ascii="Times New Roman"/>
                <w:sz w:val="21"/>
              </w:rPr>
              <w:t>8,027,241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24" w:right="0"/>
              <w:jc w:val="left"/>
              <w:rPr>
                <w:rFonts w:ascii="Times New Roman" w:hAnsi="Times New Roman" w:cs="Times New Roman" w:eastAsia="Times New Roman" w:hint="default"/>
                <w:sz w:val="21"/>
                <w:szCs w:val="21"/>
              </w:rPr>
            </w:pPr>
            <w:r>
              <w:rPr>
                <w:rFonts w:ascii="Times New Roman"/>
                <w:sz w:val="21"/>
              </w:rPr>
              <w:t>3,210,896</w:t>
            </w:r>
          </w:p>
        </w:tc>
        <w:tc>
          <w:tcPr>
            <w:tcW w:w="1206" w:type="dxa"/>
            <w:vMerge w:val="restart"/>
            <w:tcBorders>
              <w:top w:val="single" w:sz="4" w:space="0" w:color="000000"/>
              <w:left w:val="single" w:sz="4" w:space="0" w:color="000000"/>
              <w:right w:val="single" w:sz="9" w:space="0" w:color="DCDCDC"/>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16" w:right="0"/>
              <w:jc w:val="left"/>
              <w:rPr>
                <w:rFonts w:ascii="Times New Roman" w:hAnsi="Times New Roman" w:cs="Times New Roman" w:eastAsia="Times New Roman" w:hint="default"/>
                <w:sz w:val="21"/>
                <w:szCs w:val="21"/>
              </w:rPr>
            </w:pPr>
            <w:r>
              <w:rPr>
                <w:rFonts w:ascii="Times New Roman"/>
                <w:sz w:val="21"/>
              </w:rPr>
              <w:t>11,238,137</w:t>
            </w:r>
          </w:p>
        </w:tc>
        <w:tc>
          <w:tcPr>
            <w:tcW w:w="1182" w:type="dxa"/>
            <w:tcBorders>
              <w:top w:val="single" w:sz="4" w:space="0" w:color="000000"/>
              <w:left w:val="single" w:sz="4" w:space="0" w:color="000000"/>
              <w:bottom w:val="nil" w:sz="6" w:space="0" w:color="auto"/>
              <w:right w:val="single" w:sz="4" w:space="0" w:color="000000"/>
            </w:tcBorders>
            <w:shd w:val="clear" w:color="auto" w:fill="DCDCDC"/>
          </w:tcPr>
          <w:p>
            <w:pPr/>
          </w:p>
        </w:tc>
        <w:tc>
          <w:tcPr>
            <w:tcW w:w="118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172" w:type="dxa"/>
            <w:vMerge/>
            <w:tcBorders>
              <w:left w:val="single" w:sz="4" w:space="0" w:color="000000"/>
              <w:right w:val="single" w:sz="4" w:space="0" w:color="000000"/>
            </w:tcBorders>
            <w:shd w:val="clear" w:color="auto" w:fill="DCDCDC"/>
          </w:tcPr>
          <w:p>
            <w:pPr/>
          </w:p>
        </w:tc>
        <w:tc>
          <w:tcPr>
            <w:tcW w:w="1207" w:type="dxa"/>
            <w:vMerge/>
            <w:tcBorders>
              <w:left w:val="single" w:sz="9" w:space="0" w:color="DCDCDC"/>
              <w:right w:val="single" w:sz="4" w:space="0" w:color="000000"/>
            </w:tcBorders>
          </w:tcPr>
          <w:p>
            <w:pPr/>
          </w:p>
        </w:tc>
        <w:tc>
          <w:tcPr>
            <w:tcW w:w="1195"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06" w:type="dxa"/>
            <w:vMerge/>
            <w:tcBorders>
              <w:left w:val="single" w:sz="4" w:space="0" w:color="000000"/>
              <w:right w:val="single" w:sz="9" w:space="0" w:color="DCDCDC"/>
            </w:tcBorders>
          </w:tcPr>
          <w:p>
            <w:pPr/>
          </w:p>
        </w:tc>
        <w:tc>
          <w:tcPr>
            <w:tcW w:w="118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8"/>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18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4"/>
              <w:ind w:left="7" w:right="0"/>
              <w:jc w:val="center"/>
              <w:rPr>
                <w:rFonts w:ascii="Times New Roman" w:hAnsi="Times New Roman" w:cs="Times New Roman" w:eastAsia="Times New Roman" w:hint="default"/>
                <w:sz w:val="21"/>
                <w:szCs w:val="21"/>
              </w:rPr>
            </w:pPr>
            <w:r>
              <w:rPr>
                <w:rFonts w:ascii="Times New Roman"/>
                <w:sz w:val="21"/>
              </w:rPr>
              <w:t>2012-2-1</w:t>
            </w:r>
          </w:p>
        </w:tc>
      </w:tr>
      <w:tr>
        <w:trPr>
          <w:trHeight w:val="161" w:hRule="exact"/>
        </w:trPr>
        <w:tc>
          <w:tcPr>
            <w:tcW w:w="1172" w:type="dxa"/>
            <w:vMerge/>
            <w:tcBorders>
              <w:left w:val="single" w:sz="4" w:space="0" w:color="000000"/>
              <w:bottom w:val="single" w:sz="4" w:space="0" w:color="000000"/>
              <w:right w:val="single" w:sz="4" w:space="0" w:color="000000"/>
            </w:tcBorders>
            <w:shd w:val="clear" w:color="auto" w:fill="DCDCDC"/>
          </w:tcPr>
          <w:p>
            <w:pPr/>
          </w:p>
        </w:tc>
        <w:tc>
          <w:tcPr>
            <w:tcW w:w="1207" w:type="dxa"/>
            <w:vMerge/>
            <w:tcBorders>
              <w:left w:val="single" w:sz="9" w:space="0" w:color="DCDCDC"/>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06" w:type="dxa"/>
            <w:vMerge/>
            <w:tcBorders>
              <w:left w:val="single" w:sz="4" w:space="0" w:color="000000"/>
              <w:bottom w:val="single" w:sz="4" w:space="0" w:color="000000"/>
              <w:right w:val="single" w:sz="9" w:space="0" w:color="DCDCDC"/>
            </w:tcBorders>
          </w:tcPr>
          <w:p>
            <w:pPr/>
          </w:p>
        </w:tc>
        <w:tc>
          <w:tcPr>
            <w:tcW w:w="1182" w:type="dxa"/>
            <w:tcBorders>
              <w:top w:val="nil" w:sz="6" w:space="0" w:color="auto"/>
              <w:left w:val="single" w:sz="4" w:space="0" w:color="000000"/>
              <w:bottom w:val="single" w:sz="4" w:space="0" w:color="000000"/>
              <w:right w:val="single" w:sz="4" w:space="0" w:color="000000"/>
            </w:tcBorders>
            <w:shd w:val="clear" w:color="auto" w:fill="DCDCDC"/>
          </w:tcPr>
          <w:p>
            <w:pPr/>
          </w:p>
        </w:tc>
        <w:tc>
          <w:tcPr>
            <w:tcW w:w="118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19" w:hRule="exact"/>
        </w:trPr>
        <w:tc>
          <w:tcPr>
            <w:tcW w:w="1172"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55" w:right="51"/>
              <w:jc w:val="center"/>
              <w:rPr>
                <w:rFonts w:ascii="宋体" w:hAnsi="宋体" w:cs="宋体" w:eastAsia="宋体" w:hint="default"/>
                <w:sz w:val="21"/>
                <w:szCs w:val="21"/>
              </w:rPr>
            </w:pPr>
            <w:r>
              <w:rPr>
                <w:rFonts w:ascii="宋体" w:hAnsi="宋体" w:cs="宋体" w:eastAsia="宋体" w:hint="default"/>
                <w:sz w:val="21"/>
                <w:szCs w:val="21"/>
              </w:rPr>
              <w:t>上海得帆投</w:t>
            </w:r>
            <w:r>
              <w:rPr>
                <w:rFonts w:ascii="宋体" w:hAnsi="宋体" w:cs="宋体" w:eastAsia="宋体" w:hint="default"/>
                <w:w w:val="100"/>
                <w:sz w:val="21"/>
                <w:szCs w:val="21"/>
              </w:rPr>
              <w:t> </w:t>
            </w:r>
            <w:r>
              <w:rPr>
                <w:rFonts w:ascii="宋体" w:hAnsi="宋体" w:cs="宋体" w:eastAsia="宋体" w:hint="default"/>
                <w:sz w:val="21"/>
                <w:szCs w:val="21"/>
              </w:rPr>
              <w:t>资管理有限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07" w:type="dxa"/>
            <w:vMerge w:val="restart"/>
            <w:tcBorders>
              <w:top w:val="single" w:sz="4" w:space="0" w:color="000000"/>
              <w:left w:val="single" w:sz="9" w:space="0" w:color="DCDCDC"/>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28" w:right="0"/>
              <w:jc w:val="left"/>
              <w:rPr>
                <w:rFonts w:ascii="Times New Roman" w:hAnsi="Times New Roman" w:cs="Times New Roman" w:eastAsia="Times New Roman" w:hint="default"/>
                <w:sz w:val="21"/>
                <w:szCs w:val="21"/>
              </w:rPr>
            </w:pPr>
            <w:r>
              <w:rPr>
                <w:rFonts w:ascii="Times New Roman"/>
                <w:sz w:val="21"/>
              </w:rPr>
              <w:t>6,510,000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24" w:right="0"/>
              <w:jc w:val="left"/>
              <w:rPr>
                <w:rFonts w:ascii="Times New Roman" w:hAnsi="Times New Roman" w:cs="Times New Roman" w:eastAsia="Times New Roman" w:hint="default"/>
                <w:sz w:val="21"/>
                <w:szCs w:val="21"/>
              </w:rPr>
            </w:pPr>
            <w:r>
              <w:rPr>
                <w:rFonts w:ascii="Times New Roman"/>
                <w:sz w:val="21"/>
              </w:rPr>
              <w:t>2,604,000</w:t>
            </w:r>
          </w:p>
        </w:tc>
        <w:tc>
          <w:tcPr>
            <w:tcW w:w="1206" w:type="dxa"/>
            <w:vMerge w:val="restart"/>
            <w:tcBorders>
              <w:top w:val="single" w:sz="4" w:space="0" w:color="000000"/>
              <w:left w:val="single" w:sz="4" w:space="0" w:color="000000"/>
              <w:right w:val="single" w:sz="9" w:space="0" w:color="DCDCDC"/>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21" w:right="0"/>
              <w:jc w:val="left"/>
              <w:rPr>
                <w:rFonts w:ascii="Times New Roman" w:hAnsi="Times New Roman" w:cs="Times New Roman" w:eastAsia="Times New Roman" w:hint="default"/>
                <w:sz w:val="21"/>
                <w:szCs w:val="21"/>
              </w:rPr>
            </w:pPr>
            <w:r>
              <w:rPr>
                <w:rFonts w:ascii="Times New Roman"/>
                <w:sz w:val="21"/>
              </w:rPr>
              <w:t>9,114,000</w:t>
            </w:r>
          </w:p>
        </w:tc>
        <w:tc>
          <w:tcPr>
            <w:tcW w:w="1182" w:type="dxa"/>
            <w:tcBorders>
              <w:top w:val="single" w:sz="4" w:space="0" w:color="000000"/>
              <w:left w:val="single" w:sz="4" w:space="0" w:color="000000"/>
              <w:bottom w:val="nil" w:sz="6" w:space="0" w:color="auto"/>
              <w:right w:val="single" w:sz="4" w:space="0" w:color="000000"/>
            </w:tcBorders>
            <w:shd w:val="clear" w:color="auto" w:fill="DCDCDC"/>
          </w:tcPr>
          <w:p>
            <w:pPr/>
          </w:p>
        </w:tc>
        <w:tc>
          <w:tcPr>
            <w:tcW w:w="118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172" w:type="dxa"/>
            <w:vMerge/>
            <w:tcBorders>
              <w:left w:val="single" w:sz="4" w:space="0" w:color="000000"/>
              <w:right w:val="single" w:sz="4" w:space="0" w:color="000000"/>
            </w:tcBorders>
            <w:shd w:val="clear" w:color="auto" w:fill="DCDCDC"/>
          </w:tcPr>
          <w:p>
            <w:pPr/>
          </w:p>
        </w:tc>
        <w:tc>
          <w:tcPr>
            <w:tcW w:w="1207" w:type="dxa"/>
            <w:vMerge/>
            <w:tcBorders>
              <w:left w:val="single" w:sz="9" w:space="0" w:color="DCDCDC"/>
              <w:right w:val="single" w:sz="4" w:space="0" w:color="000000"/>
            </w:tcBorders>
          </w:tcPr>
          <w:p>
            <w:pPr/>
          </w:p>
        </w:tc>
        <w:tc>
          <w:tcPr>
            <w:tcW w:w="1195"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06" w:type="dxa"/>
            <w:vMerge/>
            <w:tcBorders>
              <w:left w:val="single" w:sz="4" w:space="0" w:color="000000"/>
              <w:right w:val="single" w:sz="9" w:space="0" w:color="DCDCDC"/>
            </w:tcBorders>
          </w:tcPr>
          <w:p>
            <w:pPr/>
          </w:p>
        </w:tc>
        <w:tc>
          <w:tcPr>
            <w:tcW w:w="118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8"/>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18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4"/>
              <w:ind w:left="7" w:right="0"/>
              <w:jc w:val="center"/>
              <w:rPr>
                <w:rFonts w:ascii="Times New Roman" w:hAnsi="Times New Roman" w:cs="Times New Roman" w:eastAsia="Times New Roman" w:hint="default"/>
                <w:sz w:val="21"/>
                <w:szCs w:val="21"/>
              </w:rPr>
            </w:pPr>
            <w:r>
              <w:rPr>
                <w:rFonts w:ascii="Times New Roman"/>
                <w:sz w:val="21"/>
              </w:rPr>
              <w:t>2012-2-1</w:t>
            </w:r>
          </w:p>
        </w:tc>
      </w:tr>
      <w:tr>
        <w:trPr>
          <w:trHeight w:val="317" w:hRule="exact"/>
        </w:trPr>
        <w:tc>
          <w:tcPr>
            <w:tcW w:w="1172" w:type="dxa"/>
            <w:vMerge/>
            <w:tcBorders>
              <w:left w:val="single" w:sz="4" w:space="0" w:color="000000"/>
              <w:bottom w:val="single" w:sz="4" w:space="0" w:color="000000"/>
              <w:right w:val="single" w:sz="4" w:space="0" w:color="000000"/>
            </w:tcBorders>
            <w:shd w:val="clear" w:color="auto" w:fill="DCDCDC"/>
          </w:tcPr>
          <w:p>
            <w:pPr/>
          </w:p>
        </w:tc>
        <w:tc>
          <w:tcPr>
            <w:tcW w:w="1207" w:type="dxa"/>
            <w:vMerge/>
            <w:tcBorders>
              <w:left w:val="single" w:sz="9" w:space="0" w:color="DCDCDC"/>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06" w:type="dxa"/>
            <w:vMerge/>
            <w:tcBorders>
              <w:left w:val="single" w:sz="4" w:space="0" w:color="000000"/>
              <w:bottom w:val="single" w:sz="4" w:space="0" w:color="000000"/>
              <w:right w:val="single" w:sz="9" w:space="0" w:color="DCDCDC"/>
            </w:tcBorders>
          </w:tcPr>
          <w:p>
            <w:pPr/>
          </w:p>
        </w:tc>
        <w:tc>
          <w:tcPr>
            <w:tcW w:w="1182" w:type="dxa"/>
            <w:tcBorders>
              <w:top w:val="nil" w:sz="6" w:space="0" w:color="auto"/>
              <w:left w:val="single" w:sz="4" w:space="0" w:color="000000"/>
              <w:bottom w:val="single" w:sz="4" w:space="0" w:color="000000"/>
              <w:right w:val="single" w:sz="4" w:space="0" w:color="000000"/>
            </w:tcBorders>
            <w:shd w:val="clear" w:color="auto" w:fill="DCDCDC"/>
          </w:tcPr>
          <w:p>
            <w:pPr/>
          </w:p>
        </w:tc>
        <w:tc>
          <w:tcPr>
            <w:tcW w:w="118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17" w:hRule="exact"/>
        </w:trPr>
        <w:tc>
          <w:tcPr>
            <w:tcW w:w="1172"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55" w:right="51"/>
              <w:jc w:val="center"/>
              <w:rPr>
                <w:rFonts w:ascii="宋体" w:hAnsi="宋体" w:cs="宋体" w:eastAsia="宋体" w:hint="default"/>
                <w:sz w:val="21"/>
                <w:szCs w:val="21"/>
              </w:rPr>
            </w:pPr>
            <w:r>
              <w:rPr>
                <w:rFonts w:ascii="宋体" w:hAnsi="宋体" w:cs="宋体" w:eastAsia="宋体" w:hint="default"/>
                <w:sz w:val="21"/>
                <w:szCs w:val="21"/>
              </w:rPr>
              <w:t>上海得拓投</w:t>
            </w:r>
            <w:r>
              <w:rPr>
                <w:rFonts w:ascii="宋体" w:hAnsi="宋体" w:cs="宋体" w:eastAsia="宋体" w:hint="default"/>
                <w:w w:val="100"/>
                <w:sz w:val="21"/>
                <w:szCs w:val="21"/>
              </w:rPr>
              <w:t> </w:t>
            </w:r>
            <w:r>
              <w:rPr>
                <w:rFonts w:ascii="宋体" w:hAnsi="宋体" w:cs="宋体" w:eastAsia="宋体" w:hint="default"/>
                <w:sz w:val="21"/>
                <w:szCs w:val="21"/>
              </w:rPr>
              <w:t>资管理有限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07" w:type="dxa"/>
            <w:vMerge w:val="restart"/>
            <w:tcBorders>
              <w:top w:val="single" w:sz="4" w:space="0" w:color="000000"/>
              <w:left w:val="single" w:sz="9" w:space="0" w:color="DCDCDC"/>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28" w:right="0"/>
              <w:jc w:val="left"/>
              <w:rPr>
                <w:rFonts w:ascii="Times New Roman" w:hAnsi="Times New Roman" w:cs="Times New Roman" w:eastAsia="Times New Roman" w:hint="default"/>
                <w:sz w:val="21"/>
                <w:szCs w:val="21"/>
              </w:rPr>
            </w:pPr>
            <w:r>
              <w:rPr>
                <w:rFonts w:ascii="Times New Roman"/>
                <w:sz w:val="21"/>
              </w:rPr>
              <w:t>4,925,000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24" w:right="0"/>
              <w:jc w:val="left"/>
              <w:rPr>
                <w:rFonts w:ascii="Times New Roman" w:hAnsi="Times New Roman" w:cs="Times New Roman" w:eastAsia="Times New Roman" w:hint="default"/>
                <w:sz w:val="21"/>
                <w:szCs w:val="21"/>
              </w:rPr>
            </w:pPr>
            <w:r>
              <w:rPr>
                <w:rFonts w:ascii="Times New Roman"/>
                <w:sz w:val="21"/>
              </w:rPr>
              <w:t>1,970,000</w:t>
            </w:r>
          </w:p>
        </w:tc>
        <w:tc>
          <w:tcPr>
            <w:tcW w:w="1206" w:type="dxa"/>
            <w:vMerge w:val="restart"/>
            <w:tcBorders>
              <w:top w:val="single" w:sz="4" w:space="0" w:color="000000"/>
              <w:left w:val="single" w:sz="4" w:space="0" w:color="000000"/>
              <w:right w:val="single" w:sz="9" w:space="0" w:color="DCDCDC"/>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21" w:right="0"/>
              <w:jc w:val="left"/>
              <w:rPr>
                <w:rFonts w:ascii="Times New Roman" w:hAnsi="Times New Roman" w:cs="Times New Roman" w:eastAsia="Times New Roman" w:hint="default"/>
                <w:sz w:val="21"/>
                <w:szCs w:val="21"/>
              </w:rPr>
            </w:pPr>
            <w:r>
              <w:rPr>
                <w:rFonts w:ascii="Times New Roman"/>
                <w:sz w:val="21"/>
              </w:rPr>
              <w:t>6,895,000</w:t>
            </w:r>
          </w:p>
        </w:tc>
        <w:tc>
          <w:tcPr>
            <w:tcW w:w="1182" w:type="dxa"/>
            <w:tcBorders>
              <w:top w:val="single" w:sz="4" w:space="0" w:color="000000"/>
              <w:left w:val="single" w:sz="4" w:space="0" w:color="000000"/>
              <w:bottom w:val="nil" w:sz="6" w:space="0" w:color="auto"/>
              <w:right w:val="single" w:sz="4" w:space="0" w:color="000000"/>
            </w:tcBorders>
            <w:shd w:val="clear" w:color="auto" w:fill="DCDCDC"/>
          </w:tcPr>
          <w:p>
            <w:pPr/>
          </w:p>
        </w:tc>
        <w:tc>
          <w:tcPr>
            <w:tcW w:w="118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172" w:type="dxa"/>
            <w:vMerge/>
            <w:tcBorders>
              <w:left w:val="single" w:sz="4" w:space="0" w:color="000000"/>
              <w:right w:val="single" w:sz="4" w:space="0" w:color="000000"/>
            </w:tcBorders>
            <w:shd w:val="clear" w:color="auto" w:fill="DCDCDC"/>
          </w:tcPr>
          <w:p>
            <w:pPr/>
          </w:p>
        </w:tc>
        <w:tc>
          <w:tcPr>
            <w:tcW w:w="1207" w:type="dxa"/>
            <w:vMerge/>
            <w:tcBorders>
              <w:left w:val="single" w:sz="9" w:space="0" w:color="DCDCDC"/>
              <w:right w:val="single" w:sz="4" w:space="0" w:color="000000"/>
            </w:tcBorders>
          </w:tcPr>
          <w:p>
            <w:pPr/>
          </w:p>
        </w:tc>
        <w:tc>
          <w:tcPr>
            <w:tcW w:w="1195"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06" w:type="dxa"/>
            <w:vMerge/>
            <w:tcBorders>
              <w:left w:val="single" w:sz="4" w:space="0" w:color="000000"/>
              <w:right w:val="single" w:sz="9" w:space="0" w:color="DCDCDC"/>
            </w:tcBorders>
          </w:tcPr>
          <w:p>
            <w:pPr/>
          </w:p>
        </w:tc>
        <w:tc>
          <w:tcPr>
            <w:tcW w:w="118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3" w:lineRule="exact"/>
              <w:ind w:right="8"/>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18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4"/>
              <w:ind w:left="7" w:right="0"/>
              <w:jc w:val="center"/>
              <w:rPr>
                <w:rFonts w:ascii="Times New Roman" w:hAnsi="Times New Roman" w:cs="Times New Roman" w:eastAsia="Times New Roman" w:hint="default"/>
                <w:sz w:val="21"/>
                <w:szCs w:val="21"/>
              </w:rPr>
            </w:pPr>
            <w:r>
              <w:rPr>
                <w:rFonts w:ascii="Times New Roman"/>
                <w:sz w:val="21"/>
              </w:rPr>
              <w:t>2012-2-1</w:t>
            </w:r>
          </w:p>
        </w:tc>
      </w:tr>
      <w:tr>
        <w:trPr>
          <w:trHeight w:val="317" w:hRule="exact"/>
        </w:trPr>
        <w:tc>
          <w:tcPr>
            <w:tcW w:w="1172" w:type="dxa"/>
            <w:vMerge/>
            <w:tcBorders>
              <w:left w:val="single" w:sz="4" w:space="0" w:color="000000"/>
              <w:bottom w:val="single" w:sz="4" w:space="0" w:color="000000"/>
              <w:right w:val="single" w:sz="4" w:space="0" w:color="000000"/>
            </w:tcBorders>
            <w:shd w:val="clear" w:color="auto" w:fill="DCDCDC"/>
          </w:tcPr>
          <w:p>
            <w:pPr/>
          </w:p>
        </w:tc>
        <w:tc>
          <w:tcPr>
            <w:tcW w:w="1207" w:type="dxa"/>
            <w:vMerge/>
            <w:tcBorders>
              <w:left w:val="single" w:sz="9" w:space="0" w:color="DCDCDC"/>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06" w:type="dxa"/>
            <w:vMerge/>
            <w:tcBorders>
              <w:left w:val="single" w:sz="4" w:space="0" w:color="000000"/>
              <w:bottom w:val="single" w:sz="4" w:space="0" w:color="000000"/>
              <w:right w:val="single" w:sz="9" w:space="0" w:color="DCDCDC"/>
            </w:tcBorders>
          </w:tcPr>
          <w:p>
            <w:pPr/>
          </w:p>
        </w:tc>
        <w:tc>
          <w:tcPr>
            <w:tcW w:w="1182" w:type="dxa"/>
            <w:tcBorders>
              <w:top w:val="nil" w:sz="6" w:space="0" w:color="auto"/>
              <w:left w:val="single" w:sz="4" w:space="0" w:color="000000"/>
              <w:bottom w:val="single" w:sz="4" w:space="0" w:color="000000"/>
              <w:right w:val="single" w:sz="4" w:space="0" w:color="000000"/>
            </w:tcBorders>
            <w:shd w:val="clear" w:color="auto" w:fill="DCDCDC"/>
          </w:tcPr>
          <w:p>
            <w:pPr/>
          </w:p>
        </w:tc>
        <w:tc>
          <w:tcPr>
            <w:tcW w:w="118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17" w:hRule="exact"/>
        </w:trPr>
        <w:tc>
          <w:tcPr>
            <w:tcW w:w="1172"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55" w:right="51"/>
              <w:jc w:val="center"/>
              <w:rPr>
                <w:rFonts w:ascii="宋体" w:hAnsi="宋体" w:cs="宋体" w:eastAsia="宋体" w:hint="default"/>
                <w:sz w:val="21"/>
                <w:szCs w:val="21"/>
              </w:rPr>
            </w:pPr>
            <w:r>
              <w:rPr>
                <w:rFonts w:ascii="宋体" w:hAnsi="宋体" w:cs="宋体" w:eastAsia="宋体" w:hint="default"/>
                <w:sz w:val="21"/>
                <w:szCs w:val="21"/>
              </w:rPr>
              <w:t>上海得竞投</w:t>
            </w:r>
            <w:r>
              <w:rPr>
                <w:rFonts w:ascii="宋体" w:hAnsi="宋体" w:cs="宋体" w:eastAsia="宋体" w:hint="default"/>
                <w:w w:val="100"/>
                <w:sz w:val="21"/>
                <w:szCs w:val="21"/>
              </w:rPr>
              <w:t> </w:t>
            </w:r>
            <w:r>
              <w:rPr>
                <w:rFonts w:ascii="宋体" w:hAnsi="宋体" w:cs="宋体" w:eastAsia="宋体" w:hint="default"/>
                <w:sz w:val="21"/>
                <w:szCs w:val="21"/>
              </w:rPr>
              <w:t>资管理有限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07" w:type="dxa"/>
            <w:vMerge w:val="restart"/>
            <w:tcBorders>
              <w:top w:val="single" w:sz="4" w:space="0" w:color="000000"/>
              <w:left w:val="single" w:sz="9" w:space="0" w:color="DCDCDC"/>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28" w:right="0"/>
              <w:jc w:val="left"/>
              <w:rPr>
                <w:rFonts w:ascii="Times New Roman" w:hAnsi="Times New Roman" w:cs="Times New Roman" w:eastAsia="Times New Roman" w:hint="default"/>
                <w:sz w:val="21"/>
                <w:szCs w:val="21"/>
              </w:rPr>
            </w:pPr>
            <w:r>
              <w:rPr>
                <w:rFonts w:ascii="Times New Roman"/>
                <w:sz w:val="21"/>
              </w:rPr>
              <w:t>4,485,000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24" w:right="0"/>
              <w:jc w:val="left"/>
              <w:rPr>
                <w:rFonts w:ascii="Times New Roman" w:hAnsi="Times New Roman" w:cs="Times New Roman" w:eastAsia="Times New Roman" w:hint="default"/>
                <w:sz w:val="21"/>
                <w:szCs w:val="21"/>
              </w:rPr>
            </w:pPr>
            <w:r>
              <w:rPr>
                <w:rFonts w:ascii="Times New Roman"/>
                <w:sz w:val="21"/>
              </w:rPr>
              <w:t>1,794,000</w:t>
            </w:r>
          </w:p>
        </w:tc>
        <w:tc>
          <w:tcPr>
            <w:tcW w:w="1206" w:type="dxa"/>
            <w:vMerge w:val="restart"/>
            <w:tcBorders>
              <w:top w:val="single" w:sz="4" w:space="0" w:color="000000"/>
              <w:left w:val="single" w:sz="4" w:space="0" w:color="000000"/>
              <w:right w:val="single" w:sz="9" w:space="0" w:color="DCDCDC"/>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21" w:right="0"/>
              <w:jc w:val="left"/>
              <w:rPr>
                <w:rFonts w:ascii="Times New Roman" w:hAnsi="Times New Roman" w:cs="Times New Roman" w:eastAsia="Times New Roman" w:hint="default"/>
                <w:sz w:val="21"/>
                <w:szCs w:val="21"/>
              </w:rPr>
            </w:pPr>
            <w:r>
              <w:rPr>
                <w:rFonts w:ascii="Times New Roman"/>
                <w:sz w:val="21"/>
              </w:rPr>
              <w:t>6,279,000</w:t>
            </w:r>
          </w:p>
        </w:tc>
        <w:tc>
          <w:tcPr>
            <w:tcW w:w="1182" w:type="dxa"/>
            <w:tcBorders>
              <w:top w:val="single" w:sz="4" w:space="0" w:color="000000"/>
              <w:left w:val="single" w:sz="4" w:space="0" w:color="000000"/>
              <w:bottom w:val="nil" w:sz="6" w:space="0" w:color="auto"/>
              <w:right w:val="single" w:sz="4" w:space="0" w:color="000000"/>
            </w:tcBorders>
            <w:shd w:val="clear" w:color="auto" w:fill="DCDCDC"/>
          </w:tcPr>
          <w:p>
            <w:pPr/>
          </w:p>
        </w:tc>
        <w:tc>
          <w:tcPr>
            <w:tcW w:w="118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172" w:type="dxa"/>
            <w:vMerge/>
            <w:tcBorders>
              <w:left w:val="single" w:sz="4" w:space="0" w:color="000000"/>
              <w:right w:val="single" w:sz="4" w:space="0" w:color="000000"/>
            </w:tcBorders>
            <w:shd w:val="clear" w:color="auto" w:fill="DCDCDC"/>
          </w:tcPr>
          <w:p>
            <w:pPr/>
          </w:p>
        </w:tc>
        <w:tc>
          <w:tcPr>
            <w:tcW w:w="1207" w:type="dxa"/>
            <w:vMerge/>
            <w:tcBorders>
              <w:left w:val="single" w:sz="9" w:space="0" w:color="DCDCDC"/>
              <w:right w:val="single" w:sz="4" w:space="0" w:color="000000"/>
            </w:tcBorders>
          </w:tcPr>
          <w:p>
            <w:pPr/>
          </w:p>
        </w:tc>
        <w:tc>
          <w:tcPr>
            <w:tcW w:w="1195"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06" w:type="dxa"/>
            <w:vMerge/>
            <w:tcBorders>
              <w:left w:val="single" w:sz="4" w:space="0" w:color="000000"/>
              <w:right w:val="single" w:sz="9" w:space="0" w:color="DCDCDC"/>
            </w:tcBorders>
          </w:tcPr>
          <w:p>
            <w:pPr/>
          </w:p>
        </w:tc>
        <w:tc>
          <w:tcPr>
            <w:tcW w:w="118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8"/>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18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4"/>
              <w:ind w:left="7" w:right="0"/>
              <w:jc w:val="center"/>
              <w:rPr>
                <w:rFonts w:ascii="Times New Roman" w:hAnsi="Times New Roman" w:cs="Times New Roman" w:eastAsia="Times New Roman" w:hint="default"/>
                <w:sz w:val="21"/>
                <w:szCs w:val="21"/>
              </w:rPr>
            </w:pPr>
            <w:r>
              <w:rPr>
                <w:rFonts w:ascii="Times New Roman"/>
                <w:sz w:val="21"/>
              </w:rPr>
              <w:t>2012-2-1</w:t>
            </w:r>
          </w:p>
        </w:tc>
      </w:tr>
      <w:tr>
        <w:trPr>
          <w:trHeight w:val="317" w:hRule="exact"/>
        </w:trPr>
        <w:tc>
          <w:tcPr>
            <w:tcW w:w="1172" w:type="dxa"/>
            <w:vMerge/>
            <w:tcBorders>
              <w:left w:val="single" w:sz="4" w:space="0" w:color="000000"/>
              <w:bottom w:val="single" w:sz="4" w:space="0" w:color="000000"/>
              <w:right w:val="single" w:sz="4" w:space="0" w:color="000000"/>
            </w:tcBorders>
            <w:shd w:val="clear" w:color="auto" w:fill="DCDCDC"/>
          </w:tcPr>
          <w:p>
            <w:pPr/>
          </w:p>
        </w:tc>
        <w:tc>
          <w:tcPr>
            <w:tcW w:w="1207" w:type="dxa"/>
            <w:vMerge/>
            <w:tcBorders>
              <w:left w:val="single" w:sz="9" w:space="0" w:color="DCDCDC"/>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06" w:type="dxa"/>
            <w:vMerge/>
            <w:tcBorders>
              <w:left w:val="single" w:sz="4" w:space="0" w:color="000000"/>
              <w:bottom w:val="single" w:sz="4" w:space="0" w:color="000000"/>
              <w:right w:val="single" w:sz="9" w:space="0" w:color="DCDCDC"/>
            </w:tcBorders>
          </w:tcPr>
          <w:p>
            <w:pPr/>
          </w:p>
        </w:tc>
        <w:tc>
          <w:tcPr>
            <w:tcW w:w="1182" w:type="dxa"/>
            <w:tcBorders>
              <w:top w:val="nil" w:sz="6" w:space="0" w:color="auto"/>
              <w:left w:val="single" w:sz="4" w:space="0" w:color="000000"/>
              <w:bottom w:val="single" w:sz="4" w:space="0" w:color="000000"/>
              <w:right w:val="single" w:sz="4" w:space="0" w:color="000000"/>
            </w:tcBorders>
            <w:shd w:val="clear" w:color="auto" w:fill="DCDCDC"/>
          </w:tcPr>
          <w:p>
            <w:pPr/>
          </w:p>
        </w:tc>
        <w:tc>
          <w:tcPr>
            <w:tcW w:w="118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161" w:hRule="exact"/>
        </w:trPr>
        <w:tc>
          <w:tcPr>
            <w:tcW w:w="1172"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371" w:right="51" w:hanging="317"/>
              <w:jc w:val="left"/>
              <w:rPr>
                <w:rFonts w:ascii="宋体" w:hAnsi="宋体" w:cs="宋体" w:eastAsia="宋体" w:hint="default"/>
                <w:sz w:val="21"/>
                <w:szCs w:val="21"/>
              </w:rPr>
            </w:pPr>
            <w:r>
              <w:rPr>
                <w:rFonts w:ascii="宋体" w:hAnsi="宋体" w:cs="宋体" w:eastAsia="宋体" w:hint="default"/>
                <w:sz w:val="21"/>
                <w:szCs w:val="21"/>
              </w:rPr>
              <w:t>股权激励限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w:t>
            </w:r>
          </w:p>
        </w:tc>
        <w:tc>
          <w:tcPr>
            <w:tcW w:w="1207" w:type="dxa"/>
            <w:vMerge w:val="restart"/>
            <w:tcBorders>
              <w:top w:val="single" w:sz="4" w:space="0" w:color="000000"/>
              <w:left w:val="single" w:sz="9" w:space="0" w:color="DCDCDC"/>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24" w:right="0"/>
              <w:jc w:val="left"/>
              <w:rPr>
                <w:rFonts w:ascii="Times New Roman" w:hAnsi="Times New Roman" w:cs="Times New Roman" w:eastAsia="Times New Roman" w:hint="default"/>
                <w:sz w:val="21"/>
                <w:szCs w:val="21"/>
              </w:rPr>
            </w:pPr>
            <w:r>
              <w:rPr>
                <w:rFonts w:ascii="Times New Roman"/>
                <w:sz w:val="21"/>
              </w:rPr>
              <w:t>5,993,500</w:t>
            </w:r>
          </w:p>
        </w:tc>
        <w:tc>
          <w:tcPr>
            <w:tcW w:w="1206" w:type="dxa"/>
            <w:vMerge w:val="restart"/>
            <w:tcBorders>
              <w:top w:val="single" w:sz="4" w:space="0" w:color="000000"/>
              <w:left w:val="single" w:sz="4" w:space="0" w:color="000000"/>
              <w:right w:val="single" w:sz="12" w:space="0" w:color="DCDCDC"/>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21" w:right="0"/>
              <w:jc w:val="left"/>
              <w:rPr>
                <w:rFonts w:ascii="Times New Roman" w:hAnsi="Times New Roman" w:cs="Times New Roman" w:eastAsia="Times New Roman" w:hint="default"/>
                <w:sz w:val="21"/>
                <w:szCs w:val="21"/>
              </w:rPr>
            </w:pPr>
            <w:r>
              <w:rPr>
                <w:rFonts w:ascii="Times New Roman"/>
                <w:sz w:val="21"/>
              </w:rPr>
              <w:t>5,993,500</w:t>
            </w:r>
          </w:p>
        </w:tc>
        <w:tc>
          <w:tcPr>
            <w:tcW w:w="1182"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159" w:right="62" w:hanging="106"/>
              <w:jc w:val="left"/>
              <w:rPr>
                <w:rFonts w:ascii="宋体" w:hAnsi="宋体" w:cs="宋体" w:eastAsia="宋体" w:hint="default"/>
                <w:sz w:val="21"/>
                <w:szCs w:val="21"/>
              </w:rPr>
            </w:pPr>
            <w:r>
              <w:rPr>
                <w:rFonts w:ascii="宋体" w:hAnsi="宋体" w:cs="宋体" w:eastAsia="宋体" w:hint="default"/>
                <w:sz w:val="21"/>
                <w:szCs w:val="21"/>
              </w:rPr>
              <w:t>限制性股票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激励计划</w:t>
            </w:r>
          </w:p>
        </w:tc>
        <w:tc>
          <w:tcPr>
            <w:tcW w:w="118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172" w:type="dxa"/>
            <w:vMerge/>
            <w:tcBorders>
              <w:left w:val="single" w:sz="4" w:space="0" w:color="000000"/>
              <w:right w:val="single" w:sz="4" w:space="0" w:color="000000"/>
            </w:tcBorders>
            <w:shd w:val="clear" w:color="auto" w:fill="DCDCDC"/>
          </w:tcPr>
          <w:p>
            <w:pPr/>
          </w:p>
        </w:tc>
        <w:tc>
          <w:tcPr>
            <w:tcW w:w="1207" w:type="dxa"/>
            <w:vMerge/>
            <w:tcBorders>
              <w:left w:val="single" w:sz="9" w:space="0" w:color="DCDCDC"/>
              <w:right w:val="single" w:sz="4" w:space="0" w:color="000000"/>
            </w:tcBorders>
          </w:tcPr>
          <w:p>
            <w:pPr/>
          </w:p>
        </w:tc>
        <w:tc>
          <w:tcPr>
            <w:tcW w:w="1195"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06" w:type="dxa"/>
            <w:vMerge/>
            <w:tcBorders>
              <w:left w:val="single" w:sz="4" w:space="0" w:color="000000"/>
              <w:right w:val="single" w:sz="12" w:space="0" w:color="DCDCDC"/>
            </w:tcBorders>
          </w:tcPr>
          <w:p>
            <w:pPr/>
          </w:p>
        </w:tc>
        <w:tc>
          <w:tcPr>
            <w:tcW w:w="1182" w:type="dxa"/>
            <w:vMerge/>
            <w:tcBorders>
              <w:left w:val="single" w:sz="4" w:space="0" w:color="000000"/>
              <w:right w:val="single" w:sz="4" w:space="0" w:color="000000"/>
            </w:tcBorders>
            <w:shd w:val="clear" w:color="auto" w:fill="DCDCDC"/>
          </w:tcPr>
          <w:p>
            <w:pPr/>
          </w:p>
        </w:tc>
        <w:tc>
          <w:tcPr>
            <w:tcW w:w="118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13" w:right="0"/>
              <w:jc w:val="center"/>
              <w:rPr>
                <w:rFonts w:ascii="宋体" w:hAnsi="宋体" w:cs="宋体" w:eastAsia="宋体" w:hint="default"/>
                <w:sz w:val="21"/>
                <w:szCs w:val="21"/>
              </w:rPr>
            </w:pPr>
            <w:r>
              <w:rPr>
                <w:rFonts w:ascii="宋体" w:hAnsi="宋体" w:cs="宋体" w:eastAsia="宋体" w:hint="default"/>
                <w:sz w:val="21"/>
                <w:szCs w:val="21"/>
              </w:rPr>
              <w:t>分三年解锁</w:t>
            </w:r>
          </w:p>
        </w:tc>
      </w:tr>
      <w:tr>
        <w:trPr>
          <w:trHeight w:val="161" w:hRule="exact"/>
        </w:trPr>
        <w:tc>
          <w:tcPr>
            <w:tcW w:w="1172" w:type="dxa"/>
            <w:vMerge/>
            <w:tcBorders>
              <w:left w:val="single" w:sz="4" w:space="0" w:color="000000"/>
              <w:bottom w:val="single" w:sz="4" w:space="0" w:color="000000"/>
              <w:right w:val="single" w:sz="4" w:space="0" w:color="000000"/>
            </w:tcBorders>
            <w:shd w:val="clear" w:color="auto" w:fill="DCDCDC"/>
          </w:tcPr>
          <w:p>
            <w:pPr/>
          </w:p>
        </w:tc>
        <w:tc>
          <w:tcPr>
            <w:tcW w:w="1207" w:type="dxa"/>
            <w:vMerge/>
            <w:tcBorders>
              <w:left w:val="single" w:sz="9" w:space="0" w:color="DCDCDC"/>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06" w:type="dxa"/>
            <w:vMerge/>
            <w:tcBorders>
              <w:left w:val="single" w:sz="4" w:space="0" w:color="000000"/>
              <w:bottom w:val="single" w:sz="4" w:space="0" w:color="000000"/>
              <w:right w:val="single" w:sz="12" w:space="0" w:color="DCDCDC"/>
            </w:tcBorders>
          </w:tcPr>
          <w:p>
            <w:pPr/>
          </w:p>
        </w:tc>
        <w:tc>
          <w:tcPr>
            <w:tcW w:w="1182" w:type="dxa"/>
            <w:vMerge/>
            <w:tcBorders>
              <w:left w:val="single" w:sz="4" w:space="0" w:color="000000"/>
              <w:bottom w:val="single" w:sz="4" w:space="0" w:color="000000"/>
              <w:right w:val="single" w:sz="4" w:space="0" w:color="000000"/>
            </w:tcBorders>
            <w:shd w:val="clear" w:color="auto" w:fill="DCDCDC"/>
          </w:tcPr>
          <w:p>
            <w:pPr/>
          </w:p>
        </w:tc>
        <w:tc>
          <w:tcPr>
            <w:tcW w:w="118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1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07"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6"/>
              <w:ind w:left="223" w:right="0"/>
              <w:jc w:val="left"/>
              <w:rPr>
                <w:rFonts w:ascii="Times New Roman" w:hAnsi="Times New Roman" w:cs="Times New Roman" w:eastAsia="Times New Roman" w:hint="default"/>
                <w:sz w:val="21"/>
                <w:szCs w:val="21"/>
              </w:rPr>
            </w:pPr>
            <w:r>
              <w:rPr>
                <w:rFonts w:ascii="Times New Roman"/>
                <w:b/>
                <w:sz w:val="21"/>
              </w:rPr>
              <w:t>85,724,482</w:t>
            </w:r>
            <w:r>
              <w:rPr>
                <w:rFonts w:ascii="Times New Roman"/>
                <w:sz w:val="21"/>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8" w:right="0"/>
              <w:jc w:val="left"/>
              <w:rPr>
                <w:rFonts w:ascii="Times New Roman" w:hAnsi="Times New Roman" w:cs="Times New Roman" w:eastAsia="Times New Roman" w:hint="default"/>
                <w:sz w:val="21"/>
                <w:szCs w:val="21"/>
              </w:rPr>
            </w:pPr>
            <w:r>
              <w:rPr>
                <w:rFonts w:ascii="Times New Roman"/>
                <w:sz w:val="21"/>
              </w:rPr>
              <w:t>40,283,292</w:t>
            </w:r>
          </w:p>
        </w:tc>
        <w:tc>
          <w:tcPr>
            <w:tcW w:w="1206" w:type="dxa"/>
            <w:tcBorders>
              <w:top w:val="single" w:sz="4" w:space="0" w:color="000000"/>
              <w:left w:val="single" w:sz="4" w:space="0" w:color="000000"/>
              <w:bottom w:val="single" w:sz="4" w:space="0" w:color="000000"/>
              <w:right w:val="single" w:sz="12" w:space="0" w:color="DCDCDC"/>
            </w:tcBorders>
          </w:tcPr>
          <w:p>
            <w:pPr>
              <w:pStyle w:val="TableParagraph"/>
              <w:spacing w:line="240" w:lineRule="auto" w:before="36"/>
              <w:ind w:left="110" w:right="0"/>
              <w:jc w:val="left"/>
              <w:rPr>
                <w:rFonts w:ascii="Times New Roman" w:hAnsi="Times New Roman" w:cs="Times New Roman" w:eastAsia="Times New Roman" w:hint="default"/>
                <w:sz w:val="21"/>
                <w:szCs w:val="21"/>
              </w:rPr>
            </w:pPr>
            <w:r>
              <w:rPr>
                <w:rFonts w:ascii="Times New Roman"/>
                <w:b/>
                <w:sz w:val="21"/>
              </w:rPr>
              <w:t>126,007,774</w:t>
            </w:r>
            <w:r>
              <w:rPr>
                <w:rFonts w:ascii="Times New Roman"/>
                <w:sz w:val="21"/>
              </w:rPr>
            </w:r>
          </w:p>
        </w:tc>
        <w:tc>
          <w:tcPr>
            <w:tcW w:w="11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11"/>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1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2"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5"/>
        <w:spacing w:line="240" w:lineRule="auto" w:before="26"/>
        <w:ind w:left="220" w:right="3443"/>
        <w:jc w:val="left"/>
        <w:rPr>
          <w:b w:val="0"/>
          <w:bCs w:val="0"/>
        </w:rPr>
      </w:pPr>
      <w:r>
        <w:rPr/>
        <w:t>二、公司发行证券和上市情况</w:t>
      </w:r>
      <w:r>
        <w:rPr>
          <w:b w:val="0"/>
          <w:bCs w:val="0"/>
        </w:rPr>
      </w:r>
    </w:p>
    <w:p>
      <w:pPr>
        <w:pStyle w:val="BodyText"/>
        <w:spacing w:line="345" w:lineRule="auto"/>
        <w:ind w:left="220" w:right="156" w:hanging="120"/>
        <w:jc w:val="both"/>
      </w:pPr>
      <w:r>
        <w:rPr/>
        <w:t>（一）经中国证券监督管理委员会《关于核准上海汉得信息技术股份有限公司首</w:t>
      </w:r>
      <w:r>
        <w:rPr>
          <w:spacing w:val="-103"/>
        </w:rPr>
        <w:t> </w:t>
      </w:r>
      <w:r>
        <w:rPr>
          <w:spacing w:val="-103"/>
        </w:rPr>
      </w:r>
      <w:r>
        <w:rPr/>
        <w:t>次公开发行股票并在创业板上市的批复》（证监许可</w:t>
      </w:r>
      <w:r>
        <w:rPr>
          <w:rFonts w:ascii="Times New Roman" w:hAnsi="Times New Roman" w:cs="Times New Roman" w:eastAsia="Times New Roman" w:hint="default"/>
        </w:rPr>
        <w:t>[2011]1835</w:t>
      </w:r>
      <w:r>
        <w:rPr>
          <w:rFonts w:ascii="Times New Roman" w:hAnsi="Times New Roman" w:cs="Times New Roman" w:eastAsia="Times New Roman" w:hint="default"/>
          <w:spacing w:val="-30"/>
        </w:rPr>
        <w:t> </w:t>
      </w:r>
      <w:r>
        <w:rPr>
          <w:spacing w:val="-6"/>
        </w:rPr>
        <w:t>号）文核准，公</w:t>
      </w:r>
      <w:r>
        <w:rPr/>
        <w:t> 司于 </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1 </w:t>
      </w:r>
      <w:r>
        <w:rPr/>
        <w:t>月公开发行人民币普通股（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3,000</w:t>
      </w:r>
      <w:r>
        <w:rPr>
          <w:rFonts w:ascii="Times New Roman" w:hAnsi="Times New Roman" w:cs="Times New Roman" w:eastAsia="Times New Roman" w:hint="default"/>
          <w:spacing w:val="30"/>
        </w:rPr>
        <w:t> </w:t>
      </w:r>
      <w:r>
        <w:rPr/>
        <w:t>万股。其中：网下配售 </w:t>
      </w:r>
      <w:r>
        <w:rPr>
          <w:rFonts w:ascii="Times New Roman" w:hAnsi="Times New Roman" w:cs="Times New Roman" w:eastAsia="Times New Roman" w:hint="default"/>
        </w:rPr>
        <w:t>585</w:t>
      </w:r>
      <w:r>
        <w:rPr>
          <w:rFonts w:ascii="Times New Roman" w:hAnsi="Times New Roman" w:cs="Times New Roman" w:eastAsia="Times New Roman" w:hint="default"/>
          <w:spacing w:val="-1"/>
        </w:rPr>
        <w:t> </w:t>
      </w:r>
      <w:r>
        <w:rPr/>
        <w:t>万股，网上定价发行</w:t>
      </w:r>
      <w:r>
        <w:rPr>
          <w:spacing w:val="-60"/>
        </w:rPr>
        <w:t> </w:t>
      </w:r>
      <w:r>
        <w:rPr>
          <w:rFonts w:ascii="Times New Roman" w:hAnsi="Times New Roman" w:cs="Times New Roman" w:eastAsia="Times New Roman" w:hint="default"/>
        </w:rPr>
        <w:t>2,415 </w:t>
      </w:r>
      <w:r>
        <w:rPr/>
        <w:t>万股，发行价格为</w:t>
      </w:r>
      <w:r>
        <w:rPr>
          <w:spacing w:val="-60"/>
        </w:rPr>
        <w:t> </w:t>
      </w:r>
      <w:r>
        <w:rPr>
          <w:rFonts w:ascii="Times New Roman" w:hAnsi="Times New Roman" w:cs="Times New Roman" w:eastAsia="Times New Roman" w:hint="default"/>
        </w:rPr>
        <w:t>25.32 </w:t>
      </w:r>
      <w:r>
        <w:rPr/>
        <w:t>元</w:t>
      </w:r>
      <w:r>
        <w:rPr>
          <w:rFonts w:ascii="Times New Roman" w:hAnsi="Times New Roman" w:cs="Times New Roman" w:eastAsia="Times New Roman" w:hint="default"/>
        </w:rPr>
        <w:t>/</w:t>
      </w:r>
      <w:r>
        <w:rPr/>
        <w:t>股。</w:t>
      </w:r>
    </w:p>
    <w:p>
      <w:pPr>
        <w:pStyle w:val="BodyText"/>
        <w:spacing w:line="240" w:lineRule="auto" w:before="18"/>
        <w:ind w:left="100" w:right="0"/>
        <w:jc w:val="left"/>
      </w:pPr>
      <w:r>
        <w:rPr/>
        <w:t>（二）经深圳证券交易所《关于上海汉得信息技术股份有限公司人民币普通股股</w:t>
      </w:r>
    </w:p>
    <w:p>
      <w:pPr>
        <w:spacing w:after="0" w:line="240" w:lineRule="auto"/>
        <w:jc w:val="left"/>
        <w:sectPr>
          <w:pgSz w:w="11910" w:h="16840"/>
          <w:pgMar w:header="884" w:footer="980" w:top="1140" w:bottom="1160" w:left="1580" w:right="1640"/>
        </w:sectPr>
      </w:pPr>
    </w:p>
    <w:p>
      <w:pPr>
        <w:spacing w:line="240" w:lineRule="auto" w:before="6"/>
        <w:rPr>
          <w:rFonts w:ascii="宋体" w:hAnsi="宋体" w:cs="宋体" w:eastAsia="宋体" w:hint="default"/>
          <w:sz w:val="22"/>
          <w:szCs w:val="22"/>
        </w:rPr>
      </w:pPr>
    </w:p>
    <w:p>
      <w:pPr>
        <w:pStyle w:val="BodyText"/>
        <w:spacing w:line="348" w:lineRule="auto" w:before="26"/>
        <w:ind w:left="100" w:right="147" w:firstLine="120"/>
        <w:jc w:val="both"/>
        <w:rPr>
          <w:rFonts w:ascii="Times New Roman" w:hAnsi="Times New Roman" w:cs="Times New Roman" w:eastAsia="Times New Roman" w:hint="default"/>
        </w:rPr>
      </w:pPr>
      <w:r>
        <w:rPr/>
        <w:t>票在创业板上市的通知》（深证上【</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38</w:t>
      </w:r>
      <w:r>
        <w:rPr>
          <w:rFonts w:ascii="Times New Roman" w:hAnsi="Times New Roman" w:cs="Times New Roman" w:eastAsia="Times New Roman" w:hint="default"/>
          <w:spacing w:val="16"/>
        </w:rPr>
        <w:t> </w:t>
      </w:r>
      <w:r>
        <w:rPr/>
        <w:t>号）同意，公司发行的人民币普 </w:t>
      </w:r>
      <w:r>
        <w:rPr>
          <w:spacing w:val="12"/>
        </w:rPr>
        <w:t>通股股票在深圳证券交易所创业板上市，股票简称“汉得信息”，股票代码</w:t>
      </w:r>
      <w:r>
        <w:rPr>
          <w:spacing w:val="12"/>
        </w:rPr>
        <w:t> </w:t>
      </w:r>
      <w:r>
        <w:rPr/>
        <w:t>“</w:t>
      </w:r>
      <w:r>
        <w:rPr>
          <w:rFonts w:ascii="Times New Roman" w:hAnsi="Times New Roman" w:cs="Times New Roman" w:eastAsia="Times New Roman" w:hint="default"/>
        </w:rPr>
        <w:t>300170</w:t>
      </w:r>
      <w:r>
        <w:rPr/>
        <w:t>”，其中本次公开发行中网上定价发行的</w:t>
      </w:r>
      <w:r>
        <w:rPr>
          <w:spacing w:val="-56"/>
        </w:rPr>
        <w:t> </w:t>
      </w:r>
      <w:r>
        <w:rPr>
          <w:rFonts w:ascii="Times New Roman" w:hAnsi="Times New Roman" w:cs="Times New Roman" w:eastAsia="Times New Roman" w:hint="default"/>
        </w:rPr>
        <w:t>2,415</w:t>
      </w:r>
      <w:r>
        <w:rPr>
          <w:rFonts w:ascii="Times New Roman" w:hAnsi="Times New Roman" w:cs="Times New Roman" w:eastAsia="Times New Roman" w:hint="default"/>
          <w:spacing w:val="3"/>
        </w:rPr>
        <w:t> </w:t>
      </w:r>
      <w:r>
        <w:rPr/>
        <w:t>万股股票已于</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2</w:t>
      </w:r>
    </w:p>
    <w:p>
      <w:pPr>
        <w:pStyle w:val="BodyText"/>
        <w:spacing w:line="338" w:lineRule="auto" w:before="16"/>
        <w:ind w:left="220" w:right="144"/>
        <w:jc w:val="left"/>
      </w:pPr>
      <w:r>
        <w:rPr/>
        <w:t>月</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日起上市交易。向网下询价配售的</w:t>
      </w:r>
      <w:r>
        <w:rPr>
          <w:spacing w:val="-57"/>
        </w:rPr>
        <w:t> </w:t>
      </w:r>
      <w:r>
        <w:rPr>
          <w:rFonts w:ascii="Times New Roman" w:hAnsi="Times New Roman" w:cs="Times New Roman" w:eastAsia="Times New Roman" w:hint="default"/>
        </w:rPr>
        <w:t>585</w:t>
      </w:r>
      <w:r>
        <w:rPr>
          <w:rFonts w:ascii="Times New Roman" w:hAnsi="Times New Roman" w:cs="Times New Roman" w:eastAsia="Times New Roman" w:hint="default"/>
          <w:spacing w:val="2"/>
        </w:rPr>
        <w:t> </w:t>
      </w:r>
      <w:r>
        <w:rPr/>
        <w:t>万股限售股已于</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日起 上市交易（非交易日顺延）。</w:t>
      </w:r>
    </w:p>
    <w:p>
      <w:pPr>
        <w:pStyle w:val="BodyText"/>
        <w:spacing w:line="240" w:lineRule="auto" w:before="55"/>
        <w:ind w:left="100" w:right="0"/>
        <w:jc w:val="left"/>
        <w:rPr>
          <w:rFonts w:ascii="Times New Roman" w:hAnsi="Times New Roman" w:cs="Times New Roman" w:eastAsia="Times New Roman" w:hint="default"/>
        </w:rPr>
      </w:pPr>
      <w:r>
        <w:rPr/>
        <w:t>（三）发行募集资金总额为 </w:t>
      </w:r>
      <w:r>
        <w:rPr>
          <w:rFonts w:ascii="Times New Roman" w:hAnsi="Times New Roman" w:cs="Times New Roman" w:eastAsia="Times New Roman" w:hint="default"/>
        </w:rPr>
        <w:t>759,600,000 </w:t>
      </w:r>
      <w:r>
        <w:rPr/>
        <w:t>元，发行募集资金净额为</w:t>
      </w:r>
      <w:r>
        <w:rPr>
          <w:spacing w:val="-94"/>
        </w:rPr>
        <w:t> </w:t>
      </w:r>
      <w:r>
        <w:rPr>
          <w:rFonts w:ascii="Times New Roman" w:hAnsi="Times New Roman" w:cs="Times New Roman" w:eastAsia="Times New Roman" w:hint="default"/>
        </w:rPr>
        <w:t>713,733,119.68</w:t>
      </w:r>
    </w:p>
    <w:p>
      <w:pPr>
        <w:pStyle w:val="BodyText"/>
        <w:spacing w:line="240" w:lineRule="auto" w:before="135"/>
        <w:ind w:left="220" w:right="3443"/>
        <w:jc w:val="left"/>
      </w:pPr>
      <w:r>
        <w:rPr/>
        <w:t>元，</w:t>
      </w:r>
    </w:p>
    <w:p>
      <w:pPr>
        <w:pStyle w:val="BodyText"/>
        <w:spacing w:line="240" w:lineRule="auto"/>
        <w:ind w:left="100" w:right="0"/>
        <w:jc w:val="left"/>
      </w:pPr>
      <w:r>
        <w:rPr/>
        <w:t>（四）立信会计师事务所有限公司已于</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日对公司首次公开发行股</w:t>
      </w:r>
    </w:p>
    <w:p>
      <w:pPr>
        <w:pStyle w:val="BodyText"/>
        <w:spacing w:line="338" w:lineRule="auto" w:before="135"/>
        <w:ind w:left="220" w:right="146"/>
        <w:jc w:val="left"/>
      </w:pPr>
      <w:r>
        <w:rPr>
          <w:spacing w:val="-3"/>
        </w:rPr>
        <w:t>票的资金到位情况进行了审验，并出具“信会师报字（</w:t>
      </w:r>
      <w:r>
        <w:rPr>
          <w:rFonts w:ascii="Times New Roman" w:hAnsi="Times New Roman" w:cs="Times New Roman" w:eastAsia="Times New Roman" w:hint="default"/>
          <w:spacing w:val="-3"/>
        </w:rPr>
        <w:t>2011</w:t>
      </w:r>
      <w:r>
        <w:rPr>
          <w:spacing w:val="-3"/>
        </w:rPr>
        <w:t>）第</w:t>
      </w:r>
      <w:r>
        <w:rPr>
          <w:spacing w:val="-47"/>
        </w:rPr>
        <w:t> </w:t>
      </w:r>
      <w:r>
        <w:rPr>
          <w:rFonts w:ascii="Times New Roman" w:hAnsi="Times New Roman" w:cs="Times New Roman" w:eastAsia="Times New Roman" w:hint="default"/>
        </w:rPr>
        <w:t>10264</w:t>
      </w:r>
      <w:r>
        <w:rPr>
          <w:rFonts w:ascii="Times New Roman" w:hAnsi="Times New Roman" w:cs="Times New Roman" w:eastAsia="Times New Roman" w:hint="default"/>
          <w:spacing w:val="13"/>
        </w:rPr>
        <w:t> </w:t>
      </w:r>
      <w:r>
        <w:rPr>
          <w:spacing w:val="-9"/>
        </w:rPr>
        <w:t>号”《验</w:t>
      </w:r>
      <w:r>
        <w:rPr>
          <w:spacing w:val="-118"/>
        </w:rPr>
        <w:t> </w:t>
      </w:r>
      <w:r>
        <w:rPr>
          <w:spacing w:val="-118"/>
        </w:rPr>
      </w:r>
      <w:r>
        <w:rPr/>
        <w:t>资报告》。</w:t>
      </w:r>
    </w:p>
    <w:p>
      <w:pPr>
        <w:spacing w:line="240" w:lineRule="auto" w:before="0"/>
        <w:rPr>
          <w:rFonts w:ascii="宋体" w:hAnsi="宋体" w:cs="宋体" w:eastAsia="宋体" w:hint="default"/>
          <w:sz w:val="24"/>
          <w:szCs w:val="24"/>
        </w:rPr>
      </w:pPr>
    </w:p>
    <w:p>
      <w:pPr>
        <w:pStyle w:val="Heading5"/>
        <w:spacing w:line="240" w:lineRule="auto" w:before="209"/>
        <w:ind w:left="220" w:right="863"/>
        <w:jc w:val="left"/>
        <w:rPr>
          <w:b w:val="0"/>
          <w:bCs w:val="0"/>
        </w:rPr>
      </w:pPr>
      <w:r>
        <w:rPr/>
        <w:t>三、公司前</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名股东和控股股东及实际控制人情况</w:t>
      </w:r>
      <w:r>
        <w:rPr>
          <w:b w:val="0"/>
          <w:bCs w:val="0"/>
        </w:rPr>
      </w:r>
    </w:p>
    <w:p>
      <w:pPr>
        <w:pStyle w:val="BodyText"/>
        <w:spacing w:line="240" w:lineRule="auto" w:before="135"/>
        <w:ind w:left="100" w:right="863"/>
        <w:jc w:val="left"/>
      </w:pPr>
      <w:r>
        <w:rPr/>
        <w:t>（一）报告期末公司前</w:t>
      </w:r>
      <w:r>
        <w:rPr>
          <w:spacing w:val="-60"/>
        </w:rPr>
        <w:t> </w:t>
      </w:r>
      <w:r>
        <w:rPr>
          <w:rFonts w:ascii="Times New Roman" w:hAnsi="Times New Roman" w:cs="Times New Roman" w:eastAsia="Times New Roman" w:hint="default"/>
        </w:rPr>
        <w:t>10 </w:t>
      </w:r>
      <w:r>
        <w:rPr/>
        <w:t>名股东持股情况表（单位股）</w:t>
      </w:r>
    </w:p>
    <w:p>
      <w:pPr>
        <w:spacing w:line="240" w:lineRule="auto" w:before="5"/>
        <w:rPr>
          <w:rFonts w:ascii="宋体" w:hAnsi="宋体" w:cs="宋体" w:eastAsia="宋体" w:hint="default"/>
          <w:sz w:val="7"/>
          <w:szCs w:val="7"/>
        </w:rPr>
      </w:pPr>
    </w:p>
    <w:tbl>
      <w:tblPr>
        <w:tblW w:w="0" w:type="auto"/>
        <w:jc w:val="left"/>
        <w:tblInd w:w="186" w:type="dxa"/>
        <w:tblLayout w:type="fixed"/>
        <w:tblCellMar>
          <w:top w:w="0" w:type="dxa"/>
          <w:left w:w="0" w:type="dxa"/>
          <w:bottom w:w="0" w:type="dxa"/>
          <w:right w:w="0" w:type="dxa"/>
        </w:tblCellMar>
        <w:tblLook w:val="01E0"/>
      </w:tblPr>
      <w:tblGrid>
        <w:gridCol w:w="1992"/>
        <w:gridCol w:w="1107"/>
        <w:gridCol w:w="895"/>
        <w:gridCol w:w="211"/>
        <w:gridCol w:w="1104"/>
        <w:gridCol w:w="1195"/>
        <w:gridCol w:w="353"/>
        <w:gridCol w:w="1508"/>
      </w:tblGrid>
      <w:tr>
        <w:trPr>
          <w:trHeight w:val="161" w:hRule="exact"/>
        </w:trPr>
        <w:tc>
          <w:tcPr>
            <w:tcW w:w="1992" w:type="dxa"/>
            <w:tcBorders>
              <w:top w:val="single" w:sz="4" w:space="0" w:color="000000"/>
              <w:left w:val="single" w:sz="4" w:space="0" w:color="000000"/>
              <w:bottom w:val="nil" w:sz="6" w:space="0" w:color="auto"/>
              <w:right w:val="single" w:sz="4" w:space="0" w:color="000000"/>
            </w:tcBorders>
            <w:shd w:val="clear" w:color="auto" w:fill="DCDCDC"/>
          </w:tcPr>
          <w:p>
            <w:pPr/>
          </w:p>
        </w:tc>
        <w:tc>
          <w:tcPr>
            <w:tcW w:w="2002" w:type="dxa"/>
            <w:gridSpan w:val="2"/>
            <w:vMerge w:val="restart"/>
            <w:tcBorders>
              <w:top w:val="single" w:sz="4" w:space="0" w:color="000000"/>
              <w:left w:val="single" w:sz="10" w:space="0" w:color="DCDCDC"/>
              <w:right w:val="single" w:sz="10" w:space="0" w:color="DCDCDC"/>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6,666</w:t>
            </w:r>
          </w:p>
        </w:tc>
        <w:tc>
          <w:tcPr>
            <w:tcW w:w="2511"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619" w:right="91" w:hanging="526"/>
              <w:jc w:val="left"/>
              <w:rPr>
                <w:rFonts w:ascii="宋体" w:hAnsi="宋体" w:cs="宋体" w:eastAsia="宋体" w:hint="default"/>
                <w:sz w:val="21"/>
                <w:szCs w:val="21"/>
              </w:rPr>
            </w:pPr>
            <w:r>
              <w:rPr>
                <w:rFonts w:ascii="宋体" w:hAnsi="宋体" w:cs="宋体" w:eastAsia="宋体" w:hint="default"/>
                <w:spacing w:val="-2"/>
                <w:sz w:val="21"/>
                <w:szCs w:val="21"/>
              </w:rPr>
              <w:t>本年度报告公布日前一个</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月末股东总数</w:t>
            </w:r>
          </w:p>
        </w:tc>
        <w:tc>
          <w:tcPr>
            <w:tcW w:w="1861" w:type="dxa"/>
            <w:gridSpan w:val="2"/>
            <w:vMerge w:val="restart"/>
            <w:tcBorders>
              <w:top w:val="single" w:sz="4" w:space="0" w:color="000000"/>
              <w:left w:val="single" w:sz="13" w:space="0" w:color="DCDCDC"/>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7,063</w:t>
            </w:r>
          </w:p>
        </w:tc>
      </w:tr>
      <w:tr>
        <w:trPr>
          <w:trHeight w:val="312" w:hRule="exact"/>
        </w:trPr>
        <w:tc>
          <w:tcPr>
            <w:tcW w:w="199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right="122"/>
              <w:jc w:val="righ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年末股东总数</w:t>
            </w:r>
          </w:p>
        </w:tc>
        <w:tc>
          <w:tcPr>
            <w:tcW w:w="2002" w:type="dxa"/>
            <w:gridSpan w:val="2"/>
            <w:vMerge/>
            <w:tcBorders>
              <w:left w:val="single" w:sz="10" w:space="0" w:color="DCDCDC"/>
              <w:right w:val="single" w:sz="10" w:space="0" w:color="DCDCDC"/>
            </w:tcBorders>
          </w:tcPr>
          <w:p>
            <w:pPr/>
          </w:p>
        </w:tc>
        <w:tc>
          <w:tcPr>
            <w:tcW w:w="2511" w:type="dxa"/>
            <w:gridSpan w:val="3"/>
            <w:vMerge/>
            <w:tcBorders>
              <w:left w:val="single" w:sz="4" w:space="0" w:color="000000"/>
              <w:right w:val="single" w:sz="4" w:space="0" w:color="000000"/>
            </w:tcBorders>
            <w:shd w:val="clear" w:color="auto" w:fill="DCDCDC"/>
          </w:tcPr>
          <w:p>
            <w:pPr/>
          </w:p>
        </w:tc>
        <w:tc>
          <w:tcPr>
            <w:tcW w:w="1861" w:type="dxa"/>
            <w:gridSpan w:val="2"/>
            <w:vMerge/>
            <w:tcBorders>
              <w:left w:val="single" w:sz="13" w:space="0" w:color="DCDCDC"/>
              <w:right w:val="single" w:sz="4" w:space="0" w:color="000000"/>
            </w:tcBorders>
          </w:tcPr>
          <w:p>
            <w:pPr/>
          </w:p>
        </w:tc>
      </w:tr>
      <w:tr>
        <w:trPr>
          <w:trHeight w:val="166" w:hRule="exact"/>
        </w:trPr>
        <w:tc>
          <w:tcPr>
            <w:tcW w:w="1992" w:type="dxa"/>
            <w:tcBorders>
              <w:top w:val="nil" w:sz="6" w:space="0" w:color="auto"/>
              <w:left w:val="single" w:sz="4" w:space="0" w:color="000000"/>
              <w:bottom w:val="single" w:sz="4" w:space="0" w:color="000000"/>
              <w:right w:val="single" w:sz="4" w:space="0" w:color="000000"/>
            </w:tcBorders>
            <w:shd w:val="clear" w:color="auto" w:fill="DCDCDC"/>
          </w:tcPr>
          <w:p>
            <w:pPr/>
          </w:p>
        </w:tc>
        <w:tc>
          <w:tcPr>
            <w:tcW w:w="2002" w:type="dxa"/>
            <w:gridSpan w:val="2"/>
            <w:vMerge/>
            <w:tcBorders>
              <w:left w:val="single" w:sz="10" w:space="0" w:color="DCDCDC"/>
              <w:bottom w:val="single" w:sz="4" w:space="0" w:color="000000"/>
              <w:right w:val="single" w:sz="10" w:space="0" w:color="DCDCDC"/>
            </w:tcBorders>
          </w:tcPr>
          <w:p>
            <w:pPr/>
          </w:p>
        </w:tc>
        <w:tc>
          <w:tcPr>
            <w:tcW w:w="2511" w:type="dxa"/>
            <w:gridSpan w:val="3"/>
            <w:vMerge/>
            <w:tcBorders>
              <w:left w:val="single" w:sz="4" w:space="0" w:color="000000"/>
              <w:bottom w:val="single" w:sz="4" w:space="0" w:color="000000"/>
              <w:right w:val="single" w:sz="4" w:space="0" w:color="000000"/>
            </w:tcBorders>
            <w:shd w:val="clear" w:color="auto" w:fill="DCDCDC"/>
          </w:tcPr>
          <w:p>
            <w:pPr/>
          </w:p>
        </w:tc>
        <w:tc>
          <w:tcPr>
            <w:tcW w:w="1861" w:type="dxa"/>
            <w:gridSpan w:val="2"/>
            <w:vMerge/>
            <w:tcBorders>
              <w:left w:val="single" w:sz="13" w:space="0" w:color="DCDCDC"/>
              <w:bottom w:val="single" w:sz="4" w:space="0" w:color="000000"/>
              <w:right w:val="single" w:sz="4" w:space="0" w:color="000000"/>
            </w:tcBorders>
          </w:tcPr>
          <w:p>
            <w:pPr/>
          </w:p>
        </w:tc>
      </w:tr>
      <w:tr>
        <w:trPr>
          <w:trHeight w:val="312" w:hRule="exact"/>
        </w:trPr>
        <w:tc>
          <w:tcPr>
            <w:tcW w:w="8366"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075"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名股东持股情况</w:t>
            </w:r>
          </w:p>
        </w:tc>
      </w:tr>
      <w:tr>
        <w:trPr>
          <w:trHeight w:val="166" w:hRule="exact"/>
        </w:trPr>
        <w:tc>
          <w:tcPr>
            <w:tcW w:w="1992" w:type="dxa"/>
            <w:tcBorders>
              <w:top w:val="single" w:sz="4" w:space="0" w:color="000000"/>
              <w:left w:val="single" w:sz="4" w:space="0" w:color="000000"/>
              <w:bottom w:val="nil" w:sz="6" w:space="0" w:color="auto"/>
              <w:right w:val="single" w:sz="4" w:space="0" w:color="000000"/>
            </w:tcBorders>
            <w:shd w:val="clear" w:color="auto" w:fill="DCDCDC"/>
          </w:tcPr>
          <w:p>
            <w:pPr/>
          </w:p>
        </w:tc>
        <w:tc>
          <w:tcPr>
            <w:tcW w:w="1107" w:type="dxa"/>
            <w:tcBorders>
              <w:top w:val="single" w:sz="4" w:space="0" w:color="000000"/>
              <w:left w:val="single" w:sz="4" w:space="0" w:color="000000"/>
              <w:bottom w:val="nil" w:sz="6" w:space="0" w:color="auto"/>
              <w:right w:val="single" w:sz="4" w:space="0" w:color="000000"/>
            </w:tcBorders>
            <w:shd w:val="clear" w:color="auto" w:fill="DCDCDC"/>
          </w:tcPr>
          <w:p>
            <w:pPr/>
          </w:p>
        </w:tc>
        <w:tc>
          <w:tcPr>
            <w:tcW w:w="1106"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04" w:type="dxa"/>
            <w:tcBorders>
              <w:top w:val="single" w:sz="4" w:space="0" w:color="000000"/>
              <w:left w:val="single" w:sz="4" w:space="0" w:color="000000"/>
              <w:bottom w:val="nil" w:sz="6" w:space="0" w:color="auto"/>
              <w:right w:val="single" w:sz="4" w:space="0" w:color="000000"/>
            </w:tcBorders>
            <w:shd w:val="clear" w:color="auto" w:fill="DCDCDC"/>
          </w:tcPr>
          <w:p>
            <w:pPr/>
          </w:p>
        </w:tc>
        <w:tc>
          <w:tcPr>
            <w:tcW w:w="1548"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350" w:right="29" w:hanging="317"/>
              <w:jc w:val="left"/>
              <w:rPr>
                <w:rFonts w:ascii="宋体" w:hAnsi="宋体" w:cs="宋体" w:eastAsia="宋体" w:hint="default"/>
                <w:sz w:val="21"/>
                <w:szCs w:val="21"/>
              </w:rPr>
            </w:pPr>
            <w:r>
              <w:rPr>
                <w:rFonts w:ascii="宋体" w:hAnsi="宋体" w:cs="宋体" w:eastAsia="宋体" w:hint="default"/>
                <w:sz w:val="21"/>
                <w:szCs w:val="21"/>
              </w:rPr>
              <w:t>持有有限售条件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股份数量</w:t>
            </w:r>
          </w:p>
        </w:tc>
        <w:tc>
          <w:tcPr>
            <w:tcW w:w="1508"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328" w:right="116" w:hanging="212"/>
              <w:jc w:val="left"/>
              <w:rPr>
                <w:rFonts w:ascii="宋体" w:hAnsi="宋体" w:cs="宋体" w:eastAsia="宋体" w:hint="default"/>
                <w:sz w:val="21"/>
                <w:szCs w:val="21"/>
              </w:rPr>
            </w:pPr>
            <w:r>
              <w:rPr>
                <w:rFonts w:ascii="宋体" w:hAnsi="宋体" w:cs="宋体" w:eastAsia="宋体" w:hint="default"/>
                <w:sz w:val="21"/>
                <w:szCs w:val="21"/>
              </w:rPr>
              <w:t>质押或冻结的</w:t>
            </w:r>
            <w:r>
              <w:rPr>
                <w:rFonts w:ascii="宋体" w:hAnsi="宋体" w:cs="宋体" w:eastAsia="宋体" w:hint="default"/>
                <w:w w:val="100"/>
                <w:sz w:val="21"/>
                <w:szCs w:val="21"/>
              </w:rPr>
              <w:t> </w:t>
            </w:r>
            <w:r>
              <w:rPr>
                <w:rFonts w:ascii="宋体" w:hAnsi="宋体" w:cs="宋体" w:eastAsia="宋体" w:hint="default"/>
                <w:sz w:val="21"/>
                <w:szCs w:val="21"/>
              </w:rPr>
              <w:t>股份数量</w:t>
            </w:r>
          </w:p>
        </w:tc>
      </w:tr>
      <w:tr>
        <w:trPr>
          <w:trHeight w:val="312" w:hRule="exact"/>
        </w:trPr>
        <w:tc>
          <w:tcPr>
            <w:tcW w:w="199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571"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10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129"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106" w:type="dxa"/>
            <w:gridSpan w:val="2"/>
            <w:vMerge/>
            <w:tcBorders>
              <w:left w:val="single" w:sz="4" w:space="0" w:color="000000"/>
              <w:right w:val="single" w:sz="4" w:space="0" w:color="000000"/>
            </w:tcBorders>
            <w:shd w:val="clear" w:color="auto" w:fill="DCDCDC"/>
          </w:tcPr>
          <w:p>
            <w:pPr/>
          </w:p>
        </w:tc>
        <w:tc>
          <w:tcPr>
            <w:tcW w:w="110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持股总数</w:t>
            </w:r>
          </w:p>
        </w:tc>
        <w:tc>
          <w:tcPr>
            <w:tcW w:w="1548" w:type="dxa"/>
            <w:gridSpan w:val="2"/>
            <w:vMerge/>
            <w:tcBorders>
              <w:left w:val="single" w:sz="4" w:space="0" w:color="000000"/>
              <w:right w:val="single" w:sz="4" w:space="0" w:color="000000"/>
            </w:tcBorders>
            <w:shd w:val="clear" w:color="auto" w:fill="DCDCDC"/>
          </w:tcPr>
          <w:p>
            <w:pPr/>
          </w:p>
        </w:tc>
        <w:tc>
          <w:tcPr>
            <w:tcW w:w="1508" w:type="dxa"/>
            <w:vMerge/>
            <w:tcBorders>
              <w:left w:val="single" w:sz="4" w:space="0" w:color="000000"/>
              <w:right w:val="single" w:sz="4" w:space="0" w:color="000000"/>
            </w:tcBorders>
            <w:shd w:val="clear" w:color="auto" w:fill="DCDCDC"/>
          </w:tcPr>
          <w:p>
            <w:pPr/>
          </w:p>
        </w:tc>
      </w:tr>
      <w:tr>
        <w:trPr>
          <w:trHeight w:val="161" w:hRule="exact"/>
        </w:trPr>
        <w:tc>
          <w:tcPr>
            <w:tcW w:w="1992" w:type="dxa"/>
            <w:tcBorders>
              <w:top w:val="nil" w:sz="6" w:space="0" w:color="auto"/>
              <w:left w:val="single" w:sz="4" w:space="0" w:color="000000"/>
              <w:bottom w:val="single" w:sz="4" w:space="0" w:color="000000"/>
              <w:right w:val="single" w:sz="4" w:space="0" w:color="000000"/>
            </w:tcBorders>
            <w:shd w:val="clear" w:color="auto" w:fill="DCDCDC"/>
          </w:tcPr>
          <w:p>
            <w:pPr/>
          </w:p>
        </w:tc>
        <w:tc>
          <w:tcPr>
            <w:tcW w:w="1107" w:type="dxa"/>
            <w:tcBorders>
              <w:top w:val="nil" w:sz="6" w:space="0" w:color="auto"/>
              <w:left w:val="single" w:sz="4" w:space="0" w:color="000000"/>
              <w:bottom w:val="single" w:sz="4" w:space="0" w:color="000000"/>
              <w:right w:val="single" w:sz="4" w:space="0" w:color="000000"/>
            </w:tcBorders>
            <w:shd w:val="clear" w:color="auto" w:fill="DCDCDC"/>
          </w:tcPr>
          <w:p>
            <w:pPr/>
          </w:p>
        </w:tc>
        <w:tc>
          <w:tcPr>
            <w:tcW w:w="1106" w:type="dxa"/>
            <w:gridSpan w:val="2"/>
            <w:vMerge/>
            <w:tcBorders>
              <w:left w:val="single" w:sz="4" w:space="0" w:color="000000"/>
              <w:bottom w:val="single" w:sz="4" w:space="0" w:color="000000"/>
              <w:right w:val="single" w:sz="4" w:space="0" w:color="000000"/>
            </w:tcBorders>
            <w:shd w:val="clear" w:color="auto" w:fill="DCDCDC"/>
          </w:tcPr>
          <w:p>
            <w:pPr/>
          </w:p>
        </w:tc>
        <w:tc>
          <w:tcPr>
            <w:tcW w:w="1104" w:type="dxa"/>
            <w:tcBorders>
              <w:top w:val="nil" w:sz="6" w:space="0" w:color="auto"/>
              <w:left w:val="single" w:sz="4" w:space="0" w:color="000000"/>
              <w:bottom w:val="single" w:sz="4" w:space="0" w:color="000000"/>
              <w:right w:val="single" w:sz="4" w:space="0" w:color="000000"/>
            </w:tcBorders>
            <w:shd w:val="clear" w:color="auto" w:fill="DCDCDC"/>
          </w:tcPr>
          <w:p>
            <w:pPr/>
          </w:p>
        </w:tc>
        <w:tc>
          <w:tcPr>
            <w:tcW w:w="1548" w:type="dxa"/>
            <w:gridSpan w:val="2"/>
            <w:vMerge/>
            <w:tcBorders>
              <w:left w:val="single" w:sz="4" w:space="0" w:color="000000"/>
              <w:bottom w:val="single" w:sz="4" w:space="0" w:color="000000"/>
              <w:right w:val="single" w:sz="4" w:space="0" w:color="000000"/>
            </w:tcBorders>
            <w:shd w:val="clear" w:color="auto" w:fill="DCDCDC"/>
          </w:tcPr>
          <w:p>
            <w:pPr/>
          </w:p>
        </w:tc>
        <w:tc>
          <w:tcPr>
            <w:tcW w:w="1508" w:type="dxa"/>
            <w:vMerge/>
            <w:tcBorders>
              <w:left w:val="single" w:sz="4" w:space="0" w:color="000000"/>
              <w:bottom w:val="single" w:sz="4" w:space="0" w:color="000000"/>
              <w:right w:val="single" w:sz="4" w:space="0" w:color="000000"/>
            </w:tcBorders>
            <w:shd w:val="clear" w:color="auto" w:fill="DCDCDC"/>
          </w:tcPr>
          <w:p>
            <w:pPr/>
          </w:p>
        </w:tc>
      </w:tr>
      <w:tr>
        <w:trPr>
          <w:trHeight w:val="636"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62"/>
              <w:jc w:val="left"/>
              <w:rPr>
                <w:rFonts w:ascii="宋体" w:hAnsi="宋体" w:cs="宋体" w:eastAsia="宋体" w:hint="default"/>
                <w:sz w:val="21"/>
                <w:szCs w:val="21"/>
              </w:rPr>
            </w:pPr>
            <w:r>
              <w:rPr>
                <w:rFonts w:ascii="宋体" w:hAnsi="宋体" w:cs="宋体" w:eastAsia="宋体" w:hint="default"/>
                <w:sz w:val="21"/>
                <w:szCs w:val="21"/>
              </w:rPr>
              <w:t>上海迪宣投资管理有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z w:val="21"/>
                <w:szCs w:val="21"/>
              </w:rPr>
              <w:t>境内非国有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法人</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24" w:right="0"/>
              <w:jc w:val="left"/>
              <w:rPr>
                <w:rFonts w:ascii="Times New Roman" w:hAnsi="Times New Roman" w:cs="Times New Roman" w:eastAsia="Times New Roman" w:hint="default"/>
                <w:sz w:val="21"/>
                <w:szCs w:val="21"/>
              </w:rPr>
            </w:pPr>
            <w:r>
              <w:rPr>
                <w:rFonts w:ascii="Times New Roman"/>
                <w:sz w:val="21"/>
              </w:rPr>
              <w:t>36.12%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2" w:right="0"/>
              <w:jc w:val="center"/>
              <w:rPr>
                <w:rFonts w:ascii="Times New Roman" w:hAnsi="Times New Roman" w:cs="Times New Roman" w:eastAsia="Times New Roman" w:hint="default"/>
                <w:sz w:val="21"/>
                <w:szCs w:val="21"/>
              </w:rPr>
            </w:pPr>
            <w:r>
              <w:rPr>
                <w:rFonts w:ascii="Times New Roman"/>
                <w:sz w:val="21"/>
              </w:rPr>
              <w:t>60,690,000</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71" w:right="0"/>
              <w:jc w:val="left"/>
              <w:rPr>
                <w:rFonts w:ascii="Times New Roman" w:hAnsi="Times New Roman" w:cs="Times New Roman" w:eastAsia="Times New Roman" w:hint="default"/>
                <w:sz w:val="21"/>
                <w:szCs w:val="21"/>
              </w:rPr>
            </w:pPr>
            <w:r>
              <w:rPr>
                <w:rFonts w:ascii="Times New Roman"/>
                <w:sz w:val="21"/>
              </w:rPr>
              <w:t>60,690,000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62"/>
              <w:jc w:val="left"/>
              <w:rPr>
                <w:rFonts w:ascii="宋体" w:hAnsi="宋体" w:cs="宋体" w:eastAsia="宋体" w:hint="default"/>
                <w:sz w:val="21"/>
                <w:szCs w:val="21"/>
              </w:rPr>
            </w:pPr>
            <w:r>
              <w:rPr>
                <w:rFonts w:ascii="宋体" w:hAnsi="宋体" w:cs="宋体" w:eastAsia="宋体" w:hint="default"/>
                <w:sz w:val="21"/>
                <w:szCs w:val="21"/>
              </w:rPr>
              <w:t>上海得逸投资管理有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z w:val="21"/>
                <w:szCs w:val="21"/>
              </w:rPr>
              <w:t>境内非国有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法人</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30" w:right="0"/>
              <w:jc w:val="left"/>
              <w:rPr>
                <w:rFonts w:ascii="Times New Roman" w:hAnsi="Times New Roman" w:cs="Times New Roman" w:eastAsia="Times New Roman" w:hint="default"/>
                <w:sz w:val="21"/>
                <w:szCs w:val="21"/>
              </w:rPr>
            </w:pPr>
            <w:r>
              <w:rPr>
                <w:rFonts w:ascii="Times New Roman"/>
                <w:sz w:val="21"/>
              </w:rPr>
              <w:t>8.67%</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center"/>
              <w:rPr>
                <w:rFonts w:ascii="Times New Roman" w:hAnsi="Times New Roman" w:cs="Times New Roman" w:eastAsia="Times New Roman" w:hint="default"/>
                <w:sz w:val="21"/>
                <w:szCs w:val="21"/>
              </w:rPr>
            </w:pPr>
            <w:r>
              <w:rPr>
                <w:rFonts w:ascii="Times New Roman"/>
                <w:sz w:val="21"/>
              </w:rPr>
              <w:t>14,560,000</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71" w:right="0"/>
              <w:jc w:val="left"/>
              <w:rPr>
                <w:rFonts w:ascii="Times New Roman" w:hAnsi="Times New Roman" w:cs="Times New Roman" w:eastAsia="Times New Roman" w:hint="default"/>
                <w:sz w:val="21"/>
                <w:szCs w:val="21"/>
              </w:rPr>
            </w:pPr>
            <w:r>
              <w:rPr>
                <w:rFonts w:ascii="Times New Roman"/>
                <w:sz w:val="21"/>
              </w:rPr>
              <w:t>14,560,000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34"/>
              <w:ind w:left="23" w:right="226"/>
              <w:jc w:val="left"/>
              <w:rPr>
                <w:rFonts w:ascii="Times New Roman" w:hAnsi="Times New Roman" w:cs="Times New Roman" w:eastAsia="Times New Roman" w:hint="default"/>
                <w:sz w:val="21"/>
                <w:szCs w:val="21"/>
              </w:rPr>
            </w:pPr>
            <w:r>
              <w:rPr>
                <w:rFonts w:ascii="Times New Roman"/>
                <w:sz w:val="21"/>
              </w:rPr>
              <w:t>Inspire</w:t>
            </w:r>
            <w:r>
              <w:rPr>
                <w:rFonts w:ascii="Times New Roman"/>
                <w:spacing w:val="-1"/>
                <w:sz w:val="21"/>
              </w:rPr>
              <w:t> </w:t>
            </w:r>
            <w:r>
              <w:rPr>
                <w:rFonts w:ascii="Times New Roman"/>
                <w:sz w:val="21"/>
              </w:rPr>
              <w:t>East</w:t>
            </w:r>
            <w:r>
              <w:rPr>
                <w:rFonts w:ascii="Times New Roman"/>
                <w:w w:val="100"/>
                <w:sz w:val="21"/>
              </w:rPr>
              <w:t> </w:t>
            </w:r>
            <w:r>
              <w:rPr>
                <w:rFonts w:ascii="Times New Roman"/>
                <w:sz w:val="21"/>
              </w:rPr>
              <w:t>Investments</w:t>
            </w:r>
            <w:r>
              <w:rPr>
                <w:rFonts w:ascii="Times New Roman"/>
                <w:spacing w:val="-9"/>
                <w:sz w:val="21"/>
              </w:rPr>
              <w:t> </w:t>
            </w:r>
            <w:r>
              <w:rPr>
                <w:rFonts w:ascii="Times New Roman"/>
                <w:sz w:val="21"/>
              </w:rPr>
              <w:t>Limited</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30" w:right="0"/>
              <w:jc w:val="left"/>
              <w:rPr>
                <w:rFonts w:ascii="Times New Roman" w:hAnsi="Times New Roman" w:cs="Times New Roman" w:eastAsia="Times New Roman" w:hint="default"/>
                <w:sz w:val="21"/>
                <w:szCs w:val="21"/>
              </w:rPr>
            </w:pPr>
            <w:r>
              <w:rPr>
                <w:rFonts w:ascii="Times New Roman"/>
                <w:sz w:val="21"/>
              </w:rPr>
              <w:t>6.69%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2" w:right="0"/>
              <w:jc w:val="center"/>
              <w:rPr>
                <w:rFonts w:ascii="Times New Roman" w:hAnsi="Times New Roman" w:cs="Times New Roman" w:eastAsia="Times New Roman" w:hint="default"/>
                <w:sz w:val="21"/>
                <w:szCs w:val="21"/>
              </w:rPr>
            </w:pPr>
            <w:r>
              <w:rPr>
                <w:rFonts w:ascii="Times New Roman"/>
                <w:sz w:val="21"/>
              </w:rPr>
              <w:t>11,238,137</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71" w:right="0"/>
              <w:jc w:val="left"/>
              <w:rPr>
                <w:rFonts w:ascii="Times New Roman" w:hAnsi="Times New Roman" w:cs="Times New Roman" w:eastAsia="Times New Roman" w:hint="default"/>
                <w:sz w:val="21"/>
                <w:szCs w:val="21"/>
              </w:rPr>
            </w:pPr>
            <w:r>
              <w:rPr>
                <w:rFonts w:ascii="Times New Roman"/>
                <w:sz w:val="21"/>
              </w:rPr>
              <w:t>11,238,137</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6"/>
              <w:jc w:val="right"/>
              <w:rPr>
                <w:rFonts w:ascii="Times New Roman" w:hAnsi="Times New Roman" w:cs="Times New Roman" w:eastAsia="Times New Roman" w:hint="default"/>
                <w:sz w:val="21"/>
                <w:szCs w:val="21"/>
              </w:rPr>
            </w:pPr>
            <w:r>
              <w:rPr>
                <w:rFonts w:ascii="Times New Roman"/>
                <w:sz w:val="21"/>
              </w:rPr>
              <w:t>The China Fund,</w:t>
            </w:r>
            <w:r>
              <w:rPr>
                <w:rFonts w:ascii="Times New Roman"/>
                <w:spacing w:val="-4"/>
                <w:sz w:val="21"/>
              </w:rPr>
              <w:t> </w:t>
            </w:r>
            <w:r>
              <w:rPr>
                <w:rFonts w:ascii="Times New Roman"/>
                <w:sz w:val="21"/>
              </w:rPr>
              <w:t>Inc.</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30" w:right="0"/>
              <w:jc w:val="left"/>
              <w:rPr>
                <w:rFonts w:ascii="Times New Roman" w:hAnsi="Times New Roman" w:cs="Times New Roman" w:eastAsia="Times New Roman" w:hint="default"/>
                <w:sz w:val="21"/>
                <w:szCs w:val="21"/>
              </w:rPr>
            </w:pPr>
            <w:r>
              <w:rPr>
                <w:rFonts w:ascii="Times New Roman"/>
                <w:sz w:val="21"/>
              </w:rPr>
              <w:t>6.69%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2" w:right="0"/>
              <w:jc w:val="center"/>
              <w:rPr>
                <w:rFonts w:ascii="Times New Roman" w:hAnsi="Times New Roman" w:cs="Times New Roman" w:eastAsia="Times New Roman" w:hint="default"/>
                <w:sz w:val="21"/>
                <w:szCs w:val="21"/>
              </w:rPr>
            </w:pPr>
            <w:r>
              <w:rPr>
                <w:rFonts w:ascii="Times New Roman"/>
                <w:sz w:val="21"/>
              </w:rPr>
              <w:t>11,238,137</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71" w:right="0"/>
              <w:jc w:val="left"/>
              <w:rPr>
                <w:rFonts w:ascii="Times New Roman" w:hAnsi="Times New Roman" w:cs="Times New Roman" w:eastAsia="Times New Roman" w:hint="default"/>
                <w:sz w:val="21"/>
                <w:szCs w:val="21"/>
              </w:rPr>
            </w:pPr>
            <w:r>
              <w:rPr>
                <w:rFonts w:ascii="Times New Roman"/>
                <w:sz w:val="21"/>
              </w:rPr>
              <w:t>11,238,137</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62"/>
              <w:jc w:val="left"/>
              <w:rPr>
                <w:rFonts w:ascii="宋体" w:hAnsi="宋体" w:cs="宋体" w:eastAsia="宋体" w:hint="default"/>
                <w:sz w:val="21"/>
                <w:szCs w:val="21"/>
              </w:rPr>
            </w:pPr>
            <w:r>
              <w:rPr>
                <w:rFonts w:ascii="宋体" w:hAnsi="宋体" w:cs="宋体" w:eastAsia="宋体" w:hint="default"/>
                <w:sz w:val="21"/>
                <w:szCs w:val="21"/>
              </w:rPr>
              <w:t>上海得帆投资管理有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z w:val="21"/>
                <w:szCs w:val="21"/>
              </w:rPr>
              <w:t>境内非国有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法人</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30" w:right="0"/>
              <w:jc w:val="left"/>
              <w:rPr>
                <w:rFonts w:ascii="Times New Roman" w:hAnsi="Times New Roman" w:cs="Times New Roman" w:eastAsia="Times New Roman" w:hint="default"/>
                <w:sz w:val="21"/>
                <w:szCs w:val="21"/>
              </w:rPr>
            </w:pPr>
            <w:r>
              <w:rPr>
                <w:rFonts w:ascii="Times New Roman"/>
                <w:sz w:val="21"/>
              </w:rPr>
              <w:t>5.42%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8" w:right="0"/>
              <w:jc w:val="center"/>
              <w:rPr>
                <w:rFonts w:ascii="Times New Roman" w:hAnsi="Times New Roman" w:cs="Times New Roman" w:eastAsia="Times New Roman" w:hint="default"/>
                <w:sz w:val="21"/>
                <w:szCs w:val="21"/>
              </w:rPr>
            </w:pPr>
            <w:r>
              <w:rPr>
                <w:rFonts w:ascii="Times New Roman"/>
                <w:sz w:val="21"/>
              </w:rPr>
              <w:t>9,114,000</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76" w:right="0"/>
              <w:jc w:val="left"/>
              <w:rPr>
                <w:rFonts w:ascii="Times New Roman" w:hAnsi="Times New Roman" w:cs="Times New Roman" w:eastAsia="Times New Roman" w:hint="default"/>
                <w:sz w:val="21"/>
                <w:szCs w:val="21"/>
              </w:rPr>
            </w:pPr>
            <w:r>
              <w:rPr>
                <w:rFonts w:ascii="Times New Roman"/>
                <w:sz w:val="21"/>
              </w:rPr>
              <w:t>9,114,000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62"/>
              <w:jc w:val="left"/>
              <w:rPr>
                <w:rFonts w:ascii="宋体" w:hAnsi="宋体" w:cs="宋体" w:eastAsia="宋体" w:hint="default"/>
                <w:sz w:val="21"/>
                <w:szCs w:val="21"/>
              </w:rPr>
            </w:pPr>
            <w:r>
              <w:rPr>
                <w:rFonts w:ascii="宋体" w:hAnsi="宋体" w:cs="宋体" w:eastAsia="宋体" w:hint="default"/>
                <w:sz w:val="21"/>
                <w:szCs w:val="21"/>
              </w:rPr>
              <w:t>上海得拓投资管理有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z w:val="21"/>
                <w:szCs w:val="21"/>
              </w:rPr>
              <w:t>境内非国有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法人</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30" w:right="0"/>
              <w:jc w:val="left"/>
              <w:rPr>
                <w:rFonts w:ascii="Times New Roman" w:hAnsi="Times New Roman" w:cs="Times New Roman" w:eastAsia="Times New Roman" w:hint="default"/>
                <w:sz w:val="21"/>
                <w:szCs w:val="21"/>
              </w:rPr>
            </w:pPr>
            <w:r>
              <w:rPr>
                <w:rFonts w:ascii="Times New Roman"/>
                <w:sz w:val="21"/>
              </w:rPr>
              <w:t>4.10%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8" w:right="0"/>
              <w:jc w:val="center"/>
              <w:rPr>
                <w:rFonts w:ascii="Times New Roman" w:hAnsi="Times New Roman" w:cs="Times New Roman" w:eastAsia="Times New Roman" w:hint="default"/>
                <w:sz w:val="21"/>
                <w:szCs w:val="21"/>
              </w:rPr>
            </w:pPr>
            <w:r>
              <w:rPr>
                <w:rFonts w:ascii="Times New Roman"/>
                <w:sz w:val="21"/>
              </w:rPr>
              <w:t>6,895,000</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76" w:right="0"/>
              <w:jc w:val="left"/>
              <w:rPr>
                <w:rFonts w:ascii="Times New Roman" w:hAnsi="Times New Roman" w:cs="Times New Roman" w:eastAsia="Times New Roman" w:hint="default"/>
                <w:sz w:val="21"/>
                <w:szCs w:val="21"/>
              </w:rPr>
            </w:pPr>
            <w:r>
              <w:rPr>
                <w:rFonts w:ascii="Times New Roman"/>
                <w:sz w:val="21"/>
              </w:rPr>
              <w:t>6,895,000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637"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62"/>
              <w:jc w:val="left"/>
              <w:rPr>
                <w:rFonts w:ascii="宋体" w:hAnsi="宋体" w:cs="宋体" w:eastAsia="宋体" w:hint="default"/>
                <w:sz w:val="21"/>
                <w:szCs w:val="21"/>
              </w:rPr>
            </w:pPr>
            <w:r>
              <w:rPr>
                <w:rFonts w:ascii="宋体" w:hAnsi="宋体" w:cs="宋体" w:eastAsia="宋体" w:hint="default"/>
                <w:sz w:val="21"/>
                <w:szCs w:val="21"/>
              </w:rPr>
              <w:t>上海得竞投资管理有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z w:val="21"/>
                <w:szCs w:val="21"/>
              </w:rPr>
              <w:t>境内非国有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法人</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30" w:right="0"/>
              <w:jc w:val="left"/>
              <w:rPr>
                <w:rFonts w:ascii="Times New Roman" w:hAnsi="Times New Roman" w:cs="Times New Roman" w:eastAsia="Times New Roman" w:hint="default"/>
                <w:sz w:val="21"/>
                <w:szCs w:val="21"/>
              </w:rPr>
            </w:pPr>
            <w:r>
              <w:rPr>
                <w:rFonts w:ascii="Times New Roman"/>
                <w:sz w:val="21"/>
              </w:rPr>
              <w:t>3.74%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08" w:right="0"/>
              <w:jc w:val="center"/>
              <w:rPr>
                <w:rFonts w:ascii="Times New Roman" w:hAnsi="Times New Roman" w:cs="Times New Roman" w:eastAsia="Times New Roman" w:hint="default"/>
                <w:sz w:val="21"/>
                <w:szCs w:val="21"/>
              </w:rPr>
            </w:pPr>
            <w:r>
              <w:rPr>
                <w:rFonts w:ascii="Times New Roman"/>
                <w:sz w:val="21"/>
              </w:rPr>
              <w:t>6,279,000</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76" w:right="0"/>
              <w:jc w:val="left"/>
              <w:rPr>
                <w:rFonts w:ascii="Times New Roman" w:hAnsi="Times New Roman" w:cs="Times New Roman" w:eastAsia="Times New Roman" w:hint="default"/>
                <w:sz w:val="21"/>
                <w:szCs w:val="21"/>
              </w:rPr>
            </w:pPr>
            <w:r>
              <w:rPr>
                <w:rFonts w:ascii="Times New Roman"/>
                <w:sz w:val="21"/>
              </w:rPr>
              <w:t>6,279,000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946"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62"/>
              <w:jc w:val="both"/>
              <w:rPr>
                <w:rFonts w:ascii="宋体" w:hAnsi="宋体" w:cs="宋体" w:eastAsia="宋体" w:hint="default"/>
                <w:sz w:val="21"/>
                <w:szCs w:val="21"/>
              </w:rPr>
            </w:pPr>
            <w:r>
              <w:rPr>
                <w:rFonts w:ascii="宋体" w:hAnsi="宋体" w:cs="宋体" w:eastAsia="宋体" w:hint="default"/>
                <w:sz w:val="21"/>
                <w:szCs w:val="21"/>
              </w:rPr>
              <w:t>兴业银行股份有限公</w:t>
            </w:r>
            <w:r>
              <w:rPr>
                <w:rFonts w:ascii="宋体" w:hAnsi="宋体" w:cs="宋体" w:eastAsia="宋体" w:hint="default"/>
                <w:w w:val="100"/>
                <w:sz w:val="21"/>
                <w:szCs w:val="21"/>
              </w:rPr>
              <w:t> </w:t>
            </w:r>
            <w:r>
              <w:rPr>
                <w:rFonts w:ascii="宋体" w:hAnsi="宋体" w:cs="宋体" w:eastAsia="宋体" w:hint="default"/>
                <w:sz w:val="21"/>
                <w:szCs w:val="21"/>
              </w:rPr>
              <w:t>司－万家和谐增长混</w:t>
            </w:r>
            <w:r>
              <w:rPr>
                <w:rFonts w:ascii="宋体" w:hAnsi="宋体" w:cs="宋体" w:eastAsia="宋体" w:hint="default"/>
                <w:w w:val="100"/>
                <w:sz w:val="21"/>
                <w:szCs w:val="21"/>
              </w:rPr>
              <w:t> </w:t>
            </w:r>
            <w:r>
              <w:rPr>
                <w:rFonts w:ascii="宋体" w:hAnsi="宋体" w:cs="宋体" w:eastAsia="宋体" w:hint="default"/>
                <w:sz w:val="21"/>
                <w:szCs w:val="21"/>
              </w:rPr>
              <w:t>合型证券投资基金</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 w:right="17"/>
              <w:jc w:val="left"/>
              <w:rPr>
                <w:rFonts w:ascii="宋体" w:hAnsi="宋体" w:cs="宋体" w:eastAsia="宋体" w:hint="default"/>
                <w:sz w:val="21"/>
                <w:szCs w:val="21"/>
              </w:rPr>
            </w:pPr>
            <w:r>
              <w:rPr>
                <w:rFonts w:ascii="宋体" w:hAnsi="宋体" w:cs="宋体" w:eastAsia="宋体" w:hint="default"/>
                <w:sz w:val="21"/>
                <w:szCs w:val="21"/>
              </w:rPr>
              <w:t>基金、理财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产品等其他</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30" w:right="0"/>
              <w:jc w:val="left"/>
              <w:rPr>
                <w:rFonts w:ascii="Times New Roman" w:hAnsi="Times New Roman" w:cs="Times New Roman" w:eastAsia="Times New Roman" w:hint="default"/>
                <w:sz w:val="21"/>
                <w:szCs w:val="21"/>
              </w:rPr>
            </w:pPr>
            <w:r>
              <w:rPr>
                <w:rFonts w:ascii="Times New Roman"/>
                <w:sz w:val="21"/>
              </w:rPr>
              <w:t>1.83%</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08" w:right="0"/>
              <w:jc w:val="center"/>
              <w:rPr>
                <w:rFonts w:ascii="Times New Roman" w:hAnsi="Times New Roman" w:cs="Times New Roman" w:eastAsia="Times New Roman" w:hint="default"/>
                <w:sz w:val="21"/>
                <w:szCs w:val="21"/>
              </w:rPr>
            </w:pPr>
            <w:r>
              <w:rPr>
                <w:rFonts w:ascii="Times New Roman"/>
                <w:sz w:val="21"/>
              </w:rPr>
              <w:t>3,068,872</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946"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3" w:right="62"/>
              <w:jc w:val="left"/>
              <w:rPr>
                <w:rFonts w:ascii="宋体" w:hAnsi="宋体" w:cs="宋体" w:eastAsia="宋体" w:hint="default"/>
                <w:sz w:val="21"/>
                <w:szCs w:val="21"/>
              </w:rPr>
            </w:pPr>
            <w:r>
              <w:rPr>
                <w:rFonts w:ascii="宋体" w:hAnsi="宋体" w:cs="宋体" w:eastAsia="宋体" w:hint="default"/>
                <w:sz w:val="21"/>
                <w:szCs w:val="21"/>
              </w:rPr>
              <w:t>中国工商银行</w:t>
            </w:r>
            <w:r>
              <w:rPr>
                <w:rFonts w:ascii="Times New Roman" w:hAnsi="Times New Roman" w:cs="Times New Roman" w:eastAsia="Times New Roman" w:hint="default"/>
                <w:sz w:val="21"/>
                <w:szCs w:val="21"/>
              </w:rPr>
              <w:t>-</w:t>
            </w:r>
            <w:r>
              <w:rPr>
                <w:rFonts w:ascii="宋体" w:hAnsi="宋体" w:cs="宋体" w:eastAsia="宋体" w:hint="default"/>
                <w:sz w:val="21"/>
                <w:szCs w:val="21"/>
              </w:rPr>
              <w:t>汇添</w:t>
            </w:r>
            <w:r>
              <w:rPr>
                <w:rFonts w:ascii="宋体" w:hAnsi="宋体" w:cs="宋体" w:eastAsia="宋体" w:hint="default"/>
                <w:w w:val="100"/>
                <w:sz w:val="21"/>
                <w:szCs w:val="21"/>
              </w:rPr>
              <w:t> </w:t>
            </w:r>
            <w:r>
              <w:rPr>
                <w:rFonts w:ascii="宋体" w:hAnsi="宋体" w:cs="宋体" w:eastAsia="宋体" w:hint="default"/>
                <w:sz w:val="21"/>
                <w:szCs w:val="21"/>
              </w:rPr>
              <w:t>富价值精选股票型证</w:t>
            </w:r>
            <w:r>
              <w:rPr>
                <w:rFonts w:ascii="宋体" w:hAnsi="宋体" w:cs="宋体" w:eastAsia="宋体" w:hint="default"/>
                <w:w w:val="100"/>
                <w:sz w:val="21"/>
                <w:szCs w:val="21"/>
              </w:rPr>
              <w:t> </w:t>
            </w:r>
            <w:r>
              <w:rPr>
                <w:rFonts w:ascii="宋体" w:hAnsi="宋体" w:cs="宋体" w:eastAsia="宋体" w:hint="default"/>
                <w:sz w:val="21"/>
                <w:szCs w:val="21"/>
              </w:rPr>
              <w:t>券投资基金</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 w:right="17"/>
              <w:jc w:val="left"/>
              <w:rPr>
                <w:rFonts w:ascii="宋体" w:hAnsi="宋体" w:cs="宋体" w:eastAsia="宋体" w:hint="default"/>
                <w:sz w:val="21"/>
                <w:szCs w:val="21"/>
              </w:rPr>
            </w:pPr>
            <w:r>
              <w:rPr>
                <w:rFonts w:ascii="宋体" w:hAnsi="宋体" w:cs="宋体" w:eastAsia="宋体" w:hint="default"/>
                <w:sz w:val="21"/>
                <w:szCs w:val="21"/>
              </w:rPr>
              <w:t>基金、理财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产品等其他</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30" w:right="0"/>
              <w:jc w:val="left"/>
              <w:rPr>
                <w:rFonts w:ascii="Times New Roman" w:hAnsi="Times New Roman" w:cs="Times New Roman" w:eastAsia="Times New Roman" w:hint="default"/>
                <w:sz w:val="21"/>
                <w:szCs w:val="21"/>
              </w:rPr>
            </w:pPr>
            <w:r>
              <w:rPr>
                <w:rFonts w:ascii="Times New Roman"/>
                <w:sz w:val="21"/>
              </w:rPr>
              <w:t>1.59%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08" w:right="0"/>
              <w:jc w:val="center"/>
              <w:rPr>
                <w:rFonts w:ascii="Times New Roman" w:hAnsi="Times New Roman" w:cs="Times New Roman" w:eastAsia="Times New Roman" w:hint="default"/>
                <w:sz w:val="21"/>
                <w:szCs w:val="21"/>
              </w:rPr>
            </w:pPr>
            <w:r>
              <w:rPr>
                <w:rFonts w:ascii="Times New Roman"/>
                <w:sz w:val="21"/>
              </w:rPr>
              <w:t>2,663,931</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right"/>
        <w:rPr>
          <w:rFonts w:ascii="Times New Roman" w:hAnsi="Times New Roman" w:cs="Times New Roman" w:eastAsia="Times New Roman" w:hint="default"/>
          <w:sz w:val="21"/>
          <w:szCs w:val="21"/>
        </w:rPr>
        <w:sectPr>
          <w:pgSz w:w="11910" w:h="16840"/>
          <w:pgMar w:header="884" w:footer="980" w:top="1140" w:bottom="1160" w:left="1580" w:right="1640"/>
        </w:sectPr>
      </w:pPr>
    </w:p>
    <w:p>
      <w:pPr>
        <w:spacing w:line="240" w:lineRule="auto" w:before="6"/>
        <w:rPr>
          <w:rFonts w:ascii="宋体" w:hAnsi="宋体" w:cs="宋体" w:eastAsia="宋体" w:hint="default"/>
          <w:sz w:val="21"/>
          <w:szCs w:val="21"/>
        </w:rPr>
      </w:pPr>
    </w:p>
    <w:tbl>
      <w:tblPr>
        <w:tblW w:w="0" w:type="auto"/>
        <w:jc w:val="left"/>
        <w:tblInd w:w="186" w:type="dxa"/>
        <w:tblLayout w:type="fixed"/>
        <w:tblCellMar>
          <w:top w:w="0" w:type="dxa"/>
          <w:left w:w="0" w:type="dxa"/>
          <w:bottom w:w="0" w:type="dxa"/>
          <w:right w:w="0" w:type="dxa"/>
        </w:tblCellMar>
        <w:tblLook w:val="01E0"/>
      </w:tblPr>
      <w:tblGrid>
        <w:gridCol w:w="1992"/>
        <w:gridCol w:w="1107"/>
        <w:gridCol w:w="1106"/>
        <w:gridCol w:w="1104"/>
        <w:gridCol w:w="444"/>
        <w:gridCol w:w="1104"/>
        <w:gridCol w:w="1508"/>
      </w:tblGrid>
      <w:tr>
        <w:trPr>
          <w:trHeight w:val="946"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23" w:right="62"/>
              <w:jc w:val="both"/>
              <w:rPr>
                <w:rFonts w:ascii="宋体" w:hAnsi="宋体" w:cs="宋体" w:eastAsia="宋体" w:hint="default"/>
                <w:sz w:val="21"/>
                <w:szCs w:val="21"/>
              </w:rPr>
            </w:pPr>
            <w:r>
              <w:rPr>
                <w:rFonts w:ascii="宋体" w:hAnsi="宋体" w:cs="宋体" w:eastAsia="宋体" w:hint="default"/>
                <w:sz w:val="21"/>
                <w:szCs w:val="21"/>
              </w:rPr>
              <w:t>东证资管－工行－东</w:t>
            </w:r>
            <w:r>
              <w:rPr>
                <w:rFonts w:ascii="宋体" w:hAnsi="宋体" w:cs="宋体" w:eastAsia="宋体" w:hint="default"/>
                <w:w w:val="100"/>
                <w:sz w:val="21"/>
                <w:szCs w:val="21"/>
              </w:rPr>
              <w:t> </w:t>
            </w:r>
            <w:r>
              <w:rPr>
                <w:rFonts w:ascii="宋体" w:hAnsi="宋体" w:cs="宋体" w:eastAsia="宋体" w:hint="default"/>
                <w:sz w:val="21"/>
                <w:szCs w:val="21"/>
              </w:rPr>
              <w:t>方红</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号－灵活配置</w:t>
            </w:r>
            <w:r>
              <w:rPr>
                <w:rFonts w:ascii="宋体" w:hAnsi="宋体" w:cs="宋体" w:eastAsia="宋体" w:hint="default"/>
                <w:w w:val="100"/>
                <w:sz w:val="21"/>
                <w:szCs w:val="21"/>
              </w:rPr>
              <w:t> </w:t>
            </w:r>
            <w:r>
              <w:rPr>
                <w:rFonts w:ascii="宋体" w:hAnsi="宋体" w:cs="宋体" w:eastAsia="宋体" w:hint="default"/>
                <w:sz w:val="21"/>
                <w:szCs w:val="21"/>
              </w:rPr>
              <w:t>集合资产管理计划</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 w:right="17"/>
              <w:jc w:val="left"/>
              <w:rPr>
                <w:rFonts w:ascii="宋体" w:hAnsi="宋体" w:cs="宋体" w:eastAsia="宋体" w:hint="default"/>
                <w:sz w:val="21"/>
                <w:szCs w:val="21"/>
              </w:rPr>
            </w:pPr>
            <w:r>
              <w:rPr>
                <w:rFonts w:ascii="宋体" w:hAnsi="宋体" w:cs="宋体" w:eastAsia="宋体" w:hint="default"/>
                <w:sz w:val="21"/>
                <w:szCs w:val="21"/>
              </w:rPr>
              <w:t>基金、理财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产品等其他</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530" w:right="0"/>
              <w:jc w:val="left"/>
              <w:rPr>
                <w:rFonts w:ascii="Times New Roman" w:hAnsi="Times New Roman" w:cs="Times New Roman" w:eastAsia="Times New Roman" w:hint="default"/>
                <w:sz w:val="21"/>
                <w:szCs w:val="21"/>
              </w:rPr>
            </w:pPr>
            <w:r>
              <w:rPr>
                <w:rFonts w:ascii="Times New Roman"/>
                <w:sz w:val="21"/>
              </w:rPr>
              <w:t>1.51%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30" w:right="0"/>
              <w:jc w:val="left"/>
              <w:rPr>
                <w:rFonts w:ascii="Times New Roman" w:hAnsi="Times New Roman" w:cs="Times New Roman" w:eastAsia="Times New Roman" w:hint="default"/>
                <w:sz w:val="21"/>
                <w:szCs w:val="21"/>
              </w:rPr>
            </w:pPr>
            <w:r>
              <w:rPr>
                <w:rFonts w:ascii="Times New Roman"/>
                <w:sz w:val="21"/>
              </w:rPr>
              <w:t>2,532,938</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8366"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075"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r>
      <w:tr>
        <w:trPr>
          <w:trHeight w:val="322" w:hRule="exact"/>
        </w:trPr>
        <w:tc>
          <w:tcPr>
            <w:tcW w:w="309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655"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65"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61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636" w:hRule="exact"/>
        </w:trPr>
        <w:tc>
          <w:tcPr>
            <w:tcW w:w="3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18"/>
              <w:jc w:val="left"/>
              <w:rPr>
                <w:rFonts w:ascii="宋体" w:hAnsi="宋体" w:cs="宋体" w:eastAsia="宋体" w:hint="default"/>
                <w:sz w:val="21"/>
                <w:szCs w:val="21"/>
              </w:rPr>
            </w:pPr>
            <w:r>
              <w:rPr>
                <w:rFonts w:ascii="宋体" w:hAnsi="宋体" w:cs="宋体" w:eastAsia="宋体" w:hint="default"/>
                <w:spacing w:val="-2"/>
                <w:sz w:val="21"/>
                <w:szCs w:val="21"/>
              </w:rPr>
              <w:t>兴业银行股份有限公司－万家和</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谐增长混合型证券投资基金</w:t>
            </w:r>
          </w:p>
        </w:tc>
        <w:tc>
          <w:tcPr>
            <w:tcW w:w="2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3,068,872</w:t>
            </w:r>
          </w:p>
        </w:tc>
        <w:tc>
          <w:tcPr>
            <w:tcW w:w="26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基金、理财产品等其他</w:t>
            </w:r>
          </w:p>
        </w:tc>
      </w:tr>
      <w:tr>
        <w:trPr>
          <w:trHeight w:val="634" w:hRule="exact"/>
        </w:trPr>
        <w:tc>
          <w:tcPr>
            <w:tcW w:w="3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3" w:right="48"/>
              <w:jc w:val="left"/>
              <w:rPr>
                <w:rFonts w:ascii="宋体" w:hAnsi="宋体" w:cs="宋体" w:eastAsia="宋体" w:hint="default"/>
                <w:sz w:val="21"/>
                <w:szCs w:val="21"/>
              </w:rPr>
            </w:pPr>
            <w:r>
              <w:rPr>
                <w:rFonts w:ascii="宋体" w:hAnsi="宋体" w:cs="宋体" w:eastAsia="宋体" w:hint="default"/>
                <w:spacing w:val="-2"/>
                <w:sz w:val="21"/>
                <w:szCs w:val="21"/>
              </w:rPr>
              <w:t>中国工商银行</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汇添富价值精选股</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票型证券投资基金</w:t>
            </w:r>
          </w:p>
        </w:tc>
        <w:tc>
          <w:tcPr>
            <w:tcW w:w="2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2,663,931</w:t>
            </w:r>
          </w:p>
        </w:tc>
        <w:tc>
          <w:tcPr>
            <w:tcW w:w="26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基金、理财产品等其他</w:t>
            </w:r>
          </w:p>
        </w:tc>
      </w:tr>
      <w:tr>
        <w:trPr>
          <w:trHeight w:val="634" w:hRule="exact"/>
        </w:trPr>
        <w:tc>
          <w:tcPr>
            <w:tcW w:w="3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3" w:right="120"/>
              <w:jc w:val="left"/>
              <w:rPr>
                <w:rFonts w:ascii="宋体" w:hAnsi="宋体" w:cs="宋体" w:eastAsia="宋体" w:hint="default"/>
                <w:sz w:val="21"/>
                <w:szCs w:val="21"/>
              </w:rPr>
            </w:pPr>
            <w:r>
              <w:rPr>
                <w:rFonts w:ascii="宋体" w:hAnsi="宋体" w:cs="宋体" w:eastAsia="宋体" w:hint="default"/>
                <w:sz w:val="21"/>
                <w:szCs w:val="21"/>
              </w:rPr>
              <w:t>东证资管－工行－东方红</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灵活配置集合资产管理计划</w:t>
            </w:r>
          </w:p>
        </w:tc>
        <w:tc>
          <w:tcPr>
            <w:tcW w:w="2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2,532,938</w:t>
            </w:r>
          </w:p>
        </w:tc>
        <w:tc>
          <w:tcPr>
            <w:tcW w:w="26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基金、理财产品等其他</w:t>
            </w:r>
          </w:p>
        </w:tc>
      </w:tr>
      <w:tr>
        <w:trPr>
          <w:trHeight w:val="634" w:hRule="exact"/>
        </w:trPr>
        <w:tc>
          <w:tcPr>
            <w:tcW w:w="3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18"/>
              <w:jc w:val="left"/>
              <w:rPr>
                <w:rFonts w:ascii="宋体" w:hAnsi="宋体" w:cs="宋体" w:eastAsia="宋体" w:hint="default"/>
                <w:sz w:val="21"/>
                <w:szCs w:val="21"/>
              </w:rPr>
            </w:pPr>
            <w:r>
              <w:rPr>
                <w:rFonts w:ascii="宋体" w:hAnsi="宋体" w:cs="宋体" w:eastAsia="宋体" w:hint="default"/>
                <w:spacing w:val="-2"/>
                <w:sz w:val="21"/>
                <w:szCs w:val="21"/>
              </w:rPr>
              <w:t>中国工商银行－汇添富均衡增长</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股票型证券投资基金</w:t>
            </w:r>
          </w:p>
        </w:tc>
        <w:tc>
          <w:tcPr>
            <w:tcW w:w="2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2,297,828</w:t>
            </w:r>
          </w:p>
        </w:tc>
        <w:tc>
          <w:tcPr>
            <w:tcW w:w="26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基金、理财产品等其他</w:t>
            </w:r>
          </w:p>
        </w:tc>
      </w:tr>
      <w:tr>
        <w:trPr>
          <w:trHeight w:val="634" w:hRule="exact"/>
        </w:trPr>
        <w:tc>
          <w:tcPr>
            <w:tcW w:w="3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3" w:right="120"/>
              <w:jc w:val="left"/>
              <w:rPr>
                <w:rFonts w:ascii="宋体" w:hAnsi="宋体" w:cs="宋体" w:eastAsia="宋体" w:hint="default"/>
                <w:sz w:val="21"/>
                <w:szCs w:val="21"/>
              </w:rPr>
            </w:pPr>
            <w:r>
              <w:rPr>
                <w:rFonts w:ascii="宋体" w:hAnsi="宋体" w:cs="宋体" w:eastAsia="宋体" w:hint="default"/>
                <w:sz w:val="21"/>
                <w:szCs w:val="21"/>
              </w:rPr>
              <w:t>东证资管－工行－东方红</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号积</w:t>
            </w:r>
            <w:r>
              <w:rPr>
                <w:rFonts w:ascii="宋体" w:hAnsi="宋体" w:cs="宋体" w:eastAsia="宋体" w:hint="default"/>
                <w:w w:val="100"/>
                <w:sz w:val="21"/>
                <w:szCs w:val="21"/>
              </w:rPr>
              <w:t> </w:t>
            </w:r>
            <w:r>
              <w:rPr>
                <w:rFonts w:ascii="宋体" w:hAnsi="宋体" w:cs="宋体" w:eastAsia="宋体" w:hint="default"/>
                <w:sz w:val="21"/>
                <w:szCs w:val="21"/>
              </w:rPr>
              <w:t>极成长集合资产管理计划</w:t>
            </w:r>
          </w:p>
        </w:tc>
        <w:tc>
          <w:tcPr>
            <w:tcW w:w="2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2,060,100</w:t>
            </w:r>
          </w:p>
        </w:tc>
        <w:tc>
          <w:tcPr>
            <w:tcW w:w="26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宋体" w:hAnsi="宋体" w:cs="宋体" w:eastAsia="宋体" w:hint="default"/>
                <w:sz w:val="21"/>
                <w:szCs w:val="21"/>
              </w:rPr>
            </w:pPr>
            <w:r>
              <w:rPr>
                <w:rFonts w:ascii="宋体" w:hAnsi="宋体" w:cs="宋体" w:eastAsia="宋体" w:hint="default"/>
                <w:sz w:val="21"/>
                <w:szCs w:val="21"/>
              </w:rPr>
              <w:t>基金、理财产品等其他</w:t>
            </w:r>
          </w:p>
        </w:tc>
      </w:tr>
      <w:tr>
        <w:trPr>
          <w:trHeight w:val="634" w:hRule="exact"/>
        </w:trPr>
        <w:tc>
          <w:tcPr>
            <w:tcW w:w="3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19"/>
              <w:jc w:val="left"/>
              <w:rPr>
                <w:rFonts w:ascii="宋体" w:hAnsi="宋体" w:cs="宋体" w:eastAsia="宋体" w:hint="default"/>
                <w:sz w:val="21"/>
                <w:szCs w:val="21"/>
              </w:rPr>
            </w:pPr>
            <w:r>
              <w:rPr>
                <w:rFonts w:ascii="宋体" w:hAnsi="宋体" w:cs="宋体" w:eastAsia="宋体" w:hint="default"/>
                <w:spacing w:val="-2"/>
                <w:sz w:val="21"/>
                <w:szCs w:val="21"/>
              </w:rPr>
              <w:t>中国工商银行－广发聚丰股票型</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证券投资基金</w:t>
            </w:r>
          </w:p>
        </w:tc>
        <w:tc>
          <w:tcPr>
            <w:tcW w:w="2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1,674,577</w:t>
            </w:r>
          </w:p>
        </w:tc>
        <w:tc>
          <w:tcPr>
            <w:tcW w:w="26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基金、理财产品等其他</w:t>
            </w:r>
          </w:p>
        </w:tc>
      </w:tr>
      <w:tr>
        <w:trPr>
          <w:trHeight w:val="636" w:hRule="exact"/>
        </w:trPr>
        <w:tc>
          <w:tcPr>
            <w:tcW w:w="3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18"/>
              <w:jc w:val="left"/>
              <w:rPr>
                <w:rFonts w:ascii="宋体" w:hAnsi="宋体" w:cs="宋体" w:eastAsia="宋体" w:hint="default"/>
                <w:sz w:val="21"/>
                <w:szCs w:val="21"/>
              </w:rPr>
            </w:pPr>
            <w:r>
              <w:rPr>
                <w:rFonts w:ascii="宋体" w:hAnsi="宋体" w:cs="宋体" w:eastAsia="宋体" w:hint="default"/>
                <w:spacing w:val="-2"/>
                <w:sz w:val="21"/>
                <w:szCs w:val="21"/>
              </w:rPr>
              <w:t>中国农业银行－新华优选成长股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票型证券投资基金</w:t>
            </w:r>
          </w:p>
        </w:tc>
        <w:tc>
          <w:tcPr>
            <w:tcW w:w="2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1,484,742</w:t>
            </w:r>
          </w:p>
        </w:tc>
        <w:tc>
          <w:tcPr>
            <w:tcW w:w="26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基金、理财产品等其他</w:t>
            </w:r>
          </w:p>
        </w:tc>
      </w:tr>
      <w:tr>
        <w:trPr>
          <w:trHeight w:val="322" w:hRule="exact"/>
        </w:trPr>
        <w:tc>
          <w:tcPr>
            <w:tcW w:w="3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王碧君</w:t>
            </w:r>
          </w:p>
        </w:tc>
        <w:tc>
          <w:tcPr>
            <w:tcW w:w="2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1,405,347</w:t>
            </w:r>
          </w:p>
        </w:tc>
        <w:tc>
          <w:tcPr>
            <w:tcW w:w="26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322" w:hRule="exact"/>
        </w:trPr>
        <w:tc>
          <w:tcPr>
            <w:tcW w:w="3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挪威中央银行</w:t>
            </w:r>
          </w:p>
        </w:tc>
        <w:tc>
          <w:tcPr>
            <w:tcW w:w="2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1,129,037</w:t>
            </w:r>
          </w:p>
        </w:tc>
        <w:tc>
          <w:tcPr>
            <w:tcW w:w="26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境外法人</w:t>
            </w:r>
          </w:p>
        </w:tc>
      </w:tr>
      <w:tr>
        <w:trPr>
          <w:trHeight w:val="634" w:hRule="exact"/>
        </w:trPr>
        <w:tc>
          <w:tcPr>
            <w:tcW w:w="3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东证资管－招行－东方红－新睿</w:t>
            </w:r>
          </w:p>
          <w:p>
            <w:pPr>
              <w:pStyle w:val="TableParagraph"/>
              <w:spacing w:line="240" w:lineRule="auto" w:before="37"/>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号集合资产管理计划</w:t>
            </w:r>
          </w:p>
        </w:tc>
        <w:tc>
          <w:tcPr>
            <w:tcW w:w="2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1,112,087</w:t>
            </w:r>
          </w:p>
        </w:tc>
        <w:tc>
          <w:tcPr>
            <w:tcW w:w="26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基金、理财产品等其他</w:t>
            </w:r>
          </w:p>
        </w:tc>
      </w:tr>
      <w:tr>
        <w:trPr>
          <w:trHeight w:val="1258" w:hRule="exact"/>
        </w:trPr>
        <w:tc>
          <w:tcPr>
            <w:tcW w:w="19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54" w:right="40" w:hanging="209"/>
              <w:jc w:val="left"/>
              <w:rPr>
                <w:rFonts w:ascii="宋体" w:hAnsi="宋体" w:cs="宋体" w:eastAsia="宋体" w:hint="default"/>
                <w:sz w:val="21"/>
                <w:szCs w:val="21"/>
              </w:rPr>
            </w:pPr>
            <w:r>
              <w:rPr>
                <w:rFonts w:ascii="宋体" w:hAnsi="宋体" w:cs="宋体" w:eastAsia="宋体" w:hint="default"/>
                <w:sz w:val="21"/>
                <w:szCs w:val="21"/>
              </w:rPr>
              <w:t>上述股东关联关系或</w:t>
            </w:r>
            <w:r>
              <w:rPr>
                <w:rFonts w:ascii="宋体" w:hAnsi="宋体" w:cs="宋体" w:eastAsia="宋体" w:hint="default"/>
                <w:w w:val="100"/>
                <w:sz w:val="21"/>
                <w:szCs w:val="21"/>
              </w:rPr>
              <w:t> </w:t>
            </w:r>
            <w:r>
              <w:rPr>
                <w:rFonts w:ascii="宋体" w:hAnsi="宋体" w:cs="宋体" w:eastAsia="宋体" w:hint="default"/>
                <w:sz w:val="21"/>
                <w:szCs w:val="21"/>
              </w:rPr>
              <w:t>一致行动的说明</w:t>
            </w:r>
          </w:p>
        </w:tc>
        <w:tc>
          <w:tcPr>
            <w:tcW w:w="637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23" w:right="18"/>
              <w:jc w:val="both"/>
              <w:rPr>
                <w:rFonts w:ascii="宋体" w:hAnsi="宋体" w:cs="宋体" w:eastAsia="宋体" w:hint="default"/>
                <w:sz w:val="21"/>
                <w:szCs w:val="21"/>
              </w:rPr>
            </w:pPr>
            <w:r>
              <w:rPr>
                <w:rFonts w:ascii="宋体" w:hAnsi="宋体" w:cs="宋体" w:eastAsia="宋体" w:hint="default"/>
                <w:spacing w:val="-6"/>
                <w:sz w:val="21"/>
                <w:szCs w:val="21"/>
              </w:rPr>
              <w:t>上海迪宣投资管理有限公司、上海得逸投资管理有限公司、</w:t>
            </w:r>
            <w:r>
              <w:rPr>
                <w:rFonts w:ascii="Times New Roman" w:hAnsi="Times New Roman" w:cs="Times New Roman" w:eastAsia="Times New Roman" w:hint="default"/>
                <w:spacing w:val="-6"/>
                <w:sz w:val="21"/>
                <w:szCs w:val="21"/>
              </w:rPr>
              <w:t>Inspire </w:t>
            </w:r>
            <w:r>
              <w:rPr>
                <w:rFonts w:ascii="Times New Roman" w:hAnsi="Times New Roman" w:cs="Times New Roman" w:eastAsia="Times New Roman" w:hint="default"/>
                <w:sz w:val="21"/>
                <w:szCs w:val="21"/>
              </w:rPr>
              <w:t>East</w:t>
            </w:r>
            <w:r>
              <w:rPr>
                <w:rFonts w:ascii="Times New Roman" w:hAnsi="Times New Roman" w:cs="Times New Roman" w:eastAsia="Times New Roman" w:hint="default"/>
                <w:spacing w:val="-43"/>
                <w:sz w:val="21"/>
                <w:szCs w:val="21"/>
              </w:rPr>
              <w:t> </w:t>
            </w:r>
            <w:r>
              <w:rPr>
                <w:rFonts w:ascii="Times New Roman" w:hAnsi="Times New Roman" w:cs="Times New Roman" w:eastAsia="Times New Roman" w:hint="default"/>
                <w:spacing w:val="-43"/>
                <w:sz w:val="21"/>
                <w:szCs w:val="21"/>
              </w:rPr>
            </w:r>
            <w:r>
              <w:rPr>
                <w:rFonts w:ascii="Times New Roman" w:hAnsi="Times New Roman" w:cs="Times New Roman" w:eastAsia="Times New Roman" w:hint="default"/>
                <w:sz w:val="21"/>
                <w:szCs w:val="21"/>
              </w:rPr>
              <w:t>Investments Limited</w:t>
            </w:r>
            <w:r>
              <w:rPr>
                <w:rFonts w:ascii="宋体" w:hAnsi="宋体" w:cs="宋体" w:eastAsia="宋体" w:hint="default"/>
                <w:sz w:val="21"/>
                <w:szCs w:val="21"/>
              </w:rPr>
              <w:t>、</w:t>
            </w:r>
            <w:r>
              <w:rPr>
                <w:rFonts w:ascii="Times New Roman" w:hAnsi="Times New Roman" w:cs="Times New Roman" w:eastAsia="Times New Roman" w:hint="default"/>
                <w:sz w:val="21"/>
                <w:szCs w:val="21"/>
              </w:rPr>
              <w:t>The China Fund,</w:t>
            </w:r>
            <w:r>
              <w:rPr>
                <w:rFonts w:ascii="Times New Roman" w:hAnsi="Times New Roman" w:cs="Times New Roman" w:eastAsia="Times New Roman" w:hint="default"/>
                <w:spacing w:val="-9"/>
                <w:sz w:val="21"/>
                <w:szCs w:val="21"/>
              </w:rPr>
              <w:t> </w:t>
            </w:r>
            <w:r>
              <w:rPr>
                <w:rFonts w:ascii="Times New Roman" w:hAnsi="Times New Roman" w:cs="Times New Roman" w:eastAsia="Times New Roman" w:hint="default"/>
                <w:sz w:val="21"/>
                <w:szCs w:val="21"/>
              </w:rPr>
              <w:t>Inc.</w:t>
            </w:r>
            <w:r>
              <w:rPr>
                <w:rFonts w:ascii="宋体" w:hAnsi="宋体" w:cs="宋体" w:eastAsia="宋体" w:hint="default"/>
                <w:sz w:val="21"/>
                <w:szCs w:val="21"/>
              </w:rPr>
              <w:t>、上海得帆投资管理有限公</w:t>
            </w:r>
            <w:r>
              <w:rPr>
                <w:rFonts w:ascii="宋体" w:hAnsi="宋体" w:cs="宋体" w:eastAsia="宋体" w:hint="default"/>
                <w:w w:val="100"/>
                <w:sz w:val="21"/>
                <w:szCs w:val="21"/>
              </w:rPr>
              <w:t> </w:t>
            </w:r>
            <w:r>
              <w:rPr>
                <w:rFonts w:ascii="宋体" w:hAnsi="宋体" w:cs="宋体" w:eastAsia="宋体" w:hint="default"/>
                <w:spacing w:val="-2"/>
                <w:sz w:val="21"/>
                <w:szCs w:val="21"/>
              </w:rPr>
              <w:t>司、上海得拓投资管理有限公司、上海得竞投资管理有限公司之间不</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存在关联关系或一致行动关系，其余股东关联关系未知。</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100" w:right="3443"/>
        <w:jc w:val="left"/>
      </w:pPr>
      <w:r>
        <w:rPr/>
        <w:t>（二）控股股东及实际控制人情况介绍</w:t>
      </w:r>
    </w:p>
    <w:p>
      <w:pPr>
        <w:pStyle w:val="BodyText"/>
        <w:spacing w:line="338" w:lineRule="auto"/>
        <w:ind w:left="700" w:right="286"/>
        <w:jc w:val="left"/>
        <w:rPr>
          <w:rFonts w:ascii="Times New Roman" w:hAnsi="Times New Roman" w:cs="Times New Roman" w:eastAsia="Times New Roman" w:hint="default"/>
        </w:rPr>
      </w:pPr>
      <w:r>
        <w:rPr>
          <w:rFonts w:ascii="Times New Roman" w:hAnsi="Times New Roman" w:cs="Times New Roman" w:eastAsia="Times New Roman" w:hint="default"/>
        </w:rPr>
        <w:t>1</w:t>
      </w:r>
      <w:r>
        <w:rPr/>
        <w:t>、控股股东及实际控制人 本公司实际控制人为范建震、陈迪清，二者为一致行动人。截至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p>
    <w:p>
      <w:pPr>
        <w:pStyle w:val="BodyText"/>
        <w:spacing w:line="240" w:lineRule="auto" w:before="27"/>
        <w:ind w:left="220" w:right="0"/>
        <w:jc w:val="left"/>
      </w:pPr>
      <w:r>
        <w:rPr/>
        <w:t>月</w:t>
      </w:r>
      <w:r>
        <w:rPr>
          <w:rFonts w:ascii="Times New Roman" w:hAnsi="Times New Roman" w:cs="Times New Roman" w:eastAsia="Times New Roman" w:hint="default"/>
        </w:rPr>
        <w:t>31</w:t>
      </w:r>
      <w:r>
        <w:rPr/>
        <w:t>日，范建震和陈迪清各持有迪宣投资</w:t>
      </w:r>
      <w:r>
        <w:rPr>
          <w:rFonts w:ascii="Times New Roman" w:hAnsi="Times New Roman" w:cs="Times New Roman" w:eastAsia="Times New Roman" w:hint="default"/>
        </w:rPr>
        <w:t>41.58%</w:t>
      </w:r>
      <w:r>
        <w:rPr/>
        <w:t>股权，迪宣投资持有本公司</w:t>
      </w:r>
    </w:p>
    <w:p>
      <w:pPr>
        <w:pStyle w:val="BodyText"/>
        <w:spacing w:line="240" w:lineRule="auto" w:before="135"/>
        <w:ind w:left="220" w:right="3443"/>
        <w:jc w:val="left"/>
      </w:pPr>
      <w:r>
        <w:rPr>
          <w:rFonts w:ascii="Times New Roman" w:hAnsi="Times New Roman" w:cs="Times New Roman" w:eastAsia="Times New Roman" w:hint="default"/>
        </w:rPr>
        <w:t>60,690,000</w:t>
      </w:r>
      <w:r>
        <w:rPr/>
        <w:t>股，占公司总股本的</w:t>
      </w:r>
      <w:r>
        <w:rPr>
          <w:rFonts w:ascii="Times New Roman" w:hAnsi="Times New Roman" w:cs="Times New Roman" w:eastAsia="Times New Roman" w:hint="default"/>
        </w:rPr>
        <w:t>36.12%</w:t>
      </w:r>
      <w:r>
        <w:rPr/>
        <w:t>。</w:t>
      </w:r>
    </w:p>
    <w:p>
      <w:pPr>
        <w:pStyle w:val="BodyText"/>
        <w:spacing w:line="240" w:lineRule="auto" w:before="135"/>
        <w:ind w:left="700" w:right="863"/>
        <w:jc w:val="left"/>
      </w:pPr>
      <w:r>
        <w:rPr>
          <w:rFonts w:ascii="Times New Roman" w:hAnsi="Times New Roman" w:cs="Times New Roman" w:eastAsia="Times New Roman" w:hint="default"/>
        </w:rPr>
        <w:t>2</w:t>
      </w:r>
      <w:r>
        <w:rPr/>
        <w:t>、公司与实际控制人之间的产权和控制关系如下图：</w:t>
      </w:r>
    </w:p>
    <w:p>
      <w:pPr>
        <w:spacing w:after="0" w:line="240" w:lineRule="auto"/>
        <w:jc w:val="left"/>
        <w:sectPr>
          <w:pgSz w:w="11910" w:h="16840"/>
          <w:pgMar w:header="884" w:footer="980" w:top="1140" w:bottom="1160" w:left="1580" w:right="1640"/>
        </w:sectPr>
      </w:pPr>
    </w:p>
    <w:p>
      <w:pPr>
        <w:spacing w:line="240" w:lineRule="auto" w:before="2"/>
        <w:rPr>
          <w:rFonts w:ascii="宋体" w:hAnsi="宋体" w:cs="宋体" w:eastAsia="宋体" w:hint="default"/>
          <w:sz w:val="27"/>
          <w:szCs w:val="27"/>
        </w:rPr>
      </w:pPr>
    </w:p>
    <w:p>
      <w:pPr>
        <w:tabs>
          <w:tab w:pos="2847" w:val="left" w:leader="none"/>
        </w:tabs>
        <w:spacing w:line="624" w:lineRule="exact"/>
        <w:ind w:left="148" w:right="0" w:firstLine="0"/>
        <w:rPr>
          <w:rFonts w:ascii="宋体" w:hAnsi="宋体" w:cs="宋体" w:eastAsia="宋体" w:hint="default"/>
          <w:sz w:val="20"/>
          <w:szCs w:val="20"/>
        </w:rPr>
      </w:pPr>
      <w:r>
        <w:rPr>
          <w:rFonts w:ascii="宋体"/>
          <w:position w:val="-11"/>
          <w:sz w:val="20"/>
        </w:rPr>
        <w:pict>
          <v:shape style="width:108pt;height:31.2pt;mso-position-horizontal-relative:char;mso-position-vertical-relative:line" type="#_x0000_t202" filled="true" fillcolor="#99ccff" stroked="true" strokeweight=".75pt" strokecolor="#000000">
            <w10:anchorlock/>
            <v:textbox inset="0,0,0,0">
              <w:txbxContent>
                <w:p>
                  <w:pPr>
                    <w:spacing w:before="61"/>
                    <w:ind w:left="145" w:right="0" w:firstLine="0"/>
                    <w:jc w:val="left"/>
                    <w:rPr>
                      <w:rFonts w:ascii="宋体" w:hAnsi="宋体" w:cs="宋体" w:eastAsia="宋体" w:hint="default"/>
                      <w:sz w:val="21"/>
                      <w:szCs w:val="21"/>
                    </w:rPr>
                  </w:pPr>
                  <w:r>
                    <w:rPr>
                      <w:rFonts w:ascii="宋体" w:hAnsi="宋体" w:cs="宋体" w:eastAsia="宋体" w:hint="default"/>
                      <w:sz w:val="21"/>
                      <w:szCs w:val="21"/>
                    </w:rPr>
                    <w:t>实际控制人范建震</w:t>
                  </w:r>
                </w:p>
              </w:txbxContent>
            </v:textbox>
            <v:fill type="solid"/>
          </v:shape>
        </w:pict>
      </w:r>
      <w:r>
        <w:rPr>
          <w:rFonts w:ascii="宋体"/>
          <w:position w:val="-11"/>
          <w:sz w:val="20"/>
        </w:rPr>
      </w:r>
      <w:r>
        <w:rPr>
          <w:rFonts w:ascii="宋体"/>
          <w:position w:val="-11"/>
          <w:sz w:val="20"/>
        </w:rPr>
        <w:tab/>
      </w:r>
      <w:r>
        <w:rPr>
          <w:rFonts w:ascii="宋体"/>
          <w:position w:val="-11"/>
          <w:sz w:val="20"/>
        </w:rPr>
        <w:pict>
          <v:shape style="width:108.05pt;height:31.2pt;mso-position-horizontal-relative:char;mso-position-vertical-relative:line" type="#_x0000_t202" filled="true" fillcolor="#99ccff" stroked="true" strokeweight=".75pt" strokecolor="#000000">
            <w10:anchorlock/>
            <v:textbox inset="0,0,0,0">
              <w:txbxContent>
                <w:p>
                  <w:pPr>
                    <w:spacing w:before="61"/>
                    <w:ind w:left="144" w:right="0" w:firstLine="0"/>
                    <w:jc w:val="left"/>
                    <w:rPr>
                      <w:rFonts w:ascii="宋体" w:hAnsi="宋体" w:cs="宋体" w:eastAsia="宋体" w:hint="default"/>
                      <w:sz w:val="21"/>
                      <w:szCs w:val="21"/>
                    </w:rPr>
                  </w:pPr>
                  <w:r>
                    <w:rPr>
                      <w:rFonts w:ascii="宋体" w:hAnsi="宋体" w:cs="宋体" w:eastAsia="宋体" w:hint="default"/>
                      <w:sz w:val="21"/>
                      <w:szCs w:val="21"/>
                    </w:rPr>
                    <w:t>实际控制人陈迪清</w:t>
                  </w:r>
                </w:p>
              </w:txbxContent>
            </v:textbox>
            <v:fill type="solid"/>
          </v:shape>
        </w:pict>
      </w:r>
      <w:r>
        <w:rPr>
          <w:rFonts w:ascii="宋体"/>
          <w:position w:val="-11"/>
          <w:sz w:val="20"/>
        </w:rPr>
      </w: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4" w:footer="980" w:top="1140" w:bottom="1160" w:left="1660" w:right="1660"/>
        </w:sectPr>
      </w:pPr>
    </w:p>
    <w:p>
      <w:pPr>
        <w:spacing w:before="36"/>
        <w:ind w:left="1371" w:right="-18" w:firstLine="0"/>
        <w:jc w:val="left"/>
        <w:rPr>
          <w:rFonts w:ascii="宋体" w:hAnsi="宋体" w:cs="宋体" w:eastAsia="宋体" w:hint="default"/>
          <w:sz w:val="21"/>
          <w:szCs w:val="21"/>
        </w:rPr>
      </w:pPr>
      <w:r>
        <w:rPr/>
        <w:pict>
          <v:group style="position:absolute;margin-left:132.350006pt;margin-top:-17.266314pt;width:6pt;height:62.9pt;mso-position-horizontal-relative:page;mso-position-vertical-relative:paragraph;z-index:-648064" coordorigin="2647,-345" coordsize="120,1258">
            <v:shape style="position:absolute;left:2647;top:-345;width:120;height:1258" coordorigin="2647,-345" coordsize="120,1258" path="m2697,793l2647,793,2707,913,2752,823,2701,823,2697,818,2697,793xe" filled="true" fillcolor="#000000" stroked="false">
              <v:path arrowok="t"/>
              <v:fill type="solid"/>
            </v:shape>
            <v:shape style="position:absolute;left:2647;top:-345;width:120;height:1258" coordorigin="2647,-345" coordsize="120,1258" path="m2713,-345l2701,-345,2697,-341,2697,818,2701,823,2713,823,2717,818,2717,-341,2713,-345xe" filled="true" fillcolor="#000000" stroked="false">
              <v:path arrowok="t"/>
              <v:fill type="solid"/>
            </v:shape>
            <v:shape style="position:absolute;left:2647;top:-345;width:120;height:1258" coordorigin="2647,-345" coordsize="120,1258" path="m2767,793l2717,793,2717,818,2713,823,2752,823,2767,793xe" filled="true" fillcolor="#000000" stroked="false">
              <v:path arrowok="t"/>
              <v:fill type="solid"/>
            </v:shape>
            <w10:wrap type="none"/>
          </v:group>
        </w:pict>
      </w:r>
      <w:r>
        <w:rPr>
          <w:rFonts w:ascii="宋体" w:hAnsi="宋体" w:cs="宋体" w:eastAsia="宋体" w:hint="default"/>
          <w:sz w:val="21"/>
          <w:szCs w:val="21"/>
        </w:rPr>
        <w:t>股 权 占</w:t>
      </w:r>
      <w:r>
        <w:rPr>
          <w:rFonts w:ascii="宋体" w:hAnsi="宋体" w:cs="宋体" w:eastAsia="宋体" w:hint="default"/>
          <w:spacing w:val="-2"/>
          <w:sz w:val="21"/>
          <w:szCs w:val="21"/>
        </w:rPr>
        <w:t> </w:t>
      </w:r>
      <w:r>
        <w:rPr>
          <w:rFonts w:ascii="宋体" w:hAnsi="宋体" w:cs="宋体" w:eastAsia="宋体" w:hint="default"/>
          <w:sz w:val="21"/>
          <w:szCs w:val="21"/>
        </w:rPr>
        <w:t>比</w:t>
      </w:r>
    </w:p>
    <w:p>
      <w:pPr>
        <w:spacing w:before="84"/>
        <w:ind w:left="1371" w:right="-18" w:firstLine="0"/>
        <w:jc w:val="left"/>
        <w:rPr>
          <w:rFonts w:ascii="Times New Roman" w:hAnsi="Times New Roman" w:cs="Times New Roman" w:eastAsia="Times New Roman" w:hint="default"/>
          <w:sz w:val="21"/>
          <w:szCs w:val="21"/>
        </w:rPr>
      </w:pPr>
      <w:r>
        <w:rPr>
          <w:rFonts w:ascii="Times New Roman"/>
          <w:sz w:val="21"/>
        </w:rPr>
        <w:t>41.58%</w:t>
      </w:r>
    </w:p>
    <w:p>
      <w:pPr>
        <w:spacing w:before="36"/>
        <w:ind w:left="1506"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股 权 占</w:t>
      </w:r>
      <w:r>
        <w:rPr>
          <w:rFonts w:ascii="宋体" w:hAnsi="宋体" w:cs="宋体" w:eastAsia="宋体" w:hint="default"/>
          <w:spacing w:val="-2"/>
          <w:sz w:val="21"/>
          <w:szCs w:val="21"/>
        </w:rPr>
        <w:t> </w:t>
      </w:r>
      <w:r>
        <w:rPr>
          <w:rFonts w:ascii="宋体" w:hAnsi="宋体" w:cs="宋体" w:eastAsia="宋体" w:hint="default"/>
          <w:sz w:val="21"/>
          <w:szCs w:val="21"/>
        </w:rPr>
        <w:t>比</w:t>
      </w:r>
    </w:p>
    <w:p>
      <w:pPr>
        <w:spacing w:before="84"/>
        <w:ind w:left="1506" w:right="0" w:firstLine="0"/>
        <w:jc w:val="left"/>
        <w:rPr>
          <w:rFonts w:ascii="Times New Roman" w:hAnsi="Times New Roman" w:cs="Times New Roman" w:eastAsia="Times New Roman" w:hint="default"/>
          <w:sz w:val="21"/>
          <w:szCs w:val="21"/>
        </w:rPr>
      </w:pPr>
      <w:r>
        <w:rPr/>
        <w:pict>
          <v:group style="position:absolute;margin-left:276.399994pt;margin-top:-32.807293pt;width:6pt;height:62.9pt;mso-position-horizontal-relative:page;mso-position-vertical-relative:paragraph;z-index:-648040" coordorigin="5528,-656" coordsize="120,1258">
            <v:shape style="position:absolute;left:5528;top:-656;width:120;height:1258" coordorigin="5528,-656" coordsize="120,1258" path="m5578,482l5528,482,5588,602,5633,512,5582,512,5578,507,5578,482xe" filled="true" fillcolor="#000000" stroked="false">
              <v:path arrowok="t"/>
              <v:fill type="solid"/>
            </v:shape>
            <v:shape style="position:absolute;left:5528;top:-656;width:120;height:1258" coordorigin="5528,-656" coordsize="120,1258" path="m5594,-656l5582,-656,5578,-652,5578,507,5582,512,5594,512,5598,507,5598,-652,5594,-656xe" filled="true" fillcolor="#000000" stroked="false">
              <v:path arrowok="t"/>
              <v:fill type="solid"/>
            </v:shape>
            <v:shape style="position:absolute;left:5528;top:-656;width:120;height:1258" coordorigin="5528,-656" coordsize="120,1258" path="m5648,482l5598,482,5598,507,5594,512,5633,512,5648,482xe" filled="true" fillcolor="#000000" stroked="false">
              <v:path arrowok="t"/>
              <v:fill type="solid"/>
            </v:shape>
            <w10:wrap type="none"/>
          </v:group>
        </w:pict>
      </w:r>
      <w:r>
        <w:rPr/>
        <w:pict>
          <v:shape style="position:absolute;margin-left:90.400002pt;margin-top:30.092707pt;width:251.95pt;height:31.25pt;mso-position-horizontal-relative:page;mso-position-vertical-relative:paragraph;z-index:1168" type="#_x0000_t202" filled="true" fillcolor="#00ffff" stroked="true" strokeweight=".75pt" strokecolor="#000000">
            <v:textbox inset="0,0,0,0">
              <w:txbxContent>
                <w:p>
                  <w:pPr>
                    <w:spacing w:before="61"/>
                    <w:ind w:left="1252" w:right="0" w:firstLine="0"/>
                    <w:jc w:val="left"/>
                    <w:rPr>
                      <w:rFonts w:ascii="宋体" w:hAnsi="宋体" w:cs="宋体" w:eastAsia="宋体" w:hint="default"/>
                      <w:sz w:val="21"/>
                      <w:szCs w:val="21"/>
                    </w:rPr>
                  </w:pPr>
                  <w:r>
                    <w:rPr>
                      <w:rFonts w:ascii="宋体" w:hAnsi="宋体" w:cs="宋体" w:eastAsia="宋体" w:hint="default"/>
                      <w:sz w:val="21"/>
                      <w:szCs w:val="21"/>
                    </w:rPr>
                    <w:t>上海迪宣投资管理有限公司</w:t>
                  </w:r>
                </w:p>
              </w:txbxContent>
            </v:textbox>
            <v:fill type="solid"/>
            <w10:wrap type="none"/>
          </v:shape>
        </w:pict>
      </w:r>
      <w:r>
        <w:rPr>
          <w:rFonts w:ascii="Times New Roman"/>
          <w:sz w:val="21"/>
        </w:rPr>
        <w:t>41.58%</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21"/>
        <w:ind w:left="426" w:right="0" w:firstLine="0"/>
        <w:jc w:val="left"/>
        <w:rPr>
          <w:rFonts w:ascii="宋体" w:hAnsi="宋体" w:cs="宋体" w:eastAsia="宋体" w:hint="default"/>
          <w:sz w:val="21"/>
          <w:szCs w:val="21"/>
        </w:rPr>
      </w:pPr>
      <w:r>
        <w:rPr/>
        <w:pict>
          <v:group style="position:absolute;margin-left:213.449997pt;margin-top:-12.966351pt;width:6pt;height:70.6pt;mso-position-horizontal-relative:page;mso-position-vertical-relative:paragraph;z-index:-648016" coordorigin="4269,-259" coordsize="120,1412">
            <v:shape style="position:absolute;left:4269;top:-259;width:120;height:1412" coordorigin="4269,-259" coordsize="120,1412" path="m4319,1033l4269,1033,4329,1153,4374,1063,4323,1063,4319,1058,4319,1033xe" filled="true" fillcolor="#000000" stroked="false">
              <v:path arrowok="t"/>
              <v:fill type="solid"/>
            </v:shape>
            <v:shape style="position:absolute;left:4269;top:-259;width:120;height:1412" coordorigin="4269,-259" coordsize="120,1412" path="m4334,-259l4322,-259,4318,-255,4319,1058,4323,1063,4334,1063,4339,1058,4338,-249,4338,-255,4334,-259xe" filled="true" fillcolor="#000000" stroked="false">
              <v:path arrowok="t"/>
              <v:fill type="solid"/>
            </v:shape>
            <v:shape style="position:absolute;left:4269;top:-259;width:120;height:1412" coordorigin="4269,-259" coordsize="120,1412" path="m4389,1033l4339,1033,4339,1058,4334,1063,4374,1063,4389,1033xe" filled="true" fillcolor="#000000" stroked="false">
              <v:path arrowok="t"/>
              <v:fill type="solid"/>
            </v:shape>
            <w10:wrap type="none"/>
          </v:group>
        </w:pict>
      </w:r>
      <w:r>
        <w:rPr>
          <w:rFonts w:ascii="宋体" w:hAnsi="宋体" w:cs="宋体" w:eastAsia="宋体" w:hint="default"/>
          <w:sz w:val="21"/>
          <w:szCs w:val="21"/>
        </w:rPr>
        <w:t>股 份 占</w:t>
      </w:r>
      <w:r>
        <w:rPr>
          <w:rFonts w:ascii="宋体" w:hAnsi="宋体" w:cs="宋体" w:eastAsia="宋体" w:hint="default"/>
          <w:spacing w:val="-2"/>
          <w:sz w:val="21"/>
          <w:szCs w:val="21"/>
        </w:rPr>
        <w:t> </w:t>
      </w:r>
      <w:r>
        <w:rPr>
          <w:rFonts w:ascii="宋体" w:hAnsi="宋体" w:cs="宋体" w:eastAsia="宋体" w:hint="default"/>
          <w:sz w:val="21"/>
          <w:szCs w:val="21"/>
        </w:rPr>
        <w:t>比</w:t>
      </w:r>
    </w:p>
    <w:p>
      <w:pPr>
        <w:spacing w:before="28"/>
        <w:ind w:left="426" w:right="0" w:firstLine="0"/>
        <w:jc w:val="left"/>
        <w:rPr>
          <w:rFonts w:ascii="宋体" w:hAnsi="宋体" w:cs="宋体" w:eastAsia="宋体" w:hint="default"/>
          <w:sz w:val="22"/>
          <w:szCs w:val="22"/>
        </w:rPr>
      </w:pPr>
      <w:r>
        <w:rPr>
          <w:rFonts w:ascii="Times New Roman"/>
          <w:sz w:val="22"/>
        </w:rPr>
        <w:t>36.12</w:t>
      </w:r>
      <w:r>
        <w:rPr>
          <w:rFonts w:ascii="宋体"/>
          <w:sz w:val="22"/>
        </w:rPr>
        <w:t>%</w:t>
      </w:r>
    </w:p>
    <w:p>
      <w:pPr>
        <w:spacing w:after="0"/>
        <w:jc w:val="left"/>
        <w:rPr>
          <w:rFonts w:ascii="宋体" w:hAnsi="宋体" w:cs="宋体" w:eastAsia="宋体" w:hint="default"/>
          <w:sz w:val="22"/>
          <w:szCs w:val="22"/>
        </w:rPr>
        <w:sectPr>
          <w:type w:val="continuous"/>
          <w:pgSz w:w="11910" w:h="16840"/>
          <w:pgMar w:top="1080" w:bottom="280" w:left="1660" w:right="1660"/>
          <w:cols w:num="2" w:equalWidth="0">
            <w:col w:w="2527" w:space="40"/>
            <w:col w:w="6023"/>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2"/>
          <w:szCs w:val="12"/>
        </w:rPr>
      </w:pPr>
    </w:p>
    <w:p>
      <w:pPr>
        <w:spacing w:line="625" w:lineRule="exact"/>
        <w:ind w:left="148"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251.95pt;height:31.25pt;mso-position-horizontal-relative:char;mso-position-vertical-relative:line" type="#_x0000_t202" filled="true" fillcolor="#ff99cc" stroked="true" strokeweight=".75pt" strokecolor="#000000">
            <w10:anchorlock/>
            <v:textbox inset="0,0,0,0">
              <w:txbxContent>
                <w:p>
                  <w:pPr>
                    <w:spacing w:before="58"/>
                    <w:ind w:left="1040" w:right="0" w:firstLine="0"/>
                    <w:jc w:val="left"/>
                    <w:rPr>
                      <w:rFonts w:ascii="宋体" w:hAnsi="宋体" w:cs="宋体" w:eastAsia="宋体" w:hint="default"/>
                      <w:sz w:val="21"/>
                      <w:szCs w:val="21"/>
                    </w:rPr>
                  </w:pPr>
                  <w:r>
                    <w:rPr>
                      <w:rFonts w:ascii="宋体" w:hAnsi="宋体" w:cs="宋体" w:eastAsia="宋体" w:hint="default"/>
                      <w:sz w:val="21"/>
                      <w:szCs w:val="21"/>
                    </w:rPr>
                    <w:t>上海汉得信息技术股份有限公司</w:t>
                  </w:r>
                </w:p>
              </w:txbxContent>
            </v:textbox>
            <v:fill type="solid"/>
          </v:shape>
        </w:pict>
      </w:r>
      <w:r>
        <w:rPr>
          <w:rFonts w:ascii="宋体" w:hAnsi="宋体" w:cs="宋体" w:eastAsia="宋体" w:hint="default"/>
          <w:position w:val="-12"/>
          <w:sz w:val="20"/>
          <w:szCs w:val="20"/>
        </w:rPr>
      </w:r>
    </w:p>
    <w:p>
      <w:pPr>
        <w:spacing w:after="0" w:line="625" w:lineRule="exact"/>
        <w:rPr>
          <w:rFonts w:ascii="宋体" w:hAnsi="宋体" w:cs="宋体" w:eastAsia="宋体" w:hint="default"/>
          <w:sz w:val="20"/>
          <w:szCs w:val="20"/>
        </w:rPr>
        <w:sectPr>
          <w:type w:val="continuous"/>
          <w:pgSz w:w="11910" w:h="16840"/>
          <w:pgMar w:top="1080" w:bottom="28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1"/>
        <w:spacing w:line="460" w:lineRule="exact"/>
        <w:ind w:left="586" w:right="159"/>
        <w:jc w:val="left"/>
        <w:rPr>
          <w:b w:val="0"/>
          <w:bCs w:val="0"/>
        </w:rPr>
      </w:pPr>
      <w:bookmarkStart w:name="_bookmark5" w:id="6"/>
      <w:bookmarkEnd w:id="6"/>
      <w:r>
        <w:rPr>
          <w:b w:val="0"/>
          <w:bCs w:val="0"/>
        </w:rPr>
      </w:r>
      <w:r>
        <w:rPr/>
        <w:t>第六节</w:t>
      </w:r>
      <w:r>
        <w:rPr>
          <w:spacing w:val="-4"/>
        </w:rPr>
        <w:t> </w:t>
      </w:r>
      <w:r>
        <w:rPr/>
        <w:t>董事、监事和高级管理人员和员工情况</w:t>
      </w:r>
      <w:r>
        <w:rPr>
          <w:b w:val="0"/>
          <w:bCs w:val="0"/>
        </w:rPr>
      </w:r>
    </w:p>
    <w:p>
      <w:pPr>
        <w:spacing w:line="240" w:lineRule="auto" w:before="6"/>
        <w:rPr>
          <w:rFonts w:ascii="宋体" w:hAnsi="宋体" w:cs="宋体" w:eastAsia="宋体" w:hint="default"/>
          <w:b/>
          <w:bCs/>
          <w:sz w:val="46"/>
          <w:szCs w:val="46"/>
        </w:rPr>
      </w:pPr>
    </w:p>
    <w:p>
      <w:pPr>
        <w:pStyle w:val="Heading5"/>
        <w:tabs>
          <w:tab w:pos="980" w:val="left" w:leader="none"/>
        </w:tabs>
        <w:spacing w:line="240" w:lineRule="auto"/>
        <w:ind w:left="260" w:right="159"/>
        <w:jc w:val="left"/>
        <w:rPr>
          <w:b w:val="0"/>
          <w:bCs w:val="0"/>
        </w:rPr>
      </w:pPr>
      <w:r>
        <w:rPr/>
        <w:t>一、</w:t>
        <w:tab/>
        <w:t>董事、监事和高级管理人员的情况</w:t>
      </w:r>
      <w:r>
        <w:rPr>
          <w:b w:val="0"/>
          <w:bCs w:val="0"/>
        </w:rPr>
      </w:r>
    </w:p>
    <w:p>
      <w:pPr>
        <w:pStyle w:val="BodyText"/>
        <w:spacing w:line="240" w:lineRule="auto"/>
        <w:ind w:left="260" w:right="159"/>
        <w:jc w:val="left"/>
      </w:pPr>
      <w:r>
        <w:rPr/>
        <w:t>（一）董事、监事和高级管理人员持股变动情况及薪酬情况</w:t>
      </w:r>
    </w:p>
    <w:p>
      <w:pPr>
        <w:spacing w:line="240" w:lineRule="auto" w:before="10"/>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955"/>
        <w:gridCol w:w="881"/>
        <w:gridCol w:w="442"/>
        <w:gridCol w:w="439"/>
        <w:gridCol w:w="989"/>
        <w:gridCol w:w="986"/>
        <w:gridCol w:w="768"/>
        <w:gridCol w:w="770"/>
        <w:gridCol w:w="706"/>
        <w:gridCol w:w="749"/>
        <w:gridCol w:w="679"/>
      </w:tblGrid>
      <w:tr>
        <w:trPr>
          <w:trHeight w:val="317" w:hRule="exact"/>
        </w:trPr>
        <w:tc>
          <w:tcPr>
            <w:tcW w:w="955" w:type="dxa"/>
            <w:vMerge w:val="restart"/>
            <w:tcBorders>
              <w:top w:val="single" w:sz="4" w:space="0" w:color="000000"/>
              <w:left w:val="single" w:sz="4" w:space="0" w:color="000000"/>
              <w:right w:val="single" w:sz="4" w:space="0" w:color="000000"/>
            </w:tcBorders>
            <w:shd w:val="clear" w:color="auto" w:fill="DCDCDC"/>
          </w:tcPr>
          <w:p>
            <w:pPr/>
          </w:p>
        </w:tc>
        <w:tc>
          <w:tcPr>
            <w:tcW w:w="881" w:type="dxa"/>
            <w:vMerge w:val="restart"/>
            <w:tcBorders>
              <w:top w:val="single" w:sz="4" w:space="0" w:color="000000"/>
              <w:left w:val="single" w:sz="4" w:space="0" w:color="000000"/>
              <w:right w:val="single" w:sz="4" w:space="0" w:color="000000"/>
            </w:tcBorders>
            <w:shd w:val="clear" w:color="auto" w:fill="DCDCDC"/>
          </w:tcPr>
          <w:p>
            <w:pPr/>
          </w:p>
        </w:tc>
        <w:tc>
          <w:tcPr>
            <w:tcW w:w="442" w:type="dxa"/>
            <w:vMerge w:val="restart"/>
            <w:tcBorders>
              <w:top w:val="single" w:sz="4" w:space="0" w:color="000000"/>
              <w:left w:val="single" w:sz="4" w:space="0" w:color="000000"/>
              <w:right w:val="single" w:sz="4" w:space="0" w:color="000000"/>
            </w:tcBorders>
            <w:shd w:val="clear" w:color="auto" w:fill="DCDCDC"/>
          </w:tcPr>
          <w:p>
            <w:pPr/>
          </w:p>
        </w:tc>
        <w:tc>
          <w:tcPr>
            <w:tcW w:w="439" w:type="dxa"/>
            <w:vMerge w:val="restart"/>
            <w:tcBorders>
              <w:top w:val="single" w:sz="4" w:space="0" w:color="000000"/>
              <w:left w:val="single" w:sz="4" w:space="0" w:color="000000"/>
              <w:right w:val="single" w:sz="4" w:space="0" w:color="000000"/>
            </w:tcBorders>
            <w:shd w:val="clear" w:color="auto" w:fill="DCDCDC"/>
          </w:tcPr>
          <w:p>
            <w:pPr/>
          </w:p>
        </w:tc>
        <w:tc>
          <w:tcPr>
            <w:tcW w:w="989" w:type="dxa"/>
            <w:vMerge w:val="restart"/>
            <w:tcBorders>
              <w:top w:val="single" w:sz="4" w:space="0" w:color="000000"/>
              <w:left w:val="single" w:sz="4" w:space="0" w:color="000000"/>
              <w:right w:val="single" w:sz="4" w:space="0" w:color="000000"/>
            </w:tcBorders>
            <w:shd w:val="clear" w:color="auto" w:fill="DCDCDC"/>
          </w:tcPr>
          <w:p>
            <w:pPr/>
          </w:p>
        </w:tc>
        <w:tc>
          <w:tcPr>
            <w:tcW w:w="986" w:type="dxa"/>
            <w:vMerge w:val="restart"/>
            <w:tcBorders>
              <w:top w:val="single" w:sz="4" w:space="0" w:color="000000"/>
              <w:left w:val="single" w:sz="4" w:space="0" w:color="000000"/>
              <w:right w:val="single" w:sz="4" w:space="0" w:color="000000"/>
            </w:tcBorders>
            <w:shd w:val="clear" w:color="auto" w:fill="DCDCDC"/>
          </w:tcPr>
          <w:p>
            <w:pPr/>
          </w:p>
        </w:tc>
        <w:tc>
          <w:tcPr>
            <w:tcW w:w="768" w:type="dxa"/>
            <w:vMerge w:val="restart"/>
            <w:tcBorders>
              <w:top w:val="single" w:sz="4" w:space="0" w:color="000000"/>
              <w:left w:val="single" w:sz="4" w:space="0" w:color="000000"/>
              <w:right w:val="single" w:sz="4" w:space="0" w:color="000000"/>
            </w:tcBorders>
            <w:shd w:val="clear" w:color="auto" w:fill="DCDCDC"/>
          </w:tcPr>
          <w:p>
            <w:pPr/>
          </w:p>
        </w:tc>
        <w:tc>
          <w:tcPr>
            <w:tcW w:w="770" w:type="dxa"/>
            <w:vMerge w:val="restart"/>
            <w:tcBorders>
              <w:top w:val="single" w:sz="4" w:space="0" w:color="000000"/>
              <w:left w:val="single" w:sz="4" w:space="0" w:color="000000"/>
              <w:right w:val="single" w:sz="4" w:space="0" w:color="000000"/>
            </w:tcBorders>
            <w:shd w:val="clear" w:color="auto" w:fill="DCDCDC"/>
          </w:tcPr>
          <w:p>
            <w:pPr/>
          </w:p>
        </w:tc>
        <w:tc>
          <w:tcPr>
            <w:tcW w:w="706" w:type="dxa"/>
            <w:vMerge w:val="restart"/>
            <w:tcBorders>
              <w:top w:val="single" w:sz="4" w:space="0" w:color="000000"/>
              <w:left w:val="single" w:sz="4" w:space="0" w:color="000000"/>
              <w:right w:val="single" w:sz="4" w:space="0" w:color="000000"/>
            </w:tcBorders>
            <w:shd w:val="clear" w:color="auto" w:fill="DCDCDC"/>
          </w:tcPr>
          <w:p>
            <w:pPr/>
          </w:p>
        </w:tc>
        <w:tc>
          <w:tcPr>
            <w:tcW w:w="749"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exact"/>
              <w:ind w:left="129" w:right="0"/>
              <w:jc w:val="both"/>
              <w:rPr>
                <w:rFonts w:ascii="宋体" w:hAnsi="宋体" w:cs="宋体" w:eastAsia="宋体" w:hint="default"/>
                <w:sz w:val="24"/>
                <w:szCs w:val="24"/>
              </w:rPr>
            </w:pPr>
            <w:r>
              <w:rPr>
                <w:rFonts w:ascii="宋体" w:hAnsi="宋体" w:cs="宋体" w:eastAsia="宋体" w:hint="default"/>
                <w:sz w:val="24"/>
                <w:szCs w:val="24"/>
              </w:rPr>
              <w:t>报告</w:t>
            </w:r>
          </w:p>
          <w:p>
            <w:pPr>
              <w:pStyle w:val="TableParagraph"/>
              <w:spacing w:line="237" w:lineRule="auto" w:before="1"/>
              <w:ind w:left="129" w:right="128"/>
              <w:jc w:val="both"/>
              <w:rPr>
                <w:rFonts w:ascii="宋体" w:hAnsi="宋体" w:cs="宋体" w:eastAsia="宋体" w:hint="default"/>
                <w:sz w:val="24"/>
                <w:szCs w:val="24"/>
              </w:rPr>
            </w:pPr>
            <w:r>
              <w:rPr>
                <w:rFonts w:ascii="宋体" w:hAnsi="宋体" w:cs="宋体" w:eastAsia="宋体" w:hint="default"/>
                <w:sz w:val="24"/>
                <w:szCs w:val="24"/>
              </w:rPr>
              <w:t>期内 从公 司领 取的 报酬 总额</w:t>
            </w:r>
          </w:p>
          <w:p>
            <w:pPr>
              <w:pStyle w:val="TableParagraph"/>
              <w:spacing w:line="312" w:lineRule="exact" w:before="29"/>
              <w:ind w:left="129" w:right="128"/>
              <w:jc w:val="both"/>
              <w:rPr>
                <w:rFonts w:ascii="宋体" w:hAnsi="宋体" w:cs="宋体" w:eastAsia="宋体" w:hint="default"/>
                <w:sz w:val="24"/>
                <w:szCs w:val="24"/>
              </w:rPr>
            </w:pPr>
            <w:r>
              <w:rPr>
                <w:rFonts w:ascii="宋体" w:hAnsi="宋体" w:cs="宋体" w:eastAsia="宋体" w:hint="default"/>
                <w:sz w:val="24"/>
                <w:szCs w:val="24"/>
              </w:rPr>
              <w:t>（万 元）</w:t>
            </w:r>
          </w:p>
          <w:p>
            <w:pPr>
              <w:pStyle w:val="TableParagraph"/>
              <w:spacing w:line="312" w:lineRule="exact"/>
              <w:ind w:left="129" w:right="128"/>
              <w:jc w:val="both"/>
              <w:rPr>
                <w:rFonts w:ascii="宋体" w:hAnsi="宋体" w:cs="宋体" w:eastAsia="宋体" w:hint="default"/>
                <w:sz w:val="24"/>
                <w:szCs w:val="24"/>
              </w:rPr>
            </w:pPr>
            <w:r>
              <w:rPr>
                <w:rFonts w:ascii="宋体" w:hAnsi="宋体" w:cs="宋体" w:eastAsia="宋体" w:hint="default"/>
                <w:sz w:val="24"/>
                <w:szCs w:val="24"/>
              </w:rPr>
              <w:t>（税 前）</w:t>
            </w:r>
          </w:p>
        </w:tc>
        <w:tc>
          <w:tcPr>
            <w:tcW w:w="67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936" w:hRule="exact"/>
        </w:trPr>
        <w:tc>
          <w:tcPr>
            <w:tcW w:w="955" w:type="dxa"/>
            <w:vMerge/>
            <w:tcBorders>
              <w:left w:val="single" w:sz="4" w:space="0" w:color="000000"/>
              <w:right w:val="single" w:sz="4" w:space="0" w:color="000000"/>
            </w:tcBorders>
            <w:shd w:val="clear" w:color="auto" w:fill="DCDCDC"/>
          </w:tcPr>
          <w:p>
            <w:pPr/>
          </w:p>
        </w:tc>
        <w:tc>
          <w:tcPr>
            <w:tcW w:w="881" w:type="dxa"/>
            <w:vMerge/>
            <w:tcBorders>
              <w:left w:val="single" w:sz="4" w:space="0" w:color="000000"/>
              <w:right w:val="single" w:sz="4" w:space="0" w:color="000000"/>
            </w:tcBorders>
            <w:shd w:val="clear" w:color="auto" w:fill="DCDCDC"/>
          </w:tcPr>
          <w:p>
            <w:pPr/>
          </w:p>
        </w:tc>
        <w:tc>
          <w:tcPr>
            <w:tcW w:w="442" w:type="dxa"/>
            <w:vMerge/>
            <w:tcBorders>
              <w:left w:val="single" w:sz="4" w:space="0" w:color="000000"/>
              <w:right w:val="single" w:sz="4" w:space="0" w:color="000000"/>
            </w:tcBorders>
            <w:shd w:val="clear" w:color="auto" w:fill="DCDCDC"/>
          </w:tcPr>
          <w:p>
            <w:pPr/>
          </w:p>
        </w:tc>
        <w:tc>
          <w:tcPr>
            <w:tcW w:w="439" w:type="dxa"/>
            <w:vMerge/>
            <w:tcBorders>
              <w:left w:val="single" w:sz="4" w:space="0" w:color="000000"/>
              <w:right w:val="single" w:sz="4" w:space="0" w:color="000000"/>
            </w:tcBorders>
            <w:shd w:val="clear" w:color="auto" w:fill="DCDCDC"/>
          </w:tcPr>
          <w:p>
            <w:pPr/>
          </w:p>
        </w:tc>
        <w:tc>
          <w:tcPr>
            <w:tcW w:w="989" w:type="dxa"/>
            <w:vMerge/>
            <w:tcBorders>
              <w:left w:val="single" w:sz="4" w:space="0" w:color="000000"/>
              <w:right w:val="single" w:sz="4" w:space="0" w:color="000000"/>
            </w:tcBorders>
            <w:shd w:val="clear" w:color="auto" w:fill="DCDCDC"/>
          </w:tcPr>
          <w:p>
            <w:pPr/>
          </w:p>
        </w:tc>
        <w:tc>
          <w:tcPr>
            <w:tcW w:w="986" w:type="dxa"/>
            <w:vMerge/>
            <w:tcBorders>
              <w:left w:val="single" w:sz="4" w:space="0" w:color="000000"/>
              <w:right w:val="single" w:sz="4" w:space="0" w:color="000000"/>
            </w:tcBorders>
            <w:shd w:val="clear" w:color="auto" w:fill="DCDCDC"/>
          </w:tcPr>
          <w:p>
            <w:pPr/>
          </w:p>
        </w:tc>
        <w:tc>
          <w:tcPr>
            <w:tcW w:w="768" w:type="dxa"/>
            <w:vMerge/>
            <w:tcBorders>
              <w:left w:val="single" w:sz="4" w:space="0" w:color="000000"/>
              <w:bottom w:val="nil" w:sz="6" w:space="0" w:color="auto"/>
              <w:right w:val="single" w:sz="4" w:space="0" w:color="000000"/>
            </w:tcBorders>
            <w:shd w:val="clear" w:color="auto" w:fill="DCDCDC"/>
          </w:tcPr>
          <w:p>
            <w:pPr/>
          </w:p>
        </w:tc>
        <w:tc>
          <w:tcPr>
            <w:tcW w:w="770" w:type="dxa"/>
            <w:vMerge/>
            <w:tcBorders>
              <w:left w:val="single" w:sz="4" w:space="0" w:color="000000"/>
              <w:bottom w:val="nil" w:sz="6" w:space="0" w:color="auto"/>
              <w:right w:val="single" w:sz="4" w:space="0" w:color="000000"/>
            </w:tcBorders>
            <w:shd w:val="clear" w:color="auto" w:fill="DCDCDC"/>
          </w:tcPr>
          <w:p>
            <w:pPr/>
          </w:p>
        </w:tc>
        <w:tc>
          <w:tcPr>
            <w:tcW w:w="706" w:type="dxa"/>
            <w:vMerge/>
            <w:tcBorders>
              <w:left w:val="single" w:sz="4" w:space="0" w:color="000000"/>
              <w:right w:val="single" w:sz="4" w:space="0" w:color="000000"/>
            </w:tcBorders>
            <w:shd w:val="clear" w:color="auto" w:fill="DCDCDC"/>
          </w:tcPr>
          <w:p>
            <w:pPr/>
          </w:p>
        </w:tc>
        <w:tc>
          <w:tcPr>
            <w:tcW w:w="749" w:type="dxa"/>
            <w:vMerge/>
            <w:tcBorders>
              <w:left w:val="single" w:sz="4" w:space="0" w:color="000000"/>
              <w:right w:val="single" w:sz="4" w:space="0" w:color="000000"/>
            </w:tcBorders>
            <w:shd w:val="clear" w:color="auto" w:fill="DCDCDC"/>
          </w:tcPr>
          <w:p>
            <w:pPr/>
          </w:p>
        </w:tc>
        <w:tc>
          <w:tcPr>
            <w:tcW w:w="679"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exact"/>
              <w:ind w:left="93" w:right="0"/>
              <w:jc w:val="both"/>
              <w:rPr>
                <w:rFonts w:ascii="宋体" w:hAnsi="宋体" w:cs="宋体" w:eastAsia="宋体" w:hint="default"/>
                <w:sz w:val="24"/>
                <w:szCs w:val="24"/>
              </w:rPr>
            </w:pPr>
            <w:r>
              <w:rPr>
                <w:rFonts w:ascii="宋体" w:hAnsi="宋体" w:cs="宋体" w:eastAsia="宋体" w:hint="default"/>
                <w:sz w:val="24"/>
                <w:szCs w:val="24"/>
              </w:rPr>
              <w:t>是否</w:t>
            </w:r>
          </w:p>
          <w:p>
            <w:pPr>
              <w:pStyle w:val="TableParagraph"/>
              <w:spacing w:line="237" w:lineRule="auto" w:before="1"/>
              <w:ind w:left="93" w:right="95"/>
              <w:jc w:val="both"/>
              <w:rPr>
                <w:rFonts w:ascii="宋体" w:hAnsi="宋体" w:cs="宋体" w:eastAsia="宋体" w:hint="default"/>
                <w:sz w:val="24"/>
                <w:szCs w:val="24"/>
              </w:rPr>
            </w:pPr>
            <w:r>
              <w:rPr>
                <w:rFonts w:ascii="宋体" w:hAnsi="宋体" w:cs="宋体" w:eastAsia="宋体" w:hint="default"/>
                <w:sz w:val="24"/>
                <w:szCs w:val="24"/>
              </w:rPr>
              <w:t>在股 东单 位或 其他 关联 单位 领取 薪酬</w:t>
            </w:r>
          </w:p>
        </w:tc>
      </w:tr>
      <w:tr>
        <w:trPr>
          <w:trHeight w:val="156" w:hRule="exact"/>
        </w:trPr>
        <w:tc>
          <w:tcPr>
            <w:tcW w:w="955" w:type="dxa"/>
            <w:vMerge/>
            <w:tcBorders>
              <w:left w:val="single" w:sz="4" w:space="0" w:color="000000"/>
              <w:right w:val="single" w:sz="4" w:space="0" w:color="000000"/>
            </w:tcBorders>
            <w:shd w:val="clear" w:color="auto" w:fill="DCDCDC"/>
          </w:tcPr>
          <w:p>
            <w:pPr/>
          </w:p>
        </w:tc>
        <w:tc>
          <w:tcPr>
            <w:tcW w:w="881" w:type="dxa"/>
            <w:vMerge/>
            <w:tcBorders>
              <w:left w:val="single" w:sz="4" w:space="0" w:color="000000"/>
              <w:right w:val="single" w:sz="4" w:space="0" w:color="000000"/>
            </w:tcBorders>
            <w:shd w:val="clear" w:color="auto" w:fill="DCDCDC"/>
          </w:tcPr>
          <w:p>
            <w:pPr/>
          </w:p>
        </w:tc>
        <w:tc>
          <w:tcPr>
            <w:tcW w:w="442" w:type="dxa"/>
            <w:vMerge/>
            <w:tcBorders>
              <w:left w:val="single" w:sz="4" w:space="0" w:color="000000"/>
              <w:bottom w:val="nil" w:sz="6" w:space="0" w:color="auto"/>
              <w:right w:val="single" w:sz="4" w:space="0" w:color="000000"/>
            </w:tcBorders>
            <w:shd w:val="clear" w:color="auto" w:fill="DCDCDC"/>
          </w:tcPr>
          <w:p>
            <w:pPr/>
          </w:p>
        </w:tc>
        <w:tc>
          <w:tcPr>
            <w:tcW w:w="439" w:type="dxa"/>
            <w:vMerge/>
            <w:tcBorders>
              <w:left w:val="single" w:sz="4" w:space="0" w:color="000000"/>
              <w:bottom w:val="nil" w:sz="6" w:space="0" w:color="auto"/>
              <w:right w:val="single" w:sz="4" w:space="0" w:color="000000"/>
            </w:tcBorders>
            <w:shd w:val="clear" w:color="auto" w:fill="DCDCDC"/>
          </w:tcPr>
          <w:p>
            <w:pPr/>
          </w:p>
        </w:tc>
        <w:tc>
          <w:tcPr>
            <w:tcW w:w="989" w:type="dxa"/>
            <w:vMerge/>
            <w:tcBorders>
              <w:left w:val="single" w:sz="4" w:space="0" w:color="000000"/>
              <w:bottom w:val="nil" w:sz="6" w:space="0" w:color="auto"/>
              <w:right w:val="single" w:sz="4" w:space="0" w:color="000000"/>
            </w:tcBorders>
            <w:shd w:val="clear" w:color="auto" w:fill="DCDCDC"/>
          </w:tcPr>
          <w:p>
            <w:pPr/>
          </w:p>
        </w:tc>
        <w:tc>
          <w:tcPr>
            <w:tcW w:w="986" w:type="dxa"/>
            <w:vMerge/>
            <w:tcBorders>
              <w:left w:val="single" w:sz="4" w:space="0" w:color="000000"/>
              <w:bottom w:val="nil" w:sz="6" w:space="0" w:color="auto"/>
              <w:right w:val="single" w:sz="4" w:space="0" w:color="000000"/>
            </w:tcBorders>
            <w:shd w:val="clear" w:color="auto" w:fill="DCDCDC"/>
          </w:tcPr>
          <w:p>
            <w:pPr/>
          </w:p>
        </w:tc>
        <w:tc>
          <w:tcPr>
            <w:tcW w:w="768"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exact"/>
              <w:ind w:left="139" w:right="0"/>
              <w:jc w:val="left"/>
              <w:rPr>
                <w:rFonts w:ascii="宋体" w:hAnsi="宋体" w:cs="宋体" w:eastAsia="宋体" w:hint="default"/>
                <w:sz w:val="24"/>
                <w:szCs w:val="24"/>
              </w:rPr>
            </w:pPr>
            <w:r>
              <w:rPr>
                <w:rFonts w:ascii="宋体" w:hAnsi="宋体" w:cs="宋体" w:eastAsia="宋体" w:hint="default"/>
                <w:sz w:val="24"/>
                <w:szCs w:val="24"/>
              </w:rPr>
              <w:t>年初</w:t>
            </w:r>
          </w:p>
          <w:p>
            <w:pPr>
              <w:pStyle w:val="TableParagraph"/>
              <w:spacing w:line="312" w:lineRule="exact" w:before="30"/>
              <w:ind w:left="259" w:right="137" w:hanging="121"/>
              <w:jc w:val="left"/>
              <w:rPr>
                <w:rFonts w:ascii="宋体" w:hAnsi="宋体" w:cs="宋体" w:eastAsia="宋体" w:hint="default"/>
                <w:sz w:val="24"/>
                <w:szCs w:val="24"/>
              </w:rPr>
            </w:pPr>
            <w:r>
              <w:rPr>
                <w:rFonts w:ascii="宋体" w:hAnsi="宋体" w:cs="宋体" w:eastAsia="宋体" w:hint="default"/>
                <w:sz w:val="24"/>
                <w:szCs w:val="24"/>
              </w:rPr>
              <w:t>持股 数</w:t>
            </w:r>
          </w:p>
        </w:tc>
        <w:tc>
          <w:tcPr>
            <w:tcW w:w="770"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exact"/>
              <w:ind w:left="139" w:right="0"/>
              <w:jc w:val="left"/>
              <w:rPr>
                <w:rFonts w:ascii="宋体" w:hAnsi="宋体" w:cs="宋体" w:eastAsia="宋体" w:hint="default"/>
                <w:sz w:val="24"/>
                <w:szCs w:val="24"/>
              </w:rPr>
            </w:pPr>
            <w:r>
              <w:rPr>
                <w:rFonts w:ascii="宋体" w:hAnsi="宋体" w:cs="宋体" w:eastAsia="宋体" w:hint="default"/>
                <w:sz w:val="24"/>
                <w:szCs w:val="24"/>
              </w:rPr>
              <w:t>年末</w:t>
            </w:r>
          </w:p>
          <w:p>
            <w:pPr>
              <w:pStyle w:val="TableParagraph"/>
              <w:spacing w:line="312" w:lineRule="exact" w:before="30"/>
              <w:ind w:left="259" w:right="139" w:hanging="120"/>
              <w:jc w:val="left"/>
              <w:rPr>
                <w:rFonts w:ascii="宋体" w:hAnsi="宋体" w:cs="宋体" w:eastAsia="宋体" w:hint="default"/>
                <w:sz w:val="24"/>
                <w:szCs w:val="24"/>
              </w:rPr>
            </w:pPr>
            <w:r>
              <w:rPr>
                <w:rFonts w:ascii="宋体" w:hAnsi="宋体" w:cs="宋体" w:eastAsia="宋体" w:hint="default"/>
                <w:sz w:val="24"/>
                <w:szCs w:val="24"/>
              </w:rPr>
              <w:t>持股 数</w:t>
            </w:r>
          </w:p>
        </w:tc>
        <w:tc>
          <w:tcPr>
            <w:tcW w:w="706" w:type="dxa"/>
            <w:vMerge/>
            <w:tcBorders>
              <w:left w:val="single" w:sz="4" w:space="0" w:color="000000"/>
              <w:bottom w:val="nil" w:sz="6" w:space="0" w:color="auto"/>
              <w:right w:val="single" w:sz="4" w:space="0" w:color="000000"/>
            </w:tcBorders>
            <w:shd w:val="clear" w:color="auto" w:fill="DCDCDC"/>
          </w:tcPr>
          <w:p>
            <w:pPr/>
          </w:p>
        </w:tc>
        <w:tc>
          <w:tcPr>
            <w:tcW w:w="749" w:type="dxa"/>
            <w:vMerge/>
            <w:tcBorders>
              <w:left w:val="single" w:sz="4" w:space="0" w:color="000000"/>
              <w:right w:val="single" w:sz="4" w:space="0" w:color="000000"/>
            </w:tcBorders>
            <w:shd w:val="clear" w:color="auto" w:fill="DCDCDC"/>
          </w:tcPr>
          <w:p>
            <w:pPr/>
          </w:p>
        </w:tc>
        <w:tc>
          <w:tcPr>
            <w:tcW w:w="679" w:type="dxa"/>
            <w:vMerge/>
            <w:tcBorders>
              <w:left w:val="single" w:sz="4" w:space="0" w:color="000000"/>
              <w:right w:val="single" w:sz="4" w:space="0" w:color="000000"/>
            </w:tcBorders>
            <w:shd w:val="clear" w:color="auto" w:fill="DCDCDC"/>
          </w:tcPr>
          <w:p>
            <w:pPr/>
          </w:p>
        </w:tc>
      </w:tr>
      <w:tr>
        <w:trPr>
          <w:trHeight w:val="157" w:hRule="exact"/>
        </w:trPr>
        <w:tc>
          <w:tcPr>
            <w:tcW w:w="955" w:type="dxa"/>
            <w:vMerge/>
            <w:tcBorders>
              <w:left w:val="single" w:sz="4" w:space="0" w:color="000000"/>
              <w:bottom w:val="nil" w:sz="6" w:space="0" w:color="auto"/>
              <w:right w:val="single" w:sz="4" w:space="0" w:color="000000"/>
            </w:tcBorders>
            <w:shd w:val="clear" w:color="auto" w:fill="DCDCDC"/>
          </w:tcPr>
          <w:p>
            <w:pPr/>
          </w:p>
        </w:tc>
        <w:tc>
          <w:tcPr>
            <w:tcW w:w="881" w:type="dxa"/>
            <w:vMerge/>
            <w:tcBorders>
              <w:left w:val="single" w:sz="4" w:space="0" w:color="000000"/>
              <w:bottom w:val="nil" w:sz="6" w:space="0" w:color="auto"/>
              <w:right w:val="single" w:sz="4" w:space="0" w:color="000000"/>
            </w:tcBorders>
            <w:shd w:val="clear" w:color="auto" w:fill="DCDCDC"/>
          </w:tcPr>
          <w:p>
            <w:pPr/>
          </w:p>
        </w:tc>
        <w:tc>
          <w:tcPr>
            <w:tcW w:w="442"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exact"/>
              <w:ind w:left="95" w:right="0"/>
              <w:jc w:val="left"/>
              <w:rPr>
                <w:rFonts w:ascii="宋体" w:hAnsi="宋体" w:cs="宋体" w:eastAsia="宋体" w:hint="default"/>
                <w:sz w:val="24"/>
                <w:szCs w:val="24"/>
              </w:rPr>
            </w:pPr>
            <w:r>
              <w:rPr>
                <w:rFonts w:ascii="宋体" w:hAnsi="宋体" w:cs="宋体" w:eastAsia="宋体" w:hint="default"/>
                <w:sz w:val="24"/>
                <w:szCs w:val="24"/>
              </w:rPr>
              <w:t>性</w:t>
            </w:r>
          </w:p>
          <w:p>
            <w:pPr>
              <w:pStyle w:val="TableParagraph"/>
              <w:spacing w:line="313" w:lineRule="exact"/>
              <w:ind w:left="95" w:right="0"/>
              <w:jc w:val="left"/>
              <w:rPr>
                <w:rFonts w:ascii="宋体" w:hAnsi="宋体" w:cs="宋体" w:eastAsia="宋体" w:hint="default"/>
                <w:sz w:val="24"/>
                <w:szCs w:val="24"/>
              </w:rPr>
            </w:pPr>
            <w:r>
              <w:rPr>
                <w:rFonts w:ascii="宋体" w:hAnsi="宋体" w:cs="宋体" w:eastAsia="宋体" w:hint="default"/>
                <w:sz w:val="24"/>
                <w:szCs w:val="24"/>
              </w:rPr>
              <w:t>别</w:t>
            </w:r>
          </w:p>
        </w:tc>
        <w:tc>
          <w:tcPr>
            <w:tcW w:w="439"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exact"/>
              <w:ind w:left="93" w:right="0"/>
              <w:jc w:val="left"/>
              <w:rPr>
                <w:rFonts w:ascii="宋体" w:hAnsi="宋体" w:cs="宋体" w:eastAsia="宋体" w:hint="default"/>
                <w:sz w:val="24"/>
                <w:szCs w:val="24"/>
              </w:rPr>
            </w:pPr>
            <w:r>
              <w:rPr>
                <w:rFonts w:ascii="宋体" w:hAnsi="宋体" w:cs="宋体" w:eastAsia="宋体" w:hint="default"/>
                <w:sz w:val="24"/>
                <w:szCs w:val="24"/>
              </w:rPr>
              <w:t>年</w:t>
            </w:r>
          </w:p>
          <w:p>
            <w:pPr>
              <w:pStyle w:val="TableParagraph"/>
              <w:spacing w:line="313" w:lineRule="exact"/>
              <w:ind w:left="93" w:right="0"/>
              <w:jc w:val="left"/>
              <w:rPr>
                <w:rFonts w:ascii="宋体" w:hAnsi="宋体" w:cs="宋体" w:eastAsia="宋体" w:hint="default"/>
                <w:sz w:val="24"/>
                <w:szCs w:val="24"/>
              </w:rPr>
            </w:pPr>
            <w:r>
              <w:rPr>
                <w:rFonts w:ascii="宋体" w:hAnsi="宋体" w:cs="宋体" w:eastAsia="宋体" w:hint="default"/>
                <w:sz w:val="24"/>
                <w:szCs w:val="24"/>
              </w:rPr>
              <w:t>龄</w:t>
            </w:r>
          </w:p>
        </w:tc>
        <w:tc>
          <w:tcPr>
            <w:tcW w:w="989"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exact"/>
              <w:ind w:left="129" w:right="0"/>
              <w:jc w:val="left"/>
              <w:rPr>
                <w:rFonts w:ascii="宋体" w:hAnsi="宋体" w:cs="宋体" w:eastAsia="宋体" w:hint="default"/>
                <w:sz w:val="24"/>
                <w:szCs w:val="24"/>
              </w:rPr>
            </w:pPr>
            <w:r>
              <w:rPr>
                <w:rFonts w:ascii="宋体" w:hAnsi="宋体" w:cs="宋体" w:eastAsia="宋体" w:hint="default"/>
                <w:sz w:val="24"/>
                <w:szCs w:val="24"/>
              </w:rPr>
              <w:t>任期起</w:t>
            </w:r>
          </w:p>
          <w:p>
            <w:pPr>
              <w:pStyle w:val="TableParagraph"/>
              <w:spacing w:line="313" w:lineRule="exact"/>
              <w:ind w:left="129" w:right="0"/>
              <w:jc w:val="left"/>
              <w:rPr>
                <w:rFonts w:ascii="宋体" w:hAnsi="宋体" w:cs="宋体" w:eastAsia="宋体" w:hint="default"/>
                <w:sz w:val="24"/>
                <w:szCs w:val="24"/>
              </w:rPr>
            </w:pPr>
            <w:r>
              <w:rPr>
                <w:rFonts w:ascii="宋体" w:hAnsi="宋体" w:cs="宋体" w:eastAsia="宋体" w:hint="default"/>
                <w:sz w:val="24"/>
                <w:szCs w:val="24"/>
              </w:rPr>
              <w:t>始日期</w:t>
            </w:r>
          </w:p>
        </w:tc>
        <w:tc>
          <w:tcPr>
            <w:tcW w:w="986"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exact"/>
              <w:ind w:left="127" w:right="0"/>
              <w:jc w:val="left"/>
              <w:rPr>
                <w:rFonts w:ascii="宋体" w:hAnsi="宋体" w:cs="宋体" w:eastAsia="宋体" w:hint="default"/>
                <w:sz w:val="24"/>
                <w:szCs w:val="24"/>
              </w:rPr>
            </w:pPr>
            <w:r>
              <w:rPr>
                <w:rFonts w:ascii="宋体" w:hAnsi="宋体" w:cs="宋体" w:eastAsia="宋体" w:hint="default"/>
                <w:sz w:val="24"/>
                <w:szCs w:val="24"/>
              </w:rPr>
              <w:t>任期终</w:t>
            </w:r>
          </w:p>
          <w:p>
            <w:pPr>
              <w:pStyle w:val="TableParagraph"/>
              <w:spacing w:line="313" w:lineRule="exact"/>
              <w:ind w:left="127" w:right="0"/>
              <w:jc w:val="left"/>
              <w:rPr>
                <w:rFonts w:ascii="宋体" w:hAnsi="宋体" w:cs="宋体" w:eastAsia="宋体" w:hint="default"/>
                <w:sz w:val="24"/>
                <w:szCs w:val="24"/>
              </w:rPr>
            </w:pPr>
            <w:r>
              <w:rPr>
                <w:rFonts w:ascii="宋体" w:hAnsi="宋体" w:cs="宋体" w:eastAsia="宋体" w:hint="default"/>
                <w:sz w:val="24"/>
                <w:szCs w:val="24"/>
              </w:rPr>
              <w:t>止日期</w:t>
            </w:r>
          </w:p>
        </w:tc>
        <w:tc>
          <w:tcPr>
            <w:tcW w:w="768" w:type="dxa"/>
            <w:vMerge/>
            <w:tcBorders>
              <w:left w:val="single" w:sz="4" w:space="0" w:color="000000"/>
              <w:right w:val="single" w:sz="4" w:space="0" w:color="000000"/>
            </w:tcBorders>
            <w:shd w:val="clear" w:color="auto" w:fill="DCDCDC"/>
          </w:tcPr>
          <w:p>
            <w:pPr/>
          </w:p>
        </w:tc>
        <w:tc>
          <w:tcPr>
            <w:tcW w:w="770" w:type="dxa"/>
            <w:vMerge/>
            <w:tcBorders>
              <w:left w:val="single" w:sz="4" w:space="0" w:color="000000"/>
              <w:right w:val="single" w:sz="4" w:space="0" w:color="000000"/>
            </w:tcBorders>
            <w:shd w:val="clear" w:color="auto" w:fill="DCDCDC"/>
          </w:tcPr>
          <w:p>
            <w:pPr/>
          </w:p>
        </w:tc>
        <w:tc>
          <w:tcPr>
            <w:tcW w:w="706"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变动</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原因</w:t>
            </w:r>
          </w:p>
        </w:tc>
        <w:tc>
          <w:tcPr>
            <w:tcW w:w="749" w:type="dxa"/>
            <w:vMerge/>
            <w:tcBorders>
              <w:left w:val="single" w:sz="4" w:space="0" w:color="000000"/>
              <w:right w:val="single" w:sz="4" w:space="0" w:color="000000"/>
            </w:tcBorders>
            <w:shd w:val="clear" w:color="auto" w:fill="DCDCDC"/>
          </w:tcPr>
          <w:p>
            <w:pPr/>
          </w:p>
        </w:tc>
        <w:tc>
          <w:tcPr>
            <w:tcW w:w="679" w:type="dxa"/>
            <w:vMerge/>
            <w:tcBorders>
              <w:left w:val="single" w:sz="4" w:space="0" w:color="000000"/>
              <w:right w:val="single" w:sz="4" w:space="0" w:color="000000"/>
            </w:tcBorders>
            <w:shd w:val="clear" w:color="auto" w:fill="DCDCDC"/>
          </w:tcPr>
          <w:p>
            <w:pPr/>
          </w:p>
        </w:tc>
      </w:tr>
      <w:tr>
        <w:trPr>
          <w:trHeight w:val="312" w:hRule="exact"/>
        </w:trPr>
        <w:tc>
          <w:tcPr>
            <w:tcW w:w="95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88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left="194" w:right="0"/>
              <w:jc w:val="left"/>
              <w:rPr>
                <w:rFonts w:ascii="宋体" w:hAnsi="宋体" w:cs="宋体" w:eastAsia="宋体" w:hint="default"/>
                <w:sz w:val="24"/>
                <w:szCs w:val="24"/>
              </w:rPr>
            </w:pPr>
            <w:r>
              <w:rPr>
                <w:rFonts w:ascii="宋体" w:hAnsi="宋体" w:cs="宋体" w:eastAsia="宋体" w:hint="default"/>
                <w:sz w:val="24"/>
                <w:szCs w:val="24"/>
              </w:rPr>
              <w:t>职务</w:t>
            </w:r>
          </w:p>
        </w:tc>
        <w:tc>
          <w:tcPr>
            <w:tcW w:w="442" w:type="dxa"/>
            <w:vMerge/>
            <w:tcBorders>
              <w:left w:val="single" w:sz="4" w:space="0" w:color="000000"/>
              <w:right w:val="single" w:sz="4" w:space="0" w:color="000000"/>
            </w:tcBorders>
            <w:shd w:val="clear" w:color="auto" w:fill="DCDCDC"/>
          </w:tcPr>
          <w:p>
            <w:pPr/>
          </w:p>
        </w:tc>
        <w:tc>
          <w:tcPr>
            <w:tcW w:w="439" w:type="dxa"/>
            <w:vMerge/>
            <w:tcBorders>
              <w:left w:val="single" w:sz="4" w:space="0" w:color="000000"/>
              <w:right w:val="single" w:sz="4" w:space="0" w:color="000000"/>
            </w:tcBorders>
            <w:shd w:val="clear" w:color="auto" w:fill="DCDCDC"/>
          </w:tcPr>
          <w:p>
            <w:pPr/>
          </w:p>
        </w:tc>
        <w:tc>
          <w:tcPr>
            <w:tcW w:w="989" w:type="dxa"/>
            <w:vMerge/>
            <w:tcBorders>
              <w:left w:val="single" w:sz="4" w:space="0" w:color="000000"/>
              <w:right w:val="single" w:sz="4" w:space="0" w:color="000000"/>
            </w:tcBorders>
            <w:shd w:val="clear" w:color="auto" w:fill="DCDCDC"/>
          </w:tcPr>
          <w:p>
            <w:pPr/>
          </w:p>
        </w:tc>
        <w:tc>
          <w:tcPr>
            <w:tcW w:w="986" w:type="dxa"/>
            <w:vMerge/>
            <w:tcBorders>
              <w:left w:val="single" w:sz="4" w:space="0" w:color="000000"/>
              <w:right w:val="single" w:sz="4" w:space="0" w:color="000000"/>
            </w:tcBorders>
            <w:shd w:val="clear" w:color="auto" w:fill="DCDCDC"/>
          </w:tcPr>
          <w:p>
            <w:pPr/>
          </w:p>
        </w:tc>
        <w:tc>
          <w:tcPr>
            <w:tcW w:w="768" w:type="dxa"/>
            <w:vMerge/>
            <w:tcBorders>
              <w:left w:val="single" w:sz="4" w:space="0" w:color="000000"/>
              <w:right w:val="single" w:sz="4" w:space="0" w:color="000000"/>
            </w:tcBorders>
            <w:shd w:val="clear" w:color="auto" w:fill="DCDCDC"/>
          </w:tcPr>
          <w:p>
            <w:pPr/>
          </w:p>
        </w:tc>
        <w:tc>
          <w:tcPr>
            <w:tcW w:w="770" w:type="dxa"/>
            <w:vMerge/>
            <w:tcBorders>
              <w:left w:val="single" w:sz="4" w:space="0" w:color="000000"/>
              <w:right w:val="single" w:sz="4" w:space="0" w:color="000000"/>
            </w:tcBorders>
            <w:shd w:val="clear" w:color="auto" w:fill="DCDCDC"/>
          </w:tcPr>
          <w:p>
            <w:pPr/>
          </w:p>
        </w:tc>
        <w:tc>
          <w:tcPr>
            <w:tcW w:w="706" w:type="dxa"/>
            <w:vMerge/>
            <w:tcBorders>
              <w:left w:val="single" w:sz="4" w:space="0" w:color="000000"/>
              <w:right w:val="single" w:sz="4" w:space="0" w:color="000000"/>
            </w:tcBorders>
            <w:shd w:val="clear" w:color="auto" w:fill="DCDCDC"/>
          </w:tcPr>
          <w:p>
            <w:pPr/>
          </w:p>
        </w:tc>
        <w:tc>
          <w:tcPr>
            <w:tcW w:w="749" w:type="dxa"/>
            <w:vMerge/>
            <w:tcBorders>
              <w:left w:val="single" w:sz="4" w:space="0" w:color="000000"/>
              <w:right w:val="single" w:sz="4" w:space="0" w:color="000000"/>
            </w:tcBorders>
            <w:shd w:val="clear" w:color="auto" w:fill="DCDCDC"/>
          </w:tcPr>
          <w:p>
            <w:pPr/>
          </w:p>
        </w:tc>
        <w:tc>
          <w:tcPr>
            <w:tcW w:w="679" w:type="dxa"/>
            <w:vMerge/>
            <w:tcBorders>
              <w:left w:val="single" w:sz="4" w:space="0" w:color="000000"/>
              <w:right w:val="single" w:sz="4" w:space="0" w:color="000000"/>
            </w:tcBorders>
            <w:shd w:val="clear" w:color="auto" w:fill="DCDCDC"/>
          </w:tcPr>
          <w:p>
            <w:pPr/>
          </w:p>
        </w:tc>
      </w:tr>
      <w:tr>
        <w:trPr>
          <w:trHeight w:val="156" w:hRule="exact"/>
        </w:trPr>
        <w:tc>
          <w:tcPr>
            <w:tcW w:w="955" w:type="dxa"/>
            <w:vMerge w:val="restart"/>
            <w:tcBorders>
              <w:top w:val="nil" w:sz="6" w:space="0" w:color="auto"/>
              <w:left w:val="single" w:sz="4" w:space="0" w:color="000000"/>
              <w:right w:val="single" w:sz="4" w:space="0" w:color="000000"/>
            </w:tcBorders>
            <w:shd w:val="clear" w:color="auto" w:fill="DCDCDC"/>
          </w:tcPr>
          <w:p>
            <w:pPr/>
          </w:p>
        </w:tc>
        <w:tc>
          <w:tcPr>
            <w:tcW w:w="881" w:type="dxa"/>
            <w:vMerge w:val="restart"/>
            <w:tcBorders>
              <w:top w:val="nil" w:sz="6" w:space="0" w:color="auto"/>
              <w:left w:val="single" w:sz="4" w:space="0" w:color="000000"/>
              <w:right w:val="single" w:sz="4" w:space="0" w:color="000000"/>
            </w:tcBorders>
            <w:shd w:val="clear" w:color="auto" w:fill="DCDCDC"/>
          </w:tcPr>
          <w:p>
            <w:pPr/>
          </w:p>
        </w:tc>
        <w:tc>
          <w:tcPr>
            <w:tcW w:w="442" w:type="dxa"/>
            <w:vMerge/>
            <w:tcBorders>
              <w:left w:val="single" w:sz="4" w:space="0" w:color="000000"/>
              <w:bottom w:val="nil" w:sz="6" w:space="0" w:color="auto"/>
              <w:right w:val="single" w:sz="4" w:space="0" w:color="000000"/>
            </w:tcBorders>
            <w:shd w:val="clear" w:color="auto" w:fill="DCDCDC"/>
          </w:tcPr>
          <w:p>
            <w:pPr/>
          </w:p>
        </w:tc>
        <w:tc>
          <w:tcPr>
            <w:tcW w:w="439" w:type="dxa"/>
            <w:vMerge/>
            <w:tcBorders>
              <w:left w:val="single" w:sz="4" w:space="0" w:color="000000"/>
              <w:bottom w:val="nil" w:sz="6" w:space="0" w:color="auto"/>
              <w:right w:val="single" w:sz="4" w:space="0" w:color="000000"/>
            </w:tcBorders>
            <w:shd w:val="clear" w:color="auto" w:fill="DCDCDC"/>
          </w:tcPr>
          <w:p>
            <w:pPr/>
          </w:p>
        </w:tc>
        <w:tc>
          <w:tcPr>
            <w:tcW w:w="989" w:type="dxa"/>
            <w:vMerge/>
            <w:tcBorders>
              <w:left w:val="single" w:sz="4" w:space="0" w:color="000000"/>
              <w:bottom w:val="nil" w:sz="6" w:space="0" w:color="auto"/>
              <w:right w:val="single" w:sz="4" w:space="0" w:color="000000"/>
            </w:tcBorders>
            <w:shd w:val="clear" w:color="auto" w:fill="DCDCDC"/>
          </w:tcPr>
          <w:p>
            <w:pPr/>
          </w:p>
        </w:tc>
        <w:tc>
          <w:tcPr>
            <w:tcW w:w="986" w:type="dxa"/>
            <w:vMerge/>
            <w:tcBorders>
              <w:left w:val="single" w:sz="4" w:space="0" w:color="000000"/>
              <w:bottom w:val="nil" w:sz="6" w:space="0" w:color="auto"/>
              <w:right w:val="single" w:sz="4" w:space="0" w:color="000000"/>
            </w:tcBorders>
            <w:shd w:val="clear" w:color="auto" w:fill="DCDCDC"/>
          </w:tcPr>
          <w:p>
            <w:pPr/>
          </w:p>
        </w:tc>
        <w:tc>
          <w:tcPr>
            <w:tcW w:w="768" w:type="dxa"/>
            <w:vMerge/>
            <w:tcBorders>
              <w:left w:val="single" w:sz="4" w:space="0" w:color="000000"/>
              <w:right w:val="single" w:sz="4" w:space="0" w:color="000000"/>
            </w:tcBorders>
            <w:shd w:val="clear" w:color="auto" w:fill="DCDCDC"/>
          </w:tcPr>
          <w:p>
            <w:pPr/>
          </w:p>
        </w:tc>
        <w:tc>
          <w:tcPr>
            <w:tcW w:w="770" w:type="dxa"/>
            <w:vMerge/>
            <w:tcBorders>
              <w:left w:val="single" w:sz="4" w:space="0" w:color="000000"/>
              <w:right w:val="single" w:sz="4" w:space="0" w:color="000000"/>
            </w:tcBorders>
            <w:shd w:val="clear" w:color="auto" w:fill="DCDCDC"/>
          </w:tcPr>
          <w:p>
            <w:pPr/>
          </w:p>
        </w:tc>
        <w:tc>
          <w:tcPr>
            <w:tcW w:w="706" w:type="dxa"/>
            <w:vMerge/>
            <w:tcBorders>
              <w:left w:val="single" w:sz="4" w:space="0" w:color="000000"/>
              <w:bottom w:val="nil" w:sz="6" w:space="0" w:color="auto"/>
              <w:right w:val="single" w:sz="4" w:space="0" w:color="000000"/>
            </w:tcBorders>
            <w:shd w:val="clear" w:color="auto" w:fill="DCDCDC"/>
          </w:tcPr>
          <w:p>
            <w:pPr/>
          </w:p>
        </w:tc>
        <w:tc>
          <w:tcPr>
            <w:tcW w:w="749" w:type="dxa"/>
            <w:vMerge/>
            <w:tcBorders>
              <w:left w:val="single" w:sz="4" w:space="0" w:color="000000"/>
              <w:right w:val="single" w:sz="4" w:space="0" w:color="000000"/>
            </w:tcBorders>
            <w:shd w:val="clear" w:color="auto" w:fill="DCDCDC"/>
          </w:tcPr>
          <w:p>
            <w:pPr/>
          </w:p>
        </w:tc>
        <w:tc>
          <w:tcPr>
            <w:tcW w:w="679" w:type="dxa"/>
            <w:vMerge/>
            <w:tcBorders>
              <w:left w:val="single" w:sz="4" w:space="0" w:color="000000"/>
              <w:right w:val="single" w:sz="4" w:space="0" w:color="000000"/>
            </w:tcBorders>
            <w:shd w:val="clear" w:color="auto" w:fill="DCDCDC"/>
          </w:tcPr>
          <w:p>
            <w:pPr/>
          </w:p>
        </w:tc>
      </w:tr>
      <w:tr>
        <w:trPr>
          <w:trHeight w:val="156" w:hRule="exact"/>
        </w:trPr>
        <w:tc>
          <w:tcPr>
            <w:tcW w:w="955" w:type="dxa"/>
            <w:vMerge/>
            <w:tcBorders>
              <w:left w:val="single" w:sz="4" w:space="0" w:color="000000"/>
              <w:right w:val="single" w:sz="4" w:space="0" w:color="000000"/>
            </w:tcBorders>
            <w:shd w:val="clear" w:color="auto" w:fill="DCDCDC"/>
          </w:tcPr>
          <w:p>
            <w:pPr/>
          </w:p>
        </w:tc>
        <w:tc>
          <w:tcPr>
            <w:tcW w:w="881" w:type="dxa"/>
            <w:vMerge/>
            <w:tcBorders>
              <w:left w:val="single" w:sz="4" w:space="0" w:color="000000"/>
              <w:right w:val="single" w:sz="4" w:space="0" w:color="000000"/>
            </w:tcBorders>
            <w:shd w:val="clear" w:color="auto" w:fill="DCDCDC"/>
          </w:tcPr>
          <w:p>
            <w:pPr/>
          </w:p>
        </w:tc>
        <w:tc>
          <w:tcPr>
            <w:tcW w:w="442" w:type="dxa"/>
            <w:vMerge w:val="restart"/>
            <w:tcBorders>
              <w:top w:val="nil" w:sz="6" w:space="0" w:color="auto"/>
              <w:left w:val="single" w:sz="4" w:space="0" w:color="000000"/>
              <w:right w:val="single" w:sz="4" w:space="0" w:color="000000"/>
            </w:tcBorders>
            <w:shd w:val="clear" w:color="auto" w:fill="DCDCDC"/>
          </w:tcPr>
          <w:p>
            <w:pPr/>
          </w:p>
        </w:tc>
        <w:tc>
          <w:tcPr>
            <w:tcW w:w="439" w:type="dxa"/>
            <w:vMerge w:val="restart"/>
            <w:tcBorders>
              <w:top w:val="nil" w:sz="6" w:space="0" w:color="auto"/>
              <w:left w:val="single" w:sz="4" w:space="0" w:color="000000"/>
              <w:right w:val="single" w:sz="4" w:space="0" w:color="000000"/>
            </w:tcBorders>
            <w:shd w:val="clear" w:color="auto" w:fill="DCDCDC"/>
          </w:tcPr>
          <w:p>
            <w:pPr/>
          </w:p>
        </w:tc>
        <w:tc>
          <w:tcPr>
            <w:tcW w:w="989" w:type="dxa"/>
            <w:vMerge w:val="restart"/>
            <w:tcBorders>
              <w:top w:val="nil" w:sz="6" w:space="0" w:color="auto"/>
              <w:left w:val="single" w:sz="4" w:space="0" w:color="000000"/>
              <w:right w:val="single" w:sz="4" w:space="0" w:color="000000"/>
            </w:tcBorders>
            <w:shd w:val="clear" w:color="auto" w:fill="DCDCDC"/>
          </w:tcPr>
          <w:p>
            <w:pPr/>
          </w:p>
        </w:tc>
        <w:tc>
          <w:tcPr>
            <w:tcW w:w="986" w:type="dxa"/>
            <w:vMerge w:val="restart"/>
            <w:tcBorders>
              <w:top w:val="nil" w:sz="6" w:space="0" w:color="auto"/>
              <w:left w:val="single" w:sz="4" w:space="0" w:color="000000"/>
              <w:right w:val="single" w:sz="4" w:space="0" w:color="000000"/>
            </w:tcBorders>
            <w:shd w:val="clear" w:color="auto" w:fill="DCDCDC"/>
          </w:tcPr>
          <w:p>
            <w:pPr/>
          </w:p>
        </w:tc>
        <w:tc>
          <w:tcPr>
            <w:tcW w:w="768" w:type="dxa"/>
            <w:vMerge/>
            <w:tcBorders>
              <w:left w:val="single" w:sz="4" w:space="0" w:color="000000"/>
              <w:bottom w:val="nil" w:sz="6" w:space="0" w:color="auto"/>
              <w:right w:val="single" w:sz="4" w:space="0" w:color="000000"/>
            </w:tcBorders>
            <w:shd w:val="clear" w:color="auto" w:fill="DCDCDC"/>
          </w:tcPr>
          <w:p>
            <w:pPr/>
          </w:p>
        </w:tc>
        <w:tc>
          <w:tcPr>
            <w:tcW w:w="770" w:type="dxa"/>
            <w:vMerge/>
            <w:tcBorders>
              <w:left w:val="single" w:sz="4" w:space="0" w:color="000000"/>
              <w:bottom w:val="nil" w:sz="6" w:space="0" w:color="auto"/>
              <w:right w:val="single" w:sz="4" w:space="0" w:color="000000"/>
            </w:tcBorders>
            <w:shd w:val="clear" w:color="auto" w:fill="DCDCDC"/>
          </w:tcPr>
          <w:p>
            <w:pPr/>
          </w:p>
        </w:tc>
        <w:tc>
          <w:tcPr>
            <w:tcW w:w="706" w:type="dxa"/>
            <w:vMerge w:val="restart"/>
            <w:tcBorders>
              <w:top w:val="nil" w:sz="6" w:space="0" w:color="auto"/>
              <w:left w:val="single" w:sz="4" w:space="0" w:color="000000"/>
              <w:right w:val="single" w:sz="4" w:space="0" w:color="000000"/>
            </w:tcBorders>
            <w:shd w:val="clear" w:color="auto" w:fill="DCDCDC"/>
          </w:tcPr>
          <w:p>
            <w:pPr/>
          </w:p>
        </w:tc>
        <w:tc>
          <w:tcPr>
            <w:tcW w:w="749" w:type="dxa"/>
            <w:vMerge/>
            <w:tcBorders>
              <w:left w:val="single" w:sz="4" w:space="0" w:color="000000"/>
              <w:right w:val="single" w:sz="4" w:space="0" w:color="000000"/>
            </w:tcBorders>
            <w:shd w:val="clear" w:color="auto" w:fill="DCDCDC"/>
          </w:tcPr>
          <w:p>
            <w:pPr/>
          </w:p>
        </w:tc>
        <w:tc>
          <w:tcPr>
            <w:tcW w:w="679" w:type="dxa"/>
            <w:vMerge/>
            <w:tcBorders>
              <w:left w:val="single" w:sz="4" w:space="0" w:color="000000"/>
              <w:right w:val="single" w:sz="4" w:space="0" w:color="000000"/>
            </w:tcBorders>
            <w:shd w:val="clear" w:color="auto" w:fill="DCDCDC"/>
          </w:tcPr>
          <w:p>
            <w:pPr/>
          </w:p>
        </w:tc>
      </w:tr>
      <w:tr>
        <w:trPr>
          <w:trHeight w:val="936" w:hRule="exact"/>
        </w:trPr>
        <w:tc>
          <w:tcPr>
            <w:tcW w:w="955" w:type="dxa"/>
            <w:vMerge/>
            <w:tcBorders>
              <w:left w:val="single" w:sz="4" w:space="0" w:color="000000"/>
              <w:right w:val="single" w:sz="4" w:space="0" w:color="000000"/>
            </w:tcBorders>
            <w:shd w:val="clear" w:color="auto" w:fill="DCDCDC"/>
          </w:tcPr>
          <w:p>
            <w:pPr/>
          </w:p>
        </w:tc>
        <w:tc>
          <w:tcPr>
            <w:tcW w:w="881" w:type="dxa"/>
            <w:vMerge/>
            <w:tcBorders>
              <w:left w:val="single" w:sz="4" w:space="0" w:color="000000"/>
              <w:right w:val="single" w:sz="4" w:space="0" w:color="000000"/>
            </w:tcBorders>
            <w:shd w:val="clear" w:color="auto" w:fill="DCDCDC"/>
          </w:tcPr>
          <w:p>
            <w:pPr/>
          </w:p>
        </w:tc>
        <w:tc>
          <w:tcPr>
            <w:tcW w:w="442" w:type="dxa"/>
            <w:vMerge/>
            <w:tcBorders>
              <w:left w:val="single" w:sz="4" w:space="0" w:color="000000"/>
              <w:right w:val="single" w:sz="4" w:space="0" w:color="000000"/>
            </w:tcBorders>
            <w:shd w:val="clear" w:color="auto" w:fill="DCDCDC"/>
          </w:tcPr>
          <w:p>
            <w:pPr/>
          </w:p>
        </w:tc>
        <w:tc>
          <w:tcPr>
            <w:tcW w:w="439" w:type="dxa"/>
            <w:vMerge/>
            <w:tcBorders>
              <w:left w:val="single" w:sz="4" w:space="0" w:color="000000"/>
              <w:right w:val="single" w:sz="4" w:space="0" w:color="000000"/>
            </w:tcBorders>
            <w:shd w:val="clear" w:color="auto" w:fill="DCDCDC"/>
          </w:tcPr>
          <w:p>
            <w:pPr/>
          </w:p>
        </w:tc>
        <w:tc>
          <w:tcPr>
            <w:tcW w:w="989" w:type="dxa"/>
            <w:vMerge/>
            <w:tcBorders>
              <w:left w:val="single" w:sz="4" w:space="0" w:color="000000"/>
              <w:right w:val="single" w:sz="4" w:space="0" w:color="000000"/>
            </w:tcBorders>
            <w:shd w:val="clear" w:color="auto" w:fill="DCDCDC"/>
          </w:tcPr>
          <w:p>
            <w:pPr/>
          </w:p>
        </w:tc>
        <w:tc>
          <w:tcPr>
            <w:tcW w:w="986" w:type="dxa"/>
            <w:vMerge/>
            <w:tcBorders>
              <w:left w:val="single" w:sz="4" w:space="0" w:color="000000"/>
              <w:right w:val="single" w:sz="4" w:space="0" w:color="000000"/>
            </w:tcBorders>
            <w:shd w:val="clear" w:color="auto" w:fill="DCDCDC"/>
          </w:tcPr>
          <w:p>
            <w:pPr/>
          </w:p>
        </w:tc>
        <w:tc>
          <w:tcPr>
            <w:tcW w:w="768" w:type="dxa"/>
            <w:vMerge w:val="restart"/>
            <w:tcBorders>
              <w:top w:val="nil" w:sz="6" w:space="0" w:color="auto"/>
              <w:left w:val="single" w:sz="4" w:space="0" w:color="000000"/>
              <w:right w:val="single" w:sz="4" w:space="0" w:color="000000"/>
            </w:tcBorders>
            <w:shd w:val="clear" w:color="auto" w:fill="DCDCDC"/>
          </w:tcPr>
          <w:p>
            <w:pPr/>
          </w:p>
        </w:tc>
        <w:tc>
          <w:tcPr>
            <w:tcW w:w="770" w:type="dxa"/>
            <w:vMerge w:val="restart"/>
            <w:tcBorders>
              <w:top w:val="nil" w:sz="6" w:space="0" w:color="auto"/>
              <w:left w:val="single" w:sz="4" w:space="0" w:color="000000"/>
              <w:right w:val="single" w:sz="4" w:space="0" w:color="000000"/>
            </w:tcBorders>
            <w:shd w:val="clear" w:color="auto" w:fill="DCDCDC"/>
          </w:tcPr>
          <w:p>
            <w:pPr/>
          </w:p>
        </w:tc>
        <w:tc>
          <w:tcPr>
            <w:tcW w:w="706" w:type="dxa"/>
            <w:vMerge/>
            <w:tcBorders>
              <w:left w:val="single" w:sz="4" w:space="0" w:color="000000"/>
              <w:right w:val="single" w:sz="4" w:space="0" w:color="000000"/>
            </w:tcBorders>
            <w:shd w:val="clear" w:color="auto" w:fill="DCDCDC"/>
          </w:tcPr>
          <w:p>
            <w:pPr/>
          </w:p>
        </w:tc>
        <w:tc>
          <w:tcPr>
            <w:tcW w:w="749" w:type="dxa"/>
            <w:vMerge/>
            <w:tcBorders>
              <w:left w:val="single" w:sz="4" w:space="0" w:color="000000"/>
              <w:right w:val="single" w:sz="4" w:space="0" w:color="000000"/>
            </w:tcBorders>
            <w:shd w:val="clear" w:color="auto" w:fill="DCDCDC"/>
          </w:tcPr>
          <w:p>
            <w:pPr/>
          </w:p>
        </w:tc>
        <w:tc>
          <w:tcPr>
            <w:tcW w:w="679" w:type="dxa"/>
            <w:vMerge/>
            <w:tcBorders>
              <w:left w:val="single" w:sz="4" w:space="0" w:color="000000"/>
              <w:bottom w:val="nil" w:sz="6" w:space="0" w:color="auto"/>
              <w:right w:val="single" w:sz="4" w:space="0" w:color="000000"/>
            </w:tcBorders>
            <w:shd w:val="clear" w:color="auto" w:fill="DCDCDC"/>
          </w:tcPr>
          <w:p>
            <w:pPr/>
          </w:p>
        </w:tc>
      </w:tr>
      <w:tr>
        <w:trPr>
          <w:trHeight w:val="317" w:hRule="exact"/>
        </w:trPr>
        <w:tc>
          <w:tcPr>
            <w:tcW w:w="955" w:type="dxa"/>
            <w:vMerge/>
            <w:tcBorders>
              <w:left w:val="single" w:sz="4" w:space="0" w:color="000000"/>
              <w:bottom w:val="single" w:sz="4" w:space="0" w:color="000000"/>
              <w:right w:val="single" w:sz="4" w:space="0" w:color="000000"/>
            </w:tcBorders>
            <w:shd w:val="clear" w:color="auto" w:fill="DCDCDC"/>
          </w:tcPr>
          <w:p>
            <w:pPr/>
          </w:p>
        </w:tc>
        <w:tc>
          <w:tcPr>
            <w:tcW w:w="881" w:type="dxa"/>
            <w:vMerge/>
            <w:tcBorders>
              <w:left w:val="single" w:sz="4" w:space="0" w:color="000000"/>
              <w:bottom w:val="single" w:sz="4" w:space="0" w:color="000000"/>
              <w:right w:val="single" w:sz="4" w:space="0" w:color="000000"/>
            </w:tcBorders>
            <w:shd w:val="clear" w:color="auto" w:fill="DCDCDC"/>
          </w:tcPr>
          <w:p>
            <w:pPr/>
          </w:p>
        </w:tc>
        <w:tc>
          <w:tcPr>
            <w:tcW w:w="442" w:type="dxa"/>
            <w:vMerge/>
            <w:tcBorders>
              <w:left w:val="single" w:sz="4" w:space="0" w:color="000000"/>
              <w:bottom w:val="single" w:sz="4" w:space="0" w:color="000000"/>
              <w:right w:val="single" w:sz="4" w:space="0" w:color="000000"/>
            </w:tcBorders>
            <w:shd w:val="clear" w:color="auto" w:fill="DCDCDC"/>
          </w:tcPr>
          <w:p>
            <w:pPr/>
          </w:p>
        </w:tc>
        <w:tc>
          <w:tcPr>
            <w:tcW w:w="439" w:type="dxa"/>
            <w:vMerge/>
            <w:tcBorders>
              <w:left w:val="single" w:sz="4" w:space="0" w:color="000000"/>
              <w:bottom w:val="single" w:sz="4" w:space="0" w:color="000000"/>
              <w:right w:val="single" w:sz="4" w:space="0" w:color="000000"/>
            </w:tcBorders>
            <w:shd w:val="clear" w:color="auto" w:fill="DCDCDC"/>
          </w:tcPr>
          <w:p>
            <w:pPr/>
          </w:p>
        </w:tc>
        <w:tc>
          <w:tcPr>
            <w:tcW w:w="989" w:type="dxa"/>
            <w:vMerge/>
            <w:tcBorders>
              <w:left w:val="single" w:sz="4" w:space="0" w:color="000000"/>
              <w:bottom w:val="single" w:sz="4" w:space="0" w:color="000000"/>
              <w:right w:val="single" w:sz="4" w:space="0" w:color="000000"/>
            </w:tcBorders>
            <w:shd w:val="clear" w:color="auto" w:fill="DCDCDC"/>
          </w:tcPr>
          <w:p>
            <w:pPr/>
          </w:p>
        </w:tc>
        <w:tc>
          <w:tcPr>
            <w:tcW w:w="986" w:type="dxa"/>
            <w:vMerge/>
            <w:tcBorders>
              <w:left w:val="single" w:sz="4" w:space="0" w:color="000000"/>
              <w:bottom w:val="single" w:sz="4" w:space="0" w:color="000000"/>
              <w:right w:val="single" w:sz="4" w:space="0" w:color="000000"/>
            </w:tcBorders>
            <w:shd w:val="clear" w:color="auto" w:fill="DCDCDC"/>
          </w:tcPr>
          <w:p>
            <w:pPr/>
          </w:p>
        </w:tc>
        <w:tc>
          <w:tcPr>
            <w:tcW w:w="768" w:type="dxa"/>
            <w:vMerge/>
            <w:tcBorders>
              <w:left w:val="single" w:sz="4" w:space="0" w:color="000000"/>
              <w:bottom w:val="single" w:sz="4" w:space="0" w:color="000000"/>
              <w:right w:val="single" w:sz="4" w:space="0" w:color="000000"/>
            </w:tcBorders>
            <w:shd w:val="clear" w:color="auto" w:fill="DCDCDC"/>
          </w:tcPr>
          <w:p>
            <w:pPr/>
          </w:p>
        </w:tc>
        <w:tc>
          <w:tcPr>
            <w:tcW w:w="770" w:type="dxa"/>
            <w:vMerge/>
            <w:tcBorders>
              <w:left w:val="single" w:sz="4" w:space="0" w:color="000000"/>
              <w:bottom w:val="single" w:sz="4" w:space="0" w:color="000000"/>
              <w:right w:val="single" w:sz="4" w:space="0" w:color="000000"/>
            </w:tcBorders>
            <w:shd w:val="clear" w:color="auto" w:fill="DCDCDC"/>
          </w:tcPr>
          <w:p>
            <w:pPr/>
          </w:p>
        </w:tc>
        <w:tc>
          <w:tcPr>
            <w:tcW w:w="706" w:type="dxa"/>
            <w:vMerge/>
            <w:tcBorders>
              <w:left w:val="single" w:sz="4" w:space="0" w:color="000000"/>
              <w:bottom w:val="single" w:sz="4" w:space="0" w:color="000000"/>
              <w:right w:val="single" w:sz="4" w:space="0" w:color="000000"/>
            </w:tcBorders>
            <w:shd w:val="clear" w:color="auto" w:fill="DCDCDC"/>
          </w:tcPr>
          <w:p>
            <w:pPr/>
          </w:p>
        </w:tc>
        <w:tc>
          <w:tcPr>
            <w:tcW w:w="749" w:type="dxa"/>
            <w:vMerge/>
            <w:tcBorders>
              <w:left w:val="single" w:sz="4" w:space="0" w:color="000000"/>
              <w:bottom w:val="single" w:sz="4" w:space="0" w:color="000000"/>
              <w:right w:val="single" w:sz="4" w:space="0" w:color="000000"/>
            </w:tcBorders>
            <w:shd w:val="clear" w:color="auto" w:fill="DCDCDC"/>
          </w:tcPr>
          <w:p>
            <w:pPr/>
          </w:p>
        </w:tc>
        <w:tc>
          <w:tcPr>
            <w:tcW w:w="67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161" w:hRule="exact"/>
        </w:trPr>
        <w:tc>
          <w:tcPr>
            <w:tcW w:w="955" w:type="dxa"/>
            <w:tcBorders>
              <w:top w:val="single" w:sz="4" w:space="0" w:color="000000"/>
              <w:left w:val="single" w:sz="4" w:space="0" w:color="000000"/>
              <w:bottom w:val="nil" w:sz="6" w:space="0" w:color="auto"/>
              <w:right w:val="single" w:sz="4" w:space="0" w:color="000000"/>
            </w:tcBorders>
            <w:shd w:val="clear" w:color="auto" w:fill="DCDCDC"/>
          </w:tcPr>
          <w:p>
            <w:pPr/>
          </w:p>
        </w:tc>
        <w:tc>
          <w:tcPr>
            <w:tcW w:w="881" w:type="dxa"/>
            <w:vMerge w:val="restart"/>
            <w:tcBorders>
              <w:top w:val="single" w:sz="4" w:space="0" w:color="000000"/>
              <w:left w:val="single" w:sz="10" w:space="0" w:color="DCDCDC"/>
              <w:right w:val="single" w:sz="4" w:space="0" w:color="000000"/>
            </w:tcBorders>
          </w:tcPr>
          <w:p>
            <w:pPr>
              <w:pStyle w:val="TableParagraph"/>
              <w:spacing w:line="240" w:lineRule="auto" w:before="143"/>
              <w:ind w:left="11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442" w:type="dxa"/>
            <w:vMerge w:val="restart"/>
            <w:tcBorders>
              <w:top w:val="single" w:sz="4" w:space="0" w:color="000000"/>
              <w:left w:val="single" w:sz="4" w:space="0" w:color="000000"/>
              <w:right w:val="single" w:sz="4" w:space="0" w:color="000000"/>
            </w:tcBorders>
          </w:tcPr>
          <w:p>
            <w:pPr>
              <w:pStyle w:val="TableParagraph"/>
              <w:spacing w:line="240" w:lineRule="auto" w:before="143"/>
              <w:ind w:left="11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3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7" w:right="0"/>
              <w:jc w:val="left"/>
              <w:rPr>
                <w:rFonts w:ascii="Times New Roman" w:hAnsi="Times New Roman" w:cs="Times New Roman" w:eastAsia="Times New Roman" w:hint="default"/>
                <w:sz w:val="21"/>
                <w:szCs w:val="21"/>
              </w:rPr>
            </w:pPr>
            <w:r>
              <w:rPr>
                <w:rFonts w:ascii="Times New Roman"/>
                <w:sz w:val="21"/>
              </w:rPr>
              <w:t>48</w:t>
            </w:r>
          </w:p>
        </w:tc>
        <w:tc>
          <w:tcPr>
            <w:tcW w:w="989" w:type="dxa"/>
            <w:vMerge w:val="restart"/>
            <w:tcBorders>
              <w:top w:val="single" w:sz="4" w:space="0" w:color="000000"/>
              <w:left w:val="single" w:sz="4" w:space="0" w:color="000000"/>
              <w:right w:val="single" w:sz="4" w:space="0" w:color="000000"/>
            </w:tcBorders>
          </w:tcPr>
          <w:p>
            <w:pPr>
              <w:pStyle w:val="TableParagraph"/>
              <w:spacing w:line="278" w:lineRule="exact"/>
              <w:ind w:left="6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6" w:type="dxa"/>
            <w:vMerge w:val="restart"/>
            <w:tcBorders>
              <w:top w:val="single" w:sz="4" w:space="0" w:color="000000"/>
              <w:left w:val="single" w:sz="4" w:space="0" w:color="000000"/>
              <w:right w:val="single" w:sz="4" w:space="0" w:color="000000"/>
            </w:tcBorders>
          </w:tcPr>
          <w:p>
            <w:pPr>
              <w:pStyle w:val="TableParagraph"/>
              <w:spacing w:line="278" w:lineRule="exact"/>
              <w:ind w:left="6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2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706" w:type="dxa"/>
            <w:vMerge w:val="restart"/>
            <w:tcBorders>
              <w:top w:val="single" w:sz="4" w:space="0" w:color="000000"/>
              <w:left w:val="single" w:sz="4" w:space="0" w:color="000000"/>
              <w:right w:val="single" w:sz="4" w:space="0" w:color="000000"/>
            </w:tcBorders>
          </w:tcPr>
          <w:p>
            <w:pPr/>
          </w:p>
        </w:tc>
        <w:tc>
          <w:tcPr>
            <w:tcW w:w="74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72</w:t>
            </w: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95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范建震</w:t>
            </w:r>
          </w:p>
        </w:tc>
        <w:tc>
          <w:tcPr>
            <w:tcW w:w="881" w:type="dxa"/>
            <w:vMerge/>
            <w:tcBorders>
              <w:left w:val="single" w:sz="10" w:space="0" w:color="DCDCDC"/>
              <w:right w:val="single" w:sz="4" w:space="0" w:color="000000"/>
            </w:tcBorders>
          </w:tcPr>
          <w:p>
            <w:pPr/>
          </w:p>
        </w:tc>
        <w:tc>
          <w:tcPr>
            <w:tcW w:w="442" w:type="dxa"/>
            <w:vMerge/>
            <w:tcBorders>
              <w:left w:val="single" w:sz="4" w:space="0" w:color="000000"/>
              <w:right w:val="single" w:sz="4" w:space="0" w:color="000000"/>
            </w:tcBorders>
          </w:tcPr>
          <w:p>
            <w:pPr/>
          </w:p>
        </w:tc>
        <w:tc>
          <w:tcPr>
            <w:tcW w:w="439"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768" w:type="dxa"/>
            <w:vMerge/>
            <w:tcBorders>
              <w:left w:val="single" w:sz="4" w:space="0" w:color="000000"/>
              <w:right w:val="single" w:sz="4" w:space="0" w:color="000000"/>
            </w:tcBorders>
          </w:tcPr>
          <w:p>
            <w:pPr/>
          </w:p>
        </w:tc>
        <w:tc>
          <w:tcPr>
            <w:tcW w:w="770"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749"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r>
      <w:tr>
        <w:trPr>
          <w:trHeight w:val="161" w:hRule="exact"/>
        </w:trPr>
        <w:tc>
          <w:tcPr>
            <w:tcW w:w="955" w:type="dxa"/>
            <w:tcBorders>
              <w:top w:val="nil" w:sz="6" w:space="0" w:color="auto"/>
              <w:left w:val="single" w:sz="4" w:space="0" w:color="000000"/>
              <w:bottom w:val="single" w:sz="4" w:space="0" w:color="000000"/>
              <w:right w:val="single" w:sz="4" w:space="0" w:color="000000"/>
            </w:tcBorders>
            <w:shd w:val="clear" w:color="auto" w:fill="DCDCDC"/>
          </w:tcPr>
          <w:p>
            <w:pPr/>
          </w:p>
        </w:tc>
        <w:tc>
          <w:tcPr>
            <w:tcW w:w="881" w:type="dxa"/>
            <w:vMerge/>
            <w:tcBorders>
              <w:left w:val="single" w:sz="10" w:space="0" w:color="DCDCDC"/>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439"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986"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749"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r>
      <w:tr>
        <w:trPr>
          <w:trHeight w:val="163" w:hRule="exact"/>
        </w:trPr>
        <w:tc>
          <w:tcPr>
            <w:tcW w:w="955" w:type="dxa"/>
            <w:tcBorders>
              <w:top w:val="single" w:sz="4" w:space="0" w:color="000000"/>
              <w:left w:val="single" w:sz="4" w:space="0" w:color="000000"/>
              <w:bottom w:val="nil" w:sz="6" w:space="0" w:color="auto"/>
              <w:right w:val="single" w:sz="4" w:space="0" w:color="000000"/>
            </w:tcBorders>
            <w:shd w:val="clear" w:color="auto" w:fill="DCDCDC"/>
          </w:tcPr>
          <w:p>
            <w:pPr/>
          </w:p>
        </w:tc>
        <w:tc>
          <w:tcPr>
            <w:tcW w:w="881" w:type="dxa"/>
            <w:vMerge w:val="restart"/>
            <w:tcBorders>
              <w:top w:val="single" w:sz="4" w:space="0" w:color="000000"/>
              <w:left w:val="single" w:sz="10" w:space="0" w:color="DCDCDC"/>
              <w:right w:val="single" w:sz="4" w:space="0" w:color="000000"/>
            </w:tcBorders>
          </w:tcPr>
          <w:p>
            <w:pPr>
              <w:pStyle w:val="TableParagraph"/>
              <w:spacing w:line="273" w:lineRule="auto"/>
              <w:ind w:left="216" w:right="119" w:hanging="106"/>
              <w:jc w:val="left"/>
              <w:rPr>
                <w:rFonts w:ascii="宋体" w:hAnsi="宋体" w:cs="宋体" w:eastAsia="宋体" w:hint="default"/>
                <w:sz w:val="21"/>
                <w:szCs w:val="21"/>
              </w:rPr>
            </w:pPr>
            <w:r>
              <w:rPr>
                <w:rFonts w:ascii="宋体" w:hAnsi="宋体" w:cs="宋体" w:eastAsia="宋体" w:hint="default"/>
                <w:sz w:val="21"/>
                <w:szCs w:val="21"/>
              </w:rPr>
              <w:t>董事总</w:t>
            </w:r>
            <w:r>
              <w:rPr>
                <w:rFonts w:ascii="宋体" w:hAnsi="宋体" w:cs="宋体" w:eastAsia="宋体" w:hint="default"/>
                <w:spacing w:val="-102"/>
                <w:sz w:val="21"/>
                <w:szCs w:val="21"/>
              </w:rPr>
              <w:t> </w:t>
            </w:r>
            <w:r>
              <w:rPr>
                <w:rFonts w:ascii="宋体" w:hAnsi="宋体" w:cs="宋体" w:eastAsia="宋体" w:hint="default"/>
                <w:sz w:val="21"/>
                <w:szCs w:val="21"/>
              </w:rPr>
              <w:t>经理</w:t>
            </w:r>
          </w:p>
        </w:tc>
        <w:tc>
          <w:tcPr>
            <w:tcW w:w="442" w:type="dxa"/>
            <w:vMerge w:val="restart"/>
            <w:tcBorders>
              <w:top w:val="single" w:sz="4" w:space="0" w:color="000000"/>
              <w:left w:val="single" w:sz="4" w:space="0" w:color="000000"/>
              <w:right w:val="single" w:sz="4" w:space="0" w:color="000000"/>
            </w:tcBorders>
          </w:tcPr>
          <w:p>
            <w:pPr>
              <w:pStyle w:val="TableParagraph"/>
              <w:spacing w:line="240" w:lineRule="auto" w:before="146"/>
              <w:ind w:left="11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3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7" w:right="0"/>
              <w:jc w:val="left"/>
              <w:rPr>
                <w:rFonts w:ascii="Times New Roman" w:hAnsi="Times New Roman" w:cs="Times New Roman" w:eastAsia="Times New Roman" w:hint="default"/>
                <w:sz w:val="21"/>
                <w:szCs w:val="21"/>
              </w:rPr>
            </w:pPr>
            <w:r>
              <w:rPr>
                <w:rFonts w:ascii="Times New Roman"/>
                <w:sz w:val="21"/>
              </w:rPr>
              <w:t>49</w:t>
            </w:r>
          </w:p>
        </w:tc>
        <w:tc>
          <w:tcPr>
            <w:tcW w:w="989" w:type="dxa"/>
            <w:vMerge w:val="restart"/>
            <w:tcBorders>
              <w:top w:val="single" w:sz="4" w:space="0" w:color="000000"/>
              <w:left w:val="single" w:sz="4" w:space="0" w:color="000000"/>
              <w:right w:val="single" w:sz="4" w:space="0" w:color="000000"/>
            </w:tcBorders>
          </w:tcPr>
          <w:p>
            <w:pPr>
              <w:pStyle w:val="TableParagraph"/>
              <w:spacing w:line="281" w:lineRule="exact"/>
              <w:ind w:left="6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6" w:type="dxa"/>
            <w:vMerge w:val="restart"/>
            <w:tcBorders>
              <w:top w:val="single" w:sz="4" w:space="0" w:color="000000"/>
              <w:left w:val="single" w:sz="4" w:space="0" w:color="000000"/>
              <w:right w:val="single" w:sz="4" w:space="0" w:color="000000"/>
            </w:tcBorders>
          </w:tcPr>
          <w:p>
            <w:pPr>
              <w:pStyle w:val="TableParagraph"/>
              <w:spacing w:line="281" w:lineRule="exact"/>
              <w:ind w:left="6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2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706" w:type="dxa"/>
            <w:vMerge w:val="restart"/>
            <w:tcBorders>
              <w:top w:val="single" w:sz="4" w:space="0" w:color="000000"/>
              <w:left w:val="single" w:sz="4" w:space="0" w:color="000000"/>
              <w:right w:val="single" w:sz="4" w:space="0" w:color="000000"/>
            </w:tcBorders>
          </w:tcPr>
          <w:p>
            <w:pPr/>
          </w:p>
        </w:tc>
        <w:tc>
          <w:tcPr>
            <w:tcW w:w="74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72</w:t>
            </w: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95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陈迪清</w:t>
            </w:r>
          </w:p>
        </w:tc>
        <w:tc>
          <w:tcPr>
            <w:tcW w:w="881" w:type="dxa"/>
            <w:vMerge/>
            <w:tcBorders>
              <w:left w:val="single" w:sz="10" w:space="0" w:color="DCDCDC"/>
              <w:right w:val="single" w:sz="4" w:space="0" w:color="000000"/>
            </w:tcBorders>
          </w:tcPr>
          <w:p>
            <w:pPr/>
          </w:p>
        </w:tc>
        <w:tc>
          <w:tcPr>
            <w:tcW w:w="442" w:type="dxa"/>
            <w:vMerge/>
            <w:tcBorders>
              <w:left w:val="single" w:sz="4" w:space="0" w:color="000000"/>
              <w:right w:val="single" w:sz="4" w:space="0" w:color="000000"/>
            </w:tcBorders>
          </w:tcPr>
          <w:p>
            <w:pPr/>
          </w:p>
        </w:tc>
        <w:tc>
          <w:tcPr>
            <w:tcW w:w="439"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768" w:type="dxa"/>
            <w:vMerge/>
            <w:tcBorders>
              <w:left w:val="single" w:sz="4" w:space="0" w:color="000000"/>
              <w:right w:val="single" w:sz="4" w:space="0" w:color="000000"/>
            </w:tcBorders>
          </w:tcPr>
          <w:p>
            <w:pPr/>
          </w:p>
        </w:tc>
        <w:tc>
          <w:tcPr>
            <w:tcW w:w="770"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749"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r>
      <w:tr>
        <w:trPr>
          <w:trHeight w:val="161" w:hRule="exact"/>
        </w:trPr>
        <w:tc>
          <w:tcPr>
            <w:tcW w:w="955" w:type="dxa"/>
            <w:tcBorders>
              <w:top w:val="nil" w:sz="6" w:space="0" w:color="auto"/>
              <w:left w:val="single" w:sz="4" w:space="0" w:color="000000"/>
              <w:bottom w:val="single" w:sz="4" w:space="0" w:color="000000"/>
              <w:right w:val="single" w:sz="4" w:space="0" w:color="000000"/>
            </w:tcBorders>
            <w:shd w:val="clear" w:color="auto" w:fill="DCDCDC"/>
          </w:tcPr>
          <w:p>
            <w:pPr/>
          </w:p>
        </w:tc>
        <w:tc>
          <w:tcPr>
            <w:tcW w:w="881" w:type="dxa"/>
            <w:vMerge/>
            <w:tcBorders>
              <w:left w:val="single" w:sz="10" w:space="0" w:color="DCDCDC"/>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439"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986"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749"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r>
      <w:tr>
        <w:trPr>
          <w:trHeight w:val="161" w:hRule="exact"/>
        </w:trPr>
        <w:tc>
          <w:tcPr>
            <w:tcW w:w="955" w:type="dxa"/>
            <w:tcBorders>
              <w:top w:val="single" w:sz="4" w:space="0" w:color="000000"/>
              <w:left w:val="single" w:sz="4" w:space="0" w:color="000000"/>
              <w:bottom w:val="nil" w:sz="6" w:space="0" w:color="auto"/>
              <w:right w:val="single" w:sz="4" w:space="0" w:color="000000"/>
            </w:tcBorders>
            <w:shd w:val="clear" w:color="auto" w:fill="DCDCDC"/>
          </w:tcPr>
          <w:p>
            <w:pPr/>
          </w:p>
        </w:tc>
        <w:tc>
          <w:tcPr>
            <w:tcW w:w="881" w:type="dxa"/>
            <w:vMerge w:val="restart"/>
            <w:tcBorders>
              <w:top w:val="single" w:sz="4" w:space="0" w:color="000000"/>
              <w:left w:val="single" w:sz="10" w:space="0" w:color="DCDCDC"/>
              <w:right w:val="single" w:sz="4" w:space="0" w:color="000000"/>
            </w:tcBorders>
          </w:tcPr>
          <w:p>
            <w:pPr>
              <w:pStyle w:val="TableParagraph"/>
              <w:spacing w:line="273" w:lineRule="auto"/>
              <w:ind w:left="216" w:right="19" w:hanging="202"/>
              <w:jc w:val="left"/>
              <w:rPr>
                <w:rFonts w:ascii="宋体" w:hAnsi="宋体" w:cs="宋体" w:eastAsia="宋体" w:hint="default"/>
                <w:sz w:val="21"/>
                <w:szCs w:val="21"/>
              </w:rPr>
            </w:pPr>
            <w:r>
              <w:rPr>
                <w:rFonts w:ascii="宋体" w:hAnsi="宋体" w:cs="宋体" w:eastAsia="宋体" w:hint="default"/>
                <w:spacing w:val="-5"/>
                <w:sz w:val="21"/>
                <w:szCs w:val="21"/>
              </w:rPr>
              <w:t>董事（历</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任）</w:t>
            </w:r>
          </w:p>
        </w:tc>
        <w:tc>
          <w:tcPr>
            <w:tcW w:w="442" w:type="dxa"/>
            <w:vMerge w:val="restart"/>
            <w:tcBorders>
              <w:top w:val="single" w:sz="4" w:space="0" w:color="000000"/>
              <w:left w:val="single" w:sz="4" w:space="0" w:color="000000"/>
              <w:right w:val="single" w:sz="4" w:space="0" w:color="000000"/>
            </w:tcBorders>
          </w:tcPr>
          <w:p>
            <w:pPr>
              <w:pStyle w:val="TableParagraph"/>
              <w:spacing w:line="240" w:lineRule="auto" w:before="143"/>
              <w:ind w:left="11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3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7" w:right="0"/>
              <w:jc w:val="left"/>
              <w:rPr>
                <w:rFonts w:ascii="Times New Roman" w:hAnsi="Times New Roman" w:cs="Times New Roman" w:eastAsia="Times New Roman" w:hint="default"/>
                <w:sz w:val="21"/>
                <w:szCs w:val="21"/>
              </w:rPr>
            </w:pPr>
            <w:r>
              <w:rPr>
                <w:rFonts w:ascii="Times New Roman"/>
                <w:sz w:val="21"/>
              </w:rPr>
              <w:t>56</w:t>
            </w:r>
          </w:p>
        </w:tc>
        <w:tc>
          <w:tcPr>
            <w:tcW w:w="989" w:type="dxa"/>
            <w:vMerge w:val="restart"/>
            <w:tcBorders>
              <w:top w:val="single" w:sz="4" w:space="0" w:color="000000"/>
              <w:left w:val="single" w:sz="4" w:space="0" w:color="000000"/>
              <w:right w:val="single" w:sz="4" w:space="0" w:color="000000"/>
            </w:tcBorders>
          </w:tcPr>
          <w:p>
            <w:pPr>
              <w:pStyle w:val="TableParagraph"/>
              <w:spacing w:line="278" w:lineRule="exact"/>
              <w:ind w:left="6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6" w:type="dxa"/>
            <w:vMerge w:val="restart"/>
            <w:tcBorders>
              <w:top w:val="single" w:sz="4" w:space="0" w:color="000000"/>
              <w:left w:val="single" w:sz="4" w:space="0" w:color="000000"/>
              <w:right w:val="single" w:sz="4" w:space="0" w:color="000000"/>
            </w:tcBorders>
          </w:tcPr>
          <w:p>
            <w:pPr>
              <w:pStyle w:val="TableParagraph"/>
              <w:spacing w:line="278" w:lineRule="exact"/>
              <w:ind w:left="6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12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706" w:type="dxa"/>
            <w:vMerge w:val="restart"/>
            <w:tcBorders>
              <w:top w:val="single" w:sz="4" w:space="0" w:color="000000"/>
              <w:left w:val="single" w:sz="4" w:space="0" w:color="000000"/>
              <w:right w:val="single" w:sz="4" w:space="0" w:color="000000"/>
            </w:tcBorders>
          </w:tcPr>
          <w:p>
            <w:pPr/>
          </w:p>
        </w:tc>
        <w:tc>
          <w:tcPr>
            <w:tcW w:w="74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95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陈敏川</w:t>
            </w:r>
          </w:p>
        </w:tc>
        <w:tc>
          <w:tcPr>
            <w:tcW w:w="881" w:type="dxa"/>
            <w:vMerge/>
            <w:tcBorders>
              <w:left w:val="single" w:sz="10" w:space="0" w:color="DCDCDC"/>
              <w:right w:val="single" w:sz="4" w:space="0" w:color="000000"/>
            </w:tcBorders>
          </w:tcPr>
          <w:p>
            <w:pPr/>
          </w:p>
        </w:tc>
        <w:tc>
          <w:tcPr>
            <w:tcW w:w="442" w:type="dxa"/>
            <w:vMerge/>
            <w:tcBorders>
              <w:left w:val="single" w:sz="4" w:space="0" w:color="000000"/>
              <w:right w:val="single" w:sz="4" w:space="0" w:color="000000"/>
            </w:tcBorders>
          </w:tcPr>
          <w:p>
            <w:pPr/>
          </w:p>
        </w:tc>
        <w:tc>
          <w:tcPr>
            <w:tcW w:w="439"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768" w:type="dxa"/>
            <w:vMerge/>
            <w:tcBorders>
              <w:left w:val="single" w:sz="4" w:space="0" w:color="000000"/>
              <w:right w:val="single" w:sz="4" w:space="0" w:color="000000"/>
            </w:tcBorders>
          </w:tcPr>
          <w:p>
            <w:pPr/>
          </w:p>
        </w:tc>
        <w:tc>
          <w:tcPr>
            <w:tcW w:w="770"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749"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r>
      <w:tr>
        <w:trPr>
          <w:trHeight w:val="161" w:hRule="exact"/>
        </w:trPr>
        <w:tc>
          <w:tcPr>
            <w:tcW w:w="955" w:type="dxa"/>
            <w:tcBorders>
              <w:top w:val="nil" w:sz="6" w:space="0" w:color="auto"/>
              <w:left w:val="single" w:sz="4" w:space="0" w:color="000000"/>
              <w:bottom w:val="single" w:sz="4" w:space="0" w:color="000000"/>
              <w:right w:val="single" w:sz="4" w:space="0" w:color="000000"/>
            </w:tcBorders>
            <w:shd w:val="clear" w:color="auto" w:fill="DCDCDC"/>
          </w:tcPr>
          <w:p>
            <w:pPr/>
          </w:p>
        </w:tc>
        <w:tc>
          <w:tcPr>
            <w:tcW w:w="881" w:type="dxa"/>
            <w:vMerge/>
            <w:tcBorders>
              <w:left w:val="single" w:sz="10" w:space="0" w:color="DCDCDC"/>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439"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986"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749"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r>
      <w:tr>
        <w:trPr>
          <w:trHeight w:val="161" w:hRule="exact"/>
        </w:trPr>
        <w:tc>
          <w:tcPr>
            <w:tcW w:w="955" w:type="dxa"/>
            <w:tcBorders>
              <w:top w:val="single" w:sz="4" w:space="0" w:color="000000"/>
              <w:left w:val="single" w:sz="4" w:space="0" w:color="000000"/>
              <w:bottom w:val="nil" w:sz="6" w:space="0" w:color="auto"/>
              <w:right w:val="single" w:sz="4" w:space="0" w:color="000000"/>
            </w:tcBorders>
            <w:shd w:val="clear" w:color="auto" w:fill="DCDCDC"/>
          </w:tcPr>
          <w:p>
            <w:pPr/>
          </w:p>
        </w:tc>
        <w:tc>
          <w:tcPr>
            <w:tcW w:w="881" w:type="dxa"/>
            <w:vMerge w:val="restart"/>
            <w:tcBorders>
              <w:top w:val="single" w:sz="4" w:space="0" w:color="000000"/>
              <w:left w:val="single" w:sz="10" w:space="0" w:color="DCDCDC"/>
              <w:right w:val="single" w:sz="4" w:space="0" w:color="000000"/>
            </w:tcBorders>
          </w:tcPr>
          <w:p>
            <w:pPr>
              <w:pStyle w:val="TableParagraph"/>
              <w:spacing w:line="273" w:lineRule="auto"/>
              <w:ind w:left="216" w:right="19" w:hanging="202"/>
              <w:jc w:val="left"/>
              <w:rPr>
                <w:rFonts w:ascii="宋体" w:hAnsi="宋体" w:cs="宋体" w:eastAsia="宋体" w:hint="default"/>
                <w:sz w:val="21"/>
                <w:szCs w:val="21"/>
              </w:rPr>
            </w:pPr>
            <w:r>
              <w:rPr>
                <w:rFonts w:ascii="宋体" w:hAnsi="宋体" w:cs="宋体" w:eastAsia="宋体" w:hint="default"/>
                <w:spacing w:val="-5"/>
                <w:sz w:val="21"/>
                <w:szCs w:val="21"/>
              </w:rPr>
              <w:t>董事（历</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任）</w:t>
            </w:r>
          </w:p>
        </w:tc>
        <w:tc>
          <w:tcPr>
            <w:tcW w:w="442" w:type="dxa"/>
            <w:vMerge w:val="restart"/>
            <w:tcBorders>
              <w:top w:val="single" w:sz="4" w:space="0" w:color="000000"/>
              <w:left w:val="single" w:sz="4" w:space="0" w:color="000000"/>
              <w:right w:val="single" w:sz="4" w:space="0" w:color="000000"/>
            </w:tcBorders>
          </w:tcPr>
          <w:p>
            <w:pPr>
              <w:pStyle w:val="TableParagraph"/>
              <w:spacing w:line="240" w:lineRule="auto" w:before="143"/>
              <w:ind w:left="11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3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7" w:right="0"/>
              <w:jc w:val="left"/>
              <w:rPr>
                <w:rFonts w:ascii="Times New Roman" w:hAnsi="Times New Roman" w:cs="Times New Roman" w:eastAsia="Times New Roman" w:hint="default"/>
                <w:sz w:val="21"/>
                <w:szCs w:val="21"/>
              </w:rPr>
            </w:pPr>
            <w:r>
              <w:rPr>
                <w:rFonts w:ascii="Times New Roman"/>
                <w:sz w:val="21"/>
              </w:rPr>
              <w:t>47</w:t>
            </w:r>
          </w:p>
        </w:tc>
        <w:tc>
          <w:tcPr>
            <w:tcW w:w="989" w:type="dxa"/>
            <w:vMerge w:val="restart"/>
            <w:tcBorders>
              <w:top w:val="single" w:sz="4" w:space="0" w:color="000000"/>
              <w:left w:val="single" w:sz="4" w:space="0" w:color="000000"/>
              <w:right w:val="single" w:sz="4" w:space="0" w:color="000000"/>
            </w:tcBorders>
          </w:tcPr>
          <w:p>
            <w:pPr>
              <w:pStyle w:val="TableParagraph"/>
              <w:spacing w:line="278" w:lineRule="exact"/>
              <w:ind w:left="6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6" w:type="dxa"/>
            <w:vMerge w:val="restart"/>
            <w:tcBorders>
              <w:top w:val="single" w:sz="4" w:space="0" w:color="000000"/>
              <w:left w:val="single" w:sz="4" w:space="0" w:color="000000"/>
              <w:right w:val="single" w:sz="4" w:space="0" w:color="000000"/>
            </w:tcBorders>
          </w:tcPr>
          <w:p>
            <w:pPr>
              <w:pStyle w:val="TableParagraph"/>
              <w:spacing w:line="278" w:lineRule="exact"/>
              <w:ind w:left="6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12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706" w:type="dxa"/>
            <w:vMerge w:val="restart"/>
            <w:tcBorders>
              <w:top w:val="single" w:sz="4" w:space="0" w:color="000000"/>
              <w:left w:val="single" w:sz="4" w:space="0" w:color="000000"/>
              <w:right w:val="single" w:sz="4" w:space="0" w:color="000000"/>
            </w:tcBorders>
          </w:tcPr>
          <w:p>
            <w:pPr/>
          </w:p>
        </w:tc>
        <w:tc>
          <w:tcPr>
            <w:tcW w:w="74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95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柯世锋</w:t>
            </w:r>
          </w:p>
        </w:tc>
        <w:tc>
          <w:tcPr>
            <w:tcW w:w="881" w:type="dxa"/>
            <w:vMerge/>
            <w:tcBorders>
              <w:left w:val="single" w:sz="10" w:space="0" w:color="DCDCDC"/>
              <w:right w:val="single" w:sz="4" w:space="0" w:color="000000"/>
            </w:tcBorders>
          </w:tcPr>
          <w:p>
            <w:pPr/>
          </w:p>
        </w:tc>
        <w:tc>
          <w:tcPr>
            <w:tcW w:w="442" w:type="dxa"/>
            <w:vMerge/>
            <w:tcBorders>
              <w:left w:val="single" w:sz="4" w:space="0" w:color="000000"/>
              <w:right w:val="single" w:sz="4" w:space="0" w:color="000000"/>
            </w:tcBorders>
          </w:tcPr>
          <w:p>
            <w:pPr/>
          </w:p>
        </w:tc>
        <w:tc>
          <w:tcPr>
            <w:tcW w:w="439"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768" w:type="dxa"/>
            <w:vMerge/>
            <w:tcBorders>
              <w:left w:val="single" w:sz="4" w:space="0" w:color="000000"/>
              <w:right w:val="single" w:sz="4" w:space="0" w:color="000000"/>
            </w:tcBorders>
          </w:tcPr>
          <w:p>
            <w:pPr/>
          </w:p>
        </w:tc>
        <w:tc>
          <w:tcPr>
            <w:tcW w:w="770"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749"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r>
      <w:tr>
        <w:trPr>
          <w:trHeight w:val="161" w:hRule="exact"/>
        </w:trPr>
        <w:tc>
          <w:tcPr>
            <w:tcW w:w="955" w:type="dxa"/>
            <w:tcBorders>
              <w:top w:val="nil" w:sz="6" w:space="0" w:color="auto"/>
              <w:left w:val="single" w:sz="4" w:space="0" w:color="000000"/>
              <w:bottom w:val="single" w:sz="4" w:space="0" w:color="000000"/>
              <w:right w:val="single" w:sz="4" w:space="0" w:color="000000"/>
            </w:tcBorders>
            <w:shd w:val="clear" w:color="auto" w:fill="DCDCDC"/>
          </w:tcPr>
          <w:p>
            <w:pPr/>
          </w:p>
        </w:tc>
        <w:tc>
          <w:tcPr>
            <w:tcW w:w="881" w:type="dxa"/>
            <w:vMerge/>
            <w:tcBorders>
              <w:left w:val="single" w:sz="10" w:space="0" w:color="DCDCDC"/>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439"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986"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749"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r>
      <w:tr>
        <w:trPr>
          <w:trHeight w:val="161" w:hRule="exact"/>
        </w:trPr>
        <w:tc>
          <w:tcPr>
            <w:tcW w:w="955" w:type="dxa"/>
            <w:tcBorders>
              <w:top w:val="single" w:sz="4" w:space="0" w:color="000000"/>
              <w:left w:val="single" w:sz="4" w:space="0" w:color="000000"/>
              <w:bottom w:val="nil" w:sz="6" w:space="0" w:color="auto"/>
              <w:right w:val="single" w:sz="4" w:space="0" w:color="000000"/>
            </w:tcBorders>
            <w:shd w:val="clear" w:color="auto" w:fill="DCDCDC"/>
          </w:tcPr>
          <w:p>
            <w:pPr/>
          </w:p>
        </w:tc>
        <w:tc>
          <w:tcPr>
            <w:tcW w:w="881" w:type="dxa"/>
            <w:vMerge w:val="restart"/>
            <w:tcBorders>
              <w:top w:val="single" w:sz="4" w:space="0" w:color="000000"/>
              <w:left w:val="single" w:sz="10" w:space="0" w:color="DCDCDC"/>
              <w:right w:val="single" w:sz="4" w:space="0" w:color="000000"/>
            </w:tcBorders>
          </w:tcPr>
          <w:p>
            <w:pPr>
              <w:pStyle w:val="TableParagraph"/>
              <w:spacing w:line="273" w:lineRule="auto"/>
              <w:ind w:left="321" w:right="119" w:hanging="212"/>
              <w:jc w:val="left"/>
              <w:rPr>
                <w:rFonts w:ascii="宋体" w:hAnsi="宋体" w:cs="宋体" w:eastAsia="宋体" w:hint="default"/>
                <w:sz w:val="21"/>
                <w:szCs w:val="21"/>
              </w:rPr>
            </w:pPr>
            <w:r>
              <w:rPr>
                <w:rFonts w:ascii="宋体" w:hAnsi="宋体" w:cs="宋体" w:eastAsia="宋体" w:hint="default"/>
                <w:sz w:val="21"/>
                <w:szCs w:val="21"/>
              </w:rPr>
              <w:t>独立董</w:t>
            </w:r>
            <w:r>
              <w:rPr>
                <w:rFonts w:ascii="宋体" w:hAnsi="宋体" w:cs="宋体" w:eastAsia="宋体" w:hint="default"/>
                <w:spacing w:val="-102"/>
                <w:sz w:val="21"/>
                <w:szCs w:val="21"/>
              </w:rPr>
              <w:t> </w:t>
            </w:r>
            <w:r>
              <w:rPr>
                <w:rFonts w:ascii="宋体" w:hAnsi="宋体" w:cs="宋体" w:eastAsia="宋体" w:hint="default"/>
                <w:sz w:val="21"/>
                <w:szCs w:val="21"/>
              </w:rPr>
              <w:t>事</w:t>
            </w:r>
          </w:p>
        </w:tc>
        <w:tc>
          <w:tcPr>
            <w:tcW w:w="442" w:type="dxa"/>
            <w:vMerge w:val="restart"/>
            <w:tcBorders>
              <w:top w:val="single" w:sz="4" w:space="0" w:color="000000"/>
              <w:left w:val="single" w:sz="4" w:space="0" w:color="000000"/>
              <w:right w:val="single" w:sz="4" w:space="0" w:color="000000"/>
            </w:tcBorders>
          </w:tcPr>
          <w:p>
            <w:pPr>
              <w:pStyle w:val="TableParagraph"/>
              <w:spacing w:line="240" w:lineRule="auto" w:before="143"/>
              <w:ind w:left="11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3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7" w:right="0"/>
              <w:jc w:val="left"/>
              <w:rPr>
                <w:rFonts w:ascii="Times New Roman" w:hAnsi="Times New Roman" w:cs="Times New Roman" w:eastAsia="Times New Roman" w:hint="default"/>
                <w:sz w:val="21"/>
                <w:szCs w:val="21"/>
              </w:rPr>
            </w:pPr>
            <w:r>
              <w:rPr>
                <w:rFonts w:ascii="Times New Roman"/>
                <w:sz w:val="21"/>
              </w:rPr>
              <w:t>42</w:t>
            </w:r>
          </w:p>
        </w:tc>
        <w:tc>
          <w:tcPr>
            <w:tcW w:w="989" w:type="dxa"/>
            <w:vMerge w:val="restart"/>
            <w:tcBorders>
              <w:top w:val="single" w:sz="4" w:space="0" w:color="000000"/>
              <w:left w:val="single" w:sz="4" w:space="0" w:color="000000"/>
              <w:right w:val="single" w:sz="4" w:space="0" w:color="000000"/>
            </w:tcBorders>
          </w:tcPr>
          <w:p>
            <w:pPr>
              <w:pStyle w:val="TableParagraph"/>
              <w:spacing w:line="278"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86" w:type="dxa"/>
            <w:vMerge w:val="restart"/>
            <w:tcBorders>
              <w:top w:val="single" w:sz="4" w:space="0" w:color="000000"/>
              <w:left w:val="single" w:sz="4" w:space="0" w:color="000000"/>
              <w:right w:val="single" w:sz="4" w:space="0" w:color="000000"/>
            </w:tcBorders>
          </w:tcPr>
          <w:p>
            <w:pPr>
              <w:pStyle w:val="TableParagraph"/>
              <w:spacing w:line="278"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706" w:type="dxa"/>
            <w:vMerge w:val="restart"/>
            <w:tcBorders>
              <w:top w:val="single" w:sz="4" w:space="0" w:color="000000"/>
              <w:left w:val="single" w:sz="4" w:space="0" w:color="000000"/>
              <w:right w:val="single" w:sz="4" w:space="0" w:color="000000"/>
            </w:tcBorders>
          </w:tcPr>
          <w:p>
            <w:pPr/>
          </w:p>
        </w:tc>
        <w:tc>
          <w:tcPr>
            <w:tcW w:w="74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6</w:t>
            </w: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95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刘维</w:t>
            </w:r>
          </w:p>
        </w:tc>
        <w:tc>
          <w:tcPr>
            <w:tcW w:w="881" w:type="dxa"/>
            <w:vMerge/>
            <w:tcBorders>
              <w:left w:val="single" w:sz="10" w:space="0" w:color="DCDCDC"/>
              <w:right w:val="single" w:sz="4" w:space="0" w:color="000000"/>
            </w:tcBorders>
          </w:tcPr>
          <w:p>
            <w:pPr/>
          </w:p>
        </w:tc>
        <w:tc>
          <w:tcPr>
            <w:tcW w:w="442" w:type="dxa"/>
            <w:vMerge/>
            <w:tcBorders>
              <w:left w:val="single" w:sz="4" w:space="0" w:color="000000"/>
              <w:right w:val="single" w:sz="4" w:space="0" w:color="000000"/>
            </w:tcBorders>
          </w:tcPr>
          <w:p>
            <w:pPr/>
          </w:p>
        </w:tc>
        <w:tc>
          <w:tcPr>
            <w:tcW w:w="439"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768" w:type="dxa"/>
            <w:vMerge/>
            <w:tcBorders>
              <w:left w:val="single" w:sz="4" w:space="0" w:color="000000"/>
              <w:right w:val="single" w:sz="4" w:space="0" w:color="000000"/>
            </w:tcBorders>
          </w:tcPr>
          <w:p>
            <w:pPr/>
          </w:p>
        </w:tc>
        <w:tc>
          <w:tcPr>
            <w:tcW w:w="770"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749"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r>
      <w:tr>
        <w:trPr>
          <w:trHeight w:val="161" w:hRule="exact"/>
        </w:trPr>
        <w:tc>
          <w:tcPr>
            <w:tcW w:w="955" w:type="dxa"/>
            <w:tcBorders>
              <w:top w:val="nil" w:sz="6" w:space="0" w:color="auto"/>
              <w:left w:val="single" w:sz="4" w:space="0" w:color="000000"/>
              <w:bottom w:val="single" w:sz="4" w:space="0" w:color="000000"/>
              <w:right w:val="single" w:sz="4" w:space="0" w:color="000000"/>
            </w:tcBorders>
            <w:shd w:val="clear" w:color="auto" w:fill="DCDCDC"/>
          </w:tcPr>
          <w:p>
            <w:pPr/>
          </w:p>
        </w:tc>
        <w:tc>
          <w:tcPr>
            <w:tcW w:w="881" w:type="dxa"/>
            <w:vMerge/>
            <w:tcBorders>
              <w:left w:val="single" w:sz="10" w:space="0" w:color="DCDCDC"/>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439"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986"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749"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r>
      <w:tr>
        <w:trPr>
          <w:trHeight w:val="161" w:hRule="exact"/>
        </w:trPr>
        <w:tc>
          <w:tcPr>
            <w:tcW w:w="955" w:type="dxa"/>
            <w:tcBorders>
              <w:top w:val="single" w:sz="4" w:space="0" w:color="000000"/>
              <w:left w:val="single" w:sz="4" w:space="0" w:color="000000"/>
              <w:bottom w:val="nil" w:sz="6" w:space="0" w:color="auto"/>
              <w:right w:val="single" w:sz="4" w:space="0" w:color="000000"/>
            </w:tcBorders>
            <w:shd w:val="clear" w:color="auto" w:fill="DCDCDC"/>
          </w:tcPr>
          <w:p>
            <w:pPr/>
          </w:p>
        </w:tc>
        <w:tc>
          <w:tcPr>
            <w:tcW w:w="881" w:type="dxa"/>
            <w:vMerge w:val="restart"/>
            <w:tcBorders>
              <w:top w:val="single" w:sz="4" w:space="0" w:color="000000"/>
              <w:left w:val="single" w:sz="10" w:space="0" w:color="DCDCDC"/>
              <w:right w:val="single" w:sz="4" w:space="0" w:color="000000"/>
            </w:tcBorders>
          </w:tcPr>
          <w:p>
            <w:pPr>
              <w:pStyle w:val="TableParagraph"/>
              <w:spacing w:line="273" w:lineRule="auto"/>
              <w:ind w:left="321" w:right="119" w:hanging="212"/>
              <w:jc w:val="left"/>
              <w:rPr>
                <w:rFonts w:ascii="宋体" w:hAnsi="宋体" w:cs="宋体" w:eastAsia="宋体" w:hint="default"/>
                <w:sz w:val="21"/>
                <w:szCs w:val="21"/>
              </w:rPr>
            </w:pPr>
            <w:r>
              <w:rPr>
                <w:rFonts w:ascii="宋体" w:hAnsi="宋体" w:cs="宋体" w:eastAsia="宋体" w:hint="default"/>
                <w:sz w:val="21"/>
                <w:szCs w:val="21"/>
              </w:rPr>
              <w:t>独立董</w:t>
            </w:r>
            <w:r>
              <w:rPr>
                <w:rFonts w:ascii="宋体" w:hAnsi="宋体" w:cs="宋体" w:eastAsia="宋体" w:hint="default"/>
                <w:spacing w:val="-102"/>
                <w:sz w:val="21"/>
                <w:szCs w:val="21"/>
              </w:rPr>
              <w:t> </w:t>
            </w:r>
            <w:r>
              <w:rPr>
                <w:rFonts w:ascii="宋体" w:hAnsi="宋体" w:cs="宋体" w:eastAsia="宋体" w:hint="default"/>
                <w:sz w:val="21"/>
                <w:szCs w:val="21"/>
              </w:rPr>
              <w:t>事</w:t>
            </w:r>
          </w:p>
        </w:tc>
        <w:tc>
          <w:tcPr>
            <w:tcW w:w="442" w:type="dxa"/>
            <w:vMerge w:val="restart"/>
            <w:tcBorders>
              <w:top w:val="single" w:sz="4" w:space="0" w:color="000000"/>
              <w:left w:val="single" w:sz="4" w:space="0" w:color="000000"/>
              <w:right w:val="single" w:sz="4" w:space="0" w:color="000000"/>
            </w:tcBorders>
          </w:tcPr>
          <w:p>
            <w:pPr>
              <w:pStyle w:val="TableParagraph"/>
              <w:spacing w:line="240" w:lineRule="auto" w:before="143"/>
              <w:ind w:left="11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3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7" w:right="0"/>
              <w:jc w:val="left"/>
              <w:rPr>
                <w:rFonts w:ascii="Times New Roman" w:hAnsi="Times New Roman" w:cs="Times New Roman" w:eastAsia="Times New Roman" w:hint="default"/>
                <w:sz w:val="21"/>
                <w:szCs w:val="21"/>
              </w:rPr>
            </w:pPr>
            <w:r>
              <w:rPr>
                <w:rFonts w:ascii="Times New Roman"/>
                <w:sz w:val="21"/>
              </w:rPr>
              <w:t>44</w:t>
            </w:r>
          </w:p>
        </w:tc>
        <w:tc>
          <w:tcPr>
            <w:tcW w:w="989" w:type="dxa"/>
            <w:vMerge w:val="restart"/>
            <w:tcBorders>
              <w:top w:val="single" w:sz="4" w:space="0" w:color="000000"/>
              <w:left w:val="single" w:sz="4" w:space="0" w:color="000000"/>
              <w:right w:val="single" w:sz="4" w:space="0" w:color="000000"/>
            </w:tcBorders>
          </w:tcPr>
          <w:p>
            <w:pPr>
              <w:pStyle w:val="TableParagraph"/>
              <w:spacing w:line="278"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86" w:type="dxa"/>
            <w:vMerge w:val="restart"/>
            <w:tcBorders>
              <w:top w:val="single" w:sz="4" w:space="0" w:color="000000"/>
              <w:left w:val="single" w:sz="4" w:space="0" w:color="000000"/>
              <w:right w:val="single" w:sz="4" w:space="0" w:color="000000"/>
            </w:tcBorders>
          </w:tcPr>
          <w:p>
            <w:pPr>
              <w:pStyle w:val="TableParagraph"/>
              <w:spacing w:line="278"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706" w:type="dxa"/>
            <w:vMerge w:val="restart"/>
            <w:tcBorders>
              <w:top w:val="single" w:sz="4" w:space="0" w:color="000000"/>
              <w:left w:val="single" w:sz="4" w:space="0" w:color="000000"/>
              <w:right w:val="single" w:sz="4" w:space="0" w:color="000000"/>
            </w:tcBorders>
          </w:tcPr>
          <w:p>
            <w:pPr/>
          </w:p>
        </w:tc>
        <w:tc>
          <w:tcPr>
            <w:tcW w:w="74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6</w:t>
            </w: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95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陈靖丰</w:t>
            </w:r>
          </w:p>
        </w:tc>
        <w:tc>
          <w:tcPr>
            <w:tcW w:w="881" w:type="dxa"/>
            <w:vMerge/>
            <w:tcBorders>
              <w:left w:val="single" w:sz="10" w:space="0" w:color="DCDCDC"/>
              <w:right w:val="single" w:sz="4" w:space="0" w:color="000000"/>
            </w:tcBorders>
          </w:tcPr>
          <w:p>
            <w:pPr/>
          </w:p>
        </w:tc>
        <w:tc>
          <w:tcPr>
            <w:tcW w:w="442" w:type="dxa"/>
            <w:vMerge/>
            <w:tcBorders>
              <w:left w:val="single" w:sz="4" w:space="0" w:color="000000"/>
              <w:right w:val="single" w:sz="4" w:space="0" w:color="000000"/>
            </w:tcBorders>
          </w:tcPr>
          <w:p>
            <w:pPr/>
          </w:p>
        </w:tc>
        <w:tc>
          <w:tcPr>
            <w:tcW w:w="439"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768" w:type="dxa"/>
            <w:vMerge/>
            <w:tcBorders>
              <w:left w:val="single" w:sz="4" w:space="0" w:color="000000"/>
              <w:right w:val="single" w:sz="4" w:space="0" w:color="000000"/>
            </w:tcBorders>
          </w:tcPr>
          <w:p>
            <w:pPr/>
          </w:p>
        </w:tc>
        <w:tc>
          <w:tcPr>
            <w:tcW w:w="770"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749"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r>
      <w:tr>
        <w:trPr>
          <w:trHeight w:val="161" w:hRule="exact"/>
        </w:trPr>
        <w:tc>
          <w:tcPr>
            <w:tcW w:w="955" w:type="dxa"/>
            <w:tcBorders>
              <w:top w:val="nil" w:sz="6" w:space="0" w:color="auto"/>
              <w:left w:val="single" w:sz="4" w:space="0" w:color="000000"/>
              <w:bottom w:val="single" w:sz="4" w:space="0" w:color="000000"/>
              <w:right w:val="single" w:sz="4" w:space="0" w:color="000000"/>
            </w:tcBorders>
            <w:shd w:val="clear" w:color="auto" w:fill="DCDCDC"/>
          </w:tcPr>
          <w:p>
            <w:pPr/>
          </w:p>
        </w:tc>
        <w:tc>
          <w:tcPr>
            <w:tcW w:w="881" w:type="dxa"/>
            <w:vMerge/>
            <w:tcBorders>
              <w:left w:val="single" w:sz="10" w:space="0" w:color="DCDCDC"/>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439"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986"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749"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r>
      <w:tr>
        <w:trPr>
          <w:trHeight w:val="161" w:hRule="exact"/>
        </w:trPr>
        <w:tc>
          <w:tcPr>
            <w:tcW w:w="955" w:type="dxa"/>
            <w:tcBorders>
              <w:top w:val="single" w:sz="4" w:space="0" w:color="000000"/>
              <w:left w:val="single" w:sz="4" w:space="0" w:color="000000"/>
              <w:bottom w:val="nil" w:sz="6" w:space="0" w:color="auto"/>
              <w:right w:val="single" w:sz="4" w:space="0" w:color="000000"/>
            </w:tcBorders>
            <w:shd w:val="clear" w:color="auto" w:fill="DCDCDC"/>
          </w:tcPr>
          <w:p>
            <w:pPr/>
          </w:p>
        </w:tc>
        <w:tc>
          <w:tcPr>
            <w:tcW w:w="881" w:type="dxa"/>
            <w:vMerge w:val="restart"/>
            <w:tcBorders>
              <w:top w:val="single" w:sz="4" w:space="0" w:color="000000"/>
              <w:left w:val="single" w:sz="10" w:space="0" w:color="DCDCDC"/>
              <w:right w:val="single" w:sz="4" w:space="0" w:color="000000"/>
            </w:tcBorders>
          </w:tcPr>
          <w:p>
            <w:pPr>
              <w:pStyle w:val="TableParagraph"/>
              <w:spacing w:line="273" w:lineRule="auto"/>
              <w:ind w:left="321" w:right="119" w:hanging="212"/>
              <w:jc w:val="left"/>
              <w:rPr>
                <w:rFonts w:ascii="宋体" w:hAnsi="宋体" w:cs="宋体" w:eastAsia="宋体" w:hint="default"/>
                <w:sz w:val="21"/>
                <w:szCs w:val="21"/>
              </w:rPr>
            </w:pPr>
            <w:r>
              <w:rPr>
                <w:rFonts w:ascii="宋体" w:hAnsi="宋体" w:cs="宋体" w:eastAsia="宋体" w:hint="default"/>
                <w:sz w:val="21"/>
                <w:szCs w:val="21"/>
              </w:rPr>
              <w:t>独立董</w:t>
            </w:r>
            <w:r>
              <w:rPr>
                <w:rFonts w:ascii="宋体" w:hAnsi="宋体" w:cs="宋体" w:eastAsia="宋体" w:hint="default"/>
                <w:spacing w:val="-102"/>
                <w:sz w:val="21"/>
                <w:szCs w:val="21"/>
              </w:rPr>
              <w:t> </w:t>
            </w:r>
            <w:r>
              <w:rPr>
                <w:rFonts w:ascii="宋体" w:hAnsi="宋体" w:cs="宋体" w:eastAsia="宋体" w:hint="default"/>
                <w:sz w:val="21"/>
                <w:szCs w:val="21"/>
              </w:rPr>
              <w:t>事</w:t>
            </w:r>
          </w:p>
        </w:tc>
        <w:tc>
          <w:tcPr>
            <w:tcW w:w="442" w:type="dxa"/>
            <w:vMerge w:val="restart"/>
            <w:tcBorders>
              <w:top w:val="single" w:sz="4" w:space="0" w:color="000000"/>
              <w:left w:val="single" w:sz="4" w:space="0" w:color="000000"/>
              <w:right w:val="single" w:sz="4" w:space="0" w:color="000000"/>
            </w:tcBorders>
          </w:tcPr>
          <w:p>
            <w:pPr>
              <w:pStyle w:val="TableParagraph"/>
              <w:spacing w:line="240" w:lineRule="auto" w:before="143"/>
              <w:ind w:left="11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3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7" w:right="0"/>
              <w:jc w:val="left"/>
              <w:rPr>
                <w:rFonts w:ascii="Times New Roman" w:hAnsi="Times New Roman" w:cs="Times New Roman" w:eastAsia="Times New Roman" w:hint="default"/>
                <w:sz w:val="21"/>
                <w:szCs w:val="21"/>
              </w:rPr>
            </w:pPr>
            <w:r>
              <w:rPr>
                <w:rFonts w:ascii="Times New Roman"/>
                <w:sz w:val="21"/>
              </w:rPr>
              <w:t>58</w:t>
            </w:r>
          </w:p>
        </w:tc>
        <w:tc>
          <w:tcPr>
            <w:tcW w:w="989" w:type="dxa"/>
            <w:vMerge w:val="restart"/>
            <w:tcBorders>
              <w:top w:val="single" w:sz="4" w:space="0" w:color="000000"/>
              <w:left w:val="single" w:sz="4" w:space="0" w:color="000000"/>
              <w:right w:val="single" w:sz="4" w:space="0" w:color="000000"/>
            </w:tcBorders>
          </w:tcPr>
          <w:p>
            <w:pPr>
              <w:pStyle w:val="TableParagraph"/>
              <w:spacing w:line="278"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86" w:type="dxa"/>
            <w:vMerge w:val="restart"/>
            <w:tcBorders>
              <w:top w:val="single" w:sz="4" w:space="0" w:color="000000"/>
              <w:left w:val="single" w:sz="4" w:space="0" w:color="000000"/>
              <w:right w:val="single" w:sz="4" w:space="0" w:color="000000"/>
            </w:tcBorders>
          </w:tcPr>
          <w:p>
            <w:pPr>
              <w:pStyle w:val="TableParagraph"/>
              <w:spacing w:line="278"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706" w:type="dxa"/>
            <w:vMerge w:val="restart"/>
            <w:tcBorders>
              <w:top w:val="single" w:sz="4" w:space="0" w:color="000000"/>
              <w:left w:val="single" w:sz="4" w:space="0" w:color="000000"/>
              <w:right w:val="single" w:sz="4" w:space="0" w:color="000000"/>
            </w:tcBorders>
          </w:tcPr>
          <w:p>
            <w:pPr/>
          </w:p>
        </w:tc>
        <w:tc>
          <w:tcPr>
            <w:tcW w:w="74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6</w:t>
            </w: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95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曹惠民</w:t>
            </w:r>
          </w:p>
        </w:tc>
        <w:tc>
          <w:tcPr>
            <w:tcW w:w="881" w:type="dxa"/>
            <w:vMerge/>
            <w:tcBorders>
              <w:left w:val="single" w:sz="10" w:space="0" w:color="DCDCDC"/>
              <w:right w:val="single" w:sz="4" w:space="0" w:color="000000"/>
            </w:tcBorders>
          </w:tcPr>
          <w:p>
            <w:pPr/>
          </w:p>
        </w:tc>
        <w:tc>
          <w:tcPr>
            <w:tcW w:w="442" w:type="dxa"/>
            <w:vMerge/>
            <w:tcBorders>
              <w:left w:val="single" w:sz="4" w:space="0" w:color="000000"/>
              <w:right w:val="single" w:sz="4" w:space="0" w:color="000000"/>
            </w:tcBorders>
          </w:tcPr>
          <w:p>
            <w:pPr/>
          </w:p>
        </w:tc>
        <w:tc>
          <w:tcPr>
            <w:tcW w:w="439"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768" w:type="dxa"/>
            <w:vMerge/>
            <w:tcBorders>
              <w:left w:val="single" w:sz="4" w:space="0" w:color="000000"/>
              <w:right w:val="single" w:sz="4" w:space="0" w:color="000000"/>
            </w:tcBorders>
          </w:tcPr>
          <w:p>
            <w:pPr/>
          </w:p>
        </w:tc>
        <w:tc>
          <w:tcPr>
            <w:tcW w:w="770"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749"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r>
      <w:tr>
        <w:trPr>
          <w:trHeight w:val="161" w:hRule="exact"/>
        </w:trPr>
        <w:tc>
          <w:tcPr>
            <w:tcW w:w="955" w:type="dxa"/>
            <w:tcBorders>
              <w:top w:val="nil" w:sz="6" w:space="0" w:color="auto"/>
              <w:left w:val="single" w:sz="4" w:space="0" w:color="000000"/>
              <w:bottom w:val="single" w:sz="4" w:space="0" w:color="000000"/>
              <w:right w:val="single" w:sz="4" w:space="0" w:color="000000"/>
            </w:tcBorders>
            <w:shd w:val="clear" w:color="auto" w:fill="DCDCDC"/>
          </w:tcPr>
          <w:p>
            <w:pPr/>
          </w:p>
        </w:tc>
        <w:tc>
          <w:tcPr>
            <w:tcW w:w="881" w:type="dxa"/>
            <w:vMerge/>
            <w:tcBorders>
              <w:left w:val="single" w:sz="10" w:space="0" w:color="DCDCDC"/>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439"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986"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749"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r>
      <w:tr>
        <w:trPr>
          <w:trHeight w:val="163" w:hRule="exact"/>
        </w:trPr>
        <w:tc>
          <w:tcPr>
            <w:tcW w:w="955" w:type="dxa"/>
            <w:tcBorders>
              <w:top w:val="single" w:sz="4" w:space="0" w:color="000000"/>
              <w:left w:val="single" w:sz="4" w:space="0" w:color="000000"/>
              <w:bottom w:val="nil" w:sz="6" w:space="0" w:color="auto"/>
              <w:right w:val="single" w:sz="4" w:space="0" w:color="000000"/>
            </w:tcBorders>
            <w:shd w:val="clear" w:color="auto" w:fill="DCDCDC"/>
          </w:tcPr>
          <w:p>
            <w:pPr/>
          </w:p>
        </w:tc>
        <w:tc>
          <w:tcPr>
            <w:tcW w:w="881" w:type="dxa"/>
            <w:vMerge w:val="restart"/>
            <w:tcBorders>
              <w:top w:val="single" w:sz="4" w:space="0" w:color="000000"/>
              <w:left w:val="single" w:sz="10" w:space="0" w:color="DCDCDC"/>
              <w:right w:val="single" w:sz="4" w:space="0" w:color="000000"/>
            </w:tcBorders>
          </w:tcPr>
          <w:p>
            <w:pPr>
              <w:pStyle w:val="TableParagraph"/>
              <w:spacing w:line="273" w:lineRule="auto"/>
              <w:ind w:left="216" w:right="119" w:hanging="106"/>
              <w:jc w:val="left"/>
              <w:rPr>
                <w:rFonts w:ascii="宋体" w:hAnsi="宋体" w:cs="宋体" w:eastAsia="宋体" w:hint="default"/>
                <w:sz w:val="21"/>
                <w:szCs w:val="21"/>
              </w:rPr>
            </w:pPr>
            <w:r>
              <w:rPr>
                <w:rFonts w:ascii="宋体" w:hAnsi="宋体" w:cs="宋体" w:eastAsia="宋体" w:hint="default"/>
                <w:sz w:val="21"/>
                <w:szCs w:val="21"/>
              </w:rPr>
              <w:t>监事会</w:t>
            </w:r>
            <w:r>
              <w:rPr>
                <w:rFonts w:ascii="宋体" w:hAnsi="宋体" w:cs="宋体" w:eastAsia="宋体" w:hint="default"/>
                <w:spacing w:val="-102"/>
                <w:sz w:val="21"/>
                <w:szCs w:val="21"/>
              </w:rPr>
              <w:t> </w:t>
            </w:r>
            <w:r>
              <w:rPr>
                <w:rFonts w:ascii="宋体" w:hAnsi="宋体" w:cs="宋体" w:eastAsia="宋体" w:hint="default"/>
                <w:sz w:val="21"/>
                <w:szCs w:val="21"/>
              </w:rPr>
              <w:t>主席</w:t>
            </w:r>
          </w:p>
        </w:tc>
        <w:tc>
          <w:tcPr>
            <w:tcW w:w="442" w:type="dxa"/>
            <w:vMerge w:val="restart"/>
            <w:tcBorders>
              <w:top w:val="single" w:sz="4" w:space="0" w:color="000000"/>
              <w:left w:val="single" w:sz="4" w:space="0" w:color="000000"/>
              <w:right w:val="single" w:sz="4" w:space="0" w:color="000000"/>
            </w:tcBorders>
          </w:tcPr>
          <w:p>
            <w:pPr>
              <w:pStyle w:val="TableParagraph"/>
              <w:spacing w:line="240" w:lineRule="auto" w:before="146"/>
              <w:ind w:left="11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3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7" w:right="0"/>
              <w:jc w:val="left"/>
              <w:rPr>
                <w:rFonts w:ascii="Times New Roman" w:hAnsi="Times New Roman" w:cs="Times New Roman" w:eastAsia="Times New Roman" w:hint="default"/>
                <w:sz w:val="21"/>
                <w:szCs w:val="21"/>
              </w:rPr>
            </w:pPr>
            <w:r>
              <w:rPr>
                <w:rFonts w:ascii="Times New Roman"/>
                <w:sz w:val="21"/>
              </w:rPr>
              <w:t>47</w:t>
            </w:r>
          </w:p>
        </w:tc>
        <w:tc>
          <w:tcPr>
            <w:tcW w:w="989" w:type="dxa"/>
            <w:vMerge w:val="restart"/>
            <w:tcBorders>
              <w:top w:val="single" w:sz="4" w:space="0" w:color="000000"/>
              <w:left w:val="single" w:sz="4" w:space="0" w:color="000000"/>
              <w:right w:val="single" w:sz="4" w:space="0" w:color="000000"/>
            </w:tcBorders>
          </w:tcPr>
          <w:p>
            <w:pPr>
              <w:pStyle w:val="TableParagraph"/>
              <w:spacing w:line="281" w:lineRule="exact"/>
              <w:ind w:left="6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6" w:type="dxa"/>
            <w:vMerge w:val="restart"/>
            <w:tcBorders>
              <w:top w:val="single" w:sz="4" w:space="0" w:color="000000"/>
              <w:left w:val="single" w:sz="4" w:space="0" w:color="000000"/>
              <w:right w:val="single" w:sz="4" w:space="0" w:color="000000"/>
            </w:tcBorders>
          </w:tcPr>
          <w:p>
            <w:pPr>
              <w:pStyle w:val="TableParagraph"/>
              <w:spacing w:line="281" w:lineRule="exact"/>
              <w:ind w:left="6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2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706" w:type="dxa"/>
            <w:vMerge w:val="restart"/>
            <w:tcBorders>
              <w:top w:val="single" w:sz="4" w:space="0" w:color="000000"/>
              <w:left w:val="single" w:sz="4" w:space="0" w:color="000000"/>
              <w:right w:val="single" w:sz="4" w:space="0" w:color="000000"/>
            </w:tcBorders>
          </w:tcPr>
          <w:p>
            <w:pPr/>
          </w:p>
        </w:tc>
        <w:tc>
          <w:tcPr>
            <w:tcW w:w="74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32" w:right="0"/>
              <w:jc w:val="left"/>
              <w:rPr>
                <w:rFonts w:ascii="Times New Roman" w:hAnsi="Times New Roman" w:cs="Times New Roman" w:eastAsia="Times New Roman" w:hint="default"/>
                <w:sz w:val="21"/>
                <w:szCs w:val="21"/>
              </w:rPr>
            </w:pPr>
            <w:r>
              <w:rPr>
                <w:rFonts w:ascii="Times New Roman"/>
                <w:sz w:val="21"/>
              </w:rPr>
              <w:t>69.24</w:t>
            </w: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95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石胜利</w:t>
            </w:r>
          </w:p>
        </w:tc>
        <w:tc>
          <w:tcPr>
            <w:tcW w:w="881" w:type="dxa"/>
            <w:vMerge/>
            <w:tcBorders>
              <w:left w:val="single" w:sz="10" w:space="0" w:color="DCDCDC"/>
              <w:right w:val="single" w:sz="4" w:space="0" w:color="000000"/>
            </w:tcBorders>
          </w:tcPr>
          <w:p>
            <w:pPr/>
          </w:p>
        </w:tc>
        <w:tc>
          <w:tcPr>
            <w:tcW w:w="442" w:type="dxa"/>
            <w:vMerge/>
            <w:tcBorders>
              <w:left w:val="single" w:sz="4" w:space="0" w:color="000000"/>
              <w:right w:val="single" w:sz="4" w:space="0" w:color="000000"/>
            </w:tcBorders>
          </w:tcPr>
          <w:p>
            <w:pPr/>
          </w:p>
        </w:tc>
        <w:tc>
          <w:tcPr>
            <w:tcW w:w="439"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768" w:type="dxa"/>
            <w:vMerge/>
            <w:tcBorders>
              <w:left w:val="single" w:sz="4" w:space="0" w:color="000000"/>
              <w:right w:val="single" w:sz="4" w:space="0" w:color="000000"/>
            </w:tcBorders>
          </w:tcPr>
          <w:p>
            <w:pPr/>
          </w:p>
        </w:tc>
        <w:tc>
          <w:tcPr>
            <w:tcW w:w="770"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749"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r>
      <w:tr>
        <w:trPr>
          <w:trHeight w:val="161" w:hRule="exact"/>
        </w:trPr>
        <w:tc>
          <w:tcPr>
            <w:tcW w:w="955" w:type="dxa"/>
            <w:tcBorders>
              <w:top w:val="nil" w:sz="6" w:space="0" w:color="auto"/>
              <w:left w:val="single" w:sz="4" w:space="0" w:color="000000"/>
              <w:bottom w:val="single" w:sz="4" w:space="0" w:color="000000"/>
              <w:right w:val="single" w:sz="4" w:space="0" w:color="000000"/>
            </w:tcBorders>
            <w:shd w:val="clear" w:color="auto" w:fill="DCDCDC"/>
          </w:tcPr>
          <w:p>
            <w:pPr/>
          </w:p>
        </w:tc>
        <w:tc>
          <w:tcPr>
            <w:tcW w:w="881" w:type="dxa"/>
            <w:vMerge/>
            <w:tcBorders>
              <w:left w:val="single" w:sz="10" w:space="0" w:color="DCDCDC"/>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439"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986"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749"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r>
      <w:tr>
        <w:trPr>
          <w:trHeight w:val="161" w:hRule="exact"/>
        </w:trPr>
        <w:tc>
          <w:tcPr>
            <w:tcW w:w="955" w:type="dxa"/>
            <w:tcBorders>
              <w:top w:val="single" w:sz="4" w:space="0" w:color="000000"/>
              <w:left w:val="single" w:sz="4" w:space="0" w:color="000000"/>
              <w:bottom w:val="nil" w:sz="6" w:space="0" w:color="auto"/>
              <w:right w:val="single" w:sz="4" w:space="0" w:color="000000"/>
            </w:tcBorders>
            <w:shd w:val="clear" w:color="auto" w:fill="DCDCDC"/>
          </w:tcPr>
          <w:p>
            <w:pPr/>
          </w:p>
        </w:tc>
        <w:tc>
          <w:tcPr>
            <w:tcW w:w="881" w:type="dxa"/>
            <w:vMerge w:val="restart"/>
            <w:tcBorders>
              <w:top w:val="single" w:sz="4" w:space="0" w:color="000000"/>
              <w:left w:val="single" w:sz="10" w:space="0" w:color="DCDCDC"/>
              <w:right w:val="single" w:sz="4" w:space="0" w:color="000000"/>
            </w:tcBorders>
          </w:tcPr>
          <w:p>
            <w:pPr>
              <w:pStyle w:val="TableParagraph"/>
              <w:spacing w:line="240" w:lineRule="auto" w:before="143"/>
              <w:ind w:left="216"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42" w:type="dxa"/>
            <w:vMerge w:val="restart"/>
            <w:tcBorders>
              <w:top w:val="single" w:sz="4" w:space="0" w:color="000000"/>
              <w:left w:val="single" w:sz="4" w:space="0" w:color="000000"/>
              <w:right w:val="single" w:sz="4" w:space="0" w:color="000000"/>
            </w:tcBorders>
          </w:tcPr>
          <w:p>
            <w:pPr>
              <w:pStyle w:val="TableParagraph"/>
              <w:spacing w:line="240" w:lineRule="auto" w:before="143"/>
              <w:ind w:left="11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3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7" w:right="0"/>
              <w:jc w:val="left"/>
              <w:rPr>
                <w:rFonts w:ascii="Times New Roman" w:hAnsi="Times New Roman" w:cs="Times New Roman" w:eastAsia="Times New Roman" w:hint="default"/>
                <w:sz w:val="21"/>
                <w:szCs w:val="21"/>
              </w:rPr>
            </w:pPr>
            <w:r>
              <w:rPr>
                <w:rFonts w:ascii="Times New Roman"/>
                <w:sz w:val="21"/>
              </w:rPr>
              <w:t>47</w:t>
            </w:r>
          </w:p>
        </w:tc>
        <w:tc>
          <w:tcPr>
            <w:tcW w:w="989" w:type="dxa"/>
            <w:vMerge w:val="restart"/>
            <w:tcBorders>
              <w:top w:val="single" w:sz="4" w:space="0" w:color="000000"/>
              <w:left w:val="single" w:sz="4" w:space="0" w:color="000000"/>
              <w:right w:val="single" w:sz="4" w:space="0" w:color="000000"/>
            </w:tcBorders>
          </w:tcPr>
          <w:p>
            <w:pPr>
              <w:pStyle w:val="TableParagraph"/>
              <w:spacing w:line="278" w:lineRule="exact"/>
              <w:ind w:left="6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6" w:type="dxa"/>
            <w:vMerge w:val="restart"/>
            <w:tcBorders>
              <w:top w:val="single" w:sz="4" w:space="0" w:color="000000"/>
              <w:left w:val="single" w:sz="4" w:space="0" w:color="000000"/>
              <w:right w:val="single" w:sz="4" w:space="0" w:color="000000"/>
            </w:tcBorders>
          </w:tcPr>
          <w:p>
            <w:pPr>
              <w:pStyle w:val="TableParagraph"/>
              <w:spacing w:line="278" w:lineRule="exact"/>
              <w:ind w:left="6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2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706" w:type="dxa"/>
            <w:vMerge w:val="restart"/>
            <w:tcBorders>
              <w:top w:val="single" w:sz="4" w:space="0" w:color="000000"/>
              <w:left w:val="single" w:sz="4" w:space="0" w:color="000000"/>
              <w:right w:val="single" w:sz="4" w:space="0" w:color="000000"/>
            </w:tcBorders>
          </w:tcPr>
          <w:p>
            <w:pPr/>
          </w:p>
        </w:tc>
        <w:tc>
          <w:tcPr>
            <w:tcW w:w="74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4" w:right="0"/>
              <w:jc w:val="left"/>
              <w:rPr>
                <w:rFonts w:ascii="Times New Roman" w:hAnsi="Times New Roman" w:cs="Times New Roman" w:eastAsia="Times New Roman" w:hint="default"/>
                <w:sz w:val="21"/>
                <w:szCs w:val="21"/>
              </w:rPr>
            </w:pPr>
            <w:r>
              <w:rPr>
                <w:rFonts w:ascii="Times New Roman"/>
                <w:sz w:val="21"/>
              </w:rPr>
              <w:t>32.4</w:t>
            </w: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95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邹秉灵</w:t>
            </w:r>
          </w:p>
        </w:tc>
        <w:tc>
          <w:tcPr>
            <w:tcW w:w="881" w:type="dxa"/>
            <w:vMerge/>
            <w:tcBorders>
              <w:left w:val="single" w:sz="10" w:space="0" w:color="DCDCDC"/>
              <w:right w:val="single" w:sz="4" w:space="0" w:color="000000"/>
            </w:tcBorders>
          </w:tcPr>
          <w:p>
            <w:pPr/>
          </w:p>
        </w:tc>
        <w:tc>
          <w:tcPr>
            <w:tcW w:w="442" w:type="dxa"/>
            <w:vMerge/>
            <w:tcBorders>
              <w:left w:val="single" w:sz="4" w:space="0" w:color="000000"/>
              <w:right w:val="single" w:sz="4" w:space="0" w:color="000000"/>
            </w:tcBorders>
          </w:tcPr>
          <w:p>
            <w:pPr/>
          </w:p>
        </w:tc>
        <w:tc>
          <w:tcPr>
            <w:tcW w:w="439"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768" w:type="dxa"/>
            <w:vMerge/>
            <w:tcBorders>
              <w:left w:val="single" w:sz="4" w:space="0" w:color="000000"/>
              <w:right w:val="single" w:sz="4" w:space="0" w:color="000000"/>
            </w:tcBorders>
          </w:tcPr>
          <w:p>
            <w:pPr/>
          </w:p>
        </w:tc>
        <w:tc>
          <w:tcPr>
            <w:tcW w:w="770"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749"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r>
      <w:tr>
        <w:trPr>
          <w:trHeight w:val="161" w:hRule="exact"/>
        </w:trPr>
        <w:tc>
          <w:tcPr>
            <w:tcW w:w="955" w:type="dxa"/>
            <w:tcBorders>
              <w:top w:val="nil" w:sz="6" w:space="0" w:color="auto"/>
              <w:left w:val="single" w:sz="4" w:space="0" w:color="000000"/>
              <w:bottom w:val="single" w:sz="4" w:space="0" w:color="000000"/>
              <w:right w:val="single" w:sz="4" w:space="0" w:color="000000"/>
            </w:tcBorders>
            <w:shd w:val="clear" w:color="auto" w:fill="DCDCDC"/>
          </w:tcPr>
          <w:p>
            <w:pPr/>
          </w:p>
        </w:tc>
        <w:tc>
          <w:tcPr>
            <w:tcW w:w="881" w:type="dxa"/>
            <w:vMerge/>
            <w:tcBorders>
              <w:left w:val="single" w:sz="10" w:space="0" w:color="DCDCDC"/>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439"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986"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749"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r>
      <w:tr>
        <w:trPr>
          <w:trHeight w:val="161" w:hRule="exact"/>
        </w:trPr>
        <w:tc>
          <w:tcPr>
            <w:tcW w:w="955" w:type="dxa"/>
            <w:tcBorders>
              <w:top w:val="single" w:sz="4" w:space="0" w:color="000000"/>
              <w:left w:val="single" w:sz="4" w:space="0" w:color="000000"/>
              <w:bottom w:val="nil" w:sz="6" w:space="0" w:color="auto"/>
              <w:right w:val="single" w:sz="4" w:space="0" w:color="000000"/>
            </w:tcBorders>
            <w:shd w:val="clear" w:color="auto" w:fill="DCDCDC"/>
          </w:tcPr>
          <w:p>
            <w:pPr/>
          </w:p>
        </w:tc>
        <w:tc>
          <w:tcPr>
            <w:tcW w:w="881" w:type="dxa"/>
            <w:vMerge w:val="restart"/>
            <w:tcBorders>
              <w:top w:val="single" w:sz="4" w:space="0" w:color="000000"/>
              <w:left w:val="single" w:sz="10" w:space="0" w:color="DCDCDC"/>
              <w:right w:val="single" w:sz="4" w:space="0" w:color="000000"/>
            </w:tcBorders>
          </w:tcPr>
          <w:p>
            <w:pPr>
              <w:pStyle w:val="TableParagraph"/>
              <w:spacing w:line="240" w:lineRule="auto" w:before="143"/>
              <w:ind w:left="216"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42" w:type="dxa"/>
            <w:vMerge w:val="restart"/>
            <w:tcBorders>
              <w:top w:val="single" w:sz="4" w:space="0" w:color="000000"/>
              <w:left w:val="single" w:sz="4" w:space="0" w:color="000000"/>
              <w:right w:val="single" w:sz="4" w:space="0" w:color="000000"/>
            </w:tcBorders>
          </w:tcPr>
          <w:p>
            <w:pPr>
              <w:pStyle w:val="TableParagraph"/>
              <w:spacing w:line="240" w:lineRule="auto" w:before="143"/>
              <w:ind w:left="11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3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7" w:right="0"/>
              <w:jc w:val="left"/>
              <w:rPr>
                <w:rFonts w:ascii="Times New Roman" w:hAnsi="Times New Roman" w:cs="Times New Roman" w:eastAsia="Times New Roman" w:hint="default"/>
                <w:sz w:val="21"/>
                <w:szCs w:val="21"/>
              </w:rPr>
            </w:pPr>
            <w:r>
              <w:rPr>
                <w:rFonts w:ascii="Times New Roman"/>
                <w:sz w:val="21"/>
              </w:rPr>
              <w:t>41</w:t>
            </w:r>
          </w:p>
        </w:tc>
        <w:tc>
          <w:tcPr>
            <w:tcW w:w="989" w:type="dxa"/>
            <w:vMerge w:val="restart"/>
            <w:tcBorders>
              <w:top w:val="single" w:sz="4" w:space="0" w:color="000000"/>
              <w:left w:val="single" w:sz="4" w:space="0" w:color="000000"/>
              <w:right w:val="single" w:sz="4" w:space="0" w:color="000000"/>
            </w:tcBorders>
          </w:tcPr>
          <w:p>
            <w:pPr>
              <w:pStyle w:val="TableParagraph"/>
              <w:spacing w:line="278" w:lineRule="exact"/>
              <w:ind w:left="6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6" w:type="dxa"/>
            <w:vMerge w:val="restart"/>
            <w:tcBorders>
              <w:top w:val="single" w:sz="4" w:space="0" w:color="000000"/>
              <w:left w:val="single" w:sz="4" w:space="0" w:color="000000"/>
              <w:right w:val="single" w:sz="4" w:space="0" w:color="000000"/>
            </w:tcBorders>
          </w:tcPr>
          <w:p>
            <w:pPr>
              <w:pStyle w:val="TableParagraph"/>
              <w:spacing w:line="278" w:lineRule="exact"/>
              <w:ind w:left="6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2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706" w:type="dxa"/>
            <w:vMerge w:val="restart"/>
            <w:tcBorders>
              <w:top w:val="single" w:sz="4" w:space="0" w:color="000000"/>
              <w:left w:val="single" w:sz="4" w:space="0" w:color="000000"/>
              <w:right w:val="single" w:sz="4" w:space="0" w:color="000000"/>
            </w:tcBorders>
          </w:tcPr>
          <w:p>
            <w:pPr/>
          </w:p>
        </w:tc>
        <w:tc>
          <w:tcPr>
            <w:tcW w:w="74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32</w:t>
            </w: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95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石伟民</w:t>
            </w:r>
          </w:p>
        </w:tc>
        <w:tc>
          <w:tcPr>
            <w:tcW w:w="881" w:type="dxa"/>
            <w:vMerge/>
            <w:tcBorders>
              <w:left w:val="single" w:sz="10" w:space="0" w:color="DCDCDC"/>
              <w:right w:val="single" w:sz="4" w:space="0" w:color="000000"/>
            </w:tcBorders>
          </w:tcPr>
          <w:p>
            <w:pPr/>
          </w:p>
        </w:tc>
        <w:tc>
          <w:tcPr>
            <w:tcW w:w="442" w:type="dxa"/>
            <w:vMerge/>
            <w:tcBorders>
              <w:left w:val="single" w:sz="4" w:space="0" w:color="000000"/>
              <w:right w:val="single" w:sz="4" w:space="0" w:color="000000"/>
            </w:tcBorders>
          </w:tcPr>
          <w:p>
            <w:pPr/>
          </w:p>
        </w:tc>
        <w:tc>
          <w:tcPr>
            <w:tcW w:w="439"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768" w:type="dxa"/>
            <w:vMerge/>
            <w:tcBorders>
              <w:left w:val="single" w:sz="4" w:space="0" w:color="000000"/>
              <w:right w:val="single" w:sz="4" w:space="0" w:color="000000"/>
            </w:tcBorders>
          </w:tcPr>
          <w:p>
            <w:pPr/>
          </w:p>
        </w:tc>
        <w:tc>
          <w:tcPr>
            <w:tcW w:w="770"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749"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r>
      <w:tr>
        <w:trPr>
          <w:trHeight w:val="161" w:hRule="exact"/>
        </w:trPr>
        <w:tc>
          <w:tcPr>
            <w:tcW w:w="955" w:type="dxa"/>
            <w:tcBorders>
              <w:top w:val="nil" w:sz="6" w:space="0" w:color="auto"/>
              <w:left w:val="single" w:sz="4" w:space="0" w:color="000000"/>
              <w:bottom w:val="single" w:sz="4" w:space="0" w:color="000000"/>
              <w:right w:val="single" w:sz="4" w:space="0" w:color="000000"/>
            </w:tcBorders>
            <w:shd w:val="clear" w:color="auto" w:fill="DCDCDC"/>
          </w:tcPr>
          <w:p>
            <w:pPr/>
          </w:p>
        </w:tc>
        <w:tc>
          <w:tcPr>
            <w:tcW w:w="881" w:type="dxa"/>
            <w:vMerge/>
            <w:tcBorders>
              <w:left w:val="single" w:sz="10" w:space="0" w:color="DCDCDC"/>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439"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986"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749"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r>
      <w:tr>
        <w:trPr>
          <w:trHeight w:val="161" w:hRule="exact"/>
        </w:trPr>
        <w:tc>
          <w:tcPr>
            <w:tcW w:w="955" w:type="dxa"/>
            <w:tcBorders>
              <w:top w:val="single" w:sz="4" w:space="0" w:color="000000"/>
              <w:left w:val="single" w:sz="4" w:space="0" w:color="000000"/>
              <w:bottom w:val="nil" w:sz="6" w:space="0" w:color="auto"/>
              <w:right w:val="single" w:sz="4" w:space="0" w:color="000000"/>
            </w:tcBorders>
            <w:shd w:val="clear" w:color="auto" w:fill="DCDCDC"/>
          </w:tcPr>
          <w:p>
            <w:pPr/>
          </w:p>
        </w:tc>
        <w:tc>
          <w:tcPr>
            <w:tcW w:w="881" w:type="dxa"/>
            <w:vMerge w:val="restart"/>
            <w:tcBorders>
              <w:top w:val="single" w:sz="4" w:space="0" w:color="000000"/>
              <w:left w:val="single" w:sz="10" w:space="0" w:color="DCDCDC"/>
              <w:right w:val="single" w:sz="4" w:space="0" w:color="000000"/>
            </w:tcBorders>
          </w:tcPr>
          <w:p>
            <w:pPr>
              <w:pStyle w:val="TableParagraph"/>
              <w:spacing w:line="273" w:lineRule="auto"/>
              <w:ind w:left="321" w:right="119" w:hanging="212"/>
              <w:jc w:val="left"/>
              <w:rPr>
                <w:rFonts w:ascii="宋体" w:hAnsi="宋体" w:cs="宋体" w:eastAsia="宋体" w:hint="default"/>
                <w:sz w:val="21"/>
                <w:szCs w:val="21"/>
              </w:rPr>
            </w:pPr>
            <w:r>
              <w:rPr>
                <w:rFonts w:ascii="宋体" w:hAnsi="宋体" w:cs="宋体" w:eastAsia="宋体" w:hint="default"/>
                <w:sz w:val="21"/>
                <w:szCs w:val="21"/>
              </w:rPr>
              <w:t>财务总</w:t>
            </w:r>
            <w:r>
              <w:rPr>
                <w:rFonts w:ascii="宋体" w:hAnsi="宋体" w:cs="宋体" w:eastAsia="宋体" w:hint="default"/>
                <w:spacing w:val="-102"/>
                <w:sz w:val="21"/>
                <w:szCs w:val="21"/>
              </w:rPr>
              <w:t> </w:t>
            </w:r>
            <w:r>
              <w:rPr>
                <w:rFonts w:ascii="宋体" w:hAnsi="宋体" w:cs="宋体" w:eastAsia="宋体" w:hint="default"/>
                <w:sz w:val="21"/>
                <w:szCs w:val="21"/>
              </w:rPr>
              <w:t>监</w:t>
            </w:r>
          </w:p>
        </w:tc>
        <w:tc>
          <w:tcPr>
            <w:tcW w:w="442" w:type="dxa"/>
            <w:vMerge w:val="restart"/>
            <w:tcBorders>
              <w:top w:val="single" w:sz="4" w:space="0" w:color="000000"/>
              <w:left w:val="single" w:sz="4" w:space="0" w:color="000000"/>
              <w:right w:val="single" w:sz="4" w:space="0" w:color="000000"/>
            </w:tcBorders>
          </w:tcPr>
          <w:p>
            <w:pPr>
              <w:pStyle w:val="TableParagraph"/>
              <w:spacing w:line="240" w:lineRule="auto" w:before="143"/>
              <w:ind w:left="11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3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7" w:right="0"/>
              <w:jc w:val="left"/>
              <w:rPr>
                <w:rFonts w:ascii="Times New Roman" w:hAnsi="Times New Roman" w:cs="Times New Roman" w:eastAsia="Times New Roman" w:hint="default"/>
                <w:sz w:val="21"/>
                <w:szCs w:val="21"/>
              </w:rPr>
            </w:pPr>
            <w:r>
              <w:rPr>
                <w:rFonts w:ascii="Times New Roman"/>
                <w:sz w:val="21"/>
              </w:rPr>
              <w:t>39</w:t>
            </w:r>
          </w:p>
        </w:tc>
        <w:tc>
          <w:tcPr>
            <w:tcW w:w="989" w:type="dxa"/>
            <w:vMerge w:val="restart"/>
            <w:tcBorders>
              <w:top w:val="single" w:sz="4" w:space="0" w:color="000000"/>
              <w:left w:val="single" w:sz="4" w:space="0" w:color="000000"/>
              <w:right w:val="single" w:sz="4" w:space="0" w:color="000000"/>
            </w:tcBorders>
          </w:tcPr>
          <w:p>
            <w:pPr>
              <w:pStyle w:val="TableParagraph"/>
              <w:spacing w:line="278" w:lineRule="exact"/>
              <w:ind w:left="6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6" w:type="dxa"/>
            <w:vMerge w:val="restart"/>
            <w:tcBorders>
              <w:top w:val="single" w:sz="4" w:space="0" w:color="000000"/>
              <w:left w:val="single" w:sz="4" w:space="0" w:color="000000"/>
              <w:right w:val="single" w:sz="4" w:space="0" w:color="000000"/>
            </w:tcBorders>
          </w:tcPr>
          <w:p>
            <w:pPr>
              <w:pStyle w:val="TableParagraph"/>
              <w:spacing w:line="278" w:lineRule="exact"/>
              <w:ind w:left="6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2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706" w:type="dxa"/>
            <w:vMerge w:val="restart"/>
            <w:tcBorders>
              <w:top w:val="single" w:sz="4" w:space="0" w:color="000000"/>
              <w:left w:val="single" w:sz="4" w:space="0" w:color="000000"/>
              <w:right w:val="single" w:sz="4" w:space="0" w:color="000000"/>
            </w:tcBorders>
          </w:tcPr>
          <w:p>
            <w:pPr/>
          </w:p>
        </w:tc>
        <w:tc>
          <w:tcPr>
            <w:tcW w:w="74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4" w:right="0"/>
              <w:jc w:val="left"/>
              <w:rPr>
                <w:rFonts w:ascii="Times New Roman" w:hAnsi="Times New Roman" w:cs="Times New Roman" w:eastAsia="Times New Roman" w:hint="default"/>
                <w:sz w:val="21"/>
                <w:szCs w:val="21"/>
              </w:rPr>
            </w:pPr>
            <w:r>
              <w:rPr>
                <w:rFonts w:ascii="Times New Roman"/>
                <w:sz w:val="21"/>
              </w:rPr>
              <w:t>40.5</w:t>
            </w: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95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黄良之</w:t>
            </w:r>
          </w:p>
        </w:tc>
        <w:tc>
          <w:tcPr>
            <w:tcW w:w="881" w:type="dxa"/>
            <w:vMerge/>
            <w:tcBorders>
              <w:left w:val="single" w:sz="10" w:space="0" w:color="DCDCDC"/>
              <w:right w:val="single" w:sz="4" w:space="0" w:color="000000"/>
            </w:tcBorders>
          </w:tcPr>
          <w:p>
            <w:pPr/>
          </w:p>
        </w:tc>
        <w:tc>
          <w:tcPr>
            <w:tcW w:w="442" w:type="dxa"/>
            <w:vMerge/>
            <w:tcBorders>
              <w:left w:val="single" w:sz="4" w:space="0" w:color="000000"/>
              <w:right w:val="single" w:sz="4" w:space="0" w:color="000000"/>
            </w:tcBorders>
          </w:tcPr>
          <w:p>
            <w:pPr/>
          </w:p>
        </w:tc>
        <w:tc>
          <w:tcPr>
            <w:tcW w:w="439"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768" w:type="dxa"/>
            <w:vMerge/>
            <w:tcBorders>
              <w:left w:val="single" w:sz="4" w:space="0" w:color="000000"/>
              <w:right w:val="single" w:sz="4" w:space="0" w:color="000000"/>
            </w:tcBorders>
          </w:tcPr>
          <w:p>
            <w:pPr/>
          </w:p>
        </w:tc>
        <w:tc>
          <w:tcPr>
            <w:tcW w:w="770"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749"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r>
      <w:tr>
        <w:trPr>
          <w:trHeight w:val="161" w:hRule="exact"/>
        </w:trPr>
        <w:tc>
          <w:tcPr>
            <w:tcW w:w="955" w:type="dxa"/>
            <w:tcBorders>
              <w:top w:val="nil" w:sz="6" w:space="0" w:color="auto"/>
              <w:left w:val="single" w:sz="4" w:space="0" w:color="000000"/>
              <w:bottom w:val="single" w:sz="4" w:space="0" w:color="000000"/>
              <w:right w:val="single" w:sz="4" w:space="0" w:color="000000"/>
            </w:tcBorders>
            <w:shd w:val="clear" w:color="auto" w:fill="DCDCDC"/>
          </w:tcPr>
          <w:p>
            <w:pPr/>
          </w:p>
        </w:tc>
        <w:tc>
          <w:tcPr>
            <w:tcW w:w="881" w:type="dxa"/>
            <w:vMerge/>
            <w:tcBorders>
              <w:left w:val="single" w:sz="10" w:space="0" w:color="DCDCDC"/>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439"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986"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749"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r>
      <w:tr>
        <w:trPr>
          <w:trHeight w:val="161" w:hRule="exact"/>
        </w:trPr>
        <w:tc>
          <w:tcPr>
            <w:tcW w:w="955" w:type="dxa"/>
            <w:tcBorders>
              <w:top w:val="single" w:sz="4" w:space="0" w:color="000000"/>
              <w:left w:val="single" w:sz="4" w:space="0" w:color="000000"/>
              <w:bottom w:val="nil" w:sz="6" w:space="0" w:color="auto"/>
              <w:right w:val="single" w:sz="4" w:space="0" w:color="000000"/>
            </w:tcBorders>
            <w:shd w:val="clear" w:color="auto" w:fill="DCDCDC"/>
          </w:tcPr>
          <w:p>
            <w:pPr/>
          </w:p>
        </w:tc>
        <w:tc>
          <w:tcPr>
            <w:tcW w:w="881" w:type="dxa"/>
            <w:vMerge w:val="restart"/>
            <w:tcBorders>
              <w:top w:val="single" w:sz="4" w:space="0" w:color="000000"/>
              <w:left w:val="single" w:sz="10" w:space="0" w:color="DCDCDC"/>
              <w:right w:val="single" w:sz="4" w:space="0" w:color="000000"/>
            </w:tcBorders>
          </w:tcPr>
          <w:p>
            <w:pPr>
              <w:pStyle w:val="TableParagraph"/>
              <w:spacing w:line="273" w:lineRule="auto"/>
              <w:ind w:left="216" w:right="119" w:hanging="106"/>
              <w:jc w:val="left"/>
              <w:rPr>
                <w:rFonts w:ascii="宋体" w:hAnsi="宋体" w:cs="宋体" w:eastAsia="宋体" w:hint="default"/>
                <w:sz w:val="21"/>
                <w:szCs w:val="21"/>
              </w:rPr>
            </w:pPr>
            <w:r>
              <w:rPr>
                <w:rFonts w:ascii="宋体" w:hAnsi="宋体" w:cs="宋体" w:eastAsia="宋体" w:hint="default"/>
                <w:sz w:val="21"/>
                <w:szCs w:val="21"/>
              </w:rPr>
              <w:t>董事会</w:t>
            </w:r>
            <w:r>
              <w:rPr>
                <w:rFonts w:ascii="宋体" w:hAnsi="宋体" w:cs="宋体" w:eastAsia="宋体" w:hint="default"/>
                <w:spacing w:val="-102"/>
                <w:sz w:val="21"/>
                <w:szCs w:val="21"/>
              </w:rPr>
              <w:t> </w:t>
            </w:r>
            <w:r>
              <w:rPr>
                <w:rFonts w:ascii="宋体" w:hAnsi="宋体" w:cs="宋体" w:eastAsia="宋体" w:hint="default"/>
                <w:sz w:val="21"/>
                <w:szCs w:val="21"/>
              </w:rPr>
              <w:t>秘书</w:t>
            </w:r>
          </w:p>
        </w:tc>
        <w:tc>
          <w:tcPr>
            <w:tcW w:w="442" w:type="dxa"/>
            <w:vMerge w:val="restart"/>
            <w:tcBorders>
              <w:top w:val="single" w:sz="4" w:space="0" w:color="000000"/>
              <w:left w:val="single" w:sz="4" w:space="0" w:color="000000"/>
              <w:right w:val="single" w:sz="4" w:space="0" w:color="000000"/>
            </w:tcBorders>
          </w:tcPr>
          <w:p>
            <w:pPr>
              <w:pStyle w:val="TableParagraph"/>
              <w:spacing w:line="240" w:lineRule="auto" w:before="143"/>
              <w:ind w:left="11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3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7" w:right="0"/>
              <w:jc w:val="left"/>
              <w:rPr>
                <w:rFonts w:ascii="Times New Roman" w:hAnsi="Times New Roman" w:cs="Times New Roman" w:eastAsia="Times New Roman" w:hint="default"/>
                <w:sz w:val="21"/>
                <w:szCs w:val="21"/>
              </w:rPr>
            </w:pPr>
            <w:r>
              <w:rPr>
                <w:rFonts w:ascii="Times New Roman"/>
                <w:sz w:val="21"/>
              </w:rPr>
              <w:t>34</w:t>
            </w:r>
          </w:p>
        </w:tc>
        <w:tc>
          <w:tcPr>
            <w:tcW w:w="989" w:type="dxa"/>
            <w:vMerge w:val="restart"/>
            <w:tcBorders>
              <w:top w:val="single" w:sz="4" w:space="0" w:color="000000"/>
              <w:left w:val="single" w:sz="4" w:space="0" w:color="000000"/>
              <w:right w:val="single" w:sz="4" w:space="0" w:color="000000"/>
            </w:tcBorders>
          </w:tcPr>
          <w:p>
            <w:pPr>
              <w:pStyle w:val="TableParagraph"/>
              <w:spacing w:line="278"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11</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86" w:type="dxa"/>
            <w:vMerge w:val="restart"/>
            <w:tcBorders>
              <w:top w:val="single" w:sz="4" w:space="0" w:color="000000"/>
              <w:left w:val="single" w:sz="4" w:space="0" w:color="000000"/>
              <w:right w:val="single" w:sz="4" w:space="0" w:color="000000"/>
            </w:tcBorders>
          </w:tcPr>
          <w:p>
            <w:pPr>
              <w:pStyle w:val="TableParagraph"/>
              <w:spacing w:line="278" w:lineRule="exact"/>
              <w:ind w:left="6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2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706" w:type="dxa"/>
            <w:vMerge w:val="restart"/>
            <w:tcBorders>
              <w:top w:val="single" w:sz="4" w:space="0" w:color="000000"/>
              <w:left w:val="single" w:sz="4" w:space="0" w:color="000000"/>
              <w:right w:val="single" w:sz="4" w:space="0" w:color="000000"/>
            </w:tcBorders>
          </w:tcPr>
          <w:p>
            <w:pPr/>
          </w:p>
        </w:tc>
        <w:tc>
          <w:tcPr>
            <w:tcW w:w="74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4" w:right="0"/>
              <w:jc w:val="left"/>
              <w:rPr>
                <w:rFonts w:ascii="Times New Roman" w:hAnsi="Times New Roman" w:cs="Times New Roman" w:eastAsia="Times New Roman" w:hint="default"/>
                <w:sz w:val="21"/>
                <w:szCs w:val="21"/>
              </w:rPr>
            </w:pPr>
            <w:r>
              <w:rPr>
                <w:rFonts w:ascii="Times New Roman"/>
                <w:sz w:val="21"/>
              </w:rPr>
              <w:t>28.7</w:t>
            </w: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95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张伟锋</w:t>
            </w:r>
          </w:p>
        </w:tc>
        <w:tc>
          <w:tcPr>
            <w:tcW w:w="881" w:type="dxa"/>
            <w:vMerge/>
            <w:tcBorders>
              <w:left w:val="single" w:sz="10" w:space="0" w:color="DCDCDC"/>
              <w:right w:val="single" w:sz="4" w:space="0" w:color="000000"/>
            </w:tcBorders>
          </w:tcPr>
          <w:p>
            <w:pPr/>
          </w:p>
        </w:tc>
        <w:tc>
          <w:tcPr>
            <w:tcW w:w="442" w:type="dxa"/>
            <w:vMerge/>
            <w:tcBorders>
              <w:left w:val="single" w:sz="4" w:space="0" w:color="000000"/>
              <w:right w:val="single" w:sz="4" w:space="0" w:color="000000"/>
            </w:tcBorders>
          </w:tcPr>
          <w:p>
            <w:pPr/>
          </w:p>
        </w:tc>
        <w:tc>
          <w:tcPr>
            <w:tcW w:w="439"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768" w:type="dxa"/>
            <w:vMerge/>
            <w:tcBorders>
              <w:left w:val="single" w:sz="4" w:space="0" w:color="000000"/>
              <w:right w:val="single" w:sz="4" w:space="0" w:color="000000"/>
            </w:tcBorders>
          </w:tcPr>
          <w:p>
            <w:pPr/>
          </w:p>
        </w:tc>
        <w:tc>
          <w:tcPr>
            <w:tcW w:w="770"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749"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r>
      <w:tr>
        <w:trPr>
          <w:trHeight w:val="161" w:hRule="exact"/>
        </w:trPr>
        <w:tc>
          <w:tcPr>
            <w:tcW w:w="955" w:type="dxa"/>
            <w:tcBorders>
              <w:top w:val="nil" w:sz="6" w:space="0" w:color="auto"/>
              <w:left w:val="single" w:sz="4" w:space="0" w:color="000000"/>
              <w:bottom w:val="single" w:sz="4" w:space="0" w:color="000000"/>
              <w:right w:val="single" w:sz="4" w:space="0" w:color="000000"/>
            </w:tcBorders>
            <w:shd w:val="clear" w:color="auto" w:fill="DCDCDC"/>
          </w:tcPr>
          <w:p>
            <w:pPr/>
          </w:p>
        </w:tc>
        <w:tc>
          <w:tcPr>
            <w:tcW w:w="881" w:type="dxa"/>
            <w:vMerge/>
            <w:tcBorders>
              <w:left w:val="single" w:sz="10" w:space="0" w:color="DCDCDC"/>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439"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986"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749"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r>
    </w:tbl>
    <w:p>
      <w:pPr>
        <w:spacing w:after="0"/>
        <w:sectPr>
          <w:pgSz w:w="11910" w:h="16840"/>
          <w:pgMar w:header="884" w:footer="980" w:top="1140" w:bottom="1160" w:left="1660" w:right="1640"/>
        </w:sectPr>
      </w:pPr>
    </w:p>
    <w:p>
      <w:pPr>
        <w:spacing w:line="240" w:lineRule="auto" w:before="6"/>
        <w:rPr>
          <w:rFonts w:ascii="宋体" w:hAnsi="宋体" w:cs="宋体" w:eastAsia="宋体" w:hint="default"/>
          <w:sz w:val="21"/>
          <w:szCs w:val="21"/>
        </w:rPr>
      </w:pPr>
    </w:p>
    <w:tbl>
      <w:tblPr>
        <w:tblW w:w="0" w:type="auto"/>
        <w:jc w:val="left"/>
        <w:tblInd w:w="106" w:type="dxa"/>
        <w:tblLayout w:type="fixed"/>
        <w:tblCellMar>
          <w:top w:w="0" w:type="dxa"/>
          <w:left w:w="0" w:type="dxa"/>
          <w:bottom w:w="0" w:type="dxa"/>
          <w:right w:w="0" w:type="dxa"/>
        </w:tblCellMar>
        <w:tblLook w:val="01E0"/>
      </w:tblPr>
      <w:tblGrid>
        <w:gridCol w:w="955"/>
        <w:gridCol w:w="881"/>
        <w:gridCol w:w="442"/>
        <w:gridCol w:w="439"/>
        <w:gridCol w:w="989"/>
        <w:gridCol w:w="986"/>
        <w:gridCol w:w="768"/>
        <w:gridCol w:w="770"/>
        <w:gridCol w:w="706"/>
        <w:gridCol w:w="749"/>
        <w:gridCol w:w="679"/>
      </w:tblGrid>
      <w:tr>
        <w:trPr>
          <w:trHeight w:val="322" w:hRule="exact"/>
        </w:trPr>
        <w:tc>
          <w:tcPr>
            <w:tcW w:w="9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6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9" w:right="0"/>
              <w:jc w:val="left"/>
              <w:rPr>
                <w:rFonts w:ascii="Times New Roman" w:hAnsi="Times New Roman" w:cs="Times New Roman" w:eastAsia="Times New Roman" w:hint="default"/>
                <w:sz w:val="21"/>
                <w:szCs w:val="21"/>
              </w:rPr>
            </w:pPr>
            <w:r>
              <w:rPr>
                <w:rFonts w:ascii="Times New Roman"/>
                <w:sz w:val="21"/>
              </w:rPr>
              <w:t>364.84</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260" w:right="863"/>
        <w:jc w:val="left"/>
      </w:pPr>
      <w:r>
        <w:rPr/>
        <w:t>（二）现任董事、监事、高级管理人员最近五年的主要工作经历</w:t>
      </w:r>
    </w:p>
    <w:p>
      <w:pPr>
        <w:pStyle w:val="BodyText"/>
        <w:spacing w:line="338" w:lineRule="auto" w:before="74"/>
        <w:ind w:left="682" w:right="221" w:hanging="3"/>
        <w:jc w:val="left"/>
      </w:pPr>
      <w:r>
        <w:rPr>
          <w:rFonts w:ascii="Times New Roman" w:hAnsi="Times New Roman" w:cs="Times New Roman" w:eastAsia="Times New Roman" w:hint="default"/>
        </w:rPr>
        <w:t>1</w:t>
      </w:r>
      <w:r>
        <w:rPr/>
        <w:t>、现任董事 </w:t>
      </w:r>
      <w:r>
        <w:rPr>
          <w:rFonts w:ascii="宋体" w:hAnsi="宋体" w:cs="宋体" w:eastAsia="宋体" w:hint="default"/>
          <w:b/>
          <w:bCs/>
        </w:rPr>
        <w:t>范建震先生：</w:t>
      </w:r>
      <w:r>
        <w:rPr/>
        <w:t>董事长，中国国籍，拥有加拿大永久居留权，</w:t>
      </w:r>
      <w:r>
        <w:rPr>
          <w:rFonts w:ascii="Times New Roman" w:hAnsi="Times New Roman" w:cs="Times New Roman" w:eastAsia="Times New Roman" w:hint="default"/>
        </w:rPr>
        <w:t>1964</w:t>
      </w:r>
      <w:r>
        <w:rPr>
          <w:rFonts w:ascii="Times New Roman" w:hAnsi="Times New Roman" w:cs="Times New Roman" w:eastAsia="Times New Roman" w:hint="default"/>
          <w:spacing w:val="17"/>
        </w:rPr>
        <w:t> </w:t>
      </w:r>
      <w:r>
        <w:rPr/>
        <w:t>年出生，</w:t>
      </w:r>
    </w:p>
    <w:p>
      <w:pPr>
        <w:pStyle w:val="BodyText"/>
        <w:spacing w:line="338" w:lineRule="auto" w:before="24"/>
        <w:ind w:right="236"/>
        <w:jc w:val="both"/>
      </w:pPr>
      <w:r>
        <w:rPr/>
        <w:t>复旦大学电子工程系理学学士、中欧国际工商学院工商管理硕士。有近 </w:t>
      </w:r>
      <w:r>
        <w:rPr>
          <w:rFonts w:ascii="Times New Roman" w:hAnsi="Times New Roman" w:cs="Times New Roman" w:eastAsia="Times New Roman" w:hint="default"/>
        </w:rPr>
        <w:t>20</w:t>
      </w:r>
      <w:r>
        <w:rPr>
          <w:rFonts w:ascii="Times New Roman" w:hAnsi="Times New Roman" w:cs="Times New Roman" w:eastAsia="Times New Roman" w:hint="default"/>
          <w:spacing w:val="-36"/>
        </w:rPr>
        <w:t> </w:t>
      </w:r>
      <w:r>
        <w:rPr/>
        <w:t>年的 </w:t>
      </w:r>
      <w:r>
        <w:rPr>
          <w:rFonts w:ascii="Times New Roman" w:hAnsi="Times New Roman" w:cs="Times New Roman" w:eastAsia="Times New Roman" w:hint="default"/>
        </w:rPr>
        <w:t>ERP</w:t>
      </w:r>
      <w:r>
        <w:rPr>
          <w:rFonts w:ascii="Times New Roman" w:hAnsi="Times New Roman" w:cs="Times New Roman" w:eastAsia="Times New Roman" w:hint="default"/>
          <w:spacing w:val="2"/>
        </w:rPr>
        <w:t> </w:t>
      </w:r>
      <w:r>
        <w:rPr>
          <w:spacing w:val="-10"/>
        </w:rPr>
        <w:t>行业从业经验，于</w:t>
      </w:r>
      <w:r>
        <w:rPr>
          <w:spacing w:val="-60"/>
        </w:rPr>
        <w:t> </w:t>
      </w:r>
      <w:r>
        <w:rPr>
          <w:rFonts w:ascii="Times New Roman" w:hAnsi="Times New Roman" w:cs="Times New Roman" w:eastAsia="Times New Roman" w:hint="default"/>
        </w:rPr>
        <w:t>1996 </w:t>
      </w:r>
      <w:r>
        <w:rPr/>
        <w:t>年创办中国第一家专业从事高端</w:t>
      </w:r>
      <w:r>
        <w:rPr>
          <w:spacing w:val="-60"/>
        </w:rPr>
        <w:t> </w:t>
      </w:r>
      <w:r>
        <w:rPr>
          <w:rFonts w:ascii="Times New Roman" w:hAnsi="Times New Roman" w:cs="Times New Roman" w:eastAsia="Times New Roman" w:hint="default"/>
        </w:rPr>
        <w:t>ERP</w:t>
      </w:r>
      <w:r>
        <w:rPr>
          <w:rFonts w:ascii="Times New Roman" w:hAnsi="Times New Roman" w:cs="Times New Roman" w:eastAsia="Times New Roman" w:hint="default"/>
          <w:spacing w:val="-1"/>
        </w:rPr>
        <w:t> </w:t>
      </w:r>
      <w:r>
        <w:rPr/>
        <w:t>产品实施服务 的咨询公司——上海汉得计算机服务有限公司，</w:t>
      </w:r>
      <w:r>
        <w:rPr>
          <w:rFonts w:ascii="Times New Roman" w:hAnsi="Times New Roman" w:cs="Times New Roman" w:eastAsia="Times New Roman" w:hint="default"/>
        </w:rPr>
        <w:t>2002</w:t>
      </w:r>
      <w:r>
        <w:rPr>
          <w:rFonts w:ascii="Times New Roman" w:hAnsi="Times New Roman" w:cs="Times New Roman" w:eastAsia="Times New Roman" w:hint="default"/>
          <w:spacing w:val="16"/>
        </w:rPr>
        <w:t> </w:t>
      </w:r>
      <w:r>
        <w:rPr/>
        <w:t>年起任上海汉得信息技术</w:t>
      </w:r>
      <w:r>
        <w:rPr>
          <w:spacing w:val="-118"/>
        </w:rPr>
        <w:t> </w:t>
      </w:r>
      <w:r>
        <w:rPr>
          <w:spacing w:val="-118"/>
        </w:rPr>
      </w:r>
      <w:r>
        <w:rPr/>
        <w:t>有限公司首席执行官。现任本公司董事长。</w:t>
      </w:r>
    </w:p>
    <w:p>
      <w:pPr>
        <w:pStyle w:val="BodyText"/>
        <w:spacing w:line="336" w:lineRule="auto" w:before="56"/>
        <w:ind w:right="107" w:firstLine="542"/>
        <w:jc w:val="left"/>
      </w:pPr>
      <w:r>
        <w:rPr>
          <w:rFonts w:ascii="宋体" w:hAnsi="宋体" w:cs="宋体" w:eastAsia="宋体" w:hint="default"/>
          <w:b/>
          <w:bCs/>
          <w:spacing w:val="-4"/>
        </w:rPr>
        <w:t>陈迪清先生：</w:t>
      </w:r>
      <w:r>
        <w:rPr>
          <w:spacing w:val="-4"/>
        </w:rPr>
        <w:t>董事，总经理，中国国籍，无永久境外居留权，</w:t>
      </w:r>
      <w:r>
        <w:rPr>
          <w:rFonts w:ascii="Times New Roman" w:hAnsi="Times New Roman" w:cs="Times New Roman" w:eastAsia="Times New Roman" w:hint="default"/>
          <w:spacing w:val="-4"/>
        </w:rPr>
        <w:t>1963</w:t>
      </w:r>
      <w:r>
        <w:rPr>
          <w:rFonts w:ascii="Times New Roman" w:hAnsi="Times New Roman" w:cs="Times New Roman" w:eastAsia="Times New Roman" w:hint="default"/>
          <w:spacing w:val="15"/>
        </w:rPr>
        <w:t> </w:t>
      </w:r>
      <w:r>
        <w:rPr/>
        <w:t>年出生， 复旦大学电子工程系理学学士、美国 </w:t>
      </w:r>
      <w:r>
        <w:rPr>
          <w:rFonts w:ascii="Times New Roman" w:hAnsi="Times New Roman" w:cs="Times New Roman" w:eastAsia="Times New Roman" w:hint="default"/>
        </w:rPr>
        <w:t>Louisiana Tech University</w:t>
      </w:r>
      <w:r>
        <w:rPr>
          <w:rFonts w:ascii="Times New Roman" w:hAnsi="Times New Roman" w:cs="Times New Roman" w:eastAsia="Times New Roman" w:hint="default"/>
          <w:spacing w:val="44"/>
        </w:rPr>
        <w:t> </w:t>
      </w:r>
      <w:r>
        <w:rPr/>
        <w:t>理学硕士学位。 曾任中国惠普有限公司上海分公司地区销售经理，美国</w:t>
      </w:r>
      <w:r>
        <w:rPr>
          <w:spacing w:val="-70"/>
        </w:rPr>
        <w:t> </w:t>
      </w:r>
      <w:r>
        <w:rPr>
          <w:rFonts w:ascii="Times New Roman" w:hAnsi="Times New Roman" w:cs="Times New Roman" w:eastAsia="Times New Roman" w:hint="default"/>
        </w:rPr>
        <w:t>Skywell</w:t>
      </w:r>
      <w:r>
        <w:rPr>
          <w:rFonts w:ascii="Times New Roman" w:hAnsi="Times New Roman" w:cs="Times New Roman" w:eastAsia="Times New Roman" w:hint="default"/>
          <w:spacing w:val="-10"/>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13"/>
        </w:rPr>
        <w:t> </w:t>
      </w:r>
      <w:r>
        <w:rPr/>
        <w:t>公司 </w:t>
      </w:r>
      <w:r>
        <w:rPr>
          <w:spacing w:val="2"/>
        </w:rPr>
        <w:t>工程师，西门子—利多富华东</w:t>
      </w:r>
      <w:r>
        <w:rPr>
          <w:rFonts w:ascii="Times New Roman" w:hAnsi="Times New Roman" w:cs="Times New Roman" w:eastAsia="Times New Roman" w:hint="default"/>
          <w:spacing w:val="2"/>
        </w:rPr>
        <w:t>/</w:t>
      </w:r>
      <w:r>
        <w:rPr>
          <w:spacing w:val="2"/>
        </w:rPr>
        <w:t>华中区总经理，思爱普（北京）软件技术有限公 </w:t>
      </w:r>
      <w:r>
        <w:rPr>
          <w:spacing w:val="-6"/>
        </w:rPr>
        <w:t>司（</w:t>
      </w:r>
      <w:r>
        <w:rPr>
          <w:rFonts w:ascii="Times New Roman" w:hAnsi="Times New Roman" w:cs="Times New Roman" w:eastAsia="Times New Roman" w:hint="default"/>
          <w:spacing w:val="-6"/>
        </w:rPr>
        <w:t>SAP </w:t>
      </w:r>
      <w:r>
        <w:rPr>
          <w:spacing w:val="-3"/>
        </w:rPr>
        <w:t>中国）市场及销售总监，上海汉得信息技术有限公司总裁。现任本公司</w:t>
      </w:r>
      <w:r>
        <w:rPr>
          <w:spacing w:val="-109"/>
        </w:rPr>
        <w:t> </w:t>
      </w:r>
      <w:r>
        <w:rPr>
          <w:spacing w:val="-109"/>
        </w:rPr>
      </w:r>
      <w:r>
        <w:rPr/>
        <w:t>总经理。</w:t>
      </w:r>
    </w:p>
    <w:p>
      <w:pPr>
        <w:pStyle w:val="BodyText"/>
        <w:spacing w:line="348" w:lineRule="auto" w:before="58"/>
        <w:ind w:right="100" w:firstLine="566"/>
        <w:jc w:val="left"/>
      </w:pPr>
      <w:r>
        <w:rPr>
          <w:rFonts w:ascii="宋体" w:hAnsi="宋体" w:cs="宋体" w:eastAsia="宋体" w:hint="default"/>
          <w:b/>
          <w:bCs/>
        </w:rPr>
        <w:t>刘维先生：</w:t>
      </w:r>
      <w:r>
        <w:rPr/>
        <w:t>独立董事，中国国籍，无永久境外居留权，</w:t>
      </w:r>
      <w:r>
        <w:rPr>
          <w:rFonts w:ascii="Times New Roman" w:hAnsi="Times New Roman" w:cs="Times New Roman" w:eastAsia="Times New Roman" w:hint="default"/>
        </w:rPr>
        <w:t>1970</w:t>
      </w:r>
      <w:r>
        <w:rPr>
          <w:rFonts w:ascii="Times New Roman" w:hAnsi="Times New Roman" w:cs="Times New Roman" w:eastAsia="Times New Roman" w:hint="default"/>
          <w:spacing w:val="-1"/>
        </w:rPr>
        <w:t> </w:t>
      </w:r>
      <w:r>
        <w:rPr/>
        <w:t>年出生，法律 </w:t>
      </w:r>
      <w:r>
        <w:rPr>
          <w:spacing w:val="-8"/>
        </w:rPr>
        <w:t>硕士，律师。</w:t>
      </w:r>
      <w:r>
        <w:rPr>
          <w:rFonts w:ascii="Times New Roman" w:hAnsi="Times New Roman" w:cs="Times New Roman" w:eastAsia="Times New Roman" w:hint="default"/>
          <w:spacing w:val="-8"/>
        </w:rPr>
        <w:t>1993</w:t>
      </w:r>
      <w:r>
        <w:rPr>
          <w:rFonts w:ascii="Times New Roman" w:hAnsi="Times New Roman" w:cs="Times New Roman" w:eastAsia="Times New Roman" w:hint="default"/>
          <w:spacing w:val="-34"/>
        </w:rPr>
        <w:t> </w:t>
      </w:r>
      <w:r>
        <w:rPr/>
        <w:t>年起在上海市万国律师事务所</w:t>
      </w:r>
      <w:r>
        <w:rPr>
          <w:rFonts w:ascii="Times New Roman" w:hAnsi="Times New Roman" w:cs="Times New Roman" w:eastAsia="Times New Roman" w:hint="default"/>
        </w:rPr>
        <w:t>[</w:t>
      </w:r>
      <w:r>
        <w:rPr/>
        <w:t>后更名为国浩律师集团（上海） 事务所</w:t>
      </w:r>
      <w:r>
        <w:rPr>
          <w:rFonts w:ascii="Times New Roman" w:hAnsi="Times New Roman" w:cs="Times New Roman" w:eastAsia="Times New Roman" w:hint="default"/>
        </w:rPr>
        <w:t>]</w:t>
      </w:r>
      <w:r>
        <w:rPr/>
        <w:t>执业。刘维律师执业</w:t>
      </w:r>
      <w:r>
        <w:rPr>
          <w:spacing w:val="-59"/>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spacing w:val="-3"/>
        </w:rPr>
        <w:t>年，擅长公司、股票、金融律师业务。曾为近两</w:t>
      </w:r>
      <w:r>
        <w:rPr>
          <w:spacing w:val="-117"/>
        </w:rPr>
        <w:t> </w:t>
      </w:r>
      <w:r>
        <w:rPr>
          <w:spacing w:val="-117"/>
        </w:rPr>
      </w:r>
      <w:r>
        <w:rPr>
          <w:spacing w:val="-3"/>
        </w:rPr>
        <w:t>百家上市公司提供过发行上市、再融资、资产重组法律服务，为数十家大型企业</w:t>
      </w:r>
      <w:r>
        <w:rPr>
          <w:spacing w:val="-111"/>
        </w:rPr>
        <w:t> </w:t>
      </w:r>
      <w:r>
        <w:rPr>
          <w:spacing w:val="-111"/>
        </w:rPr>
      </w:r>
      <w:r>
        <w:rPr>
          <w:spacing w:val="-3"/>
        </w:rPr>
        <w:t>提供常年法律顾问服务。刘维律师为中国证券监督管理委员会第一、第二届（现</w:t>
      </w:r>
      <w:r>
        <w:rPr>
          <w:spacing w:val="-111"/>
        </w:rPr>
        <w:t> </w:t>
      </w:r>
      <w:r>
        <w:rPr>
          <w:spacing w:val="-111"/>
        </w:rPr>
      </w:r>
      <w:r>
        <w:rPr>
          <w:spacing w:val="-3"/>
        </w:rPr>
        <w:t>任）并购重组委委员，中华全国律师协会金融证券委员会委员。现任国浩律师集</w:t>
      </w:r>
      <w:r>
        <w:rPr>
          <w:spacing w:val="-111"/>
        </w:rPr>
        <w:t> </w:t>
      </w:r>
      <w:r>
        <w:rPr>
          <w:spacing w:val="-111"/>
        </w:rPr>
      </w:r>
      <w:r>
        <w:rPr>
          <w:spacing w:val="-3"/>
        </w:rPr>
        <w:t>团（上海）事务所管理合伙人，承德大路股份有限公司独立董事，新疆西龙土工</w:t>
      </w:r>
      <w:r>
        <w:rPr>
          <w:spacing w:val="-111"/>
        </w:rPr>
        <w:t> </w:t>
      </w:r>
      <w:r>
        <w:rPr>
          <w:spacing w:val="-111"/>
        </w:rPr>
      </w:r>
      <w:r>
        <w:rPr/>
        <w:t>新材料股份有限公司独立董事和四川广汉士达炭素股份有限公司独立董事。</w:t>
      </w:r>
    </w:p>
    <w:p>
      <w:pPr>
        <w:pStyle w:val="BodyText"/>
        <w:spacing w:line="352" w:lineRule="auto" w:before="46"/>
        <w:ind w:right="236" w:firstLine="542"/>
        <w:jc w:val="both"/>
      </w:pPr>
      <w:r>
        <w:rPr>
          <w:rFonts w:ascii="宋体" w:hAnsi="宋体" w:cs="宋体" w:eastAsia="宋体" w:hint="default"/>
          <w:b/>
          <w:bCs/>
        </w:rPr>
        <w:t>陈靖丰先生：</w:t>
      </w:r>
      <w:r>
        <w:rPr/>
        <w:t>独立董事，中国国籍，无永久境外居留权，</w:t>
      </w:r>
      <w:r>
        <w:rPr>
          <w:rFonts w:ascii="Times New Roman" w:hAnsi="Times New Roman" w:cs="Times New Roman" w:eastAsia="Times New Roman" w:hint="default"/>
        </w:rPr>
        <w:t>1968</w:t>
      </w:r>
      <w:r>
        <w:rPr>
          <w:rFonts w:ascii="Times New Roman" w:hAnsi="Times New Roman" w:cs="Times New Roman" w:eastAsia="Times New Roman" w:hint="default"/>
          <w:spacing w:val="17"/>
        </w:rPr>
        <w:t> </w:t>
      </w:r>
      <w:r>
        <w:rPr/>
        <w:t>年出生。硕 </w:t>
      </w:r>
      <w:r>
        <w:rPr>
          <w:spacing w:val="-3"/>
        </w:rPr>
        <w:t>士研究生。曾任大众交通（集团）股份有限公司发展部经理，进行过多项资产收</w:t>
      </w:r>
      <w:r>
        <w:rPr>
          <w:spacing w:val="-111"/>
        </w:rPr>
        <w:t> </w:t>
      </w:r>
      <w:r>
        <w:rPr>
          <w:spacing w:val="-111"/>
        </w:rPr>
      </w:r>
      <w:r>
        <w:rPr>
          <w:spacing w:val="-3"/>
        </w:rPr>
        <w:t>购、兼并、企业整合工作，在企业发展战略规划、资产运作等方面具有较强的实</w:t>
      </w:r>
      <w:r>
        <w:rPr>
          <w:spacing w:val="-110"/>
        </w:rPr>
        <w:t> </w:t>
      </w:r>
      <w:r>
        <w:rPr>
          <w:spacing w:val="-110"/>
        </w:rPr>
      </w:r>
      <w:r>
        <w:rPr>
          <w:spacing w:val="-3"/>
        </w:rPr>
        <w:t>践能力。现任上海大众公用事业（集团）股份有限公司董事、总经理，并兼任大</w:t>
      </w:r>
      <w:r>
        <w:rPr>
          <w:spacing w:val="-114"/>
        </w:rPr>
        <w:t> </w:t>
      </w:r>
      <w:r>
        <w:rPr>
          <w:spacing w:val="-114"/>
        </w:rPr>
      </w:r>
      <w:r>
        <w:rPr>
          <w:spacing w:val="-3"/>
        </w:rPr>
        <w:t>众交通（集团）股份有限公司董事、上海大众环境产业有限公司董事长、上海大</w:t>
      </w:r>
      <w:r>
        <w:rPr>
          <w:spacing w:val="-111"/>
        </w:rPr>
        <w:t> </w:t>
      </w:r>
      <w:r>
        <w:rPr>
          <w:spacing w:val="-111"/>
        </w:rPr>
      </w:r>
      <w:r>
        <w:rPr>
          <w:spacing w:val="-3"/>
        </w:rPr>
        <w:t>众集团资本股权投资有限公司董事长、上海兴烨创业投资有限公司董事长、上海</w:t>
      </w:r>
    </w:p>
    <w:p>
      <w:pPr>
        <w:spacing w:after="0" w:line="352" w:lineRule="auto"/>
        <w:jc w:val="both"/>
        <w:sectPr>
          <w:pgSz w:w="11910" w:h="16840"/>
          <w:pgMar w:header="884" w:footer="980" w:top="1140" w:bottom="1160" w:left="1660" w:right="1560"/>
        </w:sectPr>
      </w:pPr>
    </w:p>
    <w:p>
      <w:pPr>
        <w:spacing w:line="240" w:lineRule="auto" w:before="5"/>
        <w:rPr>
          <w:rFonts w:ascii="宋体" w:hAnsi="宋体" w:cs="宋体" w:eastAsia="宋体" w:hint="default"/>
          <w:sz w:val="16"/>
          <w:szCs w:val="16"/>
        </w:rPr>
      </w:pPr>
    </w:p>
    <w:p>
      <w:pPr>
        <w:pStyle w:val="BodyText"/>
        <w:spacing w:line="357" w:lineRule="auto" w:before="26"/>
        <w:ind w:right="231"/>
        <w:jc w:val="left"/>
      </w:pPr>
      <w:r>
        <w:rPr>
          <w:spacing w:val="-3"/>
        </w:rPr>
        <w:t>翔殷路隧道建设发展有限公司董事长、上海市股份公司联合会第五届理事会副理</w:t>
      </w:r>
      <w:r>
        <w:rPr>
          <w:spacing w:val="-109"/>
        </w:rPr>
        <w:t> </w:t>
      </w:r>
      <w:r>
        <w:rPr>
          <w:spacing w:val="-109"/>
        </w:rPr>
      </w:r>
      <w:r>
        <w:rPr/>
        <w:t>事长。</w:t>
      </w:r>
    </w:p>
    <w:p>
      <w:pPr>
        <w:pStyle w:val="BodyText"/>
        <w:spacing w:line="352" w:lineRule="auto" w:before="113"/>
        <w:ind w:right="236" w:firstLine="482"/>
        <w:jc w:val="both"/>
      </w:pPr>
      <w:r>
        <w:rPr>
          <w:rFonts w:ascii="宋体" w:hAnsi="宋体" w:cs="宋体" w:eastAsia="宋体" w:hint="default"/>
          <w:b/>
          <w:bCs/>
        </w:rPr>
        <w:t>曹惠民先生：</w:t>
      </w:r>
      <w:r>
        <w:rPr/>
        <w:t>独立董事，中国国籍，无永久境外居留权，</w:t>
      </w:r>
      <w:r>
        <w:rPr>
          <w:rFonts w:ascii="Times New Roman" w:hAnsi="Times New Roman" w:cs="Times New Roman" w:eastAsia="Times New Roman" w:hint="default"/>
        </w:rPr>
        <w:t>1954</w:t>
      </w:r>
      <w:r>
        <w:rPr>
          <w:rFonts w:ascii="Times New Roman" w:hAnsi="Times New Roman" w:cs="Times New Roman" w:eastAsia="Times New Roman" w:hint="default"/>
          <w:spacing w:val="15"/>
        </w:rPr>
        <w:t> </w:t>
      </w:r>
      <w:r>
        <w:rPr/>
        <w:t>年出生，经 </w:t>
      </w:r>
      <w:r>
        <w:rPr>
          <w:spacing w:val="-3"/>
        </w:rPr>
        <w:t>济学硕士，教授。曾任上海立信会计学院副系主任、系主任。现任上海立信会计</w:t>
      </w:r>
      <w:r>
        <w:rPr>
          <w:spacing w:val="-111"/>
        </w:rPr>
        <w:t> </w:t>
      </w:r>
      <w:r>
        <w:rPr>
          <w:spacing w:val="-111"/>
        </w:rPr>
      </w:r>
      <w:r>
        <w:rPr>
          <w:spacing w:val="-3"/>
        </w:rPr>
        <w:t>学院院长助理，上海国际港务集团股份有限公司独立董事，上海友谊集团股份有</w:t>
      </w:r>
      <w:r>
        <w:rPr>
          <w:spacing w:val="-111"/>
        </w:rPr>
        <w:t> </w:t>
      </w:r>
      <w:r>
        <w:rPr>
          <w:spacing w:val="-111"/>
        </w:rPr>
      </w:r>
      <w:r>
        <w:rPr>
          <w:spacing w:val="-3"/>
        </w:rPr>
        <w:t>限公司独立董事，上海二纺机股份有限公司独立董事，上海九百股份有限公司独</w:t>
      </w:r>
      <w:r>
        <w:rPr>
          <w:spacing w:val="-112"/>
        </w:rPr>
        <w:t> </w:t>
      </w:r>
      <w:r>
        <w:rPr>
          <w:spacing w:val="-112"/>
        </w:rPr>
      </w:r>
      <w:r>
        <w:rPr>
          <w:spacing w:val="-3"/>
        </w:rPr>
        <w:t>立董事，中国企业管理研究会常务理事，上海会计学会高校工作委员会副主任委</w:t>
      </w:r>
      <w:r>
        <w:rPr>
          <w:spacing w:val="-111"/>
        </w:rPr>
        <w:t> </w:t>
      </w:r>
      <w:r>
        <w:rPr>
          <w:spacing w:val="-111"/>
        </w:rPr>
      </w:r>
      <w:r>
        <w:rPr/>
        <w:t>员。</w:t>
      </w:r>
    </w:p>
    <w:p>
      <w:pPr>
        <w:spacing w:line="240" w:lineRule="auto" w:before="0"/>
        <w:rPr>
          <w:rFonts w:ascii="宋体" w:hAnsi="宋体" w:cs="宋体" w:eastAsia="宋体" w:hint="default"/>
          <w:sz w:val="24"/>
          <w:szCs w:val="24"/>
        </w:rPr>
      </w:pPr>
    </w:p>
    <w:p>
      <w:pPr>
        <w:pStyle w:val="BodyText"/>
        <w:spacing w:line="240" w:lineRule="auto" w:before="195"/>
        <w:ind w:left="620" w:right="3443"/>
        <w:jc w:val="left"/>
      </w:pPr>
      <w:r>
        <w:rPr>
          <w:rFonts w:ascii="Times New Roman" w:hAnsi="Times New Roman" w:cs="Times New Roman" w:eastAsia="Times New Roman" w:hint="default"/>
        </w:rPr>
        <w:t>2</w:t>
      </w:r>
      <w:r>
        <w:rPr/>
        <w:t>、现任监事</w:t>
      </w:r>
    </w:p>
    <w:p>
      <w:pPr>
        <w:pStyle w:val="BodyText"/>
        <w:spacing w:line="343" w:lineRule="auto" w:before="56"/>
        <w:ind w:right="102" w:firstLine="482"/>
        <w:jc w:val="left"/>
      </w:pPr>
      <w:r>
        <w:rPr>
          <w:rFonts w:ascii="宋体" w:hAnsi="宋体" w:cs="宋体" w:eastAsia="宋体" w:hint="default"/>
          <w:b/>
          <w:bCs/>
        </w:rPr>
        <w:t>石胜利先生：</w:t>
      </w:r>
      <w:r>
        <w:rPr/>
        <w:t>中国国籍，无永久境外居留权，</w:t>
      </w:r>
      <w:r>
        <w:rPr>
          <w:rFonts w:ascii="Times New Roman" w:hAnsi="Times New Roman" w:cs="Times New Roman" w:eastAsia="Times New Roman" w:hint="default"/>
        </w:rPr>
        <w:t>1965 </w:t>
      </w:r>
      <w:r>
        <w:rPr/>
        <w:t>年出生，</w:t>
      </w:r>
      <w:r>
        <w:rPr>
          <w:rFonts w:ascii="Times New Roman" w:hAnsi="Times New Roman" w:cs="Times New Roman" w:eastAsia="Times New Roman" w:hint="default"/>
        </w:rPr>
        <w:t>1987</w:t>
      </w:r>
      <w:r>
        <w:rPr>
          <w:rFonts w:ascii="Times New Roman" w:hAnsi="Times New Roman" w:cs="Times New Roman" w:eastAsia="Times New Roman" w:hint="default"/>
          <w:spacing w:val="17"/>
        </w:rPr>
        <w:t> </w:t>
      </w:r>
      <w:r>
        <w:rPr/>
        <w:t>年毕业于 </w:t>
      </w:r>
      <w:r>
        <w:rPr>
          <w:spacing w:val="-6"/>
        </w:rPr>
        <w:t>武汉大学计算机科学系，获理学学士学位；毕业后被分配到湖北省自动化研究所，</w:t>
      </w:r>
      <w:r>
        <w:rPr>
          <w:spacing w:val="-118"/>
        </w:rPr>
        <w:t> </w:t>
      </w:r>
      <w:r>
        <w:rPr>
          <w:spacing w:val="-118"/>
        </w:rPr>
      </w:r>
      <w:r>
        <w:rPr/>
        <w:t>从事计算机过程控制；</w:t>
      </w:r>
      <w:r>
        <w:rPr>
          <w:rFonts w:ascii="Times New Roman" w:hAnsi="Times New Roman" w:cs="Times New Roman" w:eastAsia="Times New Roman" w:hint="default"/>
        </w:rPr>
        <w:t>1993 </w:t>
      </w:r>
      <w:r>
        <w:rPr/>
        <w:t>加入广东省惠州市信华精机有限公司，任信息中心</w:t>
      </w:r>
      <w:r>
        <w:rPr>
          <w:spacing w:val="-102"/>
        </w:rPr>
        <w:t> </w:t>
      </w:r>
      <w:r>
        <w:rPr>
          <w:spacing w:val="-102"/>
        </w:rPr>
      </w:r>
      <w:r>
        <w:rPr/>
        <w:t>经理，组织实施该公司的管理信息系统。</w:t>
      </w:r>
      <w:r>
        <w:rPr>
          <w:rFonts w:ascii="Times New Roman" w:hAnsi="Times New Roman" w:cs="Times New Roman" w:eastAsia="Times New Roman" w:hint="default"/>
        </w:rPr>
        <w:t>1997 </w:t>
      </w:r>
      <w:r>
        <w:rPr/>
        <w:t>年加入本公司、现负责行业业务</w:t>
      </w:r>
      <w:r>
        <w:rPr>
          <w:spacing w:val="-102"/>
        </w:rPr>
        <w:t> </w:t>
      </w:r>
      <w:r>
        <w:rPr>
          <w:spacing w:val="-102"/>
        </w:rPr>
      </w:r>
      <w:r>
        <w:rPr/>
        <w:t>拓展工作。</w:t>
      </w:r>
    </w:p>
    <w:p>
      <w:pPr>
        <w:pStyle w:val="BodyText"/>
        <w:spacing w:line="343" w:lineRule="auto" w:before="50"/>
        <w:ind w:right="231" w:firstLine="479"/>
        <w:jc w:val="both"/>
      </w:pPr>
      <w:r>
        <w:rPr>
          <w:rFonts w:ascii="宋体" w:hAnsi="宋体" w:cs="宋体" w:eastAsia="宋体" w:hint="default"/>
          <w:b/>
          <w:bCs/>
        </w:rPr>
        <w:t>邹秉灵先生：</w:t>
      </w:r>
      <w:r>
        <w:rPr/>
        <w:t>监事，中国国籍，无永久境外居留权，</w:t>
      </w:r>
      <w:r>
        <w:rPr>
          <w:rFonts w:ascii="Times New Roman" w:hAnsi="Times New Roman" w:cs="Times New Roman" w:eastAsia="Times New Roman" w:hint="default"/>
        </w:rPr>
        <w:t>1965</w:t>
      </w:r>
      <w:r>
        <w:rPr>
          <w:rFonts w:ascii="Times New Roman" w:hAnsi="Times New Roman" w:cs="Times New Roman" w:eastAsia="Times New Roman" w:hint="default"/>
          <w:spacing w:val="14"/>
        </w:rPr>
        <w:t> </w:t>
      </w:r>
      <w:r>
        <w:rPr/>
        <w:t>年出生，研究生 学历。</w:t>
      </w:r>
      <w:r>
        <w:rPr>
          <w:rFonts w:ascii="Times New Roman" w:hAnsi="Times New Roman" w:cs="Times New Roman" w:eastAsia="Times New Roman" w:hint="default"/>
        </w:rPr>
        <w:t>1987 </w:t>
      </w:r>
      <w:r>
        <w:rPr/>
        <w:t>年毕业于北京大学计算机系，获计算机软件专业学士学位；</w:t>
      </w:r>
      <w:r>
        <w:rPr>
          <w:rFonts w:ascii="Times New Roman" w:hAnsi="Times New Roman" w:cs="Times New Roman" w:eastAsia="Times New Roman" w:hint="default"/>
        </w:rPr>
        <w:t>1999</w:t>
      </w:r>
      <w:r>
        <w:rPr>
          <w:rFonts w:ascii="Times New Roman" w:hAnsi="Times New Roman" w:cs="Times New Roman" w:eastAsia="Times New Roman" w:hint="default"/>
          <w:spacing w:val="24"/>
        </w:rPr>
        <w:t> </w:t>
      </w:r>
      <w:r>
        <w:rPr/>
        <w:t>年 </w:t>
      </w:r>
      <w:r>
        <w:rPr>
          <w:spacing w:val="-3"/>
        </w:rPr>
        <w:t>毕业于中南财经大学金融管理学院，获国际金融专业硕士学位。曾任湖北省自动</w:t>
      </w:r>
      <w:r>
        <w:rPr>
          <w:spacing w:val="-111"/>
        </w:rPr>
        <w:t> </w:t>
      </w:r>
      <w:r>
        <w:rPr>
          <w:spacing w:val="-111"/>
        </w:rPr>
      </w:r>
      <w:r>
        <w:rPr/>
        <w:t>化研究所程序员、武汉证券公司电脑部主管、上海汉得信息技术有限公司</w:t>
      </w:r>
      <w:r>
        <w:rPr>
          <w:spacing w:val="50"/>
        </w:rPr>
        <w:t> </w:t>
      </w:r>
      <w:r>
        <w:rPr>
          <w:rFonts w:ascii="Times New Roman" w:hAnsi="Times New Roman" w:cs="Times New Roman" w:eastAsia="Times New Roman" w:hint="default"/>
        </w:rPr>
        <w:t>SAP</w:t>
      </w:r>
      <w:r>
        <w:rPr>
          <w:rFonts w:ascii="Times New Roman" w:hAnsi="Times New Roman" w:cs="Times New Roman" w:eastAsia="Times New Roman" w:hint="default"/>
          <w:spacing w:val="-53"/>
        </w:rPr>
        <w:t> </w:t>
      </w:r>
      <w:r>
        <w:rPr/>
        <w:t>咨询部经理，现为</w:t>
      </w:r>
      <w:r>
        <w:rPr>
          <w:spacing w:val="-62"/>
        </w:rPr>
        <w:t> </w:t>
      </w:r>
      <w:r>
        <w:rPr>
          <w:rFonts w:ascii="Times New Roman" w:hAnsi="Times New Roman" w:cs="Times New Roman" w:eastAsia="Times New Roman" w:hint="default"/>
        </w:rPr>
        <w:t>MAS </w:t>
      </w:r>
      <w:r>
        <w:rPr/>
        <w:t>产品部总监。</w:t>
      </w:r>
    </w:p>
    <w:p>
      <w:pPr>
        <w:pStyle w:val="BodyText"/>
        <w:spacing w:line="343" w:lineRule="auto" w:before="19"/>
        <w:ind w:right="236" w:firstLine="482"/>
        <w:jc w:val="both"/>
      </w:pPr>
      <w:r>
        <w:rPr>
          <w:rFonts w:ascii="宋体" w:hAnsi="宋体" w:cs="宋体" w:eastAsia="宋体" w:hint="default"/>
          <w:b/>
          <w:bCs/>
        </w:rPr>
        <w:t>石伟民先生：</w:t>
      </w:r>
      <w:r>
        <w:rPr/>
        <w:t>监事，中国国籍，无永久境外居留权，</w:t>
      </w:r>
      <w:r>
        <w:rPr>
          <w:rFonts w:ascii="Times New Roman" w:hAnsi="Times New Roman" w:cs="Times New Roman" w:eastAsia="Times New Roman" w:hint="default"/>
        </w:rPr>
        <w:t>1971 </w:t>
      </w:r>
      <w:r>
        <w:rPr/>
        <w:t>年出生，</w:t>
      </w:r>
      <w:r>
        <w:rPr>
          <w:rFonts w:ascii="Times New Roman" w:hAnsi="Times New Roman" w:cs="Times New Roman" w:eastAsia="Times New Roman" w:hint="default"/>
        </w:rPr>
        <w:t>1993</w:t>
      </w:r>
      <w:r>
        <w:rPr>
          <w:rFonts w:ascii="Times New Roman" w:hAnsi="Times New Roman" w:cs="Times New Roman" w:eastAsia="Times New Roman" w:hint="default"/>
          <w:spacing w:val="17"/>
        </w:rPr>
        <w:t> </w:t>
      </w:r>
      <w:r>
        <w:rPr/>
        <w:t>年 毕业于复旦大学，获理学学士学位，</w:t>
      </w:r>
      <w:r>
        <w:rPr>
          <w:rFonts w:ascii="Times New Roman" w:hAnsi="Times New Roman" w:cs="Times New Roman" w:eastAsia="Times New Roman" w:hint="default"/>
        </w:rPr>
        <w:t>1993</w:t>
      </w:r>
      <w:r>
        <w:rPr>
          <w:rFonts w:ascii="Times New Roman" w:hAnsi="Times New Roman" w:cs="Times New Roman" w:eastAsia="Times New Roman" w:hint="default"/>
          <w:spacing w:val="-11"/>
        </w:rPr>
        <w:t> </w:t>
      </w:r>
      <w:r>
        <w:rPr/>
        <w:t>年</w:t>
      </w:r>
      <w:r>
        <w:rPr>
          <w:spacing w:val="-71"/>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月获国家计算机与软件专业技术 </w:t>
      </w:r>
      <w:r>
        <w:rPr>
          <w:spacing w:val="-3"/>
        </w:rPr>
        <w:t>资格（水平）软件工程师资格。曾任英业达集团上海公司技术研发工程师，现任</w:t>
      </w:r>
      <w:r>
        <w:rPr>
          <w:spacing w:val="-111"/>
        </w:rPr>
        <w:t> </w:t>
      </w:r>
      <w:r>
        <w:rPr>
          <w:spacing w:val="-111"/>
        </w:rPr>
      </w:r>
      <w:r>
        <w:rPr/>
        <w:t>汉得公司技术部总监。</w:t>
      </w:r>
    </w:p>
    <w:p>
      <w:pPr>
        <w:spacing w:line="240" w:lineRule="auto" w:before="6"/>
        <w:rPr>
          <w:rFonts w:ascii="宋体" w:hAnsi="宋体" w:cs="宋体" w:eastAsia="宋体" w:hint="default"/>
          <w:sz w:val="35"/>
          <w:szCs w:val="35"/>
        </w:rPr>
      </w:pPr>
    </w:p>
    <w:p>
      <w:pPr>
        <w:pStyle w:val="BodyText"/>
        <w:spacing w:line="338" w:lineRule="auto" w:before="0"/>
        <w:ind w:left="622" w:right="222" w:hanging="3"/>
        <w:jc w:val="left"/>
      </w:pPr>
      <w:r>
        <w:rPr>
          <w:rFonts w:ascii="Times New Roman" w:hAnsi="Times New Roman" w:cs="Times New Roman" w:eastAsia="Times New Roman" w:hint="default"/>
        </w:rPr>
        <w:t>3</w:t>
      </w:r>
      <w:r>
        <w:rPr/>
        <w:t>、现任高级管理人员 </w:t>
      </w:r>
      <w:r>
        <w:rPr>
          <w:rFonts w:ascii="宋体" w:hAnsi="宋体" w:cs="宋体" w:eastAsia="宋体" w:hint="default"/>
          <w:b/>
          <w:bCs/>
        </w:rPr>
        <w:t>陈迪清先生：</w:t>
      </w:r>
      <w:r>
        <w:rPr/>
        <w:t>总经理，简历详见上述之“</w:t>
      </w:r>
      <w:r>
        <w:rPr>
          <w:rFonts w:ascii="Times New Roman" w:hAnsi="Times New Roman" w:cs="Times New Roman" w:eastAsia="Times New Roman" w:hint="default"/>
        </w:rPr>
        <w:t>1</w:t>
      </w:r>
      <w:r>
        <w:rPr/>
        <w:t>、董事会成员”。 </w:t>
      </w:r>
      <w:r>
        <w:rPr>
          <w:rFonts w:ascii="宋体" w:hAnsi="宋体" w:cs="宋体" w:eastAsia="宋体" w:hint="default"/>
          <w:b/>
          <w:bCs/>
        </w:rPr>
        <w:t>张伟锋先生：</w:t>
      </w:r>
      <w:r>
        <w:rPr/>
        <w:t>中国国籍，无境外永久居留权，</w:t>
      </w:r>
      <w:r>
        <w:rPr>
          <w:rFonts w:ascii="Times New Roman" w:hAnsi="Times New Roman" w:cs="Times New Roman" w:eastAsia="Times New Roman" w:hint="default"/>
        </w:rPr>
        <w:t>2001 </w:t>
      </w:r>
      <w:r>
        <w:rPr>
          <w:rFonts w:ascii="Times New Roman" w:hAnsi="Times New Roman" w:cs="Times New Roman" w:eastAsia="Times New Roman" w:hint="default"/>
          <w:spacing w:val="16"/>
        </w:rPr>
        <w:t> </w:t>
      </w:r>
      <w:r>
        <w:rPr/>
        <w:t>年毕业于复旦大学企业</w:t>
      </w:r>
    </w:p>
    <w:p>
      <w:pPr>
        <w:pStyle w:val="BodyText"/>
        <w:spacing w:line="240" w:lineRule="auto" w:before="27"/>
        <w:ind w:right="0"/>
        <w:jc w:val="left"/>
        <w:rPr>
          <w:rFonts w:ascii="Times New Roman" w:hAnsi="Times New Roman" w:cs="Times New Roman" w:eastAsia="Times New Roman" w:hint="default"/>
        </w:rPr>
      </w:pPr>
      <w:r>
        <w:rPr/>
        <w:t>管理专业，本科学历。</w:t>
      </w:r>
      <w:r>
        <w:rPr>
          <w:rFonts w:ascii="Times New Roman" w:hAnsi="Times New Roman" w:cs="Times New Roman" w:eastAsia="Times New Roman" w:hint="default"/>
        </w:rPr>
        <w:t>2001</w:t>
      </w:r>
      <w:r>
        <w:rPr>
          <w:rFonts w:ascii="Times New Roman" w:hAnsi="Times New Roman" w:cs="Times New Roman" w:eastAsia="Times New Roman" w:hint="default"/>
          <w:spacing w:val="-10"/>
        </w:rPr>
        <w:t> </w:t>
      </w:r>
      <w:r>
        <w:rPr/>
        <w:t>年</w:t>
      </w:r>
      <w:r>
        <w:rPr>
          <w:spacing w:val="-70"/>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月加入汉得公司，历任</w:t>
      </w:r>
      <w:r>
        <w:rPr>
          <w:spacing w:val="-70"/>
        </w:rPr>
        <w:t> </w:t>
      </w:r>
      <w:r>
        <w:rPr>
          <w:rFonts w:ascii="Times New Roman" w:hAnsi="Times New Roman" w:cs="Times New Roman" w:eastAsia="Times New Roman" w:hint="default"/>
        </w:rPr>
        <w:t>Oracle</w:t>
      </w:r>
      <w:r>
        <w:rPr>
          <w:rFonts w:ascii="Times New Roman" w:hAnsi="Times New Roman" w:cs="Times New Roman" w:eastAsia="Times New Roman" w:hint="default"/>
          <w:spacing w:val="40"/>
        </w:rPr>
        <w:t> </w:t>
      </w:r>
      <w:r>
        <w:rPr/>
        <w:t>咨询顾问、</w:t>
      </w:r>
      <w:r>
        <w:rPr>
          <w:rFonts w:ascii="Times New Roman" w:hAnsi="Times New Roman" w:cs="Times New Roman" w:eastAsia="Times New Roman" w:hint="default"/>
        </w:rPr>
        <w:t>MAS</w:t>
      </w:r>
    </w:p>
    <w:p>
      <w:pPr>
        <w:spacing w:after="0" w:line="240" w:lineRule="auto"/>
        <w:jc w:val="left"/>
        <w:rPr>
          <w:rFonts w:ascii="Times New Roman" w:hAnsi="Times New Roman" w:cs="Times New Roman" w:eastAsia="Times New Roman" w:hint="default"/>
        </w:rPr>
        <w:sectPr>
          <w:pgSz w:w="11910" w:h="16840"/>
          <w:pgMar w:header="884" w:footer="980" w:top="1140" w:bottom="1160" w:left="1660" w:right="1560"/>
        </w:sectPr>
      </w:pPr>
    </w:p>
    <w:p>
      <w:pPr>
        <w:spacing w:line="240" w:lineRule="auto" w:before="8"/>
        <w:rPr>
          <w:rFonts w:ascii="Times New Roman" w:hAnsi="Times New Roman" w:cs="Times New Roman" w:eastAsia="Times New Roman" w:hint="default"/>
          <w:sz w:val="18"/>
          <w:szCs w:val="18"/>
        </w:rPr>
      </w:pPr>
    </w:p>
    <w:p>
      <w:pPr>
        <w:pStyle w:val="BodyText"/>
        <w:spacing w:line="338" w:lineRule="auto" w:before="26"/>
        <w:ind w:left="220" w:right="205"/>
        <w:jc w:val="left"/>
      </w:pPr>
      <w:r>
        <w:rPr/>
        <w:t>咨询顾问，自</w:t>
      </w:r>
      <w:r>
        <w:rPr>
          <w:spacing w:val="-64"/>
        </w:rPr>
        <w:t> </w:t>
      </w:r>
      <w:r>
        <w:rPr>
          <w:rFonts w:ascii="Times New Roman" w:hAnsi="Times New Roman" w:cs="Times New Roman" w:eastAsia="Times New Roman" w:hint="default"/>
        </w:rPr>
        <w:t>2005</w:t>
      </w:r>
      <w:r>
        <w:rPr>
          <w:rFonts w:ascii="Times New Roman" w:hAnsi="Times New Roman" w:cs="Times New Roman" w:eastAsia="Times New Roman" w:hint="default"/>
          <w:spacing w:val="-3"/>
        </w:rPr>
        <w:t> </w:t>
      </w:r>
      <w:r>
        <w:rPr/>
        <w:t>年起担任</w:t>
      </w:r>
      <w:r>
        <w:rPr>
          <w:spacing w:val="-63"/>
        </w:rPr>
        <w:t> </w:t>
      </w:r>
      <w:r>
        <w:rPr>
          <w:rFonts w:ascii="Times New Roman" w:hAnsi="Times New Roman" w:cs="Times New Roman" w:eastAsia="Times New Roman" w:hint="default"/>
        </w:rPr>
        <w:t>MAS</w:t>
      </w:r>
      <w:r>
        <w:rPr>
          <w:rFonts w:ascii="Times New Roman" w:hAnsi="Times New Roman" w:cs="Times New Roman" w:eastAsia="Times New Roman" w:hint="default"/>
          <w:spacing w:val="-3"/>
        </w:rPr>
        <w:t> </w:t>
      </w:r>
      <w:r>
        <w:rPr/>
        <w:t>咨询部经理，自</w:t>
      </w:r>
      <w:r>
        <w:rPr>
          <w:spacing w:val="-6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年起担任汉得信息总经 理助理</w:t>
      </w:r>
      <w:r>
        <w:rPr>
          <w:rFonts w:ascii="Times New Roman" w:hAnsi="Times New Roman" w:cs="Times New Roman" w:eastAsia="Times New Roman" w:hint="default"/>
        </w:rPr>
        <w:t>/</w:t>
      </w:r>
      <w:r>
        <w:rPr/>
        <w:t>证券事务代表，现任本公司董事会秘书。</w:t>
      </w:r>
    </w:p>
    <w:p>
      <w:pPr>
        <w:pStyle w:val="BodyText"/>
        <w:spacing w:line="348" w:lineRule="auto" w:before="103"/>
        <w:ind w:left="220" w:right="216" w:firstLine="482"/>
        <w:jc w:val="both"/>
      </w:pPr>
      <w:r>
        <w:rPr>
          <w:rFonts w:ascii="宋体" w:hAnsi="宋体" w:cs="宋体" w:eastAsia="宋体" w:hint="default"/>
          <w:b/>
          <w:bCs/>
        </w:rPr>
        <w:t>黄良之先生：</w:t>
      </w:r>
      <w:r>
        <w:rPr/>
        <w:t>财务总监，中国国籍，无永久境外居留权，</w:t>
      </w:r>
      <w:r>
        <w:rPr>
          <w:rFonts w:ascii="Times New Roman" w:hAnsi="Times New Roman" w:cs="Times New Roman" w:eastAsia="Times New Roman" w:hint="default"/>
        </w:rPr>
        <w:t>1973</w:t>
      </w:r>
      <w:r>
        <w:rPr>
          <w:rFonts w:ascii="Times New Roman" w:hAnsi="Times New Roman" w:cs="Times New Roman" w:eastAsia="Times New Roman" w:hint="default"/>
          <w:spacing w:val="15"/>
        </w:rPr>
        <w:t> </w:t>
      </w:r>
      <w:r>
        <w:rPr/>
        <w:t>年出生，复 </w:t>
      </w:r>
      <w:r>
        <w:rPr>
          <w:spacing w:val="-3"/>
        </w:rPr>
        <w:t>旦大学文学学士、复旦大学会计硕士。曾任东京三菱银行上海分行信贷主管，三</w:t>
      </w:r>
      <w:r>
        <w:rPr>
          <w:spacing w:val="-111"/>
        </w:rPr>
        <w:t> </w:t>
      </w:r>
      <w:r>
        <w:rPr>
          <w:spacing w:val="-111"/>
        </w:rPr>
      </w:r>
      <w:r>
        <w:rPr>
          <w:spacing w:val="-3"/>
        </w:rPr>
        <w:t>菱商事（上海）有限公司副经理，上海理光数码设备有限公司财务部副部长，上</w:t>
      </w:r>
      <w:r>
        <w:rPr>
          <w:spacing w:val="-111"/>
        </w:rPr>
        <w:t> </w:t>
      </w:r>
      <w:r>
        <w:rPr>
          <w:spacing w:val="-111"/>
        </w:rPr>
      </w:r>
      <w:r>
        <w:rPr/>
        <w:t>海吉田拉链有限公司财务部长，</w:t>
      </w:r>
      <w:r>
        <w:rPr>
          <w:rFonts w:ascii="Times New Roman" w:hAnsi="Times New Roman" w:cs="Times New Roman" w:eastAsia="Times New Roman" w:hint="default"/>
        </w:rPr>
        <w:t>2009</w:t>
      </w:r>
      <w:r>
        <w:rPr>
          <w:rFonts w:ascii="Times New Roman" w:hAnsi="Times New Roman" w:cs="Times New Roman" w:eastAsia="Times New Roman" w:hint="default"/>
          <w:spacing w:val="16"/>
        </w:rPr>
        <w:t> </w:t>
      </w:r>
      <w:r>
        <w:rPr/>
        <w:t>年以来任上海汉得信息技术有限公司财务</w:t>
      </w:r>
      <w:r>
        <w:rPr>
          <w:spacing w:val="-118"/>
        </w:rPr>
        <w:t> </w:t>
      </w:r>
      <w:r>
        <w:rPr>
          <w:spacing w:val="-118"/>
        </w:rPr>
      </w:r>
      <w:r>
        <w:rPr/>
        <w:t>总监。现任本公司财务总监。</w:t>
      </w:r>
    </w:p>
    <w:p>
      <w:pPr>
        <w:pStyle w:val="BodyText"/>
        <w:spacing w:line="357" w:lineRule="auto" w:before="46"/>
        <w:ind w:left="340" w:right="205" w:firstLine="479"/>
        <w:jc w:val="left"/>
      </w:pPr>
      <w:r>
        <w:rPr/>
        <w:t>（三）董事、监事、高级管理人员与其他核心人员的兼职情况和兼职单位 与本公司的关联关系</w:t>
      </w:r>
    </w:p>
    <w:p>
      <w:pPr>
        <w:pStyle w:val="BodyText"/>
        <w:spacing w:line="240" w:lineRule="auto" w:before="37"/>
        <w:ind w:left="700" w:right="205"/>
        <w:jc w:val="left"/>
      </w:pPr>
      <w:r>
        <w:rPr>
          <w:rFonts w:ascii="Times New Roman" w:hAnsi="Times New Roman" w:cs="Times New Roman" w:eastAsia="Times New Roman" w:hint="default"/>
        </w:rPr>
        <w:t>1</w:t>
      </w:r>
      <w:r>
        <w:rPr/>
        <w:t>、于本公司关联企业任职情况</w:t>
      </w:r>
    </w:p>
    <w:p>
      <w:pPr>
        <w:spacing w:line="240" w:lineRule="auto" w:before="5"/>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212"/>
        <w:gridCol w:w="1892"/>
        <w:gridCol w:w="1968"/>
        <w:gridCol w:w="1476"/>
        <w:gridCol w:w="1976"/>
      </w:tblGrid>
      <w:tr>
        <w:trPr>
          <w:trHeight w:val="283" w:hRule="exact"/>
        </w:trPr>
        <w:tc>
          <w:tcPr>
            <w:tcW w:w="1212"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892"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b/>
                <w:bCs/>
                <w:sz w:val="21"/>
                <w:szCs w:val="21"/>
              </w:rPr>
              <w:t>本公司职位</w:t>
            </w:r>
            <w:r>
              <w:rPr>
                <w:rFonts w:ascii="宋体" w:hAnsi="宋体" w:cs="宋体" w:eastAsia="宋体" w:hint="default"/>
                <w:sz w:val="21"/>
                <w:szCs w:val="21"/>
              </w:rPr>
            </w:r>
          </w:p>
        </w:tc>
        <w:tc>
          <w:tcPr>
            <w:tcW w:w="5420" w:type="dxa"/>
            <w:gridSpan w:val="3"/>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b/>
                <w:bCs/>
                <w:sz w:val="21"/>
                <w:szCs w:val="21"/>
              </w:rPr>
              <w:t>兼职单位情况</w:t>
            </w:r>
            <w:r>
              <w:rPr>
                <w:rFonts w:ascii="宋体" w:hAnsi="宋体" w:cs="宋体" w:eastAsia="宋体" w:hint="default"/>
                <w:sz w:val="21"/>
                <w:szCs w:val="21"/>
              </w:rPr>
            </w:r>
          </w:p>
        </w:tc>
      </w:tr>
      <w:tr>
        <w:trPr>
          <w:trHeight w:val="554" w:hRule="exact"/>
        </w:trPr>
        <w:tc>
          <w:tcPr>
            <w:tcW w:w="1212" w:type="dxa"/>
            <w:vMerge/>
            <w:tcBorders>
              <w:left w:val="single" w:sz="4" w:space="0" w:color="000000"/>
              <w:bottom w:val="single" w:sz="4" w:space="0" w:color="000000"/>
              <w:right w:val="single" w:sz="4" w:space="0" w:color="000000"/>
            </w:tcBorders>
            <w:shd w:val="clear" w:color="auto" w:fill="DFDFDF"/>
          </w:tcPr>
          <w:p>
            <w:pPr/>
          </w:p>
        </w:tc>
        <w:tc>
          <w:tcPr>
            <w:tcW w:w="1892" w:type="dxa"/>
            <w:vMerge/>
            <w:tcBorders>
              <w:left w:val="single" w:sz="4" w:space="0" w:color="000000"/>
              <w:bottom w:val="single" w:sz="4" w:space="0" w:color="000000"/>
              <w:right w:val="single" w:sz="4" w:space="0" w:color="000000"/>
            </w:tcBorders>
            <w:shd w:val="clear" w:color="auto" w:fill="DFDFDF"/>
          </w:tcPr>
          <w:p>
            <w:pPr/>
          </w:p>
        </w:tc>
        <w:tc>
          <w:tcPr>
            <w:tcW w:w="196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b/>
                <w:bCs/>
                <w:sz w:val="21"/>
                <w:szCs w:val="21"/>
              </w:rPr>
              <w:t>兼职单位</w:t>
            </w:r>
            <w:r>
              <w:rPr>
                <w:rFonts w:ascii="宋体" w:hAnsi="宋体" w:cs="宋体" w:eastAsia="宋体" w:hint="default"/>
                <w:sz w:val="21"/>
                <w:szCs w:val="21"/>
              </w:rPr>
            </w:r>
          </w:p>
        </w:tc>
        <w:tc>
          <w:tcPr>
            <w:tcW w:w="147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97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是否在该兼职方</w:t>
            </w:r>
            <w:r>
              <w:rPr>
                <w:rFonts w:ascii="宋体" w:hAnsi="宋体" w:cs="宋体" w:eastAsia="宋体" w:hint="default"/>
                <w:sz w:val="21"/>
                <w:szCs w:val="21"/>
              </w:rPr>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领取薪资</w:t>
            </w:r>
            <w:r>
              <w:rPr>
                <w:rFonts w:ascii="宋体" w:hAnsi="宋体" w:cs="宋体" w:eastAsia="宋体" w:hint="default"/>
                <w:sz w:val="21"/>
                <w:szCs w:val="21"/>
              </w:rPr>
            </w:r>
          </w:p>
        </w:tc>
      </w:tr>
      <w:tr>
        <w:trPr>
          <w:trHeight w:val="281" w:hRule="exact"/>
        </w:trPr>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范建震</w:t>
            </w:r>
          </w:p>
        </w:tc>
        <w:tc>
          <w:tcPr>
            <w:tcW w:w="189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迪宣投资</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212" w:type="dxa"/>
            <w:vMerge/>
            <w:tcBorders>
              <w:left w:val="single" w:sz="4" w:space="0" w:color="000000"/>
              <w:right w:val="single" w:sz="4" w:space="0" w:color="000000"/>
            </w:tcBorders>
          </w:tcPr>
          <w:p>
            <w:pPr/>
          </w:p>
        </w:tc>
        <w:tc>
          <w:tcPr>
            <w:tcW w:w="1892" w:type="dxa"/>
            <w:vMerge/>
            <w:tcBorders>
              <w:left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sz w:val="21"/>
              </w:rPr>
              <w:t>First</w:t>
            </w:r>
            <w:r>
              <w:rPr>
                <w:rFonts w:ascii="Times New Roman"/>
                <w:spacing w:val="-8"/>
                <w:sz w:val="21"/>
              </w:rPr>
              <w:t> </w:t>
            </w:r>
            <w:r>
              <w:rPr>
                <w:rFonts w:ascii="Times New Roman"/>
                <w:sz w:val="21"/>
              </w:rPr>
              <w:t>Delta</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212" w:type="dxa"/>
            <w:vMerge/>
            <w:tcBorders>
              <w:left w:val="single" w:sz="4" w:space="0" w:color="000000"/>
              <w:bottom w:val="single" w:sz="4" w:space="0" w:color="000000"/>
              <w:right w:val="single" w:sz="4" w:space="0" w:color="000000"/>
            </w:tcBorders>
          </w:tcPr>
          <w:p>
            <w:pPr/>
          </w:p>
        </w:tc>
        <w:tc>
          <w:tcPr>
            <w:tcW w:w="1892" w:type="dxa"/>
            <w:vMerge/>
            <w:tcBorders>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新加坡汉得</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107"/>
              <w:ind w:left="285" w:right="0"/>
              <w:jc w:val="left"/>
              <w:rPr>
                <w:rFonts w:ascii="宋体" w:hAnsi="宋体" w:cs="宋体" w:eastAsia="宋体" w:hint="default"/>
                <w:sz w:val="21"/>
                <w:szCs w:val="21"/>
              </w:rPr>
            </w:pPr>
            <w:r>
              <w:rPr>
                <w:rFonts w:ascii="宋体" w:hAnsi="宋体" w:cs="宋体" w:eastAsia="宋体" w:hint="default"/>
                <w:sz w:val="21"/>
                <w:szCs w:val="21"/>
              </w:rPr>
              <w:t>陈迪清</w:t>
            </w:r>
          </w:p>
        </w:tc>
        <w:tc>
          <w:tcPr>
            <w:tcW w:w="1892" w:type="dxa"/>
            <w:vMerge w:val="restart"/>
            <w:tcBorders>
              <w:top w:val="single" w:sz="4" w:space="0" w:color="000000"/>
              <w:left w:val="single" w:sz="4" w:space="0" w:color="000000"/>
              <w:right w:val="single" w:sz="4" w:space="0" w:color="000000"/>
            </w:tcBorders>
          </w:tcPr>
          <w:p>
            <w:pPr>
              <w:pStyle w:val="TableParagraph"/>
              <w:spacing w:line="240" w:lineRule="auto" w:before="107"/>
              <w:ind w:left="624"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Times New Roman" w:hAnsi="Times New Roman" w:cs="Times New Roman" w:eastAsia="Times New Roman" w:hint="default"/>
                <w:sz w:val="21"/>
                <w:szCs w:val="21"/>
              </w:rPr>
            </w:pPr>
            <w:r>
              <w:rPr>
                <w:rFonts w:ascii="Times New Roman"/>
                <w:sz w:val="21"/>
              </w:rPr>
              <w:t>First</w:t>
            </w:r>
            <w:r>
              <w:rPr>
                <w:rFonts w:ascii="Times New Roman"/>
                <w:spacing w:val="-8"/>
                <w:sz w:val="21"/>
              </w:rPr>
              <w:t> </w:t>
            </w:r>
            <w:r>
              <w:rPr>
                <w:rFonts w:ascii="Times New Roman"/>
                <w:sz w:val="21"/>
              </w:rPr>
              <w:t>Delta</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212" w:type="dxa"/>
            <w:vMerge/>
            <w:tcBorders>
              <w:left w:val="single" w:sz="4" w:space="0" w:color="000000"/>
              <w:bottom w:val="single" w:sz="4" w:space="0" w:color="000000"/>
              <w:right w:val="single" w:sz="4" w:space="0" w:color="000000"/>
            </w:tcBorders>
          </w:tcPr>
          <w:p>
            <w:pPr/>
          </w:p>
        </w:tc>
        <w:tc>
          <w:tcPr>
            <w:tcW w:w="1892" w:type="dxa"/>
            <w:vMerge/>
            <w:tcBorders>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新加坡汉得</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BodyText"/>
        <w:spacing w:line="240" w:lineRule="auto" w:before="39"/>
        <w:ind w:left="700" w:right="205"/>
        <w:jc w:val="left"/>
      </w:pPr>
      <w:r>
        <w:rPr>
          <w:rFonts w:ascii="Times New Roman" w:hAnsi="Times New Roman" w:cs="Times New Roman" w:eastAsia="Times New Roman" w:hint="default"/>
        </w:rPr>
        <w:t>2</w:t>
      </w:r>
      <w:r>
        <w:rPr/>
        <w:t>、于本公司非关联企业任职情况</w:t>
      </w:r>
    </w:p>
    <w:p>
      <w:pPr>
        <w:spacing w:line="240" w:lineRule="auto" w:before="5"/>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960"/>
        <w:gridCol w:w="1462"/>
        <w:gridCol w:w="4755"/>
        <w:gridCol w:w="1347"/>
      </w:tblGrid>
      <w:tr>
        <w:trPr>
          <w:trHeight w:val="470" w:hRule="exact"/>
        </w:trPr>
        <w:tc>
          <w:tcPr>
            <w:tcW w:w="96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2"/>
              <w:ind w:left="263" w:right="0"/>
              <w:jc w:val="left"/>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4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2"/>
              <w:ind w:left="199" w:right="0"/>
              <w:jc w:val="left"/>
              <w:rPr>
                <w:rFonts w:ascii="宋体" w:hAnsi="宋体" w:cs="宋体" w:eastAsia="宋体" w:hint="default"/>
                <w:sz w:val="21"/>
                <w:szCs w:val="21"/>
              </w:rPr>
            </w:pPr>
            <w:r>
              <w:rPr>
                <w:rFonts w:ascii="宋体" w:hAnsi="宋体" w:cs="宋体" w:eastAsia="宋体" w:hint="default"/>
                <w:b/>
                <w:bCs/>
                <w:sz w:val="21"/>
                <w:szCs w:val="21"/>
              </w:rPr>
              <w:t>本公司职务</w:t>
            </w:r>
            <w:r>
              <w:rPr>
                <w:rFonts w:ascii="宋体" w:hAnsi="宋体" w:cs="宋体" w:eastAsia="宋体" w:hint="default"/>
                <w:sz w:val="21"/>
                <w:szCs w:val="21"/>
              </w:rPr>
            </w:r>
          </w:p>
        </w:tc>
        <w:tc>
          <w:tcPr>
            <w:tcW w:w="475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b/>
                <w:bCs/>
                <w:sz w:val="21"/>
                <w:szCs w:val="21"/>
              </w:rPr>
              <w:t>任职法人企业</w:t>
            </w:r>
            <w:r>
              <w:rPr>
                <w:rFonts w:ascii="宋体" w:hAnsi="宋体" w:cs="宋体" w:eastAsia="宋体" w:hint="default"/>
                <w:sz w:val="21"/>
                <w:szCs w:val="21"/>
              </w:rPr>
            </w:r>
          </w:p>
        </w:tc>
        <w:tc>
          <w:tcPr>
            <w:tcW w:w="134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2"/>
              <w:ind w:left="247" w:right="0"/>
              <w:jc w:val="left"/>
              <w:rPr>
                <w:rFonts w:ascii="宋体" w:hAnsi="宋体" w:cs="宋体" w:eastAsia="宋体" w:hint="default"/>
                <w:sz w:val="21"/>
                <w:szCs w:val="21"/>
              </w:rPr>
            </w:pPr>
            <w:r>
              <w:rPr>
                <w:rFonts w:ascii="宋体" w:hAnsi="宋体" w:cs="宋体" w:eastAsia="宋体" w:hint="default"/>
                <w:b/>
                <w:bCs/>
                <w:sz w:val="21"/>
                <w:szCs w:val="21"/>
              </w:rPr>
              <w:t>任职情况</w:t>
            </w:r>
            <w:r>
              <w:rPr>
                <w:rFonts w:ascii="宋体" w:hAnsi="宋体" w:cs="宋体" w:eastAsia="宋体" w:hint="default"/>
                <w:sz w:val="21"/>
                <w:szCs w:val="21"/>
              </w:rPr>
            </w:r>
          </w:p>
        </w:tc>
      </w:tr>
      <w:tr>
        <w:trPr>
          <w:trHeight w:val="284" w:hRule="exact"/>
        </w:trPr>
        <w:tc>
          <w:tcPr>
            <w:tcW w:w="9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刘维</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7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国浩律师集团（上海）事务所</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管理合伙人</w:t>
            </w:r>
          </w:p>
        </w:tc>
      </w:tr>
      <w:tr>
        <w:trPr>
          <w:trHeight w:val="283" w:hRule="exact"/>
        </w:trPr>
        <w:tc>
          <w:tcPr>
            <w:tcW w:w="960"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4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承德大路股份有限公司</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281" w:hRule="exact"/>
        </w:trPr>
        <w:tc>
          <w:tcPr>
            <w:tcW w:w="960"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4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新疆西龙土工新材料股份有限公司</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283" w:hRule="exact"/>
        </w:trPr>
        <w:tc>
          <w:tcPr>
            <w:tcW w:w="960"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47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四川广汉士达炭素股份有限公司</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283" w:hRule="exact"/>
        </w:trPr>
        <w:tc>
          <w:tcPr>
            <w:tcW w:w="9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103" w:right="0"/>
              <w:jc w:val="left"/>
              <w:rPr>
                <w:rFonts w:ascii="宋体" w:hAnsi="宋体" w:cs="宋体" w:eastAsia="宋体" w:hint="default"/>
                <w:sz w:val="21"/>
                <w:szCs w:val="21"/>
              </w:rPr>
            </w:pPr>
            <w:r>
              <w:rPr>
                <w:rFonts w:ascii="宋体" w:hAnsi="宋体" w:cs="宋体" w:eastAsia="宋体" w:hint="default"/>
                <w:sz w:val="21"/>
                <w:szCs w:val="21"/>
              </w:rPr>
              <w:t>陈靖丰</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30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上海大众公用事业（集团）股份有限公司</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Times New Roman" w:hAnsi="Times New Roman" w:cs="Times New Roman" w:eastAsia="Times New Roman" w:hint="default"/>
                <w:sz w:val="21"/>
                <w:szCs w:val="21"/>
              </w:rPr>
              <w:t>/</w:t>
            </w:r>
            <w:r>
              <w:rPr>
                <w:rFonts w:ascii="宋体" w:hAnsi="宋体" w:cs="宋体" w:eastAsia="宋体" w:hint="default"/>
                <w:sz w:val="21"/>
                <w:szCs w:val="21"/>
              </w:rPr>
              <w:t>总经理</w:t>
            </w:r>
          </w:p>
        </w:tc>
      </w:tr>
      <w:tr>
        <w:trPr>
          <w:trHeight w:val="281" w:hRule="exact"/>
        </w:trPr>
        <w:tc>
          <w:tcPr>
            <w:tcW w:w="960"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4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大众交通（集团）股份有限公司</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960"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4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上海大众环境产业有限公司</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960"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4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上海大众集团资本股权投资有限公司</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960"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4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上海兴烨创业投资有限公司</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960"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4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上海翔殷路隧道建设发展有限公司</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9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曹惠民</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上海立信会计学院</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教授</w:t>
            </w:r>
          </w:p>
        </w:tc>
      </w:tr>
      <w:tr>
        <w:trPr>
          <w:trHeight w:val="281" w:hRule="exact"/>
        </w:trPr>
        <w:tc>
          <w:tcPr>
            <w:tcW w:w="960"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4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上海国际港务集团股份有限公司</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283" w:hRule="exact"/>
        </w:trPr>
        <w:tc>
          <w:tcPr>
            <w:tcW w:w="960"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4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上海友谊集团股份有限公司</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281" w:hRule="exact"/>
        </w:trPr>
        <w:tc>
          <w:tcPr>
            <w:tcW w:w="960"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4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上海二纺机股份有限公司</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283" w:hRule="exact"/>
        </w:trPr>
        <w:tc>
          <w:tcPr>
            <w:tcW w:w="960"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47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上海九百股份有限公司</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r>
    </w:tbl>
    <w:p>
      <w:pPr>
        <w:spacing w:line="240" w:lineRule="auto" w:before="11"/>
        <w:rPr>
          <w:rFonts w:ascii="宋体" w:hAnsi="宋体" w:cs="宋体" w:eastAsia="宋体" w:hint="default"/>
          <w:sz w:val="24"/>
          <w:szCs w:val="24"/>
        </w:rPr>
      </w:pPr>
    </w:p>
    <w:p>
      <w:pPr>
        <w:pStyle w:val="BodyText"/>
        <w:spacing w:line="357" w:lineRule="auto" w:before="26"/>
        <w:ind w:left="700" w:right="217"/>
        <w:jc w:val="left"/>
      </w:pPr>
      <w:r>
        <w:rPr/>
        <w:t>（四）报告期内董事、监事、高级管理人员变动情况 </w:t>
      </w:r>
      <w:r>
        <w:rPr>
          <w:rFonts w:ascii="宋体" w:hAnsi="宋体" w:cs="宋体" w:eastAsia="宋体" w:hint="default"/>
          <w:spacing w:val="-3"/>
        </w:rPr>
        <w:t>1</w:t>
      </w:r>
      <w:r>
        <w:rPr>
          <w:spacing w:val="-3"/>
        </w:rPr>
        <w:t>、</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30</w:t>
      </w:r>
      <w:r>
        <w:rPr>
          <w:spacing w:val="-3"/>
        </w:rPr>
        <w:t>日公司董事会收到公司董事柯世锋先生、陈敏川先生提交的</w:t>
      </w:r>
    </w:p>
    <w:p>
      <w:pPr>
        <w:pStyle w:val="BodyText"/>
        <w:spacing w:line="240" w:lineRule="auto" w:before="5"/>
        <w:ind w:left="220" w:right="205"/>
        <w:jc w:val="left"/>
      </w:pPr>
      <w:r>
        <w:rPr>
          <w:spacing w:val="-10"/>
        </w:rPr>
        <w:t>书面辞职报告，柯世锋先生、陈敏川先生因私人原因辞去公司董事职务。根据《公</w:t>
      </w:r>
    </w:p>
    <w:p>
      <w:pPr>
        <w:spacing w:after="0" w:line="240" w:lineRule="auto"/>
        <w:jc w:val="left"/>
        <w:sectPr>
          <w:pgSz w:w="11910" w:h="16840"/>
          <w:pgMar w:header="884" w:footer="980" w:top="1140" w:bottom="1160" w:left="1580" w:right="1580"/>
        </w:sectPr>
      </w:pPr>
    </w:p>
    <w:p>
      <w:pPr>
        <w:spacing w:line="240" w:lineRule="auto" w:before="6"/>
        <w:rPr>
          <w:rFonts w:ascii="宋体" w:hAnsi="宋体" w:cs="宋体" w:eastAsia="宋体" w:hint="default"/>
          <w:sz w:val="22"/>
          <w:szCs w:val="22"/>
        </w:rPr>
      </w:pPr>
    </w:p>
    <w:p>
      <w:pPr>
        <w:pStyle w:val="BodyText"/>
        <w:spacing w:line="357" w:lineRule="auto" w:before="26"/>
        <w:ind w:left="220" w:right="211"/>
        <w:jc w:val="left"/>
      </w:pPr>
      <w:r>
        <w:rPr>
          <w:spacing w:val="-3"/>
        </w:rPr>
        <w:t>司章程》规定，柯世锋先生、陈敏川先生即日起不再担任公司董事职务。柯世锋</w:t>
      </w:r>
      <w:r>
        <w:rPr>
          <w:spacing w:val="-111"/>
        </w:rPr>
        <w:t> </w:t>
      </w:r>
      <w:r>
        <w:rPr>
          <w:spacing w:val="-111"/>
        </w:rPr>
      </w:r>
      <w:r>
        <w:rPr/>
        <w:t>先生、陈敏川先生辞去公司董事职务后，不再在公司担任任何职务。</w:t>
      </w:r>
    </w:p>
    <w:p>
      <w:pPr>
        <w:pStyle w:val="BodyText"/>
        <w:spacing w:line="350" w:lineRule="auto" w:before="36"/>
        <w:ind w:left="220" w:right="215" w:firstLine="479"/>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11</w:t>
      </w:r>
      <w:r>
        <w:rPr>
          <w:rFonts w:ascii="Times New Roman" w:hAnsi="Times New Roman" w:cs="Times New Roman" w:eastAsia="Times New Roman" w:hint="default"/>
          <w:spacing w:val="16"/>
        </w:rPr>
        <w:t> </w:t>
      </w:r>
      <w:r>
        <w:rPr/>
        <w:t>月</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日，公司董事会收到黄良之先生正式书面辞职报告。黄 </w:t>
      </w:r>
      <w:r>
        <w:rPr>
          <w:spacing w:val="-3"/>
        </w:rPr>
        <w:t>良之先生因个人原因辞去本公司董事会秘书职务，辞职后继续在公司担任财务总</w:t>
      </w:r>
      <w:r>
        <w:rPr>
          <w:spacing w:val="-109"/>
        </w:rPr>
        <w:t> </w:t>
      </w:r>
      <w:r>
        <w:rPr>
          <w:spacing w:val="-109"/>
        </w:rPr>
      </w:r>
      <w:r>
        <w:rPr>
          <w:spacing w:val="-3"/>
        </w:rPr>
        <w:t>监职务。其确认与本公司董事会并无不同意见，亦无任何事项需要通知本公司股</w:t>
      </w:r>
      <w:r>
        <w:rPr>
          <w:spacing w:val="-111"/>
        </w:rPr>
        <w:t> </w:t>
      </w:r>
      <w:r>
        <w:rPr>
          <w:spacing w:val="-111"/>
        </w:rPr>
      </w:r>
      <w:r>
        <w:rPr/>
        <w:t>东。</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11</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日，公司第一届董事会第二十一次（临时）会议审议通过了</w:t>
      </w:r>
    </w:p>
    <w:p>
      <w:pPr>
        <w:spacing w:line="357" w:lineRule="auto" w:before="13"/>
        <w:ind w:left="220" w:right="211" w:firstLine="0"/>
        <w:jc w:val="left"/>
        <w:rPr>
          <w:rFonts w:ascii="宋体" w:hAnsi="宋体" w:cs="宋体" w:eastAsia="宋体" w:hint="default"/>
          <w:sz w:val="24"/>
          <w:szCs w:val="24"/>
        </w:rPr>
      </w:pPr>
      <w:r>
        <w:rPr>
          <w:rFonts w:ascii="宋体" w:hAnsi="宋体" w:cs="宋体" w:eastAsia="宋体" w:hint="default"/>
          <w:spacing w:val="-3"/>
          <w:sz w:val="24"/>
          <w:szCs w:val="24"/>
        </w:rPr>
        <w:t>《关于聘请张伟锋先生担任公司董事会秘书的议案》，同意张伟锋先生接替黄良</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之先生担任公司董事会秘书。 </w:t>
      </w:r>
      <w:r>
        <w:rPr>
          <w:rFonts w:ascii="宋体" w:hAnsi="宋体" w:cs="宋体" w:eastAsia="宋体" w:hint="default"/>
          <w:b/>
          <w:bCs/>
          <w:spacing w:val="3"/>
          <w:sz w:val="24"/>
          <w:szCs w:val="24"/>
        </w:rPr>
        <w:t>二、报告期内，公司核心技术团队和关键技术人员（非董事、监事、高级管理</w:t>
      </w:r>
      <w:r>
        <w:rPr>
          <w:rFonts w:ascii="宋体" w:hAnsi="宋体" w:cs="宋体" w:eastAsia="宋体" w:hint="default"/>
          <w:b/>
          <w:bCs/>
          <w:w w:val="99"/>
          <w:sz w:val="24"/>
          <w:szCs w:val="24"/>
        </w:rPr>
        <w:t> </w:t>
      </w:r>
      <w:r>
        <w:rPr>
          <w:rFonts w:ascii="宋体" w:hAnsi="宋体" w:cs="宋体" w:eastAsia="宋体" w:hint="default"/>
          <w:b/>
          <w:bCs/>
          <w:sz w:val="24"/>
          <w:szCs w:val="24"/>
        </w:rPr>
        <w:t>人员）未发生变动</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pStyle w:val="Heading5"/>
        <w:spacing w:line="240" w:lineRule="auto" w:before="190"/>
        <w:ind w:left="220" w:right="205"/>
        <w:jc w:val="left"/>
        <w:rPr>
          <w:b w:val="0"/>
          <w:bCs w:val="0"/>
        </w:rPr>
      </w:pPr>
      <w:r>
        <w:rPr/>
        <w:t>三、公司员工情况</w:t>
      </w:r>
      <w:r>
        <w:rPr>
          <w:b w:val="0"/>
          <w:bCs w:val="0"/>
        </w:rPr>
      </w:r>
    </w:p>
    <w:p>
      <w:pPr>
        <w:pStyle w:val="BodyText"/>
        <w:spacing w:line="240" w:lineRule="auto"/>
        <w:ind w:left="460" w:right="205"/>
        <w:jc w:val="left"/>
      </w:pPr>
      <w:r>
        <w:rPr/>
        <w:t>（一）专业结构、年龄结构</w:t>
      </w:r>
    </w:p>
    <w:p>
      <w:pPr>
        <w:pStyle w:val="Heading5"/>
        <w:spacing w:line="240" w:lineRule="auto" w:before="74"/>
        <w:ind w:left="746" w:right="205"/>
        <w:jc w:val="left"/>
        <w:rPr>
          <w:b w:val="0"/>
          <w:bCs w:val="0"/>
        </w:rPr>
      </w:pPr>
      <w:r>
        <w:rPr>
          <w:rFonts w:ascii="Times New Roman" w:hAnsi="Times New Roman" w:cs="Times New Roman" w:eastAsia="Times New Roman" w:hint="default"/>
        </w:rPr>
        <w:t>1</w:t>
      </w:r>
      <w:r>
        <w:rPr/>
        <w:t>、员工人数及变化情况</w:t>
      </w:r>
      <w:r>
        <w:rPr>
          <w:b w:val="0"/>
          <w:bCs w:val="0"/>
        </w:rPr>
      </w:r>
    </w:p>
    <w:p>
      <w:pPr>
        <w:spacing w:line="240" w:lineRule="auto" w:before="5"/>
        <w:rPr>
          <w:rFonts w:ascii="宋体" w:hAnsi="宋体" w:cs="宋体" w:eastAsia="宋体" w:hint="default"/>
          <w:b/>
          <w:bCs/>
          <w:sz w:val="13"/>
          <w:szCs w:val="13"/>
        </w:rPr>
      </w:pPr>
    </w:p>
    <w:tbl>
      <w:tblPr>
        <w:tblW w:w="0" w:type="auto"/>
        <w:jc w:val="left"/>
        <w:tblInd w:w="107" w:type="dxa"/>
        <w:tblLayout w:type="fixed"/>
        <w:tblCellMar>
          <w:top w:w="0" w:type="dxa"/>
          <w:left w:w="0" w:type="dxa"/>
          <w:bottom w:w="0" w:type="dxa"/>
          <w:right w:w="0" w:type="dxa"/>
        </w:tblCellMar>
        <w:tblLook w:val="01E0"/>
      </w:tblPr>
      <w:tblGrid>
        <w:gridCol w:w="1675"/>
        <w:gridCol w:w="1712"/>
        <w:gridCol w:w="1712"/>
        <w:gridCol w:w="1711"/>
        <w:gridCol w:w="1714"/>
      </w:tblGrid>
      <w:tr>
        <w:trPr>
          <w:trHeight w:val="340" w:hRule="exact"/>
        </w:trPr>
        <w:tc>
          <w:tcPr>
            <w:tcW w:w="167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时间</w:t>
            </w:r>
            <w:r>
              <w:rPr>
                <w:rFonts w:ascii="宋体" w:hAnsi="宋体" w:cs="宋体" w:eastAsia="宋体" w:hint="default"/>
                <w:sz w:val="21"/>
                <w:szCs w:val="21"/>
              </w:rPr>
            </w:r>
          </w:p>
        </w:tc>
        <w:tc>
          <w:tcPr>
            <w:tcW w:w="171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2"/>
              <w:ind w:right="0"/>
              <w:jc w:val="center"/>
              <w:rPr>
                <w:rFonts w:ascii="Times New Roman" w:hAnsi="Times New Roman" w:cs="Times New Roman" w:eastAsia="Times New Roman" w:hint="default"/>
                <w:sz w:val="21"/>
                <w:szCs w:val="21"/>
              </w:rPr>
            </w:pPr>
            <w:r>
              <w:rPr>
                <w:rFonts w:ascii="Times New Roman"/>
                <w:b/>
                <w:sz w:val="21"/>
              </w:rPr>
              <w:t>2011.12.31</w:t>
            </w:r>
            <w:r>
              <w:rPr>
                <w:rFonts w:ascii="Times New Roman"/>
                <w:sz w:val="21"/>
              </w:rPr>
            </w:r>
          </w:p>
        </w:tc>
        <w:tc>
          <w:tcPr>
            <w:tcW w:w="171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2"/>
              <w:ind w:right="0"/>
              <w:jc w:val="center"/>
              <w:rPr>
                <w:rFonts w:ascii="Times New Roman" w:hAnsi="Times New Roman" w:cs="Times New Roman" w:eastAsia="Times New Roman" w:hint="default"/>
                <w:sz w:val="21"/>
                <w:szCs w:val="21"/>
              </w:rPr>
            </w:pPr>
            <w:r>
              <w:rPr>
                <w:rFonts w:ascii="Times New Roman"/>
                <w:b/>
                <w:sz w:val="21"/>
              </w:rPr>
              <w:t>2010.12.31</w:t>
            </w:r>
            <w:r>
              <w:rPr>
                <w:rFonts w:ascii="Times New Roman"/>
                <w:sz w:val="21"/>
              </w:rPr>
            </w:r>
          </w:p>
        </w:tc>
        <w:tc>
          <w:tcPr>
            <w:tcW w:w="171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2"/>
              <w:ind w:right="0"/>
              <w:jc w:val="center"/>
              <w:rPr>
                <w:rFonts w:ascii="Times New Roman" w:hAnsi="Times New Roman" w:cs="Times New Roman" w:eastAsia="Times New Roman" w:hint="default"/>
                <w:sz w:val="21"/>
                <w:szCs w:val="21"/>
              </w:rPr>
            </w:pPr>
            <w:r>
              <w:rPr>
                <w:rFonts w:ascii="Times New Roman"/>
                <w:b/>
                <w:sz w:val="21"/>
              </w:rPr>
              <w:t>2009.12.31</w:t>
            </w:r>
            <w:r>
              <w:rPr>
                <w:rFonts w:ascii="Times New Roman"/>
                <w:sz w:val="21"/>
              </w:rPr>
            </w:r>
          </w:p>
        </w:tc>
        <w:tc>
          <w:tcPr>
            <w:tcW w:w="171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2"/>
              <w:ind w:left="1" w:right="0"/>
              <w:jc w:val="center"/>
              <w:rPr>
                <w:rFonts w:ascii="Times New Roman" w:hAnsi="Times New Roman" w:cs="Times New Roman" w:eastAsia="Times New Roman" w:hint="default"/>
                <w:sz w:val="21"/>
                <w:szCs w:val="21"/>
              </w:rPr>
            </w:pPr>
            <w:r>
              <w:rPr>
                <w:rFonts w:ascii="Times New Roman"/>
                <w:b/>
                <w:sz w:val="21"/>
              </w:rPr>
              <w:t>2008.12.31</w:t>
            </w:r>
            <w:r>
              <w:rPr>
                <w:rFonts w:ascii="Times New Roman"/>
                <w:sz w:val="21"/>
              </w:rPr>
            </w:r>
          </w:p>
        </w:tc>
      </w:tr>
      <w:tr>
        <w:trPr>
          <w:trHeight w:val="341"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 w:right="0"/>
              <w:jc w:val="center"/>
              <w:rPr>
                <w:rFonts w:ascii="宋体" w:hAnsi="宋体" w:cs="宋体" w:eastAsia="宋体" w:hint="default"/>
                <w:sz w:val="21"/>
                <w:szCs w:val="21"/>
              </w:rPr>
            </w:pPr>
            <w:r>
              <w:rPr>
                <w:rFonts w:ascii="宋体" w:hAnsi="宋体" w:cs="宋体" w:eastAsia="宋体" w:hint="default"/>
                <w:sz w:val="21"/>
                <w:szCs w:val="21"/>
              </w:rPr>
              <w:t>员工人数（人）</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Times New Roman" w:hAnsi="Times New Roman" w:cs="Times New Roman" w:eastAsia="Times New Roman" w:hint="default"/>
                <w:sz w:val="21"/>
                <w:szCs w:val="21"/>
              </w:rPr>
            </w:pPr>
            <w:r>
              <w:rPr>
                <w:rFonts w:ascii="Times New Roman"/>
                <w:sz w:val="21"/>
              </w:rPr>
              <w:t>1825</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Times New Roman" w:hAnsi="Times New Roman" w:cs="Times New Roman" w:eastAsia="Times New Roman" w:hint="default"/>
                <w:sz w:val="21"/>
                <w:szCs w:val="21"/>
              </w:rPr>
            </w:pPr>
            <w:r>
              <w:rPr>
                <w:rFonts w:ascii="Times New Roman"/>
                <w:sz w:val="21"/>
              </w:rPr>
              <w:t>1196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Times New Roman" w:hAnsi="Times New Roman" w:cs="Times New Roman" w:eastAsia="Times New Roman" w:hint="default"/>
                <w:sz w:val="21"/>
                <w:szCs w:val="21"/>
              </w:rPr>
            </w:pPr>
            <w:r>
              <w:rPr>
                <w:rFonts w:ascii="Times New Roman"/>
                <w:sz w:val="21"/>
              </w:rPr>
              <w:t>1023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1070</w:t>
            </w:r>
          </w:p>
        </w:tc>
      </w:tr>
    </w:tbl>
    <w:p>
      <w:pPr>
        <w:spacing w:line="240" w:lineRule="auto" w:before="6"/>
        <w:rPr>
          <w:rFonts w:ascii="宋体" w:hAnsi="宋体" w:cs="宋体" w:eastAsia="宋体" w:hint="default"/>
          <w:b/>
          <w:bCs/>
          <w:sz w:val="26"/>
          <w:szCs w:val="26"/>
        </w:rPr>
      </w:pPr>
    </w:p>
    <w:p>
      <w:pPr>
        <w:pStyle w:val="Heading5"/>
        <w:spacing w:line="240" w:lineRule="auto" w:before="26"/>
        <w:ind w:left="746" w:right="205"/>
        <w:jc w:val="left"/>
        <w:rPr>
          <w:b w:val="0"/>
          <w:bCs w:val="0"/>
        </w:rPr>
      </w:pPr>
      <w:r>
        <w:rPr>
          <w:rFonts w:ascii="Times New Roman" w:hAnsi="Times New Roman" w:cs="Times New Roman" w:eastAsia="Times New Roman" w:hint="default"/>
        </w:rPr>
        <w:t>2</w:t>
      </w:r>
      <w:r>
        <w:rPr/>
        <w:t>、员工专业结构（截至</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日在册员工）</w:t>
      </w:r>
      <w:r>
        <w:rPr>
          <w:b w:val="0"/>
          <w:bCs w:val="0"/>
        </w:rPr>
      </w:r>
    </w:p>
    <w:p>
      <w:pPr>
        <w:spacing w:line="240" w:lineRule="auto" w:before="6"/>
        <w:rPr>
          <w:rFonts w:ascii="宋体" w:hAnsi="宋体" w:cs="宋体" w:eastAsia="宋体" w:hint="default"/>
          <w:b/>
          <w:bCs/>
          <w:sz w:val="13"/>
          <w:szCs w:val="13"/>
        </w:rPr>
      </w:pPr>
    </w:p>
    <w:tbl>
      <w:tblPr>
        <w:tblW w:w="0" w:type="auto"/>
        <w:jc w:val="left"/>
        <w:tblInd w:w="107" w:type="dxa"/>
        <w:tblLayout w:type="fixed"/>
        <w:tblCellMar>
          <w:top w:w="0" w:type="dxa"/>
          <w:left w:w="0" w:type="dxa"/>
          <w:bottom w:w="0" w:type="dxa"/>
          <w:right w:w="0" w:type="dxa"/>
        </w:tblCellMar>
        <w:tblLook w:val="01E0"/>
      </w:tblPr>
      <w:tblGrid>
        <w:gridCol w:w="2535"/>
        <w:gridCol w:w="3027"/>
        <w:gridCol w:w="2962"/>
      </w:tblGrid>
      <w:tr>
        <w:trPr>
          <w:trHeight w:val="341" w:hRule="exact"/>
        </w:trPr>
        <w:tc>
          <w:tcPr>
            <w:tcW w:w="253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部门分工</w:t>
            </w:r>
            <w:r>
              <w:rPr>
                <w:rFonts w:ascii="宋体" w:hAnsi="宋体" w:cs="宋体" w:eastAsia="宋体" w:hint="default"/>
                <w:sz w:val="21"/>
                <w:szCs w:val="21"/>
              </w:rPr>
            </w:r>
          </w:p>
        </w:tc>
        <w:tc>
          <w:tcPr>
            <w:tcW w:w="302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29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85"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占员工总数比例（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2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12</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0.7%</w:t>
            </w:r>
          </w:p>
        </w:tc>
      </w:tr>
      <w:tr>
        <w:trPr>
          <w:trHeight w:val="326"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1763</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Times New Roman" w:hAnsi="Times New Roman" w:cs="Times New Roman" w:eastAsia="Times New Roman" w:hint="default"/>
                <w:sz w:val="21"/>
                <w:szCs w:val="21"/>
              </w:rPr>
            </w:pPr>
            <w:r>
              <w:rPr>
                <w:rFonts w:ascii="Times New Roman"/>
                <w:sz w:val="21"/>
              </w:rPr>
              <w:t>96.6%</w:t>
            </w:r>
          </w:p>
        </w:tc>
      </w:tr>
      <w:tr>
        <w:trPr>
          <w:trHeight w:val="32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34</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1.9%</w:t>
            </w:r>
          </w:p>
        </w:tc>
      </w:tr>
      <w:tr>
        <w:trPr>
          <w:trHeight w:val="32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6</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0.3%</w:t>
            </w:r>
          </w:p>
        </w:tc>
      </w:tr>
      <w:tr>
        <w:trPr>
          <w:trHeight w:val="326"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人事行政</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10</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Times New Roman" w:hAnsi="Times New Roman" w:cs="Times New Roman" w:eastAsia="Times New Roman" w:hint="default"/>
                <w:sz w:val="21"/>
                <w:szCs w:val="21"/>
              </w:rPr>
            </w:pPr>
            <w:r>
              <w:rPr>
                <w:rFonts w:ascii="Times New Roman"/>
                <w:sz w:val="21"/>
              </w:rPr>
              <w:t>0.5%</w:t>
            </w:r>
          </w:p>
        </w:tc>
      </w:tr>
      <w:tr>
        <w:trPr>
          <w:trHeight w:val="341"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b/>
                <w:sz w:val="21"/>
              </w:rPr>
              <w:t>1825</w:t>
            </w:r>
            <w:r>
              <w:rPr>
                <w:rFonts w:ascii="Times New Roman"/>
                <w:sz w:val="21"/>
              </w:rPr>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bl>
    <w:p>
      <w:pPr>
        <w:spacing w:line="240" w:lineRule="auto" w:before="6"/>
        <w:rPr>
          <w:rFonts w:ascii="宋体" w:hAnsi="宋体" w:cs="宋体" w:eastAsia="宋体" w:hint="default"/>
          <w:b/>
          <w:bCs/>
          <w:sz w:val="26"/>
          <w:szCs w:val="26"/>
        </w:rPr>
      </w:pPr>
    </w:p>
    <w:p>
      <w:pPr>
        <w:pStyle w:val="Heading5"/>
        <w:spacing w:line="240" w:lineRule="auto" w:before="26"/>
        <w:ind w:left="746" w:right="205"/>
        <w:jc w:val="left"/>
        <w:rPr>
          <w:b w:val="0"/>
          <w:bCs w:val="0"/>
        </w:rPr>
      </w:pPr>
      <w:r>
        <w:rPr>
          <w:rFonts w:ascii="Times New Roman" w:hAnsi="Times New Roman" w:cs="Times New Roman" w:eastAsia="Times New Roman" w:hint="default"/>
        </w:rPr>
        <w:t>3</w:t>
      </w:r>
      <w:r>
        <w:rPr/>
        <w:t>、员工受教育程度（截至</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日在册员工）</w:t>
      </w:r>
      <w:r>
        <w:rPr>
          <w:b w:val="0"/>
          <w:bCs w:val="0"/>
        </w:rPr>
      </w:r>
    </w:p>
    <w:p>
      <w:pPr>
        <w:spacing w:line="240" w:lineRule="auto" w:before="6"/>
        <w:rPr>
          <w:rFonts w:ascii="宋体" w:hAnsi="宋体" w:cs="宋体" w:eastAsia="宋体" w:hint="default"/>
          <w:b/>
          <w:bCs/>
          <w:sz w:val="13"/>
          <w:szCs w:val="13"/>
        </w:rPr>
      </w:pPr>
    </w:p>
    <w:tbl>
      <w:tblPr>
        <w:tblW w:w="0" w:type="auto"/>
        <w:jc w:val="left"/>
        <w:tblInd w:w="107" w:type="dxa"/>
        <w:tblLayout w:type="fixed"/>
        <w:tblCellMar>
          <w:top w:w="0" w:type="dxa"/>
          <w:left w:w="0" w:type="dxa"/>
          <w:bottom w:w="0" w:type="dxa"/>
          <w:right w:w="0" w:type="dxa"/>
        </w:tblCellMar>
        <w:tblLook w:val="01E0"/>
      </w:tblPr>
      <w:tblGrid>
        <w:gridCol w:w="2533"/>
        <w:gridCol w:w="2996"/>
        <w:gridCol w:w="2996"/>
      </w:tblGrid>
      <w:tr>
        <w:trPr>
          <w:trHeight w:val="338" w:hRule="exact"/>
        </w:trPr>
        <w:tc>
          <w:tcPr>
            <w:tcW w:w="253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受教育程度</w:t>
            </w:r>
            <w:r>
              <w:rPr>
                <w:rFonts w:ascii="宋体" w:hAnsi="宋体" w:cs="宋体" w:eastAsia="宋体" w:hint="default"/>
                <w:sz w:val="21"/>
                <w:szCs w:val="21"/>
              </w:rPr>
            </w:r>
          </w:p>
        </w:tc>
        <w:tc>
          <w:tcPr>
            <w:tcW w:w="299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299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85"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占员工总数比例（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27"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硕士以上</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165</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9%</w:t>
            </w:r>
          </w:p>
        </w:tc>
      </w:tr>
      <w:tr>
        <w:trPr>
          <w:trHeight w:val="324"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大学本科</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1410</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77%</w:t>
            </w:r>
          </w:p>
        </w:tc>
      </w:tr>
      <w:tr>
        <w:trPr>
          <w:trHeight w:val="326"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174</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Times New Roman" w:hAnsi="Times New Roman" w:cs="Times New Roman" w:eastAsia="Times New Roman" w:hint="default"/>
                <w:sz w:val="21"/>
                <w:szCs w:val="21"/>
              </w:rPr>
            </w:pPr>
            <w:r>
              <w:rPr>
                <w:rFonts w:ascii="Times New Roman"/>
                <w:sz w:val="21"/>
              </w:rPr>
              <w:t>10%</w:t>
            </w:r>
          </w:p>
        </w:tc>
      </w:tr>
      <w:tr>
        <w:trPr>
          <w:trHeight w:val="324"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76</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4%</w:t>
            </w:r>
          </w:p>
        </w:tc>
      </w:tr>
      <w:tr>
        <w:trPr>
          <w:trHeight w:val="341"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b/>
                <w:sz w:val="21"/>
              </w:rPr>
              <w:t>1825</w:t>
            </w:r>
            <w:r>
              <w:rPr>
                <w:rFonts w:ascii="Times New Roman"/>
                <w:sz w:val="21"/>
              </w:rPr>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bl>
    <w:p>
      <w:pPr>
        <w:spacing w:after="0" w:line="240" w:lineRule="auto"/>
        <w:jc w:val="center"/>
        <w:rPr>
          <w:rFonts w:ascii="Times New Roman" w:hAnsi="Times New Roman" w:cs="Times New Roman" w:eastAsia="Times New Roman" w:hint="default"/>
          <w:sz w:val="21"/>
          <w:szCs w:val="21"/>
        </w:rPr>
        <w:sectPr>
          <w:pgSz w:w="11910" w:h="16840"/>
          <w:pgMar w:header="884" w:footer="980" w:top="1140" w:bottom="1160" w:left="1580" w:right="1580"/>
        </w:sectPr>
      </w:pPr>
    </w:p>
    <w:p>
      <w:pPr>
        <w:spacing w:line="240" w:lineRule="auto" w:before="5"/>
        <w:rPr>
          <w:rFonts w:ascii="宋体" w:hAnsi="宋体" w:cs="宋体" w:eastAsia="宋体" w:hint="default"/>
          <w:b/>
          <w:bCs/>
          <w:sz w:val="16"/>
          <w:szCs w:val="16"/>
        </w:rPr>
      </w:pPr>
    </w:p>
    <w:p>
      <w:pPr>
        <w:pStyle w:val="Heading5"/>
        <w:spacing w:line="240" w:lineRule="auto" w:before="26"/>
        <w:ind w:left="746" w:right="205"/>
        <w:jc w:val="left"/>
        <w:rPr>
          <w:b w:val="0"/>
          <w:bCs w:val="0"/>
        </w:rPr>
      </w:pPr>
      <w:r>
        <w:rPr>
          <w:rFonts w:ascii="Times New Roman" w:hAnsi="Times New Roman" w:cs="Times New Roman" w:eastAsia="Times New Roman" w:hint="default"/>
        </w:rPr>
        <w:t>4</w:t>
      </w:r>
      <w:r>
        <w:rPr/>
        <w:t>、员工年龄分布（截至</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日在册员工）</w:t>
      </w:r>
      <w:r>
        <w:rPr>
          <w:b w:val="0"/>
          <w:bCs w:val="0"/>
        </w:rPr>
      </w:r>
    </w:p>
    <w:p>
      <w:pPr>
        <w:spacing w:line="240" w:lineRule="auto" w:before="8"/>
        <w:rPr>
          <w:rFonts w:ascii="宋体" w:hAnsi="宋体" w:cs="宋体" w:eastAsia="宋体" w:hint="default"/>
          <w:b/>
          <w:bCs/>
          <w:sz w:val="14"/>
          <w:szCs w:val="14"/>
        </w:rPr>
      </w:pPr>
    </w:p>
    <w:tbl>
      <w:tblPr>
        <w:tblW w:w="0" w:type="auto"/>
        <w:jc w:val="left"/>
        <w:tblInd w:w="107" w:type="dxa"/>
        <w:tblLayout w:type="fixed"/>
        <w:tblCellMar>
          <w:top w:w="0" w:type="dxa"/>
          <w:left w:w="0" w:type="dxa"/>
          <w:bottom w:w="0" w:type="dxa"/>
          <w:right w:w="0" w:type="dxa"/>
        </w:tblCellMar>
        <w:tblLook w:val="01E0"/>
      </w:tblPr>
      <w:tblGrid>
        <w:gridCol w:w="2552"/>
        <w:gridCol w:w="2986"/>
        <w:gridCol w:w="2986"/>
      </w:tblGrid>
      <w:tr>
        <w:trPr>
          <w:trHeight w:val="324" w:hRule="exact"/>
        </w:trPr>
        <w:tc>
          <w:tcPr>
            <w:tcW w:w="255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b/>
                <w:bCs/>
                <w:sz w:val="21"/>
                <w:szCs w:val="21"/>
              </w:rPr>
              <w:t>年龄区间</w:t>
            </w:r>
            <w:r>
              <w:rPr>
                <w:rFonts w:ascii="宋体" w:hAnsi="宋体" w:cs="宋体" w:eastAsia="宋体" w:hint="default"/>
                <w:sz w:val="21"/>
                <w:szCs w:val="21"/>
              </w:rPr>
            </w:r>
          </w:p>
        </w:tc>
        <w:tc>
          <w:tcPr>
            <w:tcW w:w="298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298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占员工总数比例（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26"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岁以下</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834</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Times New Roman" w:hAnsi="Times New Roman" w:cs="Times New Roman" w:eastAsia="Times New Roman" w:hint="default"/>
                <w:sz w:val="21"/>
                <w:szCs w:val="21"/>
              </w:rPr>
            </w:pPr>
            <w:r>
              <w:rPr>
                <w:rFonts w:ascii="Times New Roman"/>
                <w:sz w:val="21"/>
              </w:rPr>
              <w:t>46%</w:t>
            </w:r>
          </w:p>
        </w:tc>
      </w:tr>
      <w:tr>
        <w:trPr>
          <w:trHeight w:val="32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w:t>
            </w: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岁</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853</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47%</w:t>
            </w:r>
          </w:p>
        </w:tc>
      </w:tr>
      <w:tr>
        <w:trPr>
          <w:trHeight w:val="32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35</w:t>
            </w:r>
            <w:r>
              <w:rPr>
                <w:rFonts w:ascii="宋体" w:hAnsi="宋体" w:cs="宋体" w:eastAsia="宋体" w:hint="default"/>
                <w:sz w:val="21"/>
                <w:szCs w:val="21"/>
              </w:rPr>
              <w:t>～</w:t>
            </w: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岁</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121</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7%</w:t>
            </w:r>
          </w:p>
        </w:tc>
      </w:tr>
      <w:tr>
        <w:trPr>
          <w:trHeight w:val="326"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岁以上</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17</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1%</w:t>
            </w: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b/>
                <w:sz w:val="21"/>
              </w:rPr>
              <w:t>1825</w:t>
            </w:r>
            <w:r>
              <w:rPr>
                <w:rFonts w:ascii="Times New Roman"/>
                <w:sz w:val="21"/>
              </w:rPr>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bl>
    <w:p>
      <w:pPr>
        <w:spacing w:line="240" w:lineRule="auto" w:before="10"/>
        <w:rPr>
          <w:rFonts w:ascii="宋体" w:hAnsi="宋体" w:cs="宋体" w:eastAsia="宋体" w:hint="default"/>
          <w:b/>
          <w:bCs/>
          <w:sz w:val="18"/>
          <w:szCs w:val="18"/>
        </w:rPr>
      </w:pPr>
    </w:p>
    <w:p>
      <w:pPr>
        <w:pStyle w:val="BodyText"/>
        <w:spacing w:line="240" w:lineRule="auto" w:before="26"/>
        <w:ind w:left="445" w:right="205"/>
        <w:jc w:val="left"/>
      </w:pPr>
      <w:r>
        <w:rPr/>
        <w:t>（二）截至</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日，公司没有需承担费用的离退休员工。</w:t>
      </w:r>
    </w:p>
    <w:p>
      <w:pPr>
        <w:spacing w:after="0" w:line="240" w:lineRule="auto"/>
        <w:jc w:val="left"/>
        <w:sectPr>
          <w:pgSz w:w="11910" w:h="16840"/>
          <w:pgMar w:header="884" w:footer="980" w:top="1140" w:bottom="1160" w:left="1580" w:right="15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1"/>
        <w:spacing w:line="460" w:lineRule="exact"/>
        <w:ind w:left="723" w:right="784"/>
        <w:jc w:val="center"/>
        <w:rPr>
          <w:b w:val="0"/>
          <w:bCs w:val="0"/>
        </w:rPr>
      </w:pPr>
      <w:bookmarkStart w:name="_bookmark6" w:id="7"/>
      <w:bookmarkEnd w:id="7"/>
      <w:r>
        <w:rPr>
          <w:b w:val="0"/>
          <w:bCs w:val="0"/>
        </w:rPr>
      </w:r>
      <w:r>
        <w:rPr/>
        <w:t>第七节</w:t>
      </w:r>
      <w:r>
        <w:rPr>
          <w:spacing w:val="-3"/>
        </w:rPr>
        <w:t> </w:t>
      </w:r>
      <w:r>
        <w:rPr/>
        <w:t>公司治理</w:t>
      </w:r>
      <w:r>
        <w:rPr>
          <w:b w:val="0"/>
          <w:bCs w:val="0"/>
        </w:rPr>
      </w:r>
    </w:p>
    <w:p>
      <w:pPr>
        <w:spacing w:line="240" w:lineRule="auto" w:before="6"/>
        <w:rPr>
          <w:rFonts w:ascii="宋体" w:hAnsi="宋体" w:cs="宋体" w:eastAsia="宋体" w:hint="default"/>
          <w:b/>
          <w:bCs/>
          <w:sz w:val="46"/>
          <w:szCs w:val="46"/>
        </w:rPr>
      </w:pPr>
    </w:p>
    <w:p>
      <w:pPr>
        <w:spacing w:line="357" w:lineRule="auto" w:before="0"/>
        <w:ind w:left="620" w:right="185" w:hanging="48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37"/>
          <w:sz w:val="24"/>
          <w:szCs w:val="24"/>
        </w:rPr>
        <w:t> </w:t>
      </w:r>
      <w:r>
        <w:rPr>
          <w:rFonts w:ascii="宋体" w:hAnsi="宋体" w:cs="宋体" w:eastAsia="宋体" w:hint="default"/>
          <w:b/>
          <w:bCs/>
          <w:sz w:val="24"/>
          <w:szCs w:val="24"/>
        </w:rPr>
        <w:t>公司治理的情况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公司严格按照《公司法》、《证券法》、《上市公司治理准则》、《深圳证</w:t>
      </w:r>
    </w:p>
    <w:p>
      <w:pPr>
        <w:pStyle w:val="BodyText"/>
        <w:spacing w:line="357" w:lineRule="auto" w:before="36"/>
        <w:ind w:right="86"/>
        <w:jc w:val="left"/>
      </w:pPr>
      <w:r>
        <w:rPr>
          <w:spacing w:val="-3"/>
        </w:rPr>
        <w:t>券交易所创业板股票上市规则》、《深圳证券交易所创业板上市公司规范运作指</w:t>
      </w:r>
      <w:r>
        <w:rPr>
          <w:spacing w:val="-110"/>
        </w:rPr>
        <w:t> </w:t>
      </w:r>
      <w:r>
        <w:rPr>
          <w:spacing w:val="-110"/>
        </w:rPr>
      </w:r>
      <w:r>
        <w:rPr>
          <w:spacing w:val="-3"/>
        </w:rPr>
        <w:t>引》和中国证监会有关法律法规的要求，及时制定或修订了《公司章程》、《股</w:t>
      </w:r>
      <w:r>
        <w:rPr>
          <w:spacing w:val="-111"/>
        </w:rPr>
        <w:t> </w:t>
      </w:r>
      <w:r>
        <w:rPr>
          <w:spacing w:val="-111"/>
        </w:rPr>
      </w:r>
      <w:r>
        <w:rPr>
          <w:spacing w:val="-3"/>
        </w:rPr>
        <w:t>东大会议事规则》、《董事会议事规则》、《监事会议事规则》、《总经理工作</w:t>
      </w:r>
      <w:r>
        <w:rPr>
          <w:spacing w:val="-114"/>
        </w:rPr>
        <w:t> </w:t>
      </w:r>
      <w:r>
        <w:rPr>
          <w:spacing w:val="-114"/>
        </w:rPr>
      </w:r>
      <w:r>
        <w:rPr>
          <w:spacing w:val="-3"/>
        </w:rPr>
        <w:t>细则》、《关联交易决策制度》、《募集资金使用管理办法》、《董事会秘书工</w:t>
      </w:r>
      <w:r>
        <w:rPr>
          <w:spacing w:val="-113"/>
        </w:rPr>
        <w:t> </w:t>
      </w:r>
      <w:r>
        <w:rPr>
          <w:spacing w:val="-113"/>
        </w:rPr>
      </w:r>
      <w:r>
        <w:rPr>
          <w:spacing w:val="-3"/>
        </w:rPr>
        <w:t>作细则》、《独立董事议事规则》、《信息披露管理制度》、《董事会专门委员</w:t>
      </w:r>
      <w:r>
        <w:rPr>
          <w:spacing w:val="-114"/>
        </w:rPr>
        <w:t> </w:t>
      </w:r>
      <w:r>
        <w:rPr>
          <w:spacing w:val="-114"/>
        </w:rPr>
      </w:r>
      <w:r>
        <w:rPr/>
        <w:t>会议事规则》等规章制度；不断完善公司法人治理结构，进一步规范公司运作， </w:t>
      </w:r>
      <w:r>
        <w:rPr>
          <w:spacing w:val="-3"/>
        </w:rPr>
        <w:t>提高公司治理水平。截至报告期末，公司治理实际情况符合中国证监会发布的有</w:t>
      </w:r>
      <w:r>
        <w:rPr>
          <w:spacing w:val="-111"/>
        </w:rPr>
        <w:t> </w:t>
      </w:r>
      <w:r>
        <w:rPr>
          <w:spacing w:val="-111"/>
        </w:rPr>
      </w:r>
      <w:r>
        <w:rPr/>
        <w:t>关上市公司治理的规范性文件。</w:t>
      </w:r>
    </w:p>
    <w:p>
      <w:pPr>
        <w:pStyle w:val="BodyText"/>
        <w:tabs>
          <w:tab w:pos="1400" w:val="left" w:leader="none"/>
        </w:tabs>
        <w:spacing w:line="357" w:lineRule="auto" w:before="36"/>
        <w:ind w:left="620" w:right="201"/>
        <w:jc w:val="left"/>
      </w:pPr>
      <w:r>
        <w:rPr>
          <w:rFonts w:ascii="宋体" w:hAnsi="宋体" w:cs="宋体" w:eastAsia="宋体" w:hint="default"/>
        </w:rPr>
        <w:t>(</w:t>
      </w:r>
      <w:r>
        <w:rPr/>
        <w:t>一</w:t>
      </w:r>
      <w:r>
        <w:rPr>
          <w:rFonts w:ascii="宋体" w:hAnsi="宋体" w:cs="宋体" w:eastAsia="宋体" w:hint="default"/>
        </w:rPr>
        <w:t>)</w:t>
        <w:tab/>
      </w:r>
      <w:r>
        <w:rPr/>
        <w:t>关于股东与股东大会 </w:t>
      </w:r>
      <w:r>
        <w:rPr>
          <w:spacing w:val="-4"/>
        </w:rPr>
        <w:t>公司严格按照《公司章程》和《股东大会议事规则》的要求，规范股东大会</w:t>
      </w:r>
    </w:p>
    <w:p>
      <w:pPr>
        <w:pStyle w:val="BodyText"/>
        <w:spacing w:line="357" w:lineRule="auto" w:before="36"/>
        <w:ind w:right="197"/>
        <w:jc w:val="both"/>
      </w:pPr>
      <w:r>
        <w:rPr>
          <w:spacing w:val="-3"/>
        </w:rPr>
        <w:t>的召集、召开和议事程序，能够平等对待所有的股东，确保股东能充分行使自己</w:t>
      </w:r>
      <w:r>
        <w:rPr>
          <w:spacing w:val="-111"/>
        </w:rPr>
        <w:t> </w:t>
      </w:r>
      <w:r>
        <w:rPr>
          <w:spacing w:val="-111"/>
        </w:rPr>
      </w:r>
      <w:r>
        <w:rPr/>
        <w:t>的权利。</w:t>
      </w:r>
    </w:p>
    <w:p>
      <w:pPr>
        <w:pStyle w:val="BodyText"/>
        <w:tabs>
          <w:tab w:pos="1400" w:val="left" w:leader="none"/>
        </w:tabs>
        <w:spacing w:line="357" w:lineRule="auto" w:before="36"/>
        <w:ind w:left="620" w:right="201"/>
        <w:jc w:val="left"/>
      </w:pPr>
      <w:r>
        <w:rPr>
          <w:rFonts w:ascii="宋体" w:hAnsi="宋体" w:cs="宋体" w:eastAsia="宋体" w:hint="default"/>
        </w:rPr>
        <w:t>(</w:t>
      </w:r>
      <w:r>
        <w:rPr/>
        <w:t>二</w:t>
      </w:r>
      <w:r>
        <w:rPr>
          <w:rFonts w:ascii="宋体" w:hAnsi="宋体" w:cs="宋体" w:eastAsia="宋体" w:hint="default"/>
        </w:rPr>
        <w:t>)</w:t>
        <w:tab/>
      </w:r>
      <w:r>
        <w:rPr/>
        <w:t>关于公司与实际控制人 </w:t>
      </w:r>
      <w:r>
        <w:rPr>
          <w:spacing w:val="-3"/>
        </w:rPr>
        <w:t>公司实际控制人行为规范，依法行使其权力并承担相应义务，没有超越股东</w:t>
      </w:r>
    </w:p>
    <w:p>
      <w:pPr>
        <w:pStyle w:val="BodyText"/>
        <w:spacing w:line="357" w:lineRule="auto" w:before="36"/>
        <w:ind w:right="196"/>
        <w:jc w:val="both"/>
      </w:pPr>
      <w:r>
        <w:rPr>
          <w:spacing w:val="-3"/>
        </w:rPr>
        <w:t>大会、董事会直接或间接干预公司的决策和经营活动。同时，公司具有独立的业</w:t>
      </w:r>
      <w:r>
        <w:rPr>
          <w:spacing w:val="-110"/>
        </w:rPr>
        <w:t> </w:t>
      </w:r>
      <w:r>
        <w:rPr>
          <w:spacing w:val="-110"/>
        </w:rPr>
      </w:r>
      <w:r>
        <w:rPr>
          <w:spacing w:val="-3"/>
        </w:rPr>
        <w:t>务和经营系统，拥有自主决策能力，在业务、人员、资产、机构、财务上独立于</w:t>
      </w:r>
      <w:r>
        <w:rPr>
          <w:spacing w:val="-111"/>
        </w:rPr>
        <w:t> </w:t>
      </w:r>
      <w:r>
        <w:rPr>
          <w:spacing w:val="-111"/>
        </w:rPr>
      </w:r>
      <w:r>
        <w:rPr/>
        <w:t>实际控制人及其控制的其它企业。</w:t>
      </w:r>
    </w:p>
    <w:p>
      <w:pPr>
        <w:pStyle w:val="BodyText"/>
        <w:spacing w:line="357" w:lineRule="auto" w:before="36"/>
        <w:ind w:right="182" w:firstLine="479"/>
        <w:jc w:val="left"/>
      </w:pPr>
      <w:r>
        <w:rPr>
          <w:spacing w:val="4"/>
        </w:rPr>
        <w:t>公司不存在向大股东、实际控制人提供未公开信息等公司治理不规范的情 </w:t>
      </w:r>
      <w:r>
        <w:rPr/>
        <w:t>况。</w:t>
      </w:r>
    </w:p>
    <w:p>
      <w:pPr>
        <w:pStyle w:val="BodyText"/>
        <w:tabs>
          <w:tab w:pos="1400" w:val="left" w:leader="none"/>
        </w:tabs>
        <w:spacing w:line="240" w:lineRule="auto" w:before="36"/>
        <w:ind w:left="620" w:right="182"/>
        <w:jc w:val="left"/>
      </w:pPr>
      <w:r>
        <w:rPr>
          <w:rFonts w:ascii="宋体" w:hAnsi="宋体" w:cs="宋体" w:eastAsia="宋体" w:hint="default"/>
        </w:rPr>
        <w:t>(</w:t>
      </w:r>
      <w:r>
        <w:rPr/>
        <w:t>三</w:t>
      </w:r>
      <w:r>
        <w:rPr>
          <w:rFonts w:ascii="宋体" w:hAnsi="宋体" w:cs="宋体" w:eastAsia="宋体" w:hint="default"/>
        </w:rPr>
        <w:t>)</w:t>
        <w:tab/>
      </w:r>
      <w:r>
        <w:rPr/>
        <w:t>关于董事与董事会</w:t>
      </w:r>
    </w:p>
    <w:p>
      <w:pPr>
        <w:pStyle w:val="BodyText"/>
        <w:spacing w:line="240" w:lineRule="auto"/>
        <w:ind w:left="620" w:right="87"/>
        <w:jc w:val="left"/>
      </w:pPr>
      <w:r>
        <w:rPr/>
        <w:t>公司董事会由</w:t>
      </w:r>
      <w:r>
        <w:rPr>
          <w:spacing w:val="-55"/>
        </w:rPr>
        <w:t> </w:t>
      </w:r>
      <w:r>
        <w:rPr>
          <w:rFonts w:ascii="宋体" w:hAnsi="宋体" w:cs="宋体" w:eastAsia="宋体" w:hint="default"/>
        </w:rPr>
        <w:t>7</w:t>
      </w:r>
      <w:r>
        <w:rPr>
          <w:rFonts w:ascii="宋体" w:hAnsi="宋体" w:cs="宋体" w:eastAsia="宋体" w:hint="default"/>
          <w:spacing w:val="-55"/>
        </w:rPr>
        <w:t> </w:t>
      </w:r>
      <w:r>
        <w:rPr>
          <w:spacing w:val="-4"/>
        </w:rPr>
        <w:t>名董事组成，选聘程序规范，人数和人员构成均符合相关法</w:t>
      </w:r>
    </w:p>
    <w:p>
      <w:pPr>
        <w:pStyle w:val="BodyText"/>
        <w:spacing w:line="357" w:lineRule="auto"/>
        <w:ind w:right="196"/>
        <w:jc w:val="both"/>
      </w:pPr>
      <w:r>
        <w:rPr>
          <w:spacing w:val="-4"/>
        </w:rPr>
        <w:t>律法规和《公司章程》的规定。公司依法选聘</w:t>
      </w:r>
      <w:r>
        <w:rPr>
          <w:spacing w:val="-59"/>
        </w:rPr>
        <w:t> </w:t>
      </w:r>
      <w:r>
        <w:rPr>
          <w:rFonts w:ascii="宋体" w:hAnsi="宋体" w:cs="宋体" w:eastAsia="宋体" w:hint="default"/>
        </w:rPr>
        <w:t>3</w:t>
      </w:r>
      <w:r>
        <w:rPr>
          <w:rFonts w:ascii="宋体" w:hAnsi="宋体" w:cs="宋体" w:eastAsia="宋体" w:hint="default"/>
          <w:spacing w:val="-59"/>
        </w:rPr>
        <w:t> </w:t>
      </w:r>
      <w:r>
        <w:rPr>
          <w:spacing w:val="-3"/>
        </w:rPr>
        <w:t>名独立董事，其中</w:t>
      </w:r>
      <w:r>
        <w:rPr>
          <w:spacing w:val="-59"/>
        </w:rPr>
        <w:t> </w:t>
      </w:r>
      <w:r>
        <w:rPr>
          <w:rFonts w:ascii="宋体" w:hAnsi="宋体" w:cs="宋体" w:eastAsia="宋体" w:hint="default"/>
        </w:rPr>
        <w:t>1</w:t>
      </w:r>
      <w:r>
        <w:rPr>
          <w:rFonts w:ascii="宋体" w:hAnsi="宋体" w:cs="宋体" w:eastAsia="宋体" w:hint="default"/>
          <w:spacing w:val="-59"/>
        </w:rPr>
        <w:t> </w:t>
      </w:r>
      <w:r>
        <w:rPr/>
        <w:t>名为会计专 </w:t>
      </w:r>
      <w:r>
        <w:rPr>
          <w:spacing w:val="-3"/>
        </w:rPr>
        <w:t>业人士，符合中国证监会《关于在上市公司建立独立董事制度的指导意见》的要</w:t>
      </w:r>
      <w:r>
        <w:rPr>
          <w:spacing w:val="-111"/>
        </w:rPr>
        <w:t> </w:t>
      </w:r>
      <w:r>
        <w:rPr>
          <w:spacing w:val="-111"/>
        </w:rPr>
      </w:r>
      <w:r>
        <w:rPr>
          <w:spacing w:val="-3"/>
        </w:rPr>
        <w:t>求。董事会设立了战略、审计、薪酬与考核、提名等四个委员会，制订了相应的</w:t>
      </w:r>
      <w:r>
        <w:rPr>
          <w:spacing w:val="-112"/>
        </w:rPr>
        <w:t> </w:t>
      </w:r>
      <w:r>
        <w:rPr>
          <w:spacing w:val="-112"/>
        </w:rPr>
      </w:r>
      <w:r>
        <w:rPr>
          <w:spacing w:val="-3"/>
        </w:rPr>
        <w:t>议事规则。公司董事积极参加相关知识培训，熟悉有关法律法规；公司董事严格</w:t>
      </w:r>
    </w:p>
    <w:p>
      <w:pPr>
        <w:spacing w:after="0" w:line="357" w:lineRule="auto"/>
        <w:jc w:val="both"/>
        <w:sectPr>
          <w:pgSz w:w="11910" w:h="16840"/>
          <w:pgMar w:header="884" w:footer="980" w:top="1140" w:bottom="1160" w:left="1660" w:right="1600"/>
        </w:sectPr>
      </w:pPr>
    </w:p>
    <w:p>
      <w:pPr>
        <w:spacing w:line="240" w:lineRule="auto" w:before="6"/>
        <w:rPr>
          <w:rFonts w:ascii="宋体" w:hAnsi="宋体" w:cs="宋体" w:eastAsia="宋体" w:hint="default"/>
          <w:sz w:val="22"/>
          <w:szCs w:val="22"/>
        </w:rPr>
      </w:pPr>
    </w:p>
    <w:p>
      <w:pPr>
        <w:pStyle w:val="BodyText"/>
        <w:spacing w:line="357" w:lineRule="auto" w:before="26"/>
        <w:ind w:right="216"/>
        <w:jc w:val="both"/>
      </w:pPr>
      <w:r>
        <w:rPr>
          <w:spacing w:val="-3"/>
        </w:rPr>
        <w:t>按照《董事会议事规则》、《独立董事议事规则》等规章制度开展工作，认真出</w:t>
      </w:r>
      <w:r>
        <w:rPr>
          <w:spacing w:val="-110"/>
        </w:rPr>
        <w:t> </w:t>
      </w:r>
      <w:r>
        <w:rPr>
          <w:spacing w:val="-110"/>
        </w:rPr>
      </w:r>
      <w:r>
        <w:rPr>
          <w:spacing w:val="-3"/>
        </w:rPr>
        <w:t>席董事会和股东大会，正确行使权利和勤勉履行义务，确保董事会的有效运作和</w:t>
      </w:r>
      <w:r>
        <w:rPr>
          <w:spacing w:val="-111"/>
        </w:rPr>
        <w:t> </w:t>
      </w:r>
      <w:r>
        <w:rPr>
          <w:spacing w:val="-111"/>
        </w:rPr>
      </w:r>
      <w:r>
        <w:rPr/>
        <w:t>科学决策。</w:t>
      </w:r>
    </w:p>
    <w:p>
      <w:pPr>
        <w:pStyle w:val="BodyText"/>
        <w:tabs>
          <w:tab w:pos="1400" w:val="left" w:leader="none"/>
        </w:tabs>
        <w:spacing w:line="240" w:lineRule="auto" w:before="36"/>
        <w:ind w:left="620" w:right="138"/>
        <w:jc w:val="left"/>
      </w:pPr>
      <w:r>
        <w:rPr>
          <w:rFonts w:ascii="宋体" w:hAnsi="宋体" w:cs="宋体" w:eastAsia="宋体" w:hint="default"/>
        </w:rPr>
        <w:t>(</w:t>
      </w:r>
      <w:r>
        <w:rPr/>
        <w:t>四</w:t>
      </w:r>
      <w:r>
        <w:rPr>
          <w:rFonts w:ascii="宋体" w:hAnsi="宋体" w:cs="宋体" w:eastAsia="宋体" w:hint="default"/>
        </w:rPr>
        <w:t>)</w:t>
        <w:tab/>
      </w:r>
      <w:r>
        <w:rPr/>
        <w:t>关于监事和监事会</w:t>
      </w:r>
    </w:p>
    <w:p>
      <w:pPr>
        <w:pStyle w:val="BodyText"/>
        <w:spacing w:line="357" w:lineRule="auto"/>
        <w:ind w:right="218" w:firstLine="479"/>
        <w:jc w:val="both"/>
      </w:pPr>
      <w:r>
        <w:rPr/>
        <w:t>公司监事会由</w:t>
      </w:r>
      <w:r>
        <w:rPr>
          <w:spacing w:val="-57"/>
        </w:rPr>
        <w:t> </w:t>
      </w:r>
      <w:r>
        <w:rPr>
          <w:rFonts w:ascii="宋体" w:hAnsi="宋体" w:cs="宋体" w:eastAsia="宋体" w:hint="default"/>
        </w:rPr>
        <w:t>3</w:t>
      </w:r>
      <w:r>
        <w:rPr>
          <w:rFonts w:ascii="宋体" w:hAnsi="宋体" w:cs="宋体" w:eastAsia="宋体" w:hint="default"/>
          <w:spacing w:val="-57"/>
        </w:rPr>
        <w:t> </w:t>
      </w:r>
      <w:r>
        <w:rPr>
          <w:spacing w:val="-4"/>
        </w:rPr>
        <w:t>名监事组成，其中一名监事由非股东职工担任，其人数和人</w:t>
      </w:r>
      <w:r>
        <w:rPr/>
        <w:t> </w:t>
      </w:r>
      <w:r>
        <w:rPr>
          <w:spacing w:val="-3"/>
        </w:rPr>
        <w:t>员构成均符合相关法律法规的要求；公司监事会严格按照《公司章程》、《监事</w:t>
      </w:r>
      <w:r>
        <w:rPr>
          <w:spacing w:val="-114"/>
        </w:rPr>
        <w:t> </w:t>
      </w:r>
      <w:r>
        <w:rPr>
          <w:spacing w:val="-114"/>
        </w:rPr>
      </w:r>
      <w:r>
        <w:rPr>
          <w:spacing w:val="-3"/>
        </w:rPr>
        <w:t>会议事规则》的规定，积极开展工作；公司监事本着对全体股东负责的态度，切</w:t>
      </w:r>
      <w:r>
        <w:rPr>
          <w:spacing w:val="-111"/>
        </w:rPr>
        <w:t> </w:t>
      </w:r>
      <w:r>
        <w:rPr>
          <w:spacing w:val="-111"/>
        </w:rPr>
      </w:r>
      <w:r>
        <w:rPr>
          <w:spacing w:val="-3"/>
        </w:rPr>
        <w:t>实行使监察、督促职能，对公司董事、经理及其他高级管理人员履行职务情况进</w:t>
      </w:r>
      <w:r>
        <w:rPr>
          <w:spacing w:val="-111"/>
        </w:rPr>
        <w:t> </w:t>
      </w:r>
      <w:r>
        <w:rPr>
          <w:spacing w:val="-111"/>
        </w:rPr>
      </w:r>
      <w:r>
        <w:rPr>
          <w:spacing w:val="-3"/>
        </w:rPr>
        <w:t>行监督，对公司财务状况进行检查，对相关重大事项发表意见，维护公司及股东</w:t>
      </w:r>
      <w:r>
        <w:rPr>
          <w:spacing w:val="-111"/>
        </w:rPr>
        <w:t> </w:t>
      </w:r>
      <w:r>
        <w:rPr>
          <w:spacing w:val="-111"/>
        </w:rPr>
      </w:r>
      <w:r>
        <w:rPr/>
        <w:t>的合法权益。</w:t>
      </w:r>
    </w:p>
    <w:p>
      <w:pPr>
        <w:pStyle w:val="BodyText"/>
        <w:tabs>
          <w:tab w:pos="1400" w:val="left" w:leader="none"/>
        </w:tabs>
        <w:spacing w:line="357" w:lineRule="auto" w:before="36"/>
        <w:ind w:left="620" w:right="217"/>
        <w:jc w:val="left"/>
      </w:pPr>
      <w:r>
        <w:rPr>
          <w:rFonts w:ascii="宋体" w:hAnsi="宋体" w:cs="宋体" w:eastAsia="宋体" w:hint="default"/>
        </w:rPr>
        <w:t>(</w:t>
      </w:r>
      <w:r>
        <w:rPr/>
        <w:t>五</w:t>
      </w:r>
      <w:r>
        <w:rPr>
          <w:rFonts w:ascii="宋体" w:hAnsi="宋体" w:cs="宋体" w:eastAsia="宋体" w:hint="default"/>
        </w:rPr>
        <w:t>)</w:t>
        <w:tab/>
      </w:r>
      <w:r>
        <w:rPr/>
        <w:t>关于利益相关者 </w:t>
      </w:r>
      <w:r>
        <w:rPr>
          <w:spacing w:val="-3"/>
        </w:rPr>
        <w:t>公司能够充分尊重和维护利益相关者的合法权益，实现股东、职工和社会等</w:t>
      </w:r>
    </w:p>
    <w:p>
      <w:pPr>
        <w:pStyle w:val="BodyText"/>
        <w:spacing w:line="357" w:lineRule="auto" w:before="36"/>
        <w:ind w:right="217"/>
        <w:jc w:val="both"/>
      </w:pPr>
      <w:r>
        <w:rPr>
          <w:spacing w:val="-3"/>
        </w:rPr>
        <w:t>各方面利益的协调平衡，重视公司的社会责任，与利益相关者积极合作，共同推</w:t>
      </w:r>
      <w:r>
        <w:rPr>
          <w:spacing w:val="-111"/>
        </w:rPr>
        <w:t> </w:t>
      </w:r>
      <w:r>
        <w:rPr>
          <w:spacing w:val="-111"/>
        </w:rPr>
      </w:r>
      <w:r>
        <w:rPr/>
        <w:t>动公司持续、健康地发展。</w:t>
      </w:r>
    </w:p>
    <w:p>
      <w:pPr>
        <w:pStyle w:val="Heading5"/>
        <w:spacing w:line="240" w:lineRule="auto" w:before="36"/>
        <w:ind w:right="0"/>
        <w:jc w:val="both"/>
        <w:rPr>
          <w:b w:val="0"/>
          <w:bCs w:val="0"/>
        </w:rPr>
      </w:pPr>
      <w:r>
        <w:rPr/>
        <w:t>二、</w:t>
      </w:r>
      <w:r>
        <w:rPr>
          <w:spacing w:val="-41"/>
        </w:rPr>
        <w:t> </w:t>
      </w:r>
      <w:r>
        <w:rPr/>
        <w:t>公司董事长、独立董事及其它董事履行职责情况</w:t>
      </w:r>
      <w:r>
        <w:rPr>
          <w:b w:val="0"/>
          <w:bCs w:val="0"/>
        </w:rPr>
      </w:r>
    </w:p>
    <w:p>
      <w:pPr>
        <w:pStyle w:val="BodyText"/>
        <w:tabs>
          <w:tab w:pos="1400" w:val="left" w:leader="none"/>
        </w:tabs>
        <w:spacing w:line="357" w:lineRule="auto"/>
        <w:ind w:left="987" w:right="115" w:hanging="420"/>
        <w:jc w:val="left"/>
      </w:pPr>
      <w:r>
        <w:rPr>
          <w:rFonts w:ascii="宋体" w:hAnsi="宋体" w:cs="宋体" w:eastAsia="宋体" w:hint="default"/>
        </w:rPr>
        <w:t>(</w:t>
      </w:r>
      <w:r>
        <w:rPr/>
        <w:t>一</w:t>
      </w:r>
      <w:r>
        <w:rPr>
          <w:rFonts w:ascii="宋体" w:hAnsi="宋体" w:cs="宋体" w:eastAsia="宋体" w:hint="default"/>
        </w:rPr>
        <w:t>)</w:t>
        <w:tab/>
      </w:r>
      <w:r>
        <w:rPr>
          <w:spacing w:val="2"/>
        </w:rPr>
        <w:t>报告期内，公司全体董事严格按照《公司法》、《证券法》、《深</w:t>
      </w:r>
      <w:r>
        <w:rPr>
          <w:spacing w:val="-103"/>
        </w:rPr>
        <w:t> </w:t>
      </w:r>
      <w:r>
        <w:rPr>
          <w:spacing w:val="-103"/>
        </w:rPr>
      </w:r>
      <w:r>
        <w:rPr/>
        <w:t>圳证券交易所创业板上市公司规范运作指引》、《上市公司治理准则》</w:t>
      </w:r>
      <w:r>
        <w:rPr/>
        <w:t> </w:t>
      </w:r>
      <w:r>
        <w:rPr>
          <w:spacing w:val="-5"/>
        </w:rPr>
        <w:t>及《公司章程》等法律、</w:t>
      </w:r>
      <w:r>
        <w:rPr>
          <w:spacing w:val="-34"/>
        </w:rPr>
        <w:t> </w:t>
      </w:r>
      <w:r>
        <w:rPr/>
        <w:t>法规及规章制度的规定和要求，勤勉尽责地履</w:t>
      </w:r>
      <w:r>
        <w:rPr/>
        <w:t> 行董事职责，持续关注公司经营状况，</w:t>
      </w:r>
      <w:r>
        <w:rPr>
          <w:spacing w:val="-45"/>
        </w:rPr>
        <w:t> </w:t>
      </w:r>
      <w:r>
        <w:rPr>
          <w:spacing w:val="-3"/>
        </w:rPr>
        <w:t>遵守董事行为规范，积极参加相</w:t>
      </w:r>
      <w:r>
        <w:rPr/>
        <w:t> 关培训，提高规范运作水平，发挥各自的专业特长， 积极的履行职责。 </w:t>
      </w:r>
      <w:r>
        <w:rPr>
          <w:spacing w:val="8"/>
        </w:rPr>
        <w:t>董事在董事会会议投票表决重大事项或其它对公司有重大影响的事项</w:t>
      </w:r>
      <w:r>
        <w:rPr/>
        <w:t> 时，严格遵循公司董事会议事规则的有关审议规定，审慎决策，切实保 护公司和股东利益。</w:t>
      </w:r>
    </w:p>
    <w:p>
      <w:pPr>
        <w:pStyle w:val="BodyText"/>
        <w:spacing w:line="357" w:lineRule="auto" w:before="36"/>
        <w:ind w:left="987" w:right="214" w:hanging="420"/>
        <w:jc w:val="both"/>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4"/>
        </w:rPr>
        <w:t> </w:t>
      </w:r>
      <w:r>
        <w:rPr>
          <w:spacing w:val="-6"/>
        </w:rPr>
        <w:t>公司董事长在履行职责时，严格按照《公司法》、《证券法》、《深</w:t>
      </w:r>
      <w:r>
        <w:rPr/>
        <w:t> 圳证券交易所创业板上市公司规范运作指引》和《公司章程》等规定， 行使董事长职权，履行职责。在召集、主持董事会会议时，带头执行董 事会集体决策机制，积极推动公司治理工作和内部控制建设、督促执行 股东大会和董事会的各项决议，确保董事会依法正常运作。保证独立董 事和董事会秘书的知情权，及时将董事会工作运行情况通报其它董事。</w:t>
      </w:r>
    </w:p>
    <w:p>
      <w:pPr>
        <w:spacing w:after="0" w:line="357" w:lineRule="auto"/>
        <w:jc w:val="both"/>
        <w:sectPr>
          <w:pgSz w:w="11910" w:h="16840"/>
          <w:pgMar w:header="884" w:footer="980" w:top="1140" w:bottom="1160" w:left="1660" w:right="1580"/>
        </w:sectPr>
      </w:pPr>
    </w:p>
    <w:p>
      <w:pPr>
        <w:spacing w:line="240" w:lineRule="auto" w:before="6"/>
        <w:rPr>
          <w:rFonts w:ascii="宋体" w:hAnsi="宋体" w:cs="宋体" w:eastAsia="宋体" w:hint="default"/>
          <w:sz w:val="22"/>
          <w:szCs w:val="22"/>
        </w:rPr>
      </w:pPr>
    </w:p>
    <w:p>
      <w:pPr>
        <w:pStyle w:val="BodyText"/>
        <w:spacing w:line="357" w:lineRule="auto" w:before="26"/>
        <w:ind w:left="1067" w:right="0"/>
        <w:jc w:val="left"/>
      </w:pPr>
      <w:r>
        <w:rPr/>
        <w:t>督促其它董事、监事、高管人员积极参加监管部门组织的培训，提高董</w:t>
      </w:r>
      <w:r>
        <w:rPr>
          <w:spacing w:val="-103"/>
        </w:rPr>
        <w:t> </w:t>
      </w:r>
      <w:r>
        <w:rPr>
          <w:spacing w:val="-103"/>
        </w:rPr>
      </w:r>
      <w:r>
        <w:rPr/>
        <w:t>事、监事、高管人员的依法履职意识，确保公司规范运作。</w:t>
      </w:r>
    </w:p>
    <w:p>
      <w:pPr>
        <w:pStyle w:val="BodyText"/>
        <w:tabs>
          <w:tab w:pos="1480" w:val="left" w:leader="none"/>
        </w:tabs>
        <w:spacing w:line="357" w:lineRule="auto" w:before="36"/>
        <w:ind w:left="1067" w:right="117" w:hanging="420"/>
        <w:jc w:val="left"/>
      </w:pPr>
      <w:r>
        <w:rPr>
          <w:rFonts w:ascii="宋体" w:hAnsi="宋体" w:cs="宋体" w:eastAsia="宋体" w:hint="default"/>
        </w:rPr>
        <w:t>(</w:t>
      </w:r>
      <w:r>
        <w:rPr/>
        <w:t>三</w:t>
      </w:r>
      <w:r>
        <w:rPr>
          <w:rFonts w:ascii="宋体" w:hAnsi="宋体" w:cs="宋体" w:eastAsia="宋体" w:hint="default"/>
        </w:rPr>
        <w:t>)</w:t>
        <w:tab/>
      </w:r>
      <w:r>
        <w:rPr>
          <w:spacing w:val="2"/>
        </w:rPr>
        <w:t>公司独立董事认真履行职责，能够严格按照《公司章程》、《独立</w:t>
      </w:r>
      <w:r>
        <w:rPr>
          <w:spacing w:val="-109"/>
        </w:rPr>
        <w:t> </w:t>
      </w:r>
      <w:r>
        <w:rPr>
          <w:spacing w:val="-109"/>
        </w:rPr>
      </w:r>
      <w:r>
        <w:rPr/>
        <w:t>董事制度》等的规定，本着对公司、股东负责的态度，勤勉尽责，忠实</w:t>
      </w:r>
      <w:r>
        <w:rPr/>
        <w:t> 履行职责，积极准时出席相关会议，认真审议各项议案，客观的发表自 </w:t>
      </w:r>
      <w:r>
        <w:rPr>
          <w:spacing w:val="-4"/>
        </w:rPr>
        <w:t>己的看法及观点，认真发挥独立董事作用，不受公司和控股股东的影响，</w:t>
      </w:r>
      <w:r>
        <w:rPr/>
        <w:t> 努力维护公司整体利益及中小股东的合法权益。同时积极深入公司现场 调查，了解公司经营状况和内部控制的建设及董事会决议、股东会决议 的执行情况，关注外部环境变化对公司造成的影响，并利用自己的专业 知识为公司未来经营和发展提出合理化的意见和建议。报告期内，公司 三名独立董事对公司董事会的议案及公司其他事项均没有提出异议。</w:t>
      </w:r>
    </w:p>
    <w:p>
      <w:pPr>
        <w:pStyle w:val="BodyText"/>
        <w:spacing w:line="240" w:lineRule="auto" w:before="36"/>
        <w:ind w:left="700" w:right="246"/>
        <w:jc w:val="left"/>
      </w:pPr>
      <w:r>
        <w:rPr/>
        <w:t>报告期内，公司董事出席董事会情况如下：</w:t>
      </w:r>
    </w:p>
    <w:p>
      <w:pPr>
        <w:spacing w:line="240" w:lineRule="auto" w:before="1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142"/>
        <w:gridCol w:w="1573"/>
        <w:gridCol w:w="1162"/>
        <w:gridCol w:w="1162"/>
        <w:gridCol w:w="1162"/>
        <w:gridCol w:w="1162"/>
        <w:gridCol w:w="1162"/>
      </w:tblGrid>
      <w:tr>
        <w:trPr>
          <w:trHeight w:val="322" w:hRule="exact"/>
        </w:trPr>
        <w:tc>
          <w:tcPr>
            <w:tcW w:w="3877" w:type="dxa"/>
            <w:gridSpan w:val="3"/>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74" w:lineRule="exact"/>
              <w:ind w:left="611" w:right="0"/>
              <w:jc w:val="left"/>
              <w:rPr>
                <w:rFonts w:ascii="宋体" w:hAnsi="宋体" w:cs="宋体" w:eastAsia="宋体" w:hint="default"/>
                <w:sz w:val="24"/>
                <w:szCs w:val="24"/>
              </w:rPr>
            </w:pPr>
            <w:r>
              <w:rPr>
                <w:rFonts w:ascii="宋体" w:hAnsi="宋体" w:cs="宋体" w:eastAsia="宋体" w:hint="default"/>
                <w:sz w:val="24"/>
                <w:szCs w:val="24"/>
              </w:rPr>
              <w:t>报告期内董事会召开次数</w:t>
            </w:r>
          </w:p>
        </w:tc>
        <w:tc>
          <w:tcPr>
            <w:tcW w:w="46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Times New Roman" w:hAnsi="Times New Roman" w:cs="Times New Roman" w:eastAsia="Times New Roman" w:hint="default"/>
                <w:sz w:val="24"/>
                <w:szCs w:val="24"/>
              </w:rPr>
            </w:pPr>
            <w:r>
              <w:rPr>
                <w:rFonts w:ascii="Times New Roman"/>
                <w:sz w:val="24"/>
              </w:rPr>
              <w:t>17</w:t>
            </w:r>
          </w:p>
        </w:tc>
      </w:tr>
      <w:tr>
        <w:trPr>
          <w:trHeight w:val="1570" w:hRule="exact"/>
        </w:trPr>
        <w:tc>
          <w:tcPr>
            <w:tcW w:w="1142"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1573"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99" w:right="0"/>
              <w:jc w:val="left"/>
              <w:rPr>
                <w:rFonts w:ascii="宋体" w:hAnsi="宋体" w:cs="宋体" w:eastAsia="宋体" w:hint="default"/>
                <w:sz w:val="24"/>
                <w:szCs w:val="24"/>
              </w:rPr>
            </w:pPr>
            <w:r>
              <w:rPr>
                <w:rFonts w:ascii="宋体" w:hAnsi="宋体" w:cs="宋体" w:eastAsia="宋体" w:hint="default"/>
                <w:sz w:val="24"/>
                <w:szCs w:val="24"/>
              </w:rPr>
              <w:t>具体职位</w:t>
            </w:r>
          </w:p>
        </w:tc>
        <w:tc>
          <w:tcPr>
            <w:tcW w:w="1162"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0" w:lineRule="auto" w:before="0"/>
              <w:ind w:right="0"/>
              <w:jc w:val="left"/>
              <w:rPr>
                <w:rFonts w:ascii="宋体" w:hAnsi="宋体" w:cs="宋体" w:eastAsia="宋体" w:hint="default"/>
                <w:sz w:val="35"/>
                <w:szCs w:val="35"/>
              </w:rPr>
            </w:pPr>
          </w:p>
          <w:p>
            <w:pPr>
              <w:pStyle w:val="TableParagraph"/>
              <w:spacing w:line="312" w:lineRule="exact"/>
              <w:ind w:left="335" w:right="215" w:hanging="120"/>
              <w:jc w:val="left"/>
              <w:rPr>
                <w:rFonts w:ascii="宋体" w:hAnsi="宋体" w:cs="宋体" w:eastAsia="宋体" w:hint="default"/>
                <w:sz w:val="24"/>
                <w:szCs w:val="24"/>
              </w:rPr>
            </w:pPr>
            <w:r>
              <w:rPr>
                <w:rFonts w:ascii="宋体" w:hAnsi="宋体" w:cs="宋体" w:eastAsia="宋体" w:hint="default"/>
                <w:sz w:val="24"/>
                <w:szCs w:val="24"/>
              </w:rPr>
              <w:t>应出席 次数</w:t>
            </w:r>
          </w:p>
        </w:tc>
        <w:tc>
          <w:tcPr>
            <w:tcW w:w="1162"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0" w:lineRule="auto" w:before="0"/>
              <w:ind w:right="0"/>
              <w:jc w:val="left"/>
              <w:rPr>
                <w:rFonts w:ascii="宋体" w:hAnsi="宋体" w:cs="宋体" w:eastAsia="宋体" w:hint="default"/>
                <w:sz w:val="35"/>
                <w:szCs w:val="35"/>
              </w:rPr>
            </w:pPr>
          </w:p>
          <w:p>
            <w:pPr>
              <w:pStyle w:val="TableParagraph"/>
              <w:spacing w:line="312" w:lineRule="exact"/>
              <w:ind w:left="216" w:right="214"/>
              <w:jc w:val="left"/>
              <w:rPr>
                <w:rFonts w:ascii="宋体" w:hAnsi="宋体" w:cs="宋体" w:eastAsia="宋体" w:hint="default"/>
                <w:sz w:val="24"/>
                <w:szCs w:val="24"/>
              </w:rPr>
            </w:pPr>
            <w:r>
              <w:rPr>
                <w:rFonts w:ascii="宋体" w:hAnsi="宋体" w:cs="宋体" w:eastAsia="宋体" w:hint="default"/>
                <w:sz w:val="24"/>
                <w:szCs w:val="24"/>
              </w:rPr>
              <w:t>亲自出 席次数</w:t>
            </w:r>
          </w:p>
        </w:tc>
        <w:tc>
          <w:tcPr>
            <w:tcW w:w="1162"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0" w:lineRule="auto" w:before="0"/>
              <w:ind w:right="0"/>
              <w:jc w:val="left"/>
              <w:rPr>
                <w:rFonts w:ascii="宋体" w:hAnsi="宋体" w:cs="宋体" w:eastAsia="宋体" w:hint="default"/>
                <w:sz w:val="35"/>
                <w:szCs w:val="35"/>
              </w:rPr>
            </w:pPr>
          </w:p>
          <w:p>
            <w:pPr>
              <w:pStyle w:val="TableParagraph"/>
              <w:spacing w:line="312" w:lineRule="exact"/>
              <w:ind w:left="216" w:right="215"/>
              <w:jc w:val="left"/>
              <w:rPr>
                <w:rFonts w:ascii="宋体" w:hAnsi="宋体" w:cs="宋体" w:eastAsia="宋体" w:hint="default"/>
                <w:sz w:val="24"/>
                <w:szCs w:val="24"/>
              </w:rPr>
            </w:pPr>
            <w:r>
              <w:rPr>
                <w:rFonts w:ascii="宋体" w:hAnsi="宋体" w:cs="宋体" w:eastAsia="宋体" w:hint="default"/>
                <w:sz w:val="24"/>
                <w:szCs w:val="24"/>
              </w:rPr>
              <w:t>委托出 席次数</w:t>
            </w:r>
          </w:p>
        </w:tc>
        <w:tc>
          <w:tcPr>
            <w:tcW w:w="1162"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0" w:lineRule="auto" w:before="0"/>
              <w:ind w:right="0"/>
              <w:jc w:val="left"/>
              <w:rPr>
                <w:rFonts w:ascii="宋体" w:hAnsi="宋体" w:cs="宋体" w:eastAsia="宋体" w:hint="default"/>
                <w:sz w:val="35"/>
                <w:szCs w:val="35"/>
              </w:rPr>
            </w:pPr>
          </w:p>
          <w:p>
            <w:pPr>
              <w:pStyle w:val="TableParagraph"/>
              <w:spacing w:line="312" w:lineRule="exact"/>
              <w:ind w:left="453" w:right="216" w:hanging="240"/>
              <w:jc w:val="left"/>
              <w:rPr>
                <w:rFonts w:ascii="宋体" w:hAnsi="宋体" w:cs="宋体" w:eastAsia="宋体" w:hint="default"/>
                <w:sz w:val="24"/>
                <w:szCs w:val="24"/>
              </w:rPr>
            </w:pPr>
            <w:r>
              <w:rPr>
                <w:rFonts w:ascii="宋体" w:hAnsi="宋体" w:cs="宋体" w:eastAsia="宋体" w:hint="default"/>
                <w:sz w:val="24"/>
                <w:szCs w:val="24"/>
              </w:rPr>
              <w:t>缺席次 数</w:t>
            </w:r>
          </w:p>
        </w:tc>
        <w:tc>
          <w:tcPr>
            <w:tcW w:w="1162"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是否连</w:t>
            </w:r>
          </w:p>
          <w:p>
            <w:pPr>
              <w:pStyle w:val="TableParagraph"/>
              <w:spacing w:line="312" w:lineRule="exact" w:before="29"/>
              <w:ind w:left="216" w:right="214"/>
              <w:jc w:val="center"/>
              <w:rPr>
                <w:rFonts w:ascii="宋体" w:hAnsi="宋体" w:cs="宋体" w:eastAsia="宋体" w:hint="default"/>
                <w:sz w:val="24"/>
                <w:szCs w:val="24"/>
              </w:rPr>
            </w:pPr>
            <w:r>
              <w:rPr>
                <w:rFonts w:ascii="宋体" w:hAnsi="宋体" w:cs="宋体" w:eastAsia="宋体" w:hint="default"/>
                <w:sz w:val="24"/>
                <w:szCs w:val="24"/>
              </w:rPr>
              <w:t>续两次 未亲自 出席会 议</w:t>
            </w:r>
          </w:p>
        </w:tc>
      </w:tr>
      <w:tr>
        <w:trPr>
          <w:trHeight w:val="322" w:hRule="exact"/>
        </w:trPr>
        <w:tc>
          <w:tcPr>
            <w:tcW w:w="1142"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范建震</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17</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37" w:right="0"/>
              <w:jc w:val="left"/>
              <w:rPr>
                <w:rFonts w:ascii="Times New Roman" w:hAnsi="Times New Roman" w:cs="Times New Roman" w:eastAsia="Times New Roman" w:hint="default"/>
                <w:sz w:val="21"/>
                <w:szCs w:val="21"/>
              </w:rPr>
            </w:pPr>
            <w:r>
              <w:rPr>
                <w:rFonts w:ascii="Times New Roman"/>
                <w:w w:val="100"/>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4" w:hRule="exact"/>
        </w:trPr>
        <w:tc>
          <w:tcPr>
            <w:tcW w:w="1142"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陈迪清</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1"/>
                <w:szCs w:val="21"/>
              </w:rPr>
            </w:pPr>
            <w:r>
              <w:rPr>
                <w:rFonts w:ascii="Times New Roman"/>
                <w:sz w:val="21"/>
              </w:rPr>
              <w:t>17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1"/>
                <w:szCs w:val="21"/>
              </w:rPr>
            </w:pPr>
            <w:r>
              <w:rPr>
                <w:rFonts w:ascii="Times New Roman"/>
                <w:sz w:val="21"/>
              </w:rPr>
              <w:t>17</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37" w:right="0"/>
              <w:jc w:val="left"/>
              <w:rPr>
                <w:rFonts w:ascii="Times New Roman" w:hAnsi="Times New Roman" w:cs="Times New Roman" w:eastAsia="Times New Roman" w:hint="default"/>
                <w:sz w:val="21"/>
                <w:szCs w:val="21"/>
              </w:rPr>
            </w:pPr>
            <w:r>
              <w:rPr>
                <w:rFonts w:ascii="Times New Roman"/>
                <w:w w:val="100"/>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142"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陈敏川</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董事（历任）</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37" w:right="0"/>
              <w:jc w:val="left"/>
              <w:rPr>
                <w:rFonts w:ascii="Times New Roman" w:hAnsi="Times New Roman" w:cs="Times New Roman" w:eastAsia="Times New Roman" w:hint="default"/>
                <w:sz w:val="21"/>
                <w:szCs w:val="21"/>
              </w:rPr>
            </w:pPr>
            <w:r>
              <w:rPr>
                <w:rFonts w:ascii="Times New Roman"/>
                <w:w w:val="100"/>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142"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柯世锋</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董事（历任）</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37" w:right="0"/>
              <w:jc w:val="left"/>
              <w:rPr>
                <w:rFonts w:ascii="Times New Roman" w:hAnsi="Times New Roman" w:cs="Times New Roman" w:eastAsia="Times New Roman" w:hint="default"/>
                <w:sz w:val="21"/>
                <w:szCs w:val="21"/>
              </w:rPr>
            </w:pPr>
            <w:r>
              <w:rPr>
                <w:rFonts w:ascii="Times New Roman"/>
                <w:w w:val="100"/>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142"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刘维</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37" w:right="0"/>
              <w:jc w:val="left"/>
              <w:rPr>
                <w:rFonts w:ascii="Times New Roman" w:hAnsi="Times New Roman" w:cs="Times New Roman" w:eastAsia="Times New Roman" w:hint="default"/>
                <w:sz w:val="21"/>
                <w:szCs w:val="21"/>
              </w:rPr>
            </w:pPr>
            <w:r>
              <w:rPr>
                <w:rFonts w:ascii="Times New Roman"/>
                <w:w w:val="100"/>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142"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陈靖丰</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37" w:right="0"/>
              <w:jc w:val="left"/>
              <w:rPr>
                <w:rFonts w:ascii="Times New Roman" w:hAnsi="Times New Roman" w:cs="Times New Roman" w:eastAsia="Times New Roman" w:hint="default"/>
                <w:sz w:val="21"/>
                <w:szCs w:val="21"/>
              </w:rPr>
            </w:pPr>
            <w:r>
              <w:rPr>
                <w:rFonts w:ascii="Times New Roman"/>
                <w:w w:val="100"/>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4" w:hRule="exact"/>
        </w:trPr>
        <w:tc>
          <w:tcPr>
            <w:tcW w:w="1142"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曹惠民</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37" w:right="0"/>
              <w:jc w:val="left"/>
              <w:rPr>
                <w:rFonts w:ascii="Times New Roman" w:hAnsi="Times New Roman" w:cs="Times New Roman" w:eastAsia="Times New Roman" w:hint="default"/>
                <w:sz w:val="21"/>
                <w:szCs w:val="21"/>
              </w:rPr>
            </w:pPr>
            <w:r>
              <w:rPr>
                <w:rFonts w:ascii="Times New Roman"/>
                <w:w w:val="100"/>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11"/>
        <w:rPr>
          <w:rFonts w:ascii="宋体" w:hAnsi="宋体" w:cs="宋体" w:eastAsia="宋体" w:hint="default"/>
          <w:sz w:val="24"/>
          <w:szCs w:val="24"/>
        </w:rPr>
      </w:pPr>
    </w:p>
    <w:p>
      <w:pPr>
        <w:spacing w:line="357" w:lineRule="auto" w:before="26"/>
        <w:ind w:left="700" w:right="225" w:hanging="480"/>
        <w:jc w:val="left"/>
        <w:rPr>
          <w:rFonts w:ascii="宋体" w:hAnsi="宋体" w:cs="宋体" w:eastAsia="宋体" w:hint="default"/>
          <w:sz w:val="24"/>
          <w:szCs w:val="24"/>
        </w:rPr>
      </w:pPr>
      <w:r>
        <w:rPr>
          <w:rFonts w:ascii="宋体" w:hAnsi="宋体" w:cs="宋体" w:eastAsia="宋体" w:hint="default"/>
          <w:b/>
          <w:bCs/>
          <w:sz w:val="24"/>
          <w:szCs w:val="24"/>
        </w:rPr>
        <w:t>三、</w:t>
      </w:r>
      <w:r>
        <w:rPr>
          <w:rFonts w:ascii="宋体" w:hAnsi="宋体" w:cs="宋体" w:eastAsia="宋体" w:hint="default"/>
          <w:b/>
          <w:bCs/>
          <w:spacing w:val="-37"/>
          <w:sz w:val="24"/>
          <w:szCs w:val="24"/>
        </w:rPr>
        <w:t> </w:t>
      </w:r>
      <w:r>
        <w:rPr>
          <w:rFonts w:ascii="宋体" w:hAnsi="宋体" w:cs="宋体" w:eastAsia="宋体" w:hint="default"/>
          <w:b/>
          <w:bCs/>
          <w:sz w:val="24"/>
          <w:szCs w:val="24"/>
        </w:rPr>
        <w:t>股东大会会议情况</w:t>
      </w:r>
      <w:r>
        <w:rPr>
          <w:rFonts w:ascii="宋体" w:hAnsi="宋体" w:cs="宋体" w:eastAsia="宋体" w:hint="default"/>
          <w:b/>
          <w:bCs/>
          <w:w w:val="99"/>
          <w:sz w:val="24"/>
          <w:szCs w:val="24"/>
        </w:rPr>
        <w:t> </w:t>
      </w:r>
      <w:r>
        <w:rPr>
          <w:rFonts w:ascii="宋体" w:hAnsi="宋体" w:cs="宋体" w:eastAsia="宋体" w:hint="default"/>
          <w:spacing w:val="-4"/>
          <w:sz w:val="24"/>
          <w:szCs w:val="24"/>
        </w:rPr>
        <w:t>根据《公司法》及有关规定，报告期内，公司先后召开了 </w:t>
      </w:r>
      <w:r>
        <w:rPr>
          <w:rFonts w:ascii="宋体" w:hAnsi="宋体" w:cs="宋体" w:eastAsia="宋体" w:hint="default"/>
          <w:sz w:val="24"/>
          <w:szCs w:val="24"/>
        </w:rPr>
        <w:t>2</w:t>
      </w:r>
      <w:r>
        <w:rPr>
          <w:rFonts w:ascii="宋体" w:hAnsi="宋体" w:cs="宋体" w:eastAsia="宋体" w:hint="default"/>
          <w:spacing w:val="-94"/>
          <w:sz w:val="24"/>
          <w:szCs w:val="24"/>
        </w:rPr>
        <w:t> </w:t>
      </w:r>
      <w:r>
        <w:rPr>
          <w:rFonts w:ascii="宋体" w:hAnsi="宋体" w:cs="宋体" w:eastAsia="宋体" w:hint="default"/>
          <w:spacing w:val="-3"/>
          <w:sz w:val="24"/>
          <w:szCs w:val="24"/>
        </w:rPr>
        <w:t>次股东大会。会</w:t>
      </w:r>
    </w:p>
    <w:p>
      <w:pPr>
        <w:pStyle w:val="BodyText"/>
        <w:spacing w:line="357" w:lineRule="auto" w:before="36"/>
        <w:ind w:left="220" w:right="231"/>
        <w:jc w:val="left"/>
      </w:pPr>
      <w:r>
        <w:rPr>
          <w:spacing w:val="-3"/>
        </w:rPr>
        <w:t>议在召集方式、议事程序、表决方式和决议内容等方面，均符合有关法律、法规</w:t>
      </w:r>
      <w:r>
        <w:rPr>
          <w:spacing w:val="-111"/>
        </w:rPr>
        <w:t> </w:t>
      </w:r>
      <w:r>
        <w:rPr>
          <w:spacing w:val="-111"/>
        </w:rPr>
      </w:r>
      <w:r>
        <w:rPr/>
        <w:t>和《公司章程》的规定。具体召开情况如下：</w:t>
      </w:r>
    </w:p>
    <w:p>
      <w:pPr>
        <w:pStyle w:val="BodyText"/>
        <w:tabs>
          <w:tab w:pos="1060" w:val="left" w:leader="none"/>
        </w:tabs>
        <w:spacing w:line="240" w:lineRule="auto" w:before="36"/>
        <w:ind w:left="220" w:right="0"/>
        <w:jc w:val="left"/>
      </w:pPr>
      <w:r>
        <w:rPr>
          <w:rFonts w:ascii="宋体" w:hAnsi="宋体" w:cs="宋体" w:eastAsia="宋体" w:hint="default"/>
        </w:rPr>
        <w:t>(</w:t>
      </w:r>
      <w:r>
        <w:rPr>
          <w:spacing w:val="-1"/>
        </w:rPr>
        <w:t>一</w:t>
      </w:r>
      <w:r>
        <w:rPr>
          <w:rFonts w:ascii="宋体" w:hAnsi="宋体" w:cs="宋体" w:eastAsia="宋体" w:hint="default"/>
        </w:rPr>
        <w:t>)</w:t>
        <w:tab/>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12 </w:t>
      </w:r>
      <w:r>
        <w:rPr/>
        <w:t>日</w:t>
      </w:r>
      <w:r>
        <w:rPr>
          <w:spacing w:val="-111"/>
        </w:rPr>
        <w:t>，</w:t>
      </w:r>
      <w:r>
        <w:rPr/>
        <w:t>公司召开</w:t>
      </w:r>
      <w:r>
        <w:rPr>
          <w:spacing w:val="-60"/>
        </w:rPr>
        <w:t> </w:t>
      </w:r>
      <w:r>
        <w:rPr>
          <w:rFonts w:ascii="Times New Roman" w:hAnsi="Times New Roman" w:cs="Times New Roman" w:eastAsia="Times New Roman" w:hint="default"/>
        </w:rPr>
        <w:t>2010 </w:t>
      </w:r>
      <w:r>
        <w:rPr/>
        <w:t>年年度股东大会</w:t>
      </w:r>
      <w:r>
        <w:rPr>
          <w:spacing w:val="-110"/>
        </w:rPr>
        <w:t>，</w:t>
      </w:r>
      <w:r>
        <w:rPr/>
        <w:t>会议审议通过</w:t>
      </w:r>
      <w:r>
        <w:rPr>
          <w:spacing w:val="-111"/>
        </w:rPr>
        <w:t>了</w:t>
      </w:r>
      <w:r>
        <w:rPr/>
        <w:t>《上</w:t>
      </w:r>
    </w:p>
    <w:p>
      <w:pPr>
        <w:pStyle w:val="BodyText"/>
        <w:spacing w:line="240" w:lineRule="auto" w:before="135"/>
        <w:ind w:left="578" w:right="0"/>
        <w:jc w:val="left"/>
      </w:pPr>
      <w:r>
        <w:rPr/>
        <w:t>海汉得信息技术股份有限公司</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spacing w:val="-6"/>
        </w:rPr>
        <w:t>年度董事会工作报告》、《上海汉得信息</w:t>
      </w:r>
    </w:p>
    <w:p>
      <w:pPr>
        <w:pStyle w:val="BodyText"/>
        <w:spacing w:line="240" w:lineRule="auto" w:before="135"/>
        <w:ind w:left="578" w:right="0"/>
        <w:jc w:val="left"/>
      </w:pPr>
      <w:r>
        <w:rPr/>
        <w:t>技术股份有限公司</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spacing w:val="-5"/>
        </w:rPr>
        <w:t>年度监事会工作报告》、《上海汉得信息技术股份有</w:t>
      </w:r>
    </w:p>
    <w:p>
      <w:pPr>
        <w:pStyle w:val="BodyText"/>
        <w:spacing w:line="240" w:lineRule="auto" w:before="135"/>
        <w:ind w:left="578" w:right="0"/>
        <w:jc w:val="left"/>
        <w:rPr>
          <w:rFonts w:ascii="Times New Roman" w:hAnsi="Times New Roman" w:cs="Times New Roman" w:eastAsia="Times New Roman" w:hint="default"/>
        </w:rPr>
      </w:pPr>
      <w:r>
        <w:rPr/>
        <w:t>限公司 </w:t>
      </w:r>
      <w:r>
        <w:rPr>
          <w:rFonts w:ascii="Times New Roman" w:hAnsi="Times New Roman" w:cs="Times New Roman" w:eastAsia="Times New Roman" w:hint="default"/>
        </w:rPr>
        <w:t>2010 </w:t>
      </w:r>
      <w:r>
        <w:rPr/>
        <w:t>年度财务决算报告》、《上海汉得信息技术股份有限公司</w:t>
      </w:r>
      <w:r>
        <w:rPr>
          <w:spacing w:val="-32"/>
        </w:rPr>
        <w:t> </w:t>
      </w:r>
      <w:r>
        <w:rPr>
          <w:rFonts w:ascii="Times New Roman" w:hAnsi="Times New Roman" w:cs="Times New Roman" w:eastAsia="Times New Roman" w:hint="default"/>
        </w:rPr>
        <w:t>2010</w:t>
      </w:r>
    </w:p>
    <w:p>
      <w:pPr>
        <w:spacing w:after="0" w:line="240" w:lineRule="auto"/>
        <w:jc w:val="left"/>
        <w:rPr>
          <w:rFonts w:ascii="Times New Roman" w:hAnsi="Times New Roman" w:cs="Times New Roman" w:eastAsia="Times New Roman" w:hint="default"/>
        </w:rPr>
        <w:sectPr>
          <w:pgSz w:w="11910" w:h="16840"/>
          <w:pgMar w:header="884" w:footer="980" w:top="1140" w:bottom="1160" w:left="1580" w:right="1560"/>
        </w:sectPr>
      </w:pPr>
    </w:p>
    <w:p>
      <w:pPr>
        <w:spacing w:line="240" w:lineRule="auto" w:before="6"/>
        <w:rPr>
          <w:rFonts w:ascii="Times New Roman" w:hAnsi="Times New Roman" w:cs="Times New Roman" w:eastAsia="Times New Roman" w:hint="default"/>
          <w:sz w:val="25"/>
          <w:szCs w:val="25"/>
        </w:rPr>
      </w:pPr>
    </w:p>
    <w:p>
      <w:pPr>
        <w:pStyle w:val="BodyText"/>
        <w:spacing w:line="348" w:lineRule="auto" w:before="26"/>
        <w:ind w:left="498" w:right="136"/>
        <w:jc w:val="both"/>
      </w:pPr>
      <w:r>
        <w:rPr>
          <w:spacing w:val="-4"/>
        </w:rPr>
        <w:t>年年度报告》及其摘要、《上海汉得信息技术股份有限公司</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年度利润分 配的预案》、《上海汉得信息技术股份有限公司关于修改公司章程（草案）</w:t>
      </w:r>
      <w:r>
        <w:rPr>
          <w:spacing w:val="-97"/>
        </w:rPr>
        <w:t> </w:t>
      </w:r>
      <w:r>
        <w:rPr>
          <w:spacing w:val="-97"/>
        </w:rPr>
      </w:r>
      <w:r>
        <w:rPr/>
        <w:t>有关条款并变更注册资本的议案》、《关于修订及新增部分公司治理文件的</w:t>
      </w:r>
      <w:r>
        <w:rPr>
          <w:spacing w:val="-97"/>
        </w:rPr>
        <w:t> </w:t>
      </w:r>
      <w:r>
        <w:rPr>
          <w:spacing w:val="-97"/>
        </w:rPr>
      </w:r>
      <w:r>
        <w:rPr>
          <w:spacing w:val="-4"/>
        </w:rPr>
        <w:t>议案》、《关于续聘立信会计师事务所（特殊普通合伙）为公司</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年度审 计机构的议案》。</w:t>
      </w:r>
    </w:p>
    <w:p>
      <w:pPr>
        <w:pStyle w:val="BodyText"/>
        <w:spacing w:line="352" w:lineRule="auto" w:before="46"/>
        <w:ind w:left="498" w:right="136" w:hanging="358"/>
        <w:jc w:val="both"/>
      </w:pPr>
      <w:r>
        <w:rPr>
          <w:rFonts w:ascii="宋体" w:hAnsi="宋体" w:cs="宋体" w:eastAsia="宋体" w:hint="default"/>
        </w:rPr>
        <w:t>(</w:t>
      </w:r>
      <w:r>
        <w:rPr/>
        <w:t>二</w:t>
      </w:r>
      <w:r>
        <w:rPr>
          <w:rFonts w:ascii="宋体" w:hAnsi="宋体" w:cs="宋体" w:eastAsia="宋体" w:hint="default"/>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日，公司召开</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年度第一次临时股东大会，审议通过 了《上海汉得信息技术股份有限公司限制性股票激励计划（草案）修订稿》 及其摘要、《上海汉得信息技术股份有限公司关于提请股东大会授权董事会 办理公司股权激励计划相关事宜的议案》、《上海汉得信息技术股份有限公 司限制性股票激励计划实施考核办法》、《关于运用自有闲置资金购买短期 银行保本理财产品的议案》。</w:t>
      </w:r>
    </w:p>
    <w:p>
      <w:pPr>
        <w:spacing w:line="240" w:lineRule="auto" w:before="0"/>
        <w:rPr>
          <w:rFonts w:ascii="宋体" w:hAnsi="宋体" w:cs="宋体" w:eastAsia="宋体" w:hint="default"/>
          <w:sz w:val="24"/>
          <w:szCs w:val="24"/>
        </w:rPr>
      </w:pPr>
    </w:p>
    <w:p>
      <w:pPr>
        <w:pStyle w:val="Heading5"/>
        <w:spacing w:line="240" w:lineRule="auto" w:before="195"/>
        <w:ind w:right="0"/>
        <w:jc w:val="left"/>
        <w:rPr>
          <w:b w:val="0"/>
          <w:bCs w:val="0"/>
        </w:rPr>
      </w:pPr>
      <w:r>
        <w:rPr/>
        <w:t>四、</w:t>
      </w:r>
      <w:r>
        <w:rPr>
          <w:spacing w:val="-38"/>
        </w:rPr>
        <w:t> </w:t>
      </w:r>
      <w:r>
        <w:rPr/>
        <w:t>董事会运行情况</w:t>
      </w:r>
      <w:r>
        <w:rPr>
          <w:b w:val="0"/>
          <w:bCs w:val="0"/>
        </w:rPr>
      </w:r>
    </w:p>
    <w:p>
      <w:pPr>
        <w:pStyle w:val="BodyText"/>
        <w:spacing w:line="357" w:lineRule="auto"/>
        <w:ind w:left="620" w:right="119" w:hanging="60"/>
        <w:jc w:val="left"/>
      </w:pPr>
      <w:r>
        <w:rPr/>
        <w:t>（一）董事会会议情况 根据《公司法》及有关规定，报告期内，公司先后召开了 </w:t>
      </w:r>
      <w:r>
        <w:rPr>
          <w:rFonts w:ascii="宋体" w:hAnsi="宋体" w:cs="宋体" w:eastAsia="宋体" w:hint="default"/>
        </w:rPr>
        <w:t>17</w:t>
      </w:r>
      <w:r>
        <w:rPr>
          <w:rFonts w:ascii="宋体" w:hAnsi="宋体" w:cs="宋体" w:eastAsia="宋体" w:hint="default"/>
          <w:spacing w:val="-93"/>
        </w:rPr>
        <w:t> </w:t>
      </w:r>
      <w:r>
        <w:rPr/>
        <w:t>次董事会。会</w:t>
      </w:r>
    </w:p>
    <w:p>
      <w:pPr>
        <w:pStyle w:val="BodyText"/>
        <w:spacing w:line="357" w:lineRule="auto" w:before="36"/>
        <w:ind w:right="131"/>
        <w:jc w:val="left"/>
      </w:pPr>
      <w:r>
        <w:rPr>
          <w:spacing w:val="-3"/>
        </w:rPr>
        <w:t>议在召集方式、议事程序、表决方式和决议内容等方面，均符合有关法律、法规</w:t>
      </w:r>
      <w:r>
        <w:rPr>
          <w:spacing w:val="-111"/>
        </w:rPr>
        <w:t> </w:t>
      </w:r>
      <w:r>
        <w:rPr>
          <w:spacing w:val="-111"/>
        </w:rPr>
      </w:r>
      <w:r>
        <w:rPr/>
        <w:t>和《公司章程》的规定。具体召开情况如下：</w:t>
      </w:r>
    </w:p>
    <w:p>
      <w:pPr>
        <w:pStyle w:val="BodyText"/>
        <w:spacing w:line="240" w:lineRule="auto" w:before="36"/>
        <w:ind w:left="567" w:right="0"/>
        <w:jc w:val="both"/>
      </w:pPr>
      <w:r>
        <w:rPr>
          <w:rFonts w:ascii="宋体" w:hAnsi="宋体" w:cs="宋体" w:eastAsia="宋体" w:hint="default"/>
        </w:rPr>
        <w:t>1</w:t>
      </w:r>
      <w:r>
        <w:rPr/>
        <w:t>、</w:t>
      </w:r>
      <w:r>
        <w:rPr>
          <w:spacing w:val="-68"/>
        </w:rPr>
        <w:t> </w:t>
      </w:r>
      <w:r>
        <w:rPr>
          <w:rFonts w:ascii="宋体" w:hAnsi="宋体" w:cs="宋体" w:eastAsia="宋体" w:hint="default"/>
        </w:rPr>
        <w:t>2011</w:t>
      </w:r>
      <w:r>
        <w:rPr>
          <w:rFonts w:ascii="宋体" w:hAnsi="宋体" w:cs="宋体" w:eastAsia="宋体" w:hint="default"/>
          <w:spacing w:val="-44"/>
        </w:rPr>
        <w:t> </w:t>
      </w:r>
      <w:r>
        <w:rPr/>
        <w:t>年</w:t>
      </w:r>
      <w:r>
        <w:rPr>
          <w:spacing w:val="-44"/>
        </w:rPr>
        <w:t> </w:t>
      </w:r>
      <w:r>
        <w:rPr>
          <w:rFonts w:ascii="宋体" w:hAnsi="宋体" w:cs="宋体" w:eastAsia="宋体" w:hint="default"/>
        </w:rPr>
        <w:t>2</w:t>
      </w:r>
      <w:r>
        <w:rPr>
          <w:rFonts w:ascii="宋体" w:hAnsi="宋体" w:cs="宋体" w:eastAsia="宋体" w:hint="default"/>
          <w:spacing w:val="-44"/>
        </w:rPr>
        <w:t> </w:t>
      </w:r>
      <w:r>
        <w:rPr/>
        <w:t>月</w:t>
      </w:r>
      <w:r>
        <w:rPr>
          <w:spacing w:val="-43"/>
        </w:rPr>
        <w:t> </w:t>
      </w:r>
      <w:r>
        <w:rPr>
          <w:rFonts w:ascii="宋体" w:hAnsi="宋体" w:cs="宋体" w:eastAsia="宋体" w:hint="default"/>
        </w:rPr>
        <w:t>23</w:t>
      </w:r>
      <w:r>
        <w:rPr>
          <w:rFonts w:ascii="宋体" w:hAnsi="宋体" w:cs="宋体" w:eastAsia="宋体" w:hint="default"/>
          <w:spacing w:val="-44"/>
        </w:rPr>
        <w:t> </w:t>
      </w:r>
      <w:r>
        <w:rPr/>
        <w:t>日召开第一届董事会第六次（临时）会议，审议通过了</w:t>
      </w:r>
    </w:p>
    <w:p>
      <w:pPr>
        <w:pStyle w:val="BodyText"/>
        <w:spacing w:line="357" w:lineRule="auto"/>
        <w:ind w:left="927" w:right="138"/>
        <w:jc w:val="both"/>
      </w:pPr>
      <w:r>
        <w:rPr>
          <w:spacing w:val="2"/>
        </w:rPr>
        <w:t>《上海汉得信息技术股份有限公司关于设立募集资金专用账户及签订募</w:t>
      </w:r>
      <w:r>
        <w:rPr>
          <w:spacing w:val="-117"/>
        </w:rPr>
        <w:t> </w:t>
      </w:r>
      <w:r>
        <w:rPr>
          <w:spacing w:val="-117"/>
        </w:rPr>
      </w:r>
      <w:r>
        <w:rPr>
          <w:spacing w:val="2"/>
        </w:rPr>
        <w:t>集资金三方监管协议的议案》、《上海汉得信息技术股份有限公司关于</w:t>
      </w:r>
      <w:r>
        <w:rPr>
          <w:spacing w:val="-116"/>
        </w:rPr>
        <w:t> </w:t>
      </w:r>
      <w:r>
        <w:rPr>
          <w:spacing w:val="-116"/>
        </w:rPr>
      </w:r>
      <w:r>
        <w:rPr/>
        <w:t>修改公司章程（草案）有关条款并变更注册资本的议案》。</w:t>
      </w:r>
    </w:p>
    <w:p>
      <w:pPr>
        <w:pStyle w:val="BodyText"/>
        <w:spacing w:line="240" w:lineRule="auto" w:before="36"/>
        <w:ind w:left="567" w:right="0"/>
        <w:jc w:val="both"/>
      </w:pPr>
      <w:r>
        <w:rPr>
          <w:rFonts w:ascii="宋体" w:hAnsi="宋体" w:cs="宋体" w:eastAsia="宋体" w:hint="default"/>
        </w:rPr>
        <w:t>2</w:t>
      </w:r>
      <w:r>
        <w:rPr/>
        <w:t>、</w:t>
      </w:r>
      <w:r>
        <w:rPr>
          <w:spacing w:val="-68"/>
        </w:rPr>
        <w:t> </w:t>
      </w:r>
      <w:r>
        <w:rPr>
          <w:rFonts w:ascii="宋体" w:hAnsi="宋体" w:cs="宋体" w:eastAsia="宋体" w:hint="default"/>
        </w:rPr>
        <w:t>2011</w:t>
      </w:r>
      <w:r>
        <w:rPr>
          <w:rFonts w:ascii="宋体" w:hAnsi="宋体" w:cs="宋体" w:eastAsia="宋体" w:hint="default"/>
          <w:spacing w:val="-44"/>
        </w:rPr>
        <w:t> </w:t>
      </w:r>
      <w:r>
        <w:rPr/>
        <w:t>年</w:t>
      </w:r>
      <w:r>
        <w:rPr>
          <w:spacing w:val="-44"/>
        </w:rPr>
        <w:t> </w:t>
      </w:r>
      <w:r>
        <w:rPr>
          <w:rFonts w:ascii="宋体" w:hAnsi="宋体" w:cs="宋体" w:eastAsia="宋体" w:hint="default"/>
        </w:rPr>
        <w:t>3</w:t>
      </w:r>
      <w:r>
        <w:rPr>
          <w:rFonts w:ascii="宋体" w:hAnsi="宋体" w:cs="宋体" w:eastAsia="宋体" w:hint="default"/>
          <w:spacing w:val="-44"/>
        </w:rPr>
        <w:t> </w:t>
      </w:r>
      <w:r>
        <w:rPr/>
        <w:t>月</w:t>
      </w:r>
      <w:r>
        <w:rPr>
          <w:spacing w:val="-43"/>
        </w:rPr>
        <w:t> </w:t>
      </w:r>
      <w:r>
        <w:rPr>
          <w:rFonts w:ascii="宋体" w:hAnsi="宋体" w:cs="宋体" w:eastAsia="宋体" w:hint="default"/>
        </w:rPr>
        <w:t>18</w:t>
      </w:r>
      <w:r>
        <w:rPr>
          <w:rFonts w:ascii="宋体" w:hAnsi="宋体" w:cs="宋体" w:eastAsia="宋体" w:hint="default"/>
          <w:spacing w:val="-44"/>
        </w:rPr>
        <w:t> </w:t>
      </w:r>
      <w:r>
        <w:rPr/>
        <w:t>日召开第一届董事会第七次会议，审议通过了《上海汉</w:t>
      </w:r>
    </w:p>
    <w:p>
      <w:pPr>
        <w:pStyle w:val="BodyText"/>
        <w:spacing w:line="240" w:lineRule="auto"/>
        <w:ind w:left="927" w:right="0"/>
        <w:jc w:val="both"/>
      </w:pPr>
      <w:r>
        <w:rPr/>
        <w:t>得信息技术股份有限公司</w:t>
      </w:r>
      <w:r>
        <w:rPr>
          <w:spacing w:val="-54"/>
        </w:rPr>
        <w:t> </w:t>
      </w:r>
      <w:r>
        <w:rPr>
          <w:rFonts w:ascii="宋体" w:hAnsi="宋体" w:cs="宋体" w:eastAsia="宋体" w:hint="default"/>
        </w:rPr>
        <w:t>2010</w:t>
      </w:r>
      <w:r>
        <w:rPr>
          <w:rFonts w:ascii="宋体" w:hAnsi="宋体" w:cs="宋体" w:eastAsia="宋体" w:hint="default"/>
          <w:spacing w:val="-54"/>
        </w:rPr>
        <w:t> </w:t>
      </w:r>
      <w:r>
        <w:rPr>
          <w:spacing w:val="-3"/>
        </w:rPr>
        <w:t>年总经理工作报告》、《上海汉得信息技</w:t>
      </w:r>
    </w:p>
    <w:p>
      <w:pPr>
        <w:pStyle w:val="BodyText"/>
        <w:spacing w:line="240" w:lineRule="auto"/>
        <w:ind w:left="927" w:right="0"/>
        <w:jc w:val="both"/>
      </w:pPr>
      <w:r>
        <w:rPr/>
        <w:t>术股份有限公司</w:t>
      </w:r>
      <w:r>
        <w:rPr>
          <w:spacing w:val="-80"/>
        </w:rPr>
        <w:t> </w:t>
      </w:r>
      <w:r>
        <w:rPr>
          <w:rFonts w:ascii="宋体" w:hAnsi="宋体" w:cs="宋体" w:eastAsia="宋体" w:hint="default"/>
        </w:rPr>
        <w:t>2010</w:t>
      </w:r>
      <w:r>
        <w:rPr>
          <w:rFonts w:ascii="宋体" w:hAnsi="宋体" w:cs="宋体" w:eastAsia="宋体" w:hint="default"/>
          <w:spacing w:val="-80"/>
        </w:rPr>
        <w:t> </w:t>
      </w:r>
      <w:r>
        <w:rPr/>
        <w:t>年董事会工作报告》、《上海汉得信息技术股份有</w:t>
      </w:r>
    </w:p>
    <w:p>
      <w:pPr>
        <w:pStyle w:val="BodyText"/>
        <w:spacing w:line="240" w:lineRule="auto"/>
        <w:ind w:left="927" w:right="0"/>
        <w:jc w:val="both"/>
        <w:rPr>
          <w:rFonts w:ascii="宋体" w:hAnsi="宋体" w:cs="宋体" w:eastAsia="宋体" w:hint="default"/>
        </w:rPr>
      </w:pPr>
      <w:r>
        <w:rPr/>
        <w:t>限公司</w:t>
      </w:r>
      <w:r>
        <w:rPr>
          <w:spacing w:val="-54"/>
        </w:rPr>
        <w:t> </w:t>
      </w:r>
      <w:r>
        <w:rPr>
          <w:rFonts w:ascii="宋体" w:hAnsi="宋体" w:cs="宋体" w:eastAsia="宋体" w:hint="default"/>
        </w:rPr>
        <w:t>2010</w:t>
      </w:r>
      <w:r>
        <w:rPr>
          <w:rFonts w:ascii="宋体" w:hAnsi="宋体" w:cs="宋体" w:eastAsia="宋体" w:hint="default"/>
          <w:spacing w:val="-54"/>
        </w:rPr>
        <w:t> </w:t>
      </w:r>
      <w:r>
        <w:rPr>
          <w:spacing w:val="-5"/>
        </w:rPr>
        <w:t>年财务决算报告》、《上海汉得信息技术股份有限公司</w:t>
      </w:r>
      <w:r>
        <w:rPr>
          <w:spacing w:val="-54"/>
        </w:rPr>
        <w:t> </w:t>
      </w:r>
      <w:r>
        <w:rPr>
          <w:rFonts w:ascii="宋体" w:hAnsi="宋体" w:cs="宋体" w:eastAsia="宋体" w:hint="default"/>
        </w:rPr>
        <w:t>2010</w:t>
      </w:r>
    </w:p>
    <w:p>
      <w:pPr>
        <w:pStyle w:val="BodyText"/>
        <w:spacing w:line="240" w:lineRule="auto"/>
        <w:ind w:left="927" w:right="0"/>
        <w:jc w:val="both"/>
      </w:pPr>
      <w:r>
        <w:rPr/>
        <w:t>年年度报告》及摘要、《上海汉得信息技术股份有限公司</w:t>
      </w:r>
      <w:r>
        <w:rPr>
          <w:spacing w:val="-80"/>
        </w:rPr>
        <w:t> </w:t>
      </w:r>
      <w:r>
        <w:rPr>
          <w:rFonts w:ascii="宋体" w:hAnsi="宋体" w:cs="宋体" w:eastAsia="宋体" w:hint="default"/>
        </w:rPr>
        <w:t>2010</w:t>
      </w:r>
      <w:r>
        <w:rPr>
          <w:rFonts w:ascii="宋体" w:hAnsi="宋体" w:cs="宋体" w:eastAsia="宋体" w:hint="default"/>
          <w:spacing w:val="-80"/>
        </w:rPr>
        <w:t> </w:t>
      </w:r>
      <w:r>
        <w:rPr/>
        <w:t>年年度利</w:t>
      </w:r>
    </w:p>
    <w:p>
      <w:pPr>
        <w:pStyle w:val="BodyText"/>
        <w:spacing w:line="357" w:lineRule="auto"/>
        <w:ind w:left="927" w:right="136"/>
        <w:jc w:val="both"/>
      </w:pPr>
      <w:r>
        <w:rPr/>
        <w:t>润分配的预案》、《上海汉得信息技术股份有限公司</w:t>
      </w:r>
      <w:r>
        <w:rPr>
          <w:spacing w:val="-79"/>
        </w:rPr>
        <w:t> </w:t>
      </w:r>
      <w:r>
        <w:rPr>
          <w:rFonts w:ascii="宋体" w:hAnsi="宋体" w:cs="宋体" w:eastAsia="宋体" w:hint="default"/>
        </w:rPr>
        <w:t>2010</w:t>
      </w:r>
      <w:r>
        <w:rPr>
          <w:rFonts w:ascii="宋体" w:hAnsi="宋体" w:cs="宋体" w:eastAsia="宋体" w:hint="default"/>
          <w:spacing w:val="-80"/>
        </w:rPr>
        <w:t> </w:t>
      </w:r>
      <w:r>
        <w:rPr/>
        <w:t>年度内部控制 </w:t>
      </w:r>
      <w:r>
        <w:rPr>
          <w:spacing w:val="2"/>
        </w:rPr>
        <w:t>自我评价报告》、《关于修订部分公司治理文件的议案》、《关于新增</w:t>
      </w:r>
      <w:r>
        <w:rPr>
          <w:spacing w:val="-117"/>
        </w:rPr>
        <w:t> </w:t>
      </w:r>
      <w:r>
        <w:rPr>
          <w:spacing w:val="-117"/>
        </w:rPr>
      </w:r>
      <w:r>
        <w:rPr>
          <w:spacing w:val="2"/>
        </w:rPr>
        <w:t>部分公司治理文件的议案》、《关于续聘立信会计师事务所（特殊普通</w:t>
      </w:r>
    </w:p>
    <w:p>
      <w:pPr>
        <w:spacing w:after="0" w:line="357" w:lineRule="auto"/>
        <w:jc w:val="both"/>
        <w:sectPr>
          <w:pgSz w:w="11910" w:h="16840"/>
          <w:pgMar w:header="884" w:footer="980" w:top="1140" w:bottom="1160" w:left="1660" w:right="1660"/>
        </w:sectPr>
      </w:pPr>
    </w:p>
    <w:p>
      <w:pPr>
        <w:spacing w:line="240" w:lineRule="auto" w:before="6"/>
        <w:rPr>
          <w:rFonts w:ascii="宋体" w:hAnsi="宋体" w:cs="宋体" w:eastAsia="宋体" w:hint="default"/>
          <w:sz w:val="22"/>
          <w:szCs w:val="22"/>
        </w:rPr>
      </w:pPr>
    </w:p>
    <w:p>
      <w:pPr>
        <w:pStyle w:val="BodyText"/>
        <w:spacing w:line="240" w:lineRule="auto" w:before="26"/>
        <w:ind w:left="927" w:right="0"/>
        <w:jc w:val="both"/>
      </w:pPr>
      <w:r>
        <w:rPr/>
        <w:t>合伙）为公司</w:t>
      </w:r>
      <w:r>
        <w:rPr>
          <w:spacing w:val="-80"/>
        </w:rPr>
        <w:t> </w:t>
      </w:r>
      <w:r>
        <w:rPr>
          <w:rFonts w:ascii="宋体" w:hAnsi="宋体" w:cs="宋体" w:eastAsia="宋体" w:hint="default"/>
        </w:rPr>
        <w:t>2011</w:t>
      </w:r>
      <w:r>
        <w:rPr>
          <w:rFonts w:ascii="宋体" w:hAnsi="宋体" w:cs="宋体" w:eastAsia="宋体" w:hint="default"/>
          <w:spacing w:val="-80"/>
        </w:rPr>
        <w:t> </w:t>
      </w:r>
      <w:r>
        <w:rPr/>
        <w:t>年度审计机构的议案》、《关于召开上海汉得信息技</w:t>
      </w:r>
    </w:p>
    <w:p>
      <w:pPr>
        <w:pStyle w:val="BodyText"/>
        <w:spacing w:line="240" w:lineRule="auto"/>
        <w:ind w:left="927" w:right="0"/>
        <w:jc w:val="both"/>
      </w:pPr>
      <w:r>
        <w:rPr/>
        <w:t>术股份有限公司</w:t>
      </w:r>
      <w:r>
        <w:rPr>
          <w:spacing w:val="-60"/>
        </w:rPr>
        <w:t> </w:t>
      </w:r>
      <w:r>
        <w:rPr>
          <w:rFonts w:ascii="宋体" w:hAnsi="宋体" w:cs="宋体" w:eastAsia="宋体" w:hint="default"/>
        </w:rPr>
        <w:t>2010</w:t>
      </w:r>
      <w:r>
        <w:rPr>
          <w:rFonts w:ascii="宋体" w:hAnsi="宋体" w:cs="宋体" w:eastAsia="宋体" w:hint="default"/>
          <w:spacing w:val="-60"/>
        </w:rPr>
        <w:t> </w:t>
      </w:r>
      <w:r>
        <w:rPr/>
        <w:t>年度股东大会的议案》。</w:t>
      </w:r>
    </w:p>
    <w:p>
      <w:pPr>
        <w:pStyle w:val="BodyText"/>
        <w:spacing w:line="240" w:lineRule="auto"/>
        <w:ind w:left="567" w:right="0"/>
        <w:jc w:val="left"/>
      </w:pPr>
      <w:r>
        <w:rPr>
          <w:rFonts w:ascii="宋体" w:hAnsi="宋体" w:cs="宋体" w:eastAsia="宋体" w:hint="default"/>
        </w:rPr>
        <w:t>3</w:t>
      </w:r>
      <w:r>
        <w:rPr/>
        <w:t>、</w:t>
      </w:r>
      <w:r>
        <w:rPr>
          <w:spacing w:val="-68"/>
        </w:rPr>
        <w:t> </w:t>
      </w:r>
      <w:r>
        <w:rPr>
          <w:rFonts w:ascii="宋体" w:hAnsi="宋体" w:cs="宋体" w:eastAsia="宋体" w:hint="default"/>
        </w:rPr>
        <w:t>2011</w:t>
      </w:r>
      <w:r>
        <w:rPr>
          <w:rFonts w:ascii="宋体" w:hAnsi="宋体" w:cs="宋体" w:eastAsia="宋体" w:hint="default"/>
          <w:spacing w:val="-44"/>
        </w:rPr>
        <w:t> </w:t>
      </w:r>
      <w:r>
        <w:rPr/>
        <w:t>年</w:t>
      </w:r>
      <w:r>
        <w:rPr>
          <w:spacing w:val="-44"/>
        </w:rPr>
        <w:t> </w:t>
      </w:r>
      <w:r>
        <w:rPr>
          <w:rFonts w:ascii="宋体" w:hAnsi="宋体" w:cs="宋体" w:eastAsia="宋体" w:hint="default"/>
        </w:rPr>
        <w:t>4</w:t>
      </w:r>
      <w:r>
        <w:rPr>
          <w:rFonts w:ascii="宋体" w:hAnsi="宋体" w:cs="宋体" w:eastAsia="宋体" w:hint="default"/>
          <w:spacing w:val="-44"/>
        </w:rPr>
        <w:t> </w:t>
      </w:r>
      <w:r>
        <w:rPr/>
        <w:t>月</w:t>
      </w:r>
      <w:r>
        <w:rPr>
          <w:spacing w:val="-43"/>
        </w:rPr>
        <w:t> </w:t>
      </w:r>
      <w:r>
        <w:rPr>
          <w:rFonts w:ascii="宋体" w:hAnsi="宋体" w:cs="宋体" w:eastAsia="宋体" w:hint="default"/>
        </w:rPr>
        <w:t>21</w:t>
      </w:r>
      <w:r>
        <w:rPr>
          <w:rFonts w:ascii="宋体" w:hAnsi="宋体" w:cs="宋体" w:eastAsia="宋体" w:hint="default"/>
          <w:spacing w:val="-44"/>
        </w:rPr>
        <w:t> </w:t>
      </w:r>
      <w:r>
        <w:rPr/>
        <w:t>日召开第一届董事会第八次（临时）会议，审议通过了</w:t>
      </w:r>
    </w:p>
    <w:p>
      <w:pPr>
        <w:pStyle w:val="BodyText"/>
        <w:spacing w:line="357" w:lineRule="auto"/>
        <w:ind w:left="927" w:right="133"/>
        <w:jc w:val="both"/>
      </w:pPr>
      <w:r>
        <w:rPr>
          <w:spacing w:val="2"/>
        </w:rPr>
        <w:t>《上海汉得信息技术股份有限公司加强上市公司治理专项活动自查事项</w:t>
      </w:r>
      <w:r>
        <w:rPr>
          <w:spacing w:val="-116"/>
        </w:rPr>
        <w:t> </w:t>
      </w:r>
      <w:r>
        <w:rPr>
          <w:spacing w:val="-116"/>
        </w:rPr>
      </w:r>
      <w:r>
        <w:rPr>
          <w:spacing w:val="2"/>
        </w:rPr>
        <w:t>报告》、《上海汉得信息技术股份有限公司加强上市公司治理专项活动</w:t>
      </w:r>
      <w:r>
        <w:rPr>
          <w:spacing w:val="-117"/>
        </w:rPr>
        <w:t> </w:t>
      </w:r>
      <w:r>
        <w:rPr>
          <w:spacing w:val="-117"/>
        </w:rPr>
      </w:r>
      <w:r>
        <w:rPr/>
        <w:t>自查报告和整改计划》、《上海汉得信息技术股份有限公司</w:t>
      </w:r>
      <w:r>
        <w:rPr>
          <w:spacing w:val="-78"/>
        </w:rPr>
        <w:t> </w:t>
      </w:r>
      <w:r>
        <w:rPr>
          <w:rFonts w:ascii="宋体" w:hAnsi="宋体" w:cs="宋体" w:eastAsia="宋体" w:hint="default"/>
        </w:rPr>
        <w:t>2011</w:t>
      </w:r>
      <w:r>
        <w:rPr>
          <w:rFonts w:ascii="宋体" w:hAnsi="宋体" w:cs="宋体" w:eastAsia="宋体" w:hint="default"/>
          <w:spacing w:val="-79"/>
        </w:rPr>
        <w:t> </w:t>
      </w:r>
      <w:r>
        <w:rPr/>
        <w:t>年第一 季度报告》。</w:t>
      </w:r>
    </w:p>
    <w:p>
      <w:pPr>
        <w:pStyle w:val="BodyText"/>
        <w:spacing w:line="240" w:lineRule="auto" w:before="36"/>
        <w:ind w:left="567" w:right="0"/>
        <w:jc w:val="left"/>
      </w:pPr>
      <w:r>
        <w:rPr>
          <w:rFonts w:ascii="宋体" w:hAnsi="宋体" w:cs="宋体" w:eastAsia="宋体" w:hint="default"/>
        </w:rPr>
        <w:t>4</w:t>
      </w:r>
      <w:r>
        <w:rPr/>
        <w:t>、</w:t>
      </w:r>
      <w:r>
        <w:rPr>
          <w:spacing w:val="-68"/>
        </w:rPr>
        <w:t> </w:t>
      </w:r>
      <w:r>
        <w:rPr>
          <w:rFonts w:ascii="宋体" w:hAnsi="宋体" w:cs="宋体" w:eastAsia="宋体" w:hint="default"/>
        </w:rPr>
        <w:t>2011</w:t>
      </w:r>
      <w:r>
        <w:rPr>
          <w:rFonts w:ascii="宋体" w:hAnsi="宋体" w:cs="宋体" w:eastAsia="宋体" w:hint="default"/>
          <w:spacing w:val="-44"/>
        </w:rPr>
        <w:t> </w:t>
      </w:r>
      <w:r>
        <w:rPr/>
        <w:t>年</w:t>
      </w:r>
      <w:r>
        <w:rPr>
          <w:spacing w:val="-44"/>
        </w:rPr>
        <w:t> </w:t>
      </w:r>
      <w:r>
        <w:rPr>
          <w:rFonts w:ascii="宋体" w:hAnsi="宋体" w:cs="宋体" w:eastAsia="宋体" w:hint="default"/>
        </w:rPr>
        <w:t>4</w:t>
      </w:r>
      <w:r>
        <w:rPr>
          <w:rFonts w:ascii="宋体" w:hAnsi="宋体" w:cs="宋体" w:eastAsia="宋体" w:hint="default"/>
          <w:spacing w:val="-44"/>
        </w:rPr>
        <w:t> </w:t>
      </w:r>
      <w:r>
        <w:rPr/>
        <w:t>月</w:t>
      </w:r>
      <w:r>
        <w:rPr>
          <w:spacing w:val="-43"/>
        </w:rPr>
        <w:t> </w:t>
      </w:r>
      <w:r>
        <w:rPr>
          <w:rFonts w:ascii="宋体" w:hAnsi="宋体" w:cs="宋体" w:eastAsia="宋体" w:hint="default"/>
        </w:rPr>
        <w:t>27</w:t>
      </w:r>
      <w:r>
        <w:rPr>
          <w:rFonts w:ascii="宋体" w:hAnsi="宋体" w:cs="宋体" w:eastAsia="宋体" w:hint="default"/>
          <w:spacing w:val="-44"/>
        </w:rPr>
        <w:t> </w:t>
      </w:r>
      <w:r>
        <w:rPr/>
        <w:t>日召开第一届董事会第九次（临时）会议，审议通过了</w:t>
      </w:r>
    </w:p>
    <w:p>
      <w:pPr>
        <w:pStyle w:val="BodyText"/>
        <w:spacing w:line="357" w:lineRule="auto"/>
        <w:ind w:left="927" w:right="138"/>
        <w:jc w:val="both"/>
      </w:pPr>
      <w:r>
        <w:rPr>
          <w:spacing w:val="2"/>
        </w:rPr>
        <w:t>《上海汉得信息技术股份有限公司限制性股票激励计划（草案）》及摘</w:t>
      </w:r>
      <w:r>
        <w:rPr>
          <w:spacing w:val="-117"/>
        </w:rPr>
        <w:t> </w:t>
      </w:r>
      <w:r>
        <w:rPr>
          <w:spacing w:val="-117"/>
        </w:rPr>
      </w:r>
      <w:r>
        <w:rPr>
          <w:spacing w:val="2"/>
        </w:rPr>
        <w:t>要、《关于提请股东大会授权董事会办理限制性股票激励计划相关事宜</w:t>
      </w:r>
      <w:r>
        <w:rPr>
          <w:spacing w:val="-117"/>
        </w:rPr>
        <w:t> </w:t>
      </w:r>
      <w:r>
        <w:rPr>
          <w:spacing w:val="-117"/>
        </w:rPr>
      </w:r>
      <w:r>
        <w:rPr>
          <w:spacing w:val="2"/>
        </w:rPr>
        <w:t>的议案》、《上海汉得信息技术股份有限公司限制性股票激励计划实施</w:t>
      </w:r>
      <w:r>
        <w:rPr>
          <w:spacing w:val="-117"/>
        </w:rPr>
        <w:t> </w:t>
      </w:r>
      <w:r>
        <w:rPr>
          <w:spacing w:val="-117"/>
        </w:rPr>
      </w:r>
      <w:r>
        <w:rPr/>
        <w:t>考核办法》。</w:t>
      </w:r>
    </w:p>
    <w:p>
      <w:pPr>
        <w:pStyle w:val="BodyText"/>
        <w:spacing w:line="240" w:lineRule="auto" w:before="36"/>
        <w:ind w:left="567" w:right="0"/>
        <w:jc w:val="left"/>
      </w:pPr>
      <w:r>
        <w:rPr>
          <w:rFonts w:ascii="宋体" w:hAnsi="宋体" w:cs="宋体" w:eastAsia="宋体" w:hint="default"/>
        </w:rPr>
        <w:t>5</w:t>
      </w:r>
      <w:r>
        <w:rPr/>
        <w:t>、</w:t>
      </w:r>
      <w:r>
        <w:rPr>
          <w:spacing w:val="-68"/>
        </w:rPr>
        <w:t> </w:t>
      </w:r>
      <w:r>
        <w:rPr>
          <w:rFonts w:ascii="宋体" w:hAnsi="宋体" w:cs="宋体" w:eastAsia="宋体" w:hint="default"/>
        </w:rPr>
        <w:t>2011</w:t>
      </w:r>
      <w:r>
        <w:rPr>
          <w:rFonts w:ascii="宋体" w:hAnsi="宋体" w:cs="宋体" w:eastAsia="宋体" w:hint="default"/>
          <w:spacing w:val="-44"/>
        </w:rPr>
        <w:t> </w:t>
      </w:r>
      <w:r>
        <w:rPr/>
        <w:t>年</w:t>
      </w:r>
      <w:r>
        <w:rPr>
          <w:spacing w:val="-44"/>
        </w:rPr>
        <w:t> </w:t>
      </w:r>
      <w:r>
        <w:rPr>
          <w:rFonts w:ascii="宋体" w:hAnsi="宋体" w:cs="宋体" w:eastAsia="宋体" w:hint="default"/>
        </w:rPr>
        <w:t>6</w:t>
      </w:r>
      <w:r>
        <w:rPr>
          <w:rFonts w:ascii="宋体" w:hAnsi="宋体" w:cs="宋体" w:eastAsia="宋体" w:hint="default"/>
          <w:spacing w:val="-44"/>
        </w:rPr>
        <w:t> </w:t>
      </w:r>
      <w:r>
        <w:rPr/>
        <w:t>月</w:t>
      </w:r>
      <w:r>
        <w:rPr>
          <w:spacing w:val="-43"/>
        </w:rPr>
        <w:t> </w:t>
      </w:r>
      <w:r>
        <w:rPr>
          <w:rFonts w:ascii="宋体" w:hAnsi="宋体" w:cs="宋体" w:eastAsia="宋体" w:hint="default"/>
        </w:rPr>
        <w:t>27</w:t>
      </w:r>
      <w:r>
        <w:rPr>
          <w:rFonts w:ascii="宋体" w:hAnsi="宋体" w:cs="宋体" w:eastAsia="宋体" w:hint="default"/>
          <w:spacing w:val="-44"/>
        </w:rPr>
        <w:t> </w:t>
      </w:r>
      <w:r>
        <w:rPr/>
        <w:t>日召开第一届董事会第十次（临时）会议，审议通过了</w:t>
      </w:r>
    </w:p>
    <w:p>
      <w:pPr>
        <w:pStyle w:val="BodyText"/>
        <w:spacing w:line="357" w:lineRule="auto"/>
        <w:ind w:left="927" w:right="141"/>
        <w:jc w:val="both"/>
      </w:pPr>
      <w:r>
        <w:rPr>
          <w:spacing w:val="2"/>
        </w:rPr>
        <w:t>《上海汉得信息技术股份有限公司关于加强上市公司治理专项活动的整</w:t>
      </w:r>
      <w:r>
        <w:rPr>
          <w:spacing w:val="-116"/>
        </w:rPr>
        <w:t> </w:t>
      </w:r>
      <w:r>
        <w:rPr>
          <w:spacing w:val="-116"/>
        </w:rPr>
      </w:r>
      <w:r>
        <w:rPr/>
        <w:t>改报告》、《上海汉得信息技术股份有限公司印章管理制度》。</w:t>
      </w:r>
    </w:p>
    <w:p>
      <w:pPr>
        <w:pStyle w:val="BodyText"/>
        <w:spacing w:line="357" w:lineRule="auto" w:before="36"/>
        <w:ind w:left="927" w:right="136" w:hanging="360"/>
        <w:jc w:val="both"/>
      </w:pPr>
      <w:r>
        <w:rPr>
          <w:rFonts w:ascii="宋体" w:hAnsi="宋体" w:cs="宋体" w:eastAsia="宋体" w:hint="default"/>
        </w:rPr>
        <w:t>6</w:t>
      </w:r>
      <w:r>
        <w:rPr/>
        <w:t>、</w:t>
      </w:r>
      <w:r>
        <w:rPr>
          <w:rFonts w:ascii="宋体" w:hAnsi="宋体" w:cs="宋体" w:eastAsia="宋体" w:hint="default"/>
        </w:rPr>
        <w:t>2011</w:t>
      </w:r>
      <w:r>
        <w:rPr>
          <w:rFonts w:ascii="宋体" w:hAnsi="宋体" w:cs="宋体" w:eastAsia="宋体" w:hint="default"/>
          <w:spacing w:val="-44"/>
        </w:rPr>
        <w:t> </w:t>
      </w:r>
      <w:r>
        <w:rPr/>
        <w:t>年</w:t>
      </w:r>
      <w:r>
        <w:rPr>
          <w:spacing w:val="-44"/>
        </w:rPr>
        <w:t> </w:t>
      </w:r>
      <w:r>
        <w:rPr>
          <w:rFonts w:ascii="宋体" w:hAnsi="宋体" w:cs="宋体" w:eastAsia="宋体" w:hint="default"/>
        </w:rPr>
        <w:t>7</w:t>
      </w:r>
      <w:r>
        <w:rPr>
          <w:rFonts w:ascii="宋体" w:hAnsi="宋体" w:cs="宋体" w:eastAsia="宋体" w:hint="default"/>
          <w:spacing w:val="-44"/>
        </w:rPr>
        <w:t> </w:t>
      </w:r>
      <w:r>
        <w:rPr/>
        <w:t>月</w:t>
      </w:r>
      <w:r>
        <w:rPr>
          <w:spacing w:val="-43"/>
        </w:rPr>
        <w:t> </w:t>
      </w:r>
      <w:r>
        <w:rPr>
          <w:rFonts w:ascii="宋体" w:hAnsi="宋体" w:cs="宋体" w:eastAsia="宋体" w:hint="default"/>
        </w:rPr>
        <w:t>14</w:t>
      </w:r>
      <w:r>
        <w:rPr>
          <w:rFonts w:ascii="宋体" w:hAnsi="宋体" w:cs="宋体" w:eastAsia="宋体" w:hint="default"/>
          <w:spacing w:val="-44"/>
        </w:rPr>
        <w:t> </w:t>
      </w:r>
      <w:r>
        <w:rPr/>
        <w:t>日召开第一届董事会第十一次（临时）会议，审议通过 </w:t>
      </w:r>
      <w:r>
        <w:rPr>
          <w:spacing w:val="2"/>
        </w:rPr>
        <w:t>了《关于运用自有闲置资金购买短期银行保本理财产品的议案》、《关</w:t>
      </w:r>
      <w:r>
        <w:rPr/>
        <w:t> 于设立上海汉得信息技术股份有限公司深圳分公司的议案》。</w:t>
      </w:r>
    </w:p>
    <w:p>
      <w:pPr>
        <w:pStyle w:val="BodyText"/>
        <w:spacing w:line="357" w:lineRule="auto" w:before="36"/>
        <w:ind w:left="927" w:right="134" w:hanging="360"/>
        <w:jc w:val="both"/>
      </w:pPr>
      <w:r>
        <w:rPr>
          <w:rFonts w:ascii="宋体" w:hAnsi="宋体" w:cs="宋体" w:eastAsia="宋体" w:hint="default"/>
        </w:rPr>
        <w:t>7</w:t>
      </w:r>
      <w:r>
        <w:rPr/>
        <w:t>、</w:t>
      </w:r>
      <w:r>
        <w:rPr>
          <w:rFonts w:ascii="宋体" w:hAnsi="宋体" w:cs="宋体" w:eastAsia="宋体" w:hint="default"/>
        </w:rPr>
        <w:t>2011</w:t>
      </w:r>
      <w:r>
        <w:rPr>
          <w:rFonts w:ascii="宋体" w:hAnsi="宋体" w:cs="宋体" w:eastAsia="宋体" w:hint="default"/>
          <w:spacing w:val="-44"/>
        </w:rPr>
        <w:t> </w:t>
      </w:r>
      <w:r>
        <w:rPr/>
        <w:t>年</w:t>
      </w:r>
      <w:r>
        <w:rPr>
          <w:spacing w:val="-44"/>
        </w:rPr>
        <w:t> </w:t>
      </w:r>
      <w:r>
        <w:rPr>
          <w:rFonts w:ascii="宋体" w:hAnsi="宋体" w:cs="宋体" w:eastAsia="宋体" w:hint="default"/>
        </w:rPr>
        <w:t>7</w:t>
      </w:r>
      <w:r>
        <w:rPr>
          <w:rFonts w:ascii="宋体" w:hAnsi="宋体" w:cs="宋体" w:eastAsia="宋体" w:hint="default"/>
          <w:spacing w:val="-44"/>
        </w:rPr>
        <w:t> </w:t>
      </w:r>
      <w:r>
        <w:rPr/>
        <w:t>月</w:t>
      </w:r>
      <w:r>
        <w:rPr>
          <w:spacing w:val="-43"/>
        </w:rPr>
        <w:t> </w:t>
      </w:r>
      <w:r>
        <w:rPr>
          <w:rFonts w:ascii="宋体" w:hAnsi="宋体" w:cs="宋体" w:eastAsia="宋体" w:hint="default"/>
        </w:rPr>
        <w:t>22</w:t>
      </w:r>
      <w:r>
        <w:rPr>
          <w:rFonts w:ascii="宋体" w:hAnsi="宋体" w:cs="宋体" w:eastAsia="宋体" w:hint="default"/>
          <w:spacing w:val="-44"/>
        </w:rPr>
        <w:t> </w:t>
      </w:r>
      <w:r>
        <w:rPr/>
        <w:t>日召开第一届董事会第十二次（临时）会议，审议通过 </w:t>
      </w:r>
      <w:r>
        <w:rPr>
          <w:spacing w:val="2"/>
        </w:rPr>
        <w:t>了《上海汉得信息技术股份有限公司限制性股票激励计划（草案）修订</w:t>
      </w:r>
      <w:r>
        <w:rPr/>
        <w:t> </w:t>
      </w:r>
      <w:r>
        <w:rPr>
          <w:spacing w:val="2"/>
        </w:rPr>
        <w:t>稿》及其摘要、《上海汉得信息技术股份有限公司限制性股票激励计划</w:t>
      </w:r>
      <w:r>
        <w:rPr/>
        <w:t> </w:t>
      </w:r>
      <w:r>
        <w:rPr>
          <w:spacing w:val="-3"/>
        </w:rPr>
        <w:t>首期激励对象名单（修订）》、《关于召开</w:t>
      </w:r>
      <w:r>
        <w:rPr>
          <w:spacing w:val="-52"/>
        </w:rPr>
        <w:t> </w:t>
      </w:r>
      <w:r>
        <w:rPr>
          <w:rFonts w:ascii="宋体" w:hAnsi="宋体" w:cs="宋体" w:eastAsia="宋体" w:hint="default"/>
        </w:rPr>
        <w:t>2011</w:t>
      </w:r>
      <w:r>
        <w:rPr>
          <w:rFonts w:ascii="宋体" w:hAnsi="宋体" w:cs="宋体" w:eastAsia="宋体" w:hint="default"/>
          <w:spacing w:val="-54"/>
        </w:rPr>
        <w:t> </w:t>
      </w:r>
      <w:r>
        <w:rPr/>
        <w:t>年第一次临时股东大会 </w:t>
      </w:r>
      <w:r>
        <w:rPr>
          <w:spacing w:val="2"/>
        </w:rPr>
        <w:t>的议案》、《关于豁免第一届董事会第十二次（临时）会议通知期限的</w:t>
      </w:r>
      <w:r>
        <w:rPr/>
        <w:t> 议案》。</w:t>
      </w:r>
    </w:p>
    <w:p>
      <w:pPr>
        <w:pStyle w:val="BodyText"/>
        <w:spacing w:line="240" w:lineRule="auto" w:before="36"/>
        <w:ind w:left="567" w:right="0"/>
        <w:jc w:val="left"/>
      </w:pPr>
      <w:r>
        <w:rPr>
          <w:rFonts w:ascii="宋体" w:hAnsi="宋体" w:cs="宋体" w:eastAsia="宋体" w:hint="default"/>
        </w:rPr>
        <w:t>8</w:t>
      </w:r>
      <w:r>
        <w:rPr/>
        <w:t>、</w:t>
      </w:r>
      <w:r>
        <w:rPr>
          <w:spacing w:val="-68"/>
        </w:rPr>
        <w:t> </w:t>
      </w:r>
      <w:r>
        <w:rPr>
          <w:rFonts w:ascii="宋体" w:hAnsi="宋体" w:cs="宋体" w:eastAsia="宋体" w:hint="default"/>
        </w:rPr>
        <w:t>2011</w:t>
      </w:r>
      <w:r>
        <w:rPr>
          <w:rFonts w:ascii="宋体" w:hAnsi="宋体" w:cs="宋体" w:eastAsia="宋体" w:hint="default"/>
          <w:spacing w:val="-44"/>
        </w:rPr>
        <w:t> </w:t>
      </w:r>
      <w:r>
        <w:rPr/>
        <w:t>年</w:t>
      </w:r>
      <w:r>
        <w:rPr>
          <w:spacing w:val="-44"/>
        </w:rPr>
        <w:t> </w:t>
      </w:r>
      <w:r>
        <w:rPr>
          <w:rFonts w:ascii="宋体" w:hAnsi="宋体" w:cs="宋体" w:eastAsia="宋体" w:hint="default"/>
        </w:rPr>
        <w:t>7</w:t>
      </w:r>
      <w:r>
        <w:rPr>
          <w:rFonts w:ascii="宋体" w:hAnsi="宋体" w:cs="宋体" w:eastAsia="宋体" w:hint="default"/>
          <w:spacing w:val="-44"/>
        </w:rPr>
        <w:t> </w:t>
      </w:r>
      <w:r>
        <w:rPr/>
        <w:t>月</w:t>
      </w:r>
      <w:r>
        <w:rPr>
          <w:spacing w:val="-43"/>
        </w:rPr>
        <w:t> </w:t>
      </w:r>
      <w:r>
        <w:rPr>
          <w:rFonts w:ascii="宋体" w:hAnsi="宋体" w:cs="宋体" w:eastAsia="宋体" w:hint="default"/>
        </w:rPr>
        <w:t>29</w:t>
      </w:r>
      <w:r>
        <w:rPr>
          <w:rFonts w:ascii="宋体" w:hAnsi="宋体" w:cs="宋体" w:eastAsia="宋体" w:hint="default"/>
          <w:spacing w:val="-44"/>
        </w:rPr>
        <w:t> </w:t>
      </w:r>
      <w:r>
        <w:rPr/>
        <w:t>日召开第一届董事会第十三次（临时）会议，审议通过</w:t>
      </w:r>
    </w:p>
    <w:p>
      <w:pPr>
        <w:pStyle w:val="BodyText"/>
        <w:spacing w:line="240" w:lineRule="auto"/>
        <w:ind w:left="927" w:right="0"/>
        <w:jc w:val="both"/>
      </w:pPr>
      <w:r>
        <w:rPr/>
        <w:t>了《上海汉得信息技术股份有限公司</w:t>
      </w:r>
      <w:r>
        <w:rPr>
          <w:spacing w:val="-60"/>
        </w:rPr>
        <w:t> </w:t>
      </w:r>
      <w:r>
        <w:rPr>
          <w:rFonts w:ascii="宋体" w:hAnsi="宋体" w:cs="宋体" w:eastAsia="宋体" w:hint="default"/>
        </w:rPr>
        <w:t>2011</w:t>
      </w:r>
      <w:r>
        <w:rPr>
          <w:rFonts w:ascii="宋体" w:hAnsi="宋体" w:cs="宋体" w:eastAsia="宋体" w:hint="default"/>
          <w:spacing w:val="-60"/>
        </w:rPr>
        <w:t> </w:t>
      </w:r>
      <w:r>
        <w:rPr/>
        <w:t>年半年度报告》。</w:t>
      </w:r>
    </w:p>
    <w:p>
      <w:pPr>
        <w:pStyle w:val="BodyText"/>
        <w:spacing w:line="240" w:lineRule="auto"/>
        <w:ind w:left="567" w:right="0"/>
        <w:jc w:val="left"/>
      </w:pPr>
      <w:r>
        <w:rPr>
          <w:rFonts w:ascii="宋体" w:hAnsi="宋体" w:cs="宋体" w:eastAsia="宋体" w:hint="default"/>
        </w:rPr>
        <w:t>9</w:t>
      </w:r>
      <w:r>
        <w:rPr/>
        <w:t>、</w:t>
      </w:r>
      <w:r>
        <w:rPr>
          <w:spacing w:val="-73"/>
        </w:rPr>
        <w:t> </w:t>
      </w:r>
      <w:r>
        <w:rPr>
          <w:rFonts w:ascii="宋体" w:hAnsi="宋体" w:cs="宋体" w:eastAsia="宋体" w:hint="default"/>
        </w:rPr>
        <w:t>2011</w:t>
      </w:r>
      <w:r>
        <w:rPr>
          <w:rFonts w:ascii="宋体" w:hAnsi="宋体" w:cs="宋体" w:eastAsia="宋体" w:hint="default"/>
          <w:spacing w:val="-66"/>
        </w:rPr>
        <w:t> </w:t>
      </w:r>
      <w:r>
        <w:rPr/>
        <w:t>年</w:t>
      </w:r>
      <w:r>
        <w:rPr>
          <w:spacing w:val="-66"/>
        </w:rPr>
        <w:t> </w:t>
      </w:r>
      <w:r>
        <w:rPr>
          <w:rFonts w:ascii="宋体" w:hAnsi="宋体" w:cs="宋体" w:eastAsia="宋体" w:hint="default"/>
        </w:rPr>
        <w:t>8</w:t>
      </w:r>
      <w:r>
        <w:rPr>
          <w:rFonts w:ascii="宋体" w:hAnsi="宋体" w:cs="宋体" w:eastAsia="宋体" w:hint="default"/>
          <w:spacing w:val="-66"/>
        </w:rPr>
        <w:t> </w:t>
      </w:r>
      <w:r>
        <w:rPr/>
        <w:t>月</w:t>
      </w:r>
      <w:r>
        <w:rPr>
          <w:spacing w:val="-66"/>
        </w:rPr>
        <w:t> </w:t>
      </w:r>
      <w:r>
        <w:rPr>
          <w:rFonts w:ascii="宋体" w:hAnsi="宋体" w:cs="宋体" w:eastAsia="宋体" w:hint="default"/>
        </w:rPr>
        <w:t>9</w:t>
      </w:r>
      <w:r>
        <w:rPr>
          <w:rFonts w:ascii="宋体" w:hAnsi="宋体" w:cs="宋体" w:eastAsia="宋体" w:hint="default"/>
          <w:spacing w:val="-66"/>
        </w:rPr>
        <w:t> </w:t>
      </w:r>
      <w:r>
        <w:rPr/>
        <w:t>日召开第一届董事会第十四次（临时）会议，审议通过了</w:t>
      </w:r>
    </w:p>
    <w:p>
      <w:pPr>
        <w:pStyle w:val="BodyText"/>
        <w:spacing w:line="357" w:lineRule="auto"/>
        <w:ind w:left="927" w:right="141"/>
        <w:jc w:val="both"/>
      </w:pPr>
      <w:r>
        <w:rPr>
          <w:spacing w:val="2"/>
        </w:rPr>
        <w:t>《上海汉得信息技术股份有限公司限制性股票激励计划预留部分激励对</w:t>
      </w:r>
      <w:r>
        <w:rPr>
          <w:spacing w:val="-117"/>
        </w:rPr>
        <w:t> </w:t>
      </w:r>
      <w:r>
        <w:rPr>
          <w:spacing w:val="-117"/>
        </w:rPr>
      </w:r>
      <w:r>
        <w:rPr>
          <w:spacing w:val="2"/>
        </w:rPr>
        <w:t>象名单及授予价格的议案》、《上海汉得信息技术股份有限公司关于向</w:t>
      </w:r>
    </w:p>
    <w:p>
      <w:pPr>
        <w:spacing w:after="0" w:line="357" w:lineRule="auto"/>
        <w:jc w:val="both"/>
        <w:sectPr>
          <w:pgSz w:w="11910" w:h="16840"/>
          <w:pgMar w:header="884" w:footer="980" w:top="1140" w:bottom="1160" w:left="1660" w:right="1660"/>
        </w:sectPr>
      </w:pPr>
    </w:p>
    <w:p>
      <w:pPr>
        <w:spacing w:line="240" w:lineRule="auto" w:before="6"/>
        <w:rPr>
          <w:rFonts w:ascii="宋体" w:hAnsi="宋体" w:cs="宋体" w:eastAsia="宋体" w:hint="default"/>
          <w:sz w:val="22"/>
          <w:szCs w:val="22"/>
        </w:rPr>
      </w:pPr>
    </w:p>
    <w:p>
      <w:pPr>
        <w:pStyle w:val="BodyText"/>
        <w:spacing w:line="240" w:lineRule="auto" w:before="26"/>
        <w:ind w:left="927" w:right="0"/>
        <w:jc w:val="left"/>
      </w:pPr>
      <w:r>
        <w:rPr>
          <w:spacing w:val="2"/>
        </w:rPr>
        <w:t>激励对象授予限制性股票的议案》、《关于豁免第一届董事会第十四次</w:t>
      </w:r>
    </w:p>
    <w:p>
      <w:pPr>
        <w:pStyle w:val="BodyText"/>
        <w:spacing w:line="240" w:lineRule="auto"/>
        <w:ind w:left="927" w:right="3443"/>
        <w:jc w:val="left"/>
      </w:pPr>
      <w:r>
        <w:rPr/>
        <w:t>（临时）会议通知期限的议案》。</w:t>
      </w:r>
    </w:p>
    <w:p>
      <w:pPr>
        <w:pStyle w:val="BodyText"/>
        <w:spacing w:line="357" w:lineRule="auto"/>
        <w:ind w:left="927" w:right="238" w:hanging="360"/>
        <w:jc w:val="both"/>
      </w:pPr>
      <w:r>
        <w:rPr>
          <w:rFonts w:ascii="宋体" w:hAnsi="宋体" w:cs="宋体" w:eastAsia="宋体" w:hint="default"/>
        </w:rPr>
        <w:t>10</w:t>
      </w:r>
      <w:r>
        <w:rPr/>
        <w:t>、</w:t>
      </w:r>
      <w:r>
        <w:rPr>
          <w:spacing w:val="2"/>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8</w:t>
      </w:r>
      <w:r>
        <w:rPr>
          <w:rFonts w:ascii="宋体" w:hAnsi="宋体" w:cs="宋体" w:eastAsia="宋体" w:hint="default"/>
          <w:spacing w:val="-59"/>
        </w:rPr>
        <w:t> </w:t>
      </w:r>
      <w:r>
        <w:rPr/>
        <w:t>月</w:t>
      </w:r>
      <w:r>
        <w:rPr>
          <w:spacing w:val="-59"/>
        </w:rPr>
        <w:t> </w:t>
      </w:r>
      <w:r>
        <w:rPr>
          <w:rFonts w:ascii="宋体" w:hAnsi="宋体" w:cs="宋体" w:eastAsia="宋体" w:hint="default"/>
        </w:rPr>
        <w:t>22</w:t>
      </w:r>
      <w:r>
        <w:rPr>
          <w:rFonts w:ascii="宋体" w:hAnsi="宋体" w:cs="宋体" w:eastAsia="宋体" w:hint="default"/>
          <w:spacing w:val="-59"/>
        </w:rPr>
        <w:t> </w:t>
      </w:r>
      <w:r>
        <w:rPr>
          <w:spacing w:val="-5"/>
        </w:rPr>
        <w:t>日召开第一届董事会第十五次（临时）会议，审议通</w:t>
      </w:r>
      <w:r>
        <w:rPr/>
        <w:t> 过了《关于增开募集资金专用帐户的议案》。</w:t>
      </w:r>
    </w:p>
    <w:p>
      <w:pPr>
        <w:pStyle w:val="BodyText"/>
        <w:spacing w:line="357" w:lineRule="auto" w:before="36"/>
        <w:ind w:left="927" w:right="238" w:hanging="360"/>
        <w:jc w:val="both"/>
      </w:pPr>
      <w:r>
        <w:rPr>
          <w:rFonts w:ascii="宋体" w:hAnsi="宋体" w:cs="宋体" w:eastAsia="宋体" w:hint="default"/>
        </w:rPr>
        <w:t>11</w:t>
      </w:r>
      <w:r>
        <w:rPr/>
        <w:t>、</w:t>
      </w:r>
      <w:r>
        <w:rPr>
          <w:spacing w:val="113"/>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9</w:t>
      </w:r>
      <w:r>
        <w:rPr>
          <w:rFonts w:ascii="宋体" w:hAnsi="宋体" w:cs="宋体" w:eastAsia="宋体" w:hint="default"/>
          <w:spacing w:val="-55"/>
        </w:rPr>
        <w:t> </w:t>
      </w:r>
      <w:r>
        <w:rPr/>
        <w:t>月</w:t>
      </w:r>
      <w:r>
        <w:rPr>
          <w:spacing w:val="-56"/>
        </w:rPr>
        <w:t> </w:t>
      </w:r>
      <w:r>
        <w:rPr>
          <w:rFonts w:ascii="宋体" w:hAnsi="宋体" w:cs="宋体" w:eastAsia="宋体" w:hint="default"/>
        </w:rPr>
        <w:t>1</w:t>
      </w:r>
      <w:r>
        <w:rPr>
          <w:rFonts w:ascii="宋体" w:hAnsi="宋体" w:cs="宋体" w:eastAsia="宋体" w:hint="default"/>
          <w:spacing w:val="-56"/>
        </w:rPr>
        <w:t> </w:t>
      </w:r>
      <w:r>
        <w:rPr/>
        <w:t>日召开第一届董事会第十六次（临时）会议，审议通 过了《关于使用自有资金购买办公房屋的议案》。</w:t>
      </w:r>
    </w:p>
    <w:p>
      <w:pPr>
        <w:pStyle w:val="BodyText"/>
        <w:spacing w:line="357" w:lineRule="auto" w:before="36"/>
        <w:ind w:left="927" w:right="236" w:hanging="360"/>
        <w:jc w:val="both"/>
      </w:pPr>
      <w:r>
        <w:rPr>
          <w:rFonts w:ascii="宋体" w:hAnsi="宋体" w:cs="宋体" w:eastAsia="宋体" w:hint="default"/>
        </w:rPr>
        <w:t>12</w:t>
      </w:r>
      <w:r>
        <w:rPr/>
        <w:t>、</w:t>
      </w:r>
      <w:r>
        <w:rPr>
          <w:spacing w:val="113"/>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9</w:t>
      </w:r>
      <w:r>
        <w:rPr>
          <w:rFonts w:ascii="宋体" w:hAnsi="宋体" w:cs="宋体" w:eastAsia="宋体" w:hint="default"/>
          <w:spacing w:val="-55"/>
        </w:rPr>
        <w:t> </w:t>
      </w:r>
      <w:r>
        <w:rPr/>
        <w:t>月</w:t>
      </w:r>
      <w:r>
        <w:rPr>
          <w:spacing w:val="-56"/>
        </w:rPr>
        <w:t> </w:t>
      </w:r>
      <w:r>
        <w:rPr>
          <w:rFonts w:ascii="宋体" w:hAnsi="宋体" w:cs="宋体" w:eastAsia="宋体" w:hint="default"/>
        </w:rPr>
        <w:t>6</w:t>
      </w:r>
      <w:r>
        <w:rPr>
          <w:rFonts w:ascii="宋体" w:hAnsi="宋体" w:cs="宋体" w:eastAsia="宋体" w:hint="default"/>
          <w:spacing w:val="-56"/>
        </w:rPr>
        <w:t> </w:t>
      </w:r>
      <w:r>
        <w:rPr/>
        <w:t>日召开第一届董事会第十七次（临时）会议，审议通 </w:t>
      </w:r>
      <w:r>
        <w:rPr>
          <w:spacing w:val="2"/>
        </w:rPr>
        <w:t>过了《关于公司限制性股票激励计划激励对象人员名单调整的议案》、</w:t>
      </w:r>
    </w:p>
    <w:p>
      <w:pPr>
        <w:pStyle w:val="BodyText"/>
        <w:spacing w:line="240" w:lineRule="auto" w:before="36"/>
        <w:ind w:left="927" w:right="3443"/>
        <w:jc w:val="left"/>
      </w:pPr>
      <w:r>
        <w:rPr/>
        <w:t>《员工购房借款福利管理办法》。</w:t>
      </w:r>
    </w:p>
    <w:p>
      <w:pPr>
        <w:pStyle w:val="BodyText"/>
        <w:tabs>
          <w:tab w:pos="1400" w:val="left" w:leader="none"/>
        </w:tabs>
        <w:spacing w:line="240" w:lineRule="auto"/>
        <w:ind w:left="567" w:right="0"/>
        <w:jc w:val="left"/>
      </w:pPr>
      <w:r>
        <w:rPr>
          <w:rFonts w:ascii="宋体" w:hAnsi="宋体" w:cs="宋体" w:eastAsia="宋体" w:hint="default"/>
        </w:rPr>
        <w:t>13</w:t>
      </w:r>
      <w:r>
        <w:rPr/>
        <w:t>、</w:t>
        <w:tab/>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9</w:t>
      </w:r>
      <w:r>
        <w:rPr>
          <w:rFonts w:ascii="宋体" w:hAnsi="宋体" w:cs="宋体" w:eastAsia="宋体" w:hint="default"/>
          <w:spacing w:val="-57"/>
        </w:rPr>
        <w:t> </w:t>
      </w:r>
      <w:r>
        <w:rPr/>
        <w:t>月</w:t>
      </w:r>
      <w:r>
        <w:rPr>
          <w:spacing w:val="-57"/>
        </w:rPr>
        <w:t> </w:t>
      </w:r>
      <w:r>
        <w:rPr>
          <w:rFonts w:ascii="宋体" w:hAnsi="宋体" w:cs="宋体" w:eastAsia="宋体" w:hint="default"/>
        </w:rPr>
        <w:t>23</w:t>
      </w:r>
      <w:r>
        <w:rPr>
          <w:rFonts w:ascii="宋体" w:hAnsi="宋体" w:cs="宋体" w:eastAsia="宋体" w:hint="default"/>
          <w:spacing w:val="-57"/>
        </w:rPr>
        <w:t> </w:t>
      </w:r>
      <w:r>
        <w:rPr>
          <w:spacing w:val="-5"/>
        </w:rPr>
        <w:t>日召开第一届董事会第十八次（临时）会议，审议通</w:t>
      </w:r>
    </w:p>
    <w:p>
      <w:pPr>
        <w:pStyle w:val="BodyText"/>
        <w:spacing w:line="240" w:lineRule="auto"/>
        <w:ind w:left="927" w:right="0"/>
        <w:jc w:val="left"/>
      </w:pPr>
      <w:r>
        <w:rPr/>
        <w:t>过了《根据</w:t>
      </w:r>
      <w:r>
        <w:rPr>
          <w:spacing w:val="-60"/>
        </w:rPr>
        <w:t> </w:t>
      </w:r>
      <w:r>
        <w:rPr>
          <w:rFonts w:ascii="宋体" w:hAnsi="宋体" w:cs="宋体" w:eastAsia="宋体" w:hint="default"/>
        </w:rPr>
        <w:t>2011</w:t>
      </w:r>
      <w:r>
        <w:rPr>
          <w:rFonts w:ascii="宋体" w:hAnsi="宋体" w:cs="宋体" w:eastAsia="宋体" w:hint="default"/>
          <w:spacing w:val="-60"/>
        </w:rPr>
        <w:t> </w:t>
      </w:r>
      <w:r>
        <w:rPr/>
        <w:t>年第一次临时股东大会授权修改公司章程的议案》。</w:t>
      </w:r>
    </w:p>
    <w:p>
      <w:pPr>
        <w:pStyle w:val="BodyText"/>
        <w:spacing w:line="357" w:lineRule="auto"/>
        <w:ind w:left="927" w:right="236" w:hanging="360"/>
        <w:jc w:val="both"/>
      </w:pPr>
      <w:r>
        <w:rPr>
          <w:rFonts w:ascii="宋体" w:hAnsi="宋体" w:cs="宋体" w:eastAsia="宋体" w:hint="default"/>
        </w:rPr>
        <w:t>14</w:t>
      </w:r>
      <w:r>
        <w:rPr/>
        <w:t>、</w:t>
      </w:r>
      <w:r>
        <w:rPr>
          <w:spacing w:val="2"/>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9</w:t>
      </w:r>
      <w:r>
        <w:rPr>
          <w:rFonts w:ascii="宋体" w:hAnsi="宋体" w:cs="宋体" w:eastAsia="宋体" w:hint="default"/>
          <w:spacing w:val="-59"/>
        </w:rPr>
        <w:t> </w:t>
      </w:r>
      <w:r>
        <w:rPr/>
        <w:t>月</w:t>
      </w:r>
      <w:r>
        <w:rPr>
          <w:spacing w:val="-59"/>
        </w:rPr>
        <w:t> </w:t>
      </w:r>
      <w:r>
        <w:rPr>
          <w:rFonts w:ascii="宋体" w:hAnsi="宋体" w:cs="宋体" w:eastAsia="宋体" w:hint="default"/>
        </w:rPr>
        <w:t>30</w:t>
      </w:r>
      <w:r>
        <w:rPr>
          <w:rFonts w:ascii="宋体" w:hAnsi="宋体" w:cs="宋体" w:eastAsia="宋体" w:hint="default"/>
          <w:spacing w:val="-59"/>
        </w:rPr>
        <w:t> </w:t>
      </w:r>
      <w:r>
        <w:rPr>
          <w:spacing w:val="-5"/>
        </w:rPr>
        <w:t>日召开第一届董事会第十九次（临时）会议，审议通</w:t>
      </w:r>
      <w:r>
        <w:rPr/>
        <w:t> </w:t>
      </w:r>
      <w:r>
        <w:rPr>
          <w:spacing w:val="2"/>
        </w:rPr>
        <w:t>过了《关于在新加坡设立全资子公司的议案》、《关于在上海市青浦区</w:t>
      </w:r>
      <w:r>
        <w:rPr/>
        <w:t> 设立汉得培训学校的议案》。</w:t>
      </w:r>
    </w:p>
    <w:p>
      <w:pPr>
        <w:pStyle w:val="BodyText"/>
        <w:tabs>
          <w:tab w:pos="1400" w:val="left" w:leader="none"/>
        </w:tabs>
        <w:spacing w:line="240" w:lineRule="auto" w:before="36"/>
        <w:ind w:left="567" w:right="0"/>
        <w:jc w:val="left"/>
      </w:pPr>
      <w:r>
        <w:rPr>
          <w:rFonts w:ascii="宋体" w:hAnsi="宋体" w:cs="宋体" w:eastAsia="宋体" w:hint="default"/>
        </w:rPr>
        <w:t>15</w:t>
      </w:r>
      <w:r>
        <w:rPr/>
        <w:t>、</w:t>
        <w:tab/>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10</w:t>
      </w:r>
      <w:r>
        <w:rPr>
          <w:rFonts w:ascii="宋体" w:hAnsi="宋体" w:cs="宋体" w:eastAsia="宋体" w:hint="default"/>
          <w:spacing w:val="-55"/>
        </w:rPr>
        <w:t> </w:t>
      </w:r>
      <w:r>
        <w:rPr/>
        <w:t>月</w:t>
      </w:r>
      <w:r>
        <w:rPr>
          <w:spacing w:val="-56"/>
        </w:rPr>
        <w:t> </w:t>
      </w:r>
      <w:r>
        <w:rPr>
          <w:rFonts w:ascii="宋体" w:hAnsi="宋体" w:cs="宋体" w:eastAsia="宋体" w:hint="default"/>
        </w:rPr>
        <w:t>21</w:t>
      </w:r>
      <w:r>
        <w:rPr>
          <w:rFonts w:ascii="宋体" w:hAnsi="宋体" w:cs="宋体" w:eastAsia="宋体" w:hint="default"/>
          <w:spacing w:val="-56"/>
        </w:rPr>
        <w:t> </w:t>
      </w:r>
      <w:r>
        <w:rPr/>
        <w:t>日召开第一届董事会第二十次（临时）会议，审议</w:t>
      </w:r>
    </w:p>
    <w:p>
      <w:pPr>
        <w:pStyle w:val="BodyText"/>
        <w:spacing w:line="240" w:lineRule="auto"/>
        <w:ind w:left="927" w:right="0"/>
        <w:jc w:val="left"/>
      </w:pPr>
      <w:r>
        <w:rPr/>
        <w:t>通过了《上海汉得信息技术股份有限公司</w:t>
      </w:r>
      <w:r>
        <w:rPr>
          <w:spacing w:val="-59"/>
        </w:rPr>
        <w:t> </w:t>
      </w:r>
      <w:r>
        <w:rPr>
          <w:rFonts w:ascii="宋体" w:hAnsi="宋体" w:cs="宋体" w:eastAsia="宋体" w:hint="default"/>
        </w:rPr>
        <w:t>2011</w:t>
      </w:r>
      <w:r>
        <w:rPr>
          <w:rFonts w:ascii="宋体" w:hAnsi="宋体" w:cs="宋体" w:eastAsia="宋体" w:hint="default"/>
          <w:spacing w:val="-60"/>
        </w:rPr>
        <w:t> </w:t>
      </w:r>
      <w:r>
        <w:rPr/>
        <w:t>年度第三季度报告》。</w:t>
      </w:r>
    </w:p>
    <w:p>
      <w:pPr>
        <w:pStyle w:val="BodyText"/>
        <w:spacing w:line="357" w:lineRule="auto"/>
        <w:ind w:left="927" w:right="238" w:hanging="360"/>
        <w:jc w:val="both"/>
      </w:pPr>
      <w:r>
        <w:rPr>
          <w:rFonts w:ascii="宋体" w:hAnsi="宋体" w:cs="宋体" w:eastAsia="宋体" w:hint="default"/>
        </w:rPr>
        <w:t>16</w:t>
      </w:r>
      <w:r>
        <w:rPr/>
        <w:t>、</w:t>
      </w:r>
      <w:r>
        <w:rPr>
          <w:spacing w:val="2"/>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t>月</w:t>
      </w:r>
      <w:r>
        <w:rPr>
          <w:spacing w:val="-59"/>
        </w:rPr>
        <w:t> </w:t>
      </w:r>
      <w:r>
        <w:rPr>
          <w:rFonts w:ascii="宋体" w:hAnsi="宋体" w:cs="宋体" w:eastAsia="宋体" w:hint="default"/>
        </w:rPr>
        <w:t>4</w:t>
      </w:r>
      <w:r>
        <w:rPr>
          <w:rFonts w:ascii="宋体" w:hAnsi="宋体" w:cs="宋体" w:eastAsia="宋体" w:hint="default"/>
          <w:spacing w:val="-59"/>
        </w:rPr>
        <w:t> </w:t>
      </w:r>
      <w:r>
        <w:rPr>
          <w:spacing w:val="-5"/>
        </w:rPr>
        <w:t>日召开第一届董事会第二十一次（临时）会议，审议</w:t>
      </w:r>
      <w:r>
        <w:rPr/>
        <w:t> 通过了《关于聘请张伟锋先生担任公司董事会秘书的议案》。</w:t>
      </w:r>
    </w:p>
    <w:p>
      <w:pPr>
        <w:pStyle w:val="BodyText"/>
        <w:spacing w:line="357" w:lineRule="auto" w:before="36"/>
        <w:ind w:left="927" w:right="117" w:hanging="360"/>
        <w:jc w:val="both"/>
      </w:pPr>
      <w:r>
        <w:rPr>
          <w:rFonts w:ascii="宋体" w:hAnsi="宋体" w:cs="宋体" w:eastAsia="宋体" w:hint="default"/>
        </w:rPr>
        <w:t>17</w:t>
      </w:r>
      <w:r>
        <w:rPr/>
        <w:t>、</w:t>
      </w:r>
      <w:r>
        <w:rPr>
          <w:spacing w:val="112"/>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日召开第一届董事会第二十二次（临时）会议，审 </w:t>
      </w:r>
      <w:r>
        <w:rPr>
          <w:spacing w:val="2"/>
        </w:rPr>
        <w:t>议通过了《关于修订</w:t>
      </w:r>
      <w:r>
        <w:rPr>
          <w:rFonts w:ascii="宋体" w:hAnsi="宋体" w:cs="宋体" w:eastAsia="宋体" w:hint="default"/>
          <w:spacing w:val="2"/>
        </w:rPr>
        <w:t>&lt;</w:t>
      </w:r>
      <w:r>
        <w:rPr>
          <w:spacing w:val="2"/>
        </w:rPr>
        <w:t>内幕知情人登记管理制度</w:t>
      </w:r>
      <w:r>
        <w:rPr>
          <w:rFonts w:ascii="宋体" w:hAnsi="宋体" w:cs="宋体" w:eastAsia="宋体" w:hint="default"/>
          <w:spacing w:val="2"/>
        </w:rPr>
        <w:t>&gt;</w:t>
      </w:r>
      <w:r>
        <w:rPr>
          <w:spacing w:val="2"/>
        </w:rPr>
        <w:t>的议案》、《关于回购 </w:t>
      </w:r>
      <w:r>
        <w:rPr>
          <w:spacing w:val="-2"/>
        </w:rPr>
        <w:t>注销部分已不符合激励条件的原激励对象已获授的限制性股票的议案》。</w:t>
      </w:r>
    </w:p>
    <w:p>
      <w:pPr>
        <w:pStyle w:val="BodyText"/>
        <w:spacing w:line="357" w:lineRule="auto" w:before="36"/>
        <w:ind w:left="620" w:right="225"/>
        <w:jc w:val="left"/>
      </w:pPr>
      <w:r>
        <w:rPr/>
        <w:t>（二）董事会专门委员会运行情况 </w:t>
      </w:r>
      <w:r>
        <w:rPr>
          <w:spacing w:val="-3"/>
        </w:rPr>
        <w:t>公司已设立四个董事会下属专门委员会即战略委员会、审计委员会、提名委</w:t>
      </w:r>
    </w:p>
    <w:p>
      <w:pPr>
        <w:pStyle w:val="BodyText"/>
        <w:spacing w:line="357" w:lineRule="auto" w:before="36"/>
        <w:ind w:left="620" w:right="4446" w:hanging="480"/>
        <w:jc w:val="left"/>
      </w:pPr>
      <w:r>
        <w:rPr/>
        <w:t>员会和薪酬与考核委员会。 报告期内各委员会工作情况如下： </w:t>
      </w:r>
      <w:r>
        <w:rPr>
          <w:rFonts w:ascii="宋体" w:hAnsi="宋体" w:cs="宋体" w:eastAsia="宋体" w:hint="default"/>
        </w:rPr>
        <w:t>1</w:t>
      </w:r>
      <w:r>
        <w:rPr/>
        <w:t>、审计委员会履职情况</w:t>
      </w:r>
    </w:p>
    <w:p>
      <w:pPr>
        <w:pStyle w:val="BodyText"/>
        <w:spacing w:line="357" w:lineRule="auto" w:before="36"/>
        <w:ind w:right="236" w:firstLine="479"/>
        <w:jc w:val="both"/>
      </w:pPr>
      <w:r>
        <w:rPr/>
        <w:t>报告期内，审计委员会在对 </w:t>
      </w:r>
      <w:r>
        <w:rPr>
          <w:rFonts w:ascii="宋体" w:hAnsi="宋体" w:cs="宋体" w:eastAsia="宋体" w:hint="default"/>
        </w:rPr>
        <w:t>2010</w:t>
      </w:r>
      <w:r>
        <w:rPr>
          <w:rFonts w:ascii="宋体" w:hAnsi="宋体" w:cs="宋体" w:eastAsia="宋体" w:hint="default"/>
          <w:spacing w:val="-95"/>
        </w:rPr>
        <w:t> </w:t>
      </w:r>
      <w:r>
        <w:rPr/>
        <w:t>年度财务报告的审计过程中，与会计师沟 </w:t>
      </w:r>
      <w:r>
        <w:rPr>
          <w:spacing w:val="-3"/>
        </w:rPr>
        <w:t>通，听取了会计师对年度审计情况的总结汇报，听取公司审计部对年度募集资金</w:t>
      </w:r>
      <w:r>
        <w:rPr>
          <w:spacing w:val="-111"/>
        </w:rPr>
        <w:t> </w:t>
      </w:r>
      <w:r>
        <w:rPr>
          <w:spacing w:val="-111"/>
        </w:rPr>
      </w:r>
      <w:r>
        <w:rPr/>
        <w:t>使用情况和公司财务及内控情况审查的汇报，审议了审计部 </w:t>
      </w:r>
      <w:r>
        <w:rPr>
          <w:rFonts w:ascii="宋体" w:hAnsi="宋体" w:cs="宋体" w:eastAsia="宋体" w:hint="default"/>
        </w:rPr>
        <w:t>2010</w:t>
      </w:r>
      <w:r>
        <w:rPr>
          <w:rFonts w:ascii="宋体" w:hAnsi="宋体" w:cs="宋体" w:eastAsia="宋体" w:hint="default"/>
          <w:spacing w:val="-94"/>
        </w:rPr>
        <w:t> </w:t>
      </w:r>
      <w:r>
        <w:rPr/>
        <w:t>年度的审计总</w:t>
      </w:r>
    </w:p>
    <w:p>
      <w:pPr>
        <w:spacing w:after="0" w:line="357" w:lineRule="auto"/>
        <w:jc w:val="both"/>
        <w:sectPr>
          <w:pgSz w:w="11910" w:h="16840"/>
          <w:pgMar w:header="884" w:footer="980" w:top="1140" w:bottom="1160" w:left="1660" w:right="1560"/>
        </w:sectPr>
      </w:pPr>
    </w:p>
    <w:p>
      <w:pPr>
        <w:spacing w:line="240" w:lineRule="auto" w:before="6"/>
        <w:rPr>
          <w:rFonts w:ascii="宋体" w:hAnsi="宋体" w:cs="宋体" w:eastAsia="宋体" w:hint="default"/>
          <w:sz w:val="22"/>
          <w:szCs w:val="22"/>
        </w:rPr>
      </w:pPr>
    </w:p>
    <w:p>
      <w:pPr>
        <w:pStyle w:val="BodyText"/>
        <w:spacing w:line="240" w:lineRule="auto" w:before="26"/>
        <w:ind w:right="0"/>
        <w:jc w:val="left"/>
      </w:pPr>
      <w:r>
        <w:rPr/>
        <w:t>结和</w:t>
      </w:r>
      <w:r>
        <w:rPr>
          <w:spacing w:val="-61"/>
        </w:rPr>
        <w:t> </w:t>
      </w:r>
      <w:r>
        <w:rPr>
          <w:rFonts w:ascii="宋体" w:hAnsi="宋体" w:cs="宋体" w:eastAsia="宋体" w:hint="default"/>
        </w:rPr>
        <w:t>2011</w:t>
      </w:r>
      <w:r>
        <w:rPr>
          <w:rFonts w:ascii="宋体" w:hAnsi="宋体" w:cs="宋体" w:eastAsia="宋体" w:hint="default"/>
          <w:spacing w:val="-60"/>
        </w:rPr>
        <w:t> </w:t>
      </w:r>
      <w:r>
        <w:rPr/>
        <w:t>年度内部审计计划</w:t>
      </w:r>
      <w:r>
        <w:rPr>
          <w:spacing w:val="-98"/>
        </w:rPr>
        <w:t>。</w:t>
      </w:r>
      <w:r>
        <w:rPr/>
        <w:t>此外</w:t>
      </w:r>
      <w:r>
        <w:rPr>
          <w:spacing w:val="-99"/>
        </w:rPr>
        <w:t>，</w:t>
      </w:r>
      <w:r>
        <w:rPr/>
        <w:t>分别对公</w:t>
      </w:r>
      <w:r>
        <w:rPr>
          <w:spacing w:val="-99"/>
        </w:rPr>
        <w:t>司</w:t>
      </w:r>
      <w:r>
        <w:rPr/>
        <w:t>《</w:t>
      </w:r>
      <w:r>
        <w:rPr>
          <w:rFonts w:ascii="宋体" w:hAnsi="宋体" w:cs="宋体" w:eastAsia="宋体" w:hint="default"/>
        </w:rPr>
        <w:t>2010</w:t>
      </w:r>
      <w:r>
        <w:rPr>
          <w:rFonts w:ascii="宋体" w:hAnsi="宋体" w:cs="宋体" w:eastAsia="宋体" w:hint="default"/>
          <w:spacing w:val="-60"/>
        </w:rPr>
        <w:t> </w:t>
      </w:r>
      <w:r>
        <w:rPr/>
        <w:t>年年度报告全文及摘要</w:t>
      </w:r>
      <w:r>
        <w:rPr>
          <w:spacing w:val="-99"/>
        </w:rPr>
        <w:t>》</w:t>
      </w:r>
      <w:r>
        <w:rPr/>
        <w:t>、</w:t>
      </w:r>
    </w:p>
    <w:p>
      <w:pPr>
        <w:pStyle w:val="BodyText"/>
        <w:spacing w:line="357" w:lineRule="auto"/>
        <w:ind w:right="102"/>
        <w:jc w:val="left"/>
      </w:pPr>
      <w:r>
        <w:rPr/>
        <w:t>《</w:t>
      </w:r>
      <w:r>
        <w:rPr>
          <w:rFonts w:ascii="宋体" w:hAnsi="宋体" w:cs="宋体" w:eastAsia="宋体" w:hint="default"/>
        </w:rPr>
        <w:t>2011</w:t>
      </w:r>
      <w:r>
        <w:rPr>
          <w:rFonts w:ascii="宋体" w:hAnsi="宋体" w:cs="宋体" w:eastAsia="宋体" w:hint="default"/>
          <w:spacing w:val="-61"/>
        </w:rPr>
        <w:t> </w:t>
      </w:r>
      <w:r>
        <w:rPr/>
        <w:t>年第一季度报告》、《</w:t>
      </w:r>
      <w:r>
        <w:rPr>
          <w:rFonts w:ascii="宋体" w:hAnsi="宋体" w:cs="宋体" w:eastAsia="宋体" w:hint="default"/>
        </w:rPr>
        <w:t>2011</w:t>
      </w:r>
      <w:r>
        <w:rPr>
          <w:rFonts w:ascii="宋体" w:hAnsi="宋体" w:cs="宋体" w:eastAsia="宋体" w:hint="default"/>
          <w:spacing w:val="-61"/>
        </w:rPr>
        <w:t> </w:t>
      </w:r>
      <w:r>
        <w:rPr/>
        <w:t>年半年度报告》和《</w:t>
      </w:r>
      <w:r>
        <w:rPr>
          <w:rFonts w:ascii="宋体" w:hAnsi="宋体" w:cs="宋体" w:eastAsia="宋体" w:hint="default"/>
        </w:rPr>
        <w:t>2011</w:t>
      </w:r>
      <w:r>
        <w:rPr>
          <w:rFonts w:ascii="宋体" w:hAnsi="宋体" w:cs="宋体" w:eastAsia="宋体" w:hint="default"/>
          <w:spacing w:val="-61"/>
        </w:rPr>
        <w:t> </w:t>
      </w:r>
      <w:r>
        <w:rPr/>
        <w:t>年第三季度报告》 </w:t>
      </w:r>
      <w:r>
        <w:rPr>
          <w:spacing w:val="-6"/>
        </w:rPr>
        <w:t>进行了审核，重点审查了公司募集资金使用情况、资金占用情况和对外投资情况，</w:t>
      </w:r>
      <w:r>
        <w:rPr/>
        <w:t> 并对公司的内控情况进行了专门的检查。</w:t>
      </w:r>
    </w:p>
    <w:p>
      <w:pPr>
        <w:pStyle w:val="BodyText"/>
        <w:spacing w:line="357" w:lineRule="auto" w:before="36"/>
        <w:ind w:left="620" w:right="225"/>
        <w:jc w:val="left"/>
      </w:pPr>
      <w:r>
        <w:rPr>
          <w:rFonts w:ascii="宋体" w:hAnsi="宋体" w:cs="宋体" w:eastAsia="宋体" w:hint="default"/>
        </w:rPr>
        <w:t>2</w:t>
      </w:r>
      <w:r>
        <w:rPr/>
        <w:t>、薪酬与考核委员会履职情况 </w:t>
      </w:r>
      <w:r>
        <w:rPr>
          <w:spacing w:val="-3"/>
        </w:rPr>
        <w:t>报告期内，薪酬与考核委员会对《上海汉得信息技术股份有限公司限制性股</w:t>
      </w:r>
    </w:p>
    <w:p>
      <w:pPr>
        <w:pStyle w:val="BodyText"/>
        <w:spacing w:line="357" w:lineRule="auto" w:before="36"/>
        <w:ind w:right="237"/>
        <w:jc w:val="both"/>
      </w:pPr>
      <w:r>
        <w:rPr>
          <w:spacing w:val="-3"/>
        </w:rPr>
        <w:t>票激励计划（草案修订稿）》、《上海汉得信息技术股份有限公司限制性股票激</w:t>
      </w:r>
      <w:r>
        <w:rPr>
          <w:spacing w:val="-113"/>
        </w:rPr>
        <w:t> </w:t>
      </w:r>
      <w:r>
        <w:rPr>
          <w:spacing w:val="-113"/>
        </w:rPr>
      </w:r>
      <w:r>
        <w:rPr>
          <w:spacing w:val="-3"/>
        </w:rPr>
        <w:t>励计划实施考核办法》及相关事项进行了审核，认为激励计划（草案修订稿）符</w:t>
      </w:r>
      <w:r>
        <w:rPr>
          <w:spacing w:val="-112"/>
        </w:rPr>
        <w:t> </w:t>
      </w:r>
      <w:r>
        <w:rPr>
          <w:spacing w:val="-112"/>
        </w:rPr>
      </w:r>
      <w:r>
        <w:rPr>
          <w:spacing w:val="-3"/>
        </w:rPr>
        <w:t>合有关法律法规的要求，有利于增强公司管理团队和核心技术人员、业务人员的</w:t>
      </w:r>
      <w:r>
        <w:rPr>
          <w:spacing w:val="-110"/>
        </w:rPr>
        <w:t> </w:t>
      </w:r>
      <w:r>
        <w:rPr>
          <w:spacing w:val="-110"/>
        </w:rPr>
      </w:r>
      <w:r>
        <w:rPr>
          <w:spacing w:val="-3"/>
        </w:rPr>
        <w:t>责任感和使命感，推动公司持续、健康发展。公司薪酬与考核委员会对公司高级</w:t>
      </w:r>
      <w:r>
        <w:rPr>
          <w:spacing w:val="-111"/>
        </w:rPr>
        <w:t> </w:t>
      </w:r>
      <w:r>
        <w:rPr>
          <w:spacing w:val="-111"/>
        </w:rPr>
      </w:r>
      <w:r>
        <w:rPr/>
        <w:t>管理人员及整体薪酬进行了审查，认为符合公司的经营业绩和个人绩效。</w:t>
      </w:r>
    </w:p>
    <w:p>
      <w:pPr>
        <w:pStyle w:val="BodyText"/>
        <w:spacing w:line="357" w:lineRule="auto" w:before="36"/>
        <w:ind w:left="620" w:right="225"/>
        <w:jc w:val="left"/>
      </w:pPr>
      <w:r>
        <w:rPr>
          <w:rFonts w:ascii="宋体" w:hAnsi="宋体" w:cs="宋体" w:eastAsia="宋体" w:hint="default"/>
        </w:rPr>
        <w:t>3</w:t>
      </w:r>
      <w:r>
        <w:rPr/>
        <w:t>、提名委员会履职情况 </w:t>
      </w:r>
      <w:r>
        <w:rPr>
          <w:spacing w:val="-3"/>
        </w:rPr>
        <w:t>报告期内，公司提名委员会勤勉尽责地履行职责，认真审核与评价公司高级</w:t>
      </w:r>
    </w:p>
    <w:p>
      <w:pPr>
        <w:pStyle w:val="BodyText"/>
        <w:spacing w:line="357" w:lineRule="auto" w:before="36"/>
        <w:ind w:right="231"/>
        <w:jc w:val="left"/>
      </w:pPr>
      <w:r>
        <w:rPr>
          <w:spacing w:val="-3"/>
        </w:rPr>
        <w:t>管理人员候选人，审议通过张伟锋先生担任公司董事会秘书，并提交董事会审议</w:t>
      </w:r>
      <w:r>
        <w:rPr>
          <w:spacing w:val="-112"/>
        </w:rPr>
        <w:t> </w:t>
      </w:r>
      <w:r>
        <w:rPr>
          <w:spacing w:val="-112"/>
        </w:rPr>
      </w:r>
      <w:r>
        <w:rPr/>
        <w:t>通过。</w:t>
      </w:r>
    </w:p>
    <w:p>
      <w:pPr>
        <w:pStyle w:val="BodyText"/>
        <w:spacing w:line="357" w:lineRule="auto" w:before="36"/>
        <w:ind w:left="620" w:right="219"/>
        <w:jc w:val="left"/>
      </w:pPr>
      <w:r>
        <w:rPr>
          <w:rFonts w:ascii="宋体" w:hAnsi="宋体" w:cs="宋体" w:eastAsia="宋体" w:hint="default"/>
        </w:rPr>
        <w:t>4</w:t>
      </w:r>
      <w:r>
        <w:rPr/>
        <w:t>、战略委员会履职情况 报告期内，公司战略委员会勤勉尽责地履行职责，对公司 </w:t>
      </w:r>
      <w:r>
        <w:rPr>
          <w:rFonts w:ascii="宋体" w:hAnsi="宋体" w:cs="宋体" w:eastAsia="宋体" w:hint="default"/>
        </w:rPr>
        <w:t>2011</w:t>
      </w:r>
      <w:r>
        <w:rPr>
          <w:rFonts w:ascii="宋体" w:hAnsi="宋体" w:cs="宋体" w:eastAsia="宋体" w:hint="default"/>
          <w:spacing w:val="-93"/>
        </w:rPr>
        <w:t> </w:t>
      </w:r>
      <w:r>
        <w:rPr/>
        <w:t>年度战略规</w:t>
      </w:r>
    </w:p>
    <w:p>
      <w:pPr>
        <w:pStyle w:val="BodyText"/>
        <w:spacing w:line="357" w:lineRule="auto" w:before="36"/>
        <w:ind w:right="126"/>
        <w:jc w:val="left"/>
      </w:pPr>
      <w:r>
        <w:rPr/>
        <w:t>划的实施情况进行监督和总结，并对中长期战略规划进行审核，促进企业持续、 健康发展。</w:t>
      </w:r>
    </w:p>
    <w:p>
      <w:pPr>
        <w:spacing w:line="357" w:lineRule="auto" w:before="36"/>
        <w:ind w:left="620" w:right="225" w:hanging="480"/>
        <w:jc w:val="left"/>
        <w:rPr>
          <w:rFonts w:ascii="宋体" w:hAnsi="宋体" w:cs="宋体" w:eastAsia="宋体" w:hint="default"/>
          <w:sz w:val="24"/>
          <w:szCs w:val="24"/>
        </w:rPr>
      </w:pPr>
      <w:r>
        <w:rPr>
          <w:rFonts w:ascii="宋体" w:hAnsi="宋体" w:cs="宋体" w:eastAsia="宋体" w:hint="default"/>
          <w:b/>
          <w:bCs/>
          <w:sz w:val="24"/>
          <w:szCs w:val="24"/>
        </w:rPr>
        <w:t>五、</w:t>
      </w:r>
      <w:r>
        <w:rPr>
          <w:rFonts w:ascii="宋体" w:hAnsi="宋体" w:cs="宋体" w:eastAsia="宋体" w:hint="default"/>
          <w:b/>
          <w:bCs/>
          <w:spacing w:val="-37"/>
          <w:sz w:val="24"/>
          <w:szCs w:val="24"/>
        </w:rPr>
        <w:t> </w:t>
      </w:r>
      <w:r>
        <w:rPr>
          <w:rFonts w:ascii="宋体" w:hAnsi="宋体" w:cs="宋体" w:eastAsia="宋体" w:hint="default"/>
          <w:b/>
          <w:bCs/>
          <w:sz w:val="24"/>
          <w:szCs w:val="24"/>
        </w:rPr>
        <w:t>公司内部控制制度的建立健全情况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公司严格按照《公司法》、《证券法》、《深圳证券交易所创业板股票上市</w:t>
      </w:r>
    </w:p>
    <w:p>
      <w:pPr>
        <w:pStyle w:val="BodyText"/>
        <w:spacing w:line="357" w:lineRule="auto" w:before="36"/>
        <w:ind w:right="102"/>
        <w:jc w:val="left"/>
      </w:pPr>
      <w:r>
        <w:rPr>
          <w:spacing w:val="-3"/>
        </w:rPr>
        <w:t>规则》以及中国证监会有关法律、法规及规范性文件的要求，规范运作，不断完</w:t>
      </w:r>
      <w:r>
        <w:rPr>
          <w:spacing w:val="-111"/>
        </w:rPr>
        <w:t> </w:t>
      </w:r>
      <w:r>
        <w:rPr>
          <w:spacing w:val="-111"/>
        </w:rPr>
      </w:r>
      <w:r>
        <w:rPr>
          <w:spacing w:val="-3"/>
        </w:rPr>
        <w:t>善公司法人治理结构。公司针对自身特点，结合公司业务发展情况和公司运营管</w:t>
      </w:r>
      <w:r>
        <w:rPr>
          <w:spacing w:val="-111"/>
        </w:rPr>
        <w:t> </w:t>
      </w:r>
      <w:r>
        <w:rPr>
          <w:spacing w:val="-111"/>
        </w:rPr>
      </w:r>
      <w:r>
        <w:rPr>
          <w:spacing w:val="-3"/>
        </w:rPr>
        <w:t>理经验，制定了适合的内部控制制度，使公司的各项业务有章可循，并得到了有</w:t>
      </w:r>
      <w:r>
        <w:rPr>
          <w:spacing w:val="-111"/>
        </w:rPr>
        <w:t> </w:t>
      </w:r>
      <w:r>
        <w:rPr>
          <w:spacing w:val="-111"/>
        </w:rPr>
      </w:r>
      <w:r>
        <w:rPr/>
        <w:t>效执行，公司内部控制制度完整、合理，整体运行是有效的，不存在重大缺陷。 </w:t>
      </w:r>
      <w:r>
        <w:rPr>
          <w:spacing w:val="-6"/>
        </w:rPr>
        <w:t>同时，公司的管理层将根据公司发展的实际需要，对内部控制制度不断加以改进。</w:t>
      </w:r>
    </w:p>
    <w:p>
      <w:pPr>
        <w:pStyle w:val="BodyText"/>
        <w:tabs>
          <w:tab w:pos="1400" w:val="left" w:leader="none"/>
        </w:tabs>
        <w:spacing w:line="240" w:lineRule="auto" w:before="36"/>
        <w:ind w:left="620" w:right="3443"/>
        <w:jc w:val="left"/>
      </w:pPr>
      <w:r>
        <w:rPr>
          <w:rFonts w:ascii="宋体" w:hAnsi="宋体" w:cs="宋体" w:eastAsia="宋体" w:hint="default"/>
        </w:rPr>
        <w:t>(</w:t>
      </w:r>
      <w:r>
        <w:rPr/>
        <w:t>一</w:t>
      </w:r>
      <w:r>
        <w:rPr>
          <w:rFonts w:ascii="宋体" w:hAnsi="宋体" w:cs="宋体" w:eastAsia="宋体" w:hint="default"/>
        </w:rPr>
        <w:t>)</w:t>
        <w:tab/>
      </w:r>
      <w:r>
        <w:rPr/>
        <w:t>法人治理方面</w:t>
      </w:r>
    </w:p>
    <w:p>
      <w:pPr>
        <w:pStyle w:val="BodyText"/>
        <w:spacing w:line="240" w:lineRule="auto"/>
        <w:ind w:left="620" w:right="0"/>
        <w:jc w:val="left"/>
      </w:pPr>
      <w:r>
        <w:rPr/>
        <w:t>公司制订了《公司章程</w:t>
      </w:r>
      <w:r>
        <w:rPr>
          <w:spacing w:val="-4"/>
        </w:rPr>
        <w:t> 》、《股东大会议事规则》、《董事会议事规则》、</w:t>
      </w:r>
    </w:p>
    <w:p>
      <w:pPr>
        <w:pStyle w:val="BodyText"/>
        <w:spacing w:line="240" w:lineRule="auto"/>
        <w:ind w:right="0"/>
        <w:jc w:val="left"/>
      </w:pPr>
      <w:r>
        <w:rPr>
          <w:spacing w:val="-3"/>
        </w:rPr>
        <w:t>《监事会议事规则》、《独立董事制度》、《董事会秘书工作细则》、《总经理</w:t>
      </w:r>
    </w:p>
    <w:p>
      <w:pPr>
        <w:spacing w:after="0" w:line="240" w:lineRule="auto"/>
        <w:jc w:val="left"/>
        <w:sectPr>
          <w:pgSz w:w="11910" w:h="16840"/>
          <w:pgMar w:header="884" w:footer="980" w:top="1140" w:bottom="1160" w:left="1660" w:right="1560"/>
        </w:sectPr>
      </w:pPr>
    </w:p>
    <w:p>
      <w:pPr>
        <w:spacing w:line="240" w:lineRule="auto" w:before="6"/>
        <w:rPr>
          <w:rFonts w:ascii="宋体" w:hAnsi="宋体" w:cs="宋体" w:eastAsia="宋体" w:hint="default"/>
          <w:sz w:val="22"/>
          <w:szCs w:val="22"/>
        </w:rPr>
      </w:pPr>
    </w:p>
    <w:p>
      <w:pPr>
        <w:pStyle w:val="BodyText"/>
        <w:spacing w:line="357" w:lineRule="auto" w:before="26"/>
        <w:ind w:right="191"/>
        <w:jc w:val="left"/>
      </w:pPr>
      <w:r>
        <w:rPr>
          <w:spacing w:val="-3"/>
        </w:rPr>
        <w:t>工作细则》等，明确了股东大会、董事会、监事会和经理层的职权范围、议事规</w:t>
      </w:r>
      <w:r>
        <w:rPr>
          <w:spacing w:val="-115"/>
        </w:rPr>
        <w:t> </w:t>
      </w:r>
      <w:r>
        <w:rPr>
          <w:spacing w:val="-115"/>
        </w:rPr>
      </w:r>
      <w:r>
        <w:rPr/>
        <w:t>则和决策机制。</w:t>
      </w:r>
    </w:p>
    <w:p>
      <w:pPr>
        <w:pStyle w:val="BodyText"/>
        <w:tabs>
          <w:tab w:pos="1287" w:val="left" w:leader="none"/>
        </w:tabs>
        <w:spacing w:line="357" w:lineRule="auto" w:before="36"/>
        <w:ind w:left="620" w:right="196" w:hanging="53"/>
        <w:jc w:val="left"/>
      </w:pPr>
      <w:r>
        <w:rPr>
          <w:rFonts w:ascii="宋体" w:hAnsi="宋体" w:cs="宋体" w:eastAsia="宋体" w:hint="default"/>
        </w:rPr>
        <w:t>(</w:t>
      </w:r>
      <w:r>
        <w:rPr/>
        <w:t>一</w:t>
      </w:r>
      <w:r>
        <w:rPr>
          <w:rFonts w:ascii="宋体" w:hAnsi="宋体" w:cs="宋体" w:eastAsia="宋体" w:hint="default"/>
        </w:rPr>
        <w:t>)</w:t>
        <w:tab/>
      </w:r>
      <w:r>
        <w:rPr/>
        <w:t>经营管理方面 </w:t>
      </w:r>
      <w:r>
        <w:rPr>
          <w:spacing w:val="-3"/>
        </w:rPr>
        <w:t>公司针对经营管理的各个层面制定和修订了系列管理办法，主要有：合同管</w:t>
      </w:r>
    </w:p>
    <w:p>
      <w:pPr>
        <w:pStyle w:val="BodyText"/>
        <w:spacing w:line="357" w:lineRule="auto" w:before="36"/>
        <w:ind w:right="191"/>
        <w:jc w:val="left"/>
      </w:pPr>
      <w:r>
        <w:rPr>
          <w:spacing w:val="-3"/>
        </w:rPr>
        <w:t>理制度、资产管理制度、软件采购管理制度、档案保密管理制度等，保证了公司</w:t>
      </w:r>
      <w:r>
        <w:rPr>
          <w:spacing w:val="-112"/>
        </w:rPr>
        <w:t> </w:t>
      </w:r>
      <w:r>
        <w:rPr>
          <w:spacing w:val="-112"/>
        </w:rPr>
      </w:r>
      <w:r>
        <w:rPr/>
        <w:t>的经营管理科学有效，规范操作，安全有序。</w:t>
      </w:r>
    </w:p>
    <w:p>
      <w:pPr>
        <w:pStyle w:val="BodyText"/>
        <w:tabs>
          <w:tab w:pos="1287" w:val="left" w:leader="none"/>
        </w:tabs>
        <w:spacing w:line="357" w:lineRule="auto" w:before="36"/>
        <w:ind w:left="620" w:right="196" w:hanging="53"/>
        <w:jc w:val="left"/>
      </w:pPr>
      <w:r>
        <w:rPr>
          <w:rFonts w:ascii="宋体" w:hAnsi="宋体" w:cs="宋体" w:eastAsia="宋体" w:hint="default"/>
        </w:rPr>
        <w:t>(</w:t>
      </w:r>
      <w:r>
        <w:rPr/>
        <w:t>二</w:t>
      </w:r>
      <w:r>
        <w:rPr>
          <w:rFonts w:ascii="宋体" w:hAnsi="宋体" w:cs="宋体" w:eastAsia="宋体" w:hint="default"/>
        </w:rPr>
        <w:t>)</w:t>
        <w:tab/>
      </w:r>
      <w:r>
        <w:rPr/>
        <w:t>财务管理方面 </w:t>
      </w:r>
      <w:r>
        <w:rPr>
          <w:spacing w:val="-3"/>
        </w:rPr>
        <w:t>公司先后制定和修订了一系列严格的财务内控制度，主要有：公司会计电算</w:t>
      </w:r>
    </w:p>
    <w:p>
      <w:pPr>
        <w:pStyle w:val="BodyText"/>
        <w:spacing w:line="357" w:lineRule="auto" w:before="36"/>
        <w:ind w:right="86"/>
        <w:jc w:val="left"/>
      </w:pPr>
      <w:r>
        <w:rPr>
          <w:spacing w:val="-3"/>
        </w:rPr>
        <w:t>化管理制度、财务管理制度、资金管理制度、对外投资管理制度、关联交易决策</w:t>
      </w:r>
      <w:r>
        <w:rPr>
          <w:spacing w:val="-112"/>
        </w:rPr>
        <w:t> </w:t>
      </w:r>
      <w:r>
        <w:rPr>
          <w:spacing w:val="-112"/>
        </w:rPr>
      </w:r>
      <w:r>
        <w:rPr/>
        <w:t>制度、对外担保管理制度、资产管理规定、员工借款及差旅费用报销管理制度、</w:t>
      </w:r>
      <w:r>
        <w:rPr/>
        <w:t> </w:t>
      </w:r>
      <w:r>
        <w:rPr>
          <w:spacing w:val="-3"/>
        </w:rPr>
        <w:t>销售与收款管理制度、内部审计制度等，较好地保证了财务工作的安全性、严密</w:t>
      </w:r>
      <w:r>
        <w:rPr>
          <w:spacing w:val="-112"/>
        </w:rPr>
        <w:t> </w:t>
      </w:r>
      <w:r>
        <w:rPr>
          <w:spacing w:val="-112"/>
        </w:rPr>
      </w:r>
      <w:r>
        <w:rPr/>
        <w:t>性，确保公司各项经营活动的正常进行，有效控制了财务风险。</w:t>
      </w:r>
    </w:p>
    <w:p>
      <w:pPr>
        <w:pStyle w:val="BodyText"/>
        <w:tabs>
          <w:tab w:pos="1287" w:val="left" w:leader="none"/>
        </w:tabs>
        <w:spacing w:line="357" w:lineRule="auto" w:before="36"/>
        <w:ind w:left="620" w:right="198" w:hanging="53"/>
        <w:jc w:val="left"/>
      </w:pPr>
      <w:r>
        <w:rPr>
          <w:rFonts w:ascii="宋体" w:hAnsi="宋体" w:cs="宋体" w:eastAsia="宋体" w:hint="default"/>
        </w:rPr>
        <w:t>(</w:t>
      </w:r>
      <w:r>
        <w:rPr/>
        <w:t>三</w:t>
      </w:r>
      <w:r>
        <w:rPr>
          <w:rFonts w:ascii="宋体" w:hAnsi="宋体" w:cs="宋体" w:eastAsia="宋体" w:hint="default"/>
        </w:rPr>
        <w:t>)</w:t>
        <w:tab/>
      </w:r>
      <w:r>
        <w:rPr/>
        <w:t>公司治理专项活动 公司根据中国证劵监督管理委员会（以下简称“中国证监会”）于 </w:t>
      </w:r>
      <w:r>
        <w:rPr>
          <w:rFonts w:ascii="宋体" w:hAnsi="宋体" w:cs="宋体" w:eastAsia="宋体" w:hint="default"/>
        </w:rPr>
        <w:t>2007</w:t>
      </w:r>
      <w:r>
        <w:rPr>
          <w:rFonts w:ascii="宋体" w:hAnsi="宋体" w:cs="宋体" w:eastAsia="宋体" w:hint="default"/>
          <w:spacing w:val="-95"/>
        </w:rPr>
        <w:t> </w:t>
      </w:r>
      <w:r>
        <w:rPr/>
        <w:t>年</w:t>
      </w:r>
    </w:p>
    <w:p>
      <w:pPr>
        <w:pStyle w:val="BodyText"/>
        <w:spacing w:line="357" w:lineRule="auto" w:before="36"/>
        <w:ind w:right="86"/>
        <w:jc w:val="left"/>
      </w:pPr>
      <w:r>
        <w:rPr>
          <w:rFonts w:ascii="宋体" w:hAnsi="宋体" w:cs="宋体" w:eastAsia="宋体" w:hint="default"/>
        </w:rPr>
        <w:t>3</w:t>
      </w:r>
      <w:r>
        <w:rPr>
          <w:rFonts w:ascii="宋体" w:hAnsi="宋体" w:cs="宋体" w:eastAsia="宋体" w:hint="default"/>
          <w:spacing w:val="-68"/>
        </w:rPr>
        <w:t> </w:t>
      </w:r>
      <w:r>
        <w:rPr/>
        <w:t>月</w:t>
      </w:r>
      <w:r>
        <w:rPr>
          <w:spacing w:val="-69"/>
        </w:rPr>
        <w:t> </w:t>
      </w:r>
      <w:r>
        <w:rPr>
          <w:rFonts w:ascii="宋体" w:hAnsi="宋体" w:cs="宋体" w:eastAsia="宋体" w:hint="default"/>
        </w:rPr>
        <w:t>9</w:t>
      </w:r>
      <w:r>
        <w:rPr>
          <w:rFonts w:ascii="宋体" w:hAnsi="宋体" w:cs="宋体" w:eastAsia="宋体" w:hint="default"/>
          <w:spacing w:val="-68"/>
        </w:rPr>
        <w:t> </w:t>
      </w:r>
      <w:r>
        <w:rPr/>
        <w:t>日下发的《关于开展加强上市公司治理专项活动有关事项的通知》和深圳 </w:t>
      </w:r>
      <w:r>
        <w:rPr>
          <w:spacing w:val="-3"/>
        </w:rPr>
        <w:t>证券交易所《关于做好加强上市公司治理专项活动有关工作的通知》以及中国证</w:t>
      </w:r>
      <w:r>
        <w:rPr>
          <w:spacing w:val="-111"/>
        </w:rPr>
        <w:t> </w:t>
      </w:r>
      <w:r>
        <w:rPr>
          <w:spacing w:val="-111"/>
        </w:rPr>
      </w:r>
      <w:r>
        <w:rPr>
          <w:spacing w:val="-3"/>
        </w:rPr>
        <w:t>券监督管理委员会上海监管局</w:t>
      </w:r>
      <w:r>
        <w:rPr>
          <w:rFonts w:ascii="宋体" w:hAnsi="宋体" w:cs="宋体" w:eastAsia="宋体" w:hint="default"/>
          <w:spacing w:val="-3"/>
        </w:rPr>
        <w:t>(</w:t>
      </w:r>
      <w:r>
        <w:rPr>
          <w:spacing w:val="-3"/>
        </w:rPr>
        <w:t>以下简称“上海证监局”</w:t>
      </w:r>
      <w:r>
        <w:rPr>
          <w:rFonts w:ascii="宋体" w:hAnsi="宋体" w:cs="宋体" w:eastAsia="宋体" w:hint="default"/>
          <w:spacing w:val="-3"/>
        </w:rPr>
        <w:t>)</w:t>
      </w:r>
      <w:r>
        <w:rPr>
          <w:spacing w:val="-3"/>
        </w:rPr>
        <w:t>的要求和统一部署，本</w:t>
      </w:r>
      <w:r>
        <w:rPr>
          <w:spacing w:val="-107"/>
        </w:rPr>
        <w:t> </w:t>
      </w:r>
      <w:r>
        <w:rPr>
          <w:spacing w:val="-107"/>
        </w:rPr>
      </w:r>
      <w:r>
        <w:rPr/>
        <w:t>着实事求是的原则，严格对照《公司法》、《证券法》等有关法律、行政法规， </w:t>
      </w:r>
      <w:r>
        <w:rPr>
          <w:spacing w:val="-3"/>
        </w:rPr>
        <w:t>以及《公司章程》、《董事会议事规则》等内部规章制度，认真、深入的开展了</w:t>
      </w:r>
      <w:r>
        <w:rPr>
          <w:spacing w:val="-113"/>
        </w:rPr>
        <w:t> </w:t>
      </w:r>
      <w:r>
        <w:rPr>
          <w:spacing w:val="-113"/>
        </w:rPr>
      </w:r>
      <w:r>
        <w:rPr>
          <w:spacing w:val="-3"/>
        </w:rPr>
        <w:t>加强上市公司治理专项活动，进一步健全了公司法人治理结构，进一步完善了内</w:t>
      </w:r>
      <w:r>
        <w:rPr>
          <w:spacing w:val="-111"/>
        </w:rPr>
        <w:t> </w:t>
      </w:r>
      <w:r>
        <w:rPr>
          <w:spacing w:val="-111"/>
        </w:rPr>
      </w:r>
      <w:r>
        <w:rPr>
          <w:spacing w:val="-3"/>
        </w:rPr>
        <w:t>部控制制度，全面提高了规范运作水平，建立了公司治理的长效机制，从而提升</w:t>
      </w:r>
      <w:r>
        <w:rPr>
          <w:spacing w:val="-111"/>
        </w:rPr>
        <w:t> </w:t>
      </w:r>
      <w:r>
        <w:rPr>
          <w:spacing w:val="-111"/>
        </w:rPr>
      </w:r>
      <w:r>
        <w:rPr/>
        <w:t>公司的核心竞争力和提高了公司质量。</w:t>
      </w:r>
    </w:p>
    <w:p>
      <w:pPr>
        <w:pStyle w:val="BodyText"/>
        <w:spacing w:line="357" w:lineRule="auto" w:before="36"/>
        <w:ind w:right="177" w:firstLine="479"/>
        <w:jc w:val="left"/>
      </w:pPr>
      <w:r>
        <w:rPr/>
        <w:t>公司治理专项活动的具体情况，详见巨潮网（</w:t>
      </w:r>
      <w:hyperlink r:id="rId11">
        <w:r>
          <w:rPr>
            <w:rFonts w:ascii="宋体" w:hAnsi="宋体" w:cs="宋体" w:eastAsia="宋体" w:hint="default"/>
          </w:rPr>
          <w:t>www.cninfo.com.cn</w:t>
        </w:r>
      </w:hyperlink>
      <w:r>
        <w:rPr/>
        <w:t>）</w:t>
      </w:r>
      <w:r>
        <w:rPr>
          <w:rFonts w:ascii="宋体" w:hAnsi="宋体" w:cs="宋体" w:eastAsia="宋体" w:hint="default"/>
        </w:rPr>
        <w:t>2011</w:t>
      </w:r>
      <w:r>
        <w:rPr>
          <w:rFonts w:ascii="宋体" w:hAnsi="宋体" w:cs="宋体" w:eastAsia="宋体" w:hint="default"/>
          <w:spacing w:val="-90"/>
        </w:rPr>
        <w:t> </w:t>
      </w:r>
      <w:r>
        <w:rPr/>
        <w:t>年 </w:t>
      </w:r>
      <w:r>
        <w:rPr>
          <w:rFonts w:ascii="宋体" w:hAnsi="宋体" w:cs="宋体" w:eastAsia="宋体" w:hint="default"/>
        </w:rPr>
        <w:t>4</w:t>
      </w:r>
      <w:r>
        <w:rPr>
          <w:rFonts w:ascii="宋体" w:hAnsi="宋体" w:cs="宋体" w:eastAsia="宋体" w:hint="default"/>
          <w:spacing w:val="-60"/>
        </w:rPr>
        <w:t> </w:t>
      </w:r>
      <w:r>
        <w:rPr/>
        <w:t>月</w:t>
      </w:r>
      <w:r>
        <w:rPr>
          <w:spacing w:val="-61"/>
        </w:rPr>
        <w:t> </w:t>
      </w:r>
      <w:r>
        <w:rPr>
          <w:rFonts w:ascii="宋体" w:hAnsi="宋体" w:cs="宋体" w:eastAsia="宋体" w:hint="default"/>
        </w:rPr>
        <w:t>22</w:t>
      </w:r>
      <w:r>
        <w:rPr>
          <w:rFonts w:ascii="宋体" w:hAnsi="宋体" w:cs="宋体" w:eastAsia="宋体" w:hint="default"/>
          <w:spacing w:val="-60"/>
        </w:rPr>
        <w:t> </w:t>
      </w:r>
      <w:r>
        <w:rPr/>
        <w:t>日发布的相关公告。</w:t>
      </w:r>
    </w:p>
    <w:p>
      <w:pPr>
        <w:spacing w:after="0" w:line="357" w:lineRule="auto"/>
        <w:jc w:val="left"/>
        <w:sectPr>
          <w:pgSz w:w="11910" w:h="16840"/>
          <w:pgMar w:header="884" w:footer="980" w:top="1140" w:bottom="1160" w:left="1660" w:right="16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1"/>
        <w:spacing w:line="460" w:lineRule="exact"/>
        <w:ind w:left="42" w:right="140"/>
        <w:jc w:val="center"/>
        <w:rPr>
          <w:b w:val="0"/>
          <w:bCs w:val="0"/>
        </w:rPr>
      </w:pPr>
      <w:bookmarkStart w:name="_bookmark7" w:id="8"/>
      <w:bookmarkEnd w:id="8"/>
      <w:r>
        <w:rPr>
          <w:b w:val="0"/>
          <w:bCs w:val="0"/>
        </w:rPr>
      </w:r>
      <w:r>
        <w:rPr/>
        <w:t>第八节</w:t>
      </w:r>
      <w:r>
        <w:rPr>
          <w:spacing w:val="-3"/>
        </w:rPr>
        <w:t> </w:t>
      </w:r>
      <w:r>
        <w:rPr/>
        <w:t>监事会报告</w:t>
      </w:r>
      <w:r>
        <w:rPr>
          <w:b w:val="0"/>
          <w:bCs w:val="0"/>
        </w:rPr>
      </w:r>
    </w:p>
    <w:p>
      <w:pPr>
        <w:spacing w:line="240" w:lineRule="auto" w:before="6"/>
        <w:rPr>
          <w:rFonts w:ascii="宋体" w:hAnsi="宋体" w:cs="宋体" w:eastAsia="宋体" w:hint="default"/>
          <w:b/>
          <w:bCs/>
          <w:sz w:val="46"/>
          <w:szCs w:val="46"/>
        </w:rPr>
      </w:pPr>
    </w:p>
    <w:p>
      <w:pPr>
        <w:pStyle w:val="BodyText"/>
        <w:spacing w:line="357" w:lineRule="auto" w:before="0"/>
        <w:ind w:right="238" w:firstLine="479"/>
        <w:jc w:val="both"/>
      </w:pPr>
      <w:r>
        <w:rPr>
          <w:spacing w:val="-3"/>
        </w:rPr>
        <w:t>报告期内，公司监事会严格按照《公司法》、《公司章程》、《监事会议事</w:t>
      </w:r>
      <w:r>
        <w:rPr/>
        <w:t> </w:t>
      </w:r>
      <w:r>
        <w:rPr>
          <w:spacing w:val="-3"/>
        </w:rPr>
        <w:t>规则》等有关规定的要求，本着对全体股东负责的态度，认真履行监事会自身职</w:t>
      </w:r>
      <w:r>
        <w:rPr>
          <w:spacing w:val="-110"/>
        </w:rPr>
        <w:t> </w:t>
      </w:r>
      <w:r>
        <w:rPr>
          <w:spacing w:val="-110"/>
        </w:rPr>
      </w:r>
      <w:r>
        <w:rPr/>
        <w:t>能，发挥监事会应有的作用。</w:t>
      </w:r>
    </w:p>
    <w:p>
      <w:pPr>
        <w:spacing w:line="357" w:lineRule="auto" w:before="36"/>
        <w:ind w:left="620" w:right="3606" w:hanging="48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38"/>
          <w:sz w:val="24"/>
          <w:szCs w:val="24"/>
        </w:rPr>
        <w:t> </w:t>
      </w:r>
      <w:r>
        <w:rPr>
          <w:rFonts w:ascii="宋体" w:hAnsi="宋体" w:cs="宋体" w:eastAsia="宋体" w:hint="default"/>
          <w:b/>
          <w:bCs/>
          <w:sz w:val="24"/>
          <w:szCs w:val="24"/>
        </w:rPr>
        <w:t>报告期内监事会工作情况</w:t>
      </w:r>
      <w:r>
        <w:rPr>
          <w:rFonts w:ascii="宋体" w:hAnsi="宋体" w:cs="宋体" w:eastAsia="宋体" w:hint="default"/>
          <w:b/>
          <w:bCs/>
          <w:w w:val="99"/>
          <w:sz w:val="24"/>
          <w:szCs w:val="24"/>
        </w:rPr>
        <w:t> </w:t>
      </w:r>
      <w:r>
        <w:rPr>
          <w:rFonts w:ascii="宋体" w:hAnsi="宋体" w:cs="宋体" w:eastAsia="宋体" w:hint="default"/>
          <w:sz w:val="24"/>
          <w:szCs w:val="24"/>
        </w:rPr>
        <w:t>报告期内监事会共召开</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次监事会会议：</w:t>
      </w:r>
    </w:p>
    <w:p>
      <w:pPr>
        <w:pStyle w:val="BodyText"/>
        <w:tabs>
          <w:tab w:pos="762" w:val="left" w:leader="none"/>
        </w:tabs>
        <w:spacing w:line="240" w:lineRule="auto" w:before="5"/>
        <w:ind w:left="42" w:right="0"/>
        <w:jc w:val="center"/>
      </w:pPr>
      <w:r>
        <w:rPr>
          <w:rFonts w:ascii="宋体" w:hAnsi="宋体" w:cs="宋体" w:eastAsia="宋体" w:hint="default"/>
          <w:spacing w:val="-1"/>
        </w:rPr>
        <w:t>(</w:t>
      </w:r>
      <w:r>
        <w:rPr>
          <w:spacing w:val="-1"/>
        </w:rPr>
        <w:t>一</w:t>
      </w:r>
      <w:r>
        <w:rPr>
          <w:rFonts w:ascii="宋体" w:hAnsi="宋体" w:cs="宋体" w:eastAsia="宋体" w:hint="default"/>
          <w:spacing w:val="-1"/>
        </w:rPr>
        <w:t>)</w:t>
        <w:tab/>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3</w:t>
      </w:r>
      <w:r>
        <w:rPr>
          <w:rFonts w:ascii="宋体" w:hAnsi="宋体" w:cs="宋体" w:eastAsia="宋体" w:hint="default"/>
          <w:spacing w:val="-48"/>
        </w:rPr>
        <w:t> </w:t>
      </w:r>
      <w:r>
        <w:rPr/>
        <w:t>月</w:t>
      </w:r>
      <w:r>
        <w:rPr>
          <w:spacing w:val="-48"/>
        </w:rPr>
        <w:t> </w:t>
      </w:r>
      <w:r>
        <w:rPr>
          <w:rFonts w:ascii="宋体" w:hAnsi="宋体" w:cs="宋体" w:eastAsia="宋体" w:hint="default"/>
          <w:spacing w:val="1"/>
        </w:rPr>
        <w:t>18</w:t>
      </w:r>
      <w:r>
        <w:rPr>
          <w:rFonts w:ascii="宋体" w:hAnsi="宋体" w:cs="宋体" w:eastAsia="宋体" w:hint="default"/>
          <w:spacing w:val="-48"/>
        </w:rPr>
        <w:t> </w:t>
      </w:r>
      <w:r>
        <w:rPr/>
        <w:t>日召开第一届监事会第四次会议，审议通过了《上海汉</w:t>
      </w:r>
    </w:p>
    <w:p>
      <w:pPr>
        <w:pStyle w:val="BodyText"/>
        <w:spacing w:line="240" w:lineRule="auto"/>
        <w:ind w:left="1001" w:right="0"/>
        <w:jc w:val="left"/>
      </w:pPr>
      <w:r>
        <w:rPr/>
        <w:t>得信息技术股份有限公司</w:t>
      </w:r>
      <w:r>
        <w:rPr>
          <w:spacing w:val="-55"/>
        </w:rPr>
        <w:t> </w:t>
      </w:r>
      <w:r>
        <w:rPr>
          <w:rFonts w:ascii="宋体" w:hAnsi="宋体" w:cs="宋体" w:eastAsia="宋体" w:hint="default"/>
        </w:rPr>
        <w:t>2010</w:t>
      </w:r>
      <w:r>
        <w:rPr>
          <w:rFonts w:ascii="宋体" w:hAnsi="宋体" w:cs="宋体" w:eastAsia="宋体" w:hint="default"/>
          <w:spacing w:val="-55"/>
        </w:rPr>
        <w:t> </w:t>
      </w:r>
      <w:r>
        <w:rPr>
          <w:spacing w:val="-7"/>
        </w:rPr>
        <w:t>年度监事会工作报告》、《上海汉得信息</w:t>
      </w:r>
    </w:p>
    <w:p>
      <w:pPr>
        <w:pStyle w:val="BodyText"/>
        <w:spacing w:line="240" w:lineRule="auto"/>
        <w:ind w:left="1001" w:right="0"/>
        <w:jc w:val="left"/>
      </w:pPr>
      <w:r>
        <w:rPr/>
        <w:t>技术股份有限公司</w:t>
      </w:r>
      <w:r>
        <w:rPr>
          <w:spacing w:val="-55"/>
        </w:rPr>
        <w:t> </w:t>
      </w:r>
      <w:r>
        <w:rPr>
          <w:rFonts w:ascii="宋体" w:hAnsi="宋体" w:cs="宋体" w:eastAsia="宋体" w:hint="default"/>
        </w:rPr>
        <w:t>2010</w:t>
      </w:r>
      <w:r>
        <w:rPr>
          <w:rFonts w:ascii="宋体" w:hAnsi="宋体" w:cs="宋体" w:eastAsia="宋体" w:hint="default"/>
          <w:spacing w:val="-55"/>
        </w:rPr>
        <w:t> </w:t>
      </w:r>
      <w:r>
        <w:rPr>
          <w:spacing w:val="-6"/>
        </w:rPr>
        <w:t>年度财务决算报告》、《上海汉得信息技术股份</w:t>
      </w:r>
    </w:p>
    <w:p>
      <w:pPr>
        <w:pStyle w:val="BodyText"/>
        <w:spacing w:line="240" w:lineRule="auto"/>
        <w:ind w:left="1001" w:right="0"/>
        <w:jc w:val="left"/>
      </w:pPr>
      <w:r>
        <w:rPr/>
        <w:t>有限公司</w:t>
      </w:r>
      <w:r>
        <w:rPr>
          <w:spacing w:val="-56"/>
        </w:rPr>
        <w:t> </w:t>
      </w:r>
      <w:r>
        <w:rPr>
          <w:rFonts w:ascii="宋体" w:hAnsi="宋体" w:cs="宋体" w:eastAsia="宋体" w:hint="default"/>
        </w:rPr>
        <w:t>2010</w:t>
      </w:r>
      <w:r>
        <w:rPr>
          <w:rFonts w:ascii="宋体" w:hAnsi="宋体" w:cs="宋体" w:eastAsia="宋体" w:hint="default"/>
          <w:spacing w:val="-56"/>
        </w:rPr>
        <w:t> </w:t>
      </w:r>
      <w:r>
        <w:rPr>
          <w:spacing w:val="-5"/>
        </w:rPr>
        <w:t>年年度报告》及摘要、《上海汉得信息技术股份有限公司</w:t>
      </w:r>
    </w:p>
    <w:p>
      <w:pPr>
        <w:pStyle w:val="BodyText"/>
        <w:spacing w:line="240" w:lineRule="auto"/>
        <w:ind w:left="1001" w:right="0"/>
        <w:jc w:val="left"/>
      </w:pPr>
      <w:r>
        <w:rPr>
          <w:rFonts w:ascii="宋体" w:hAnsi="宋体" w:cs="宋体" w:eastAsia="宋体" w:hint="default"/>
        </w:rPr>
        <w:t>2010</w:t>
      </w:r>
      <w:r>
        <w:rPr>
          <w:rFonts w:ascii="宋体" w:hAnsi="宋体" w:cs="宋体" w:eastAsia="宋体" w:hint="default"/>
          <w:spacing w:val="-59"/>
        </w:rPr>
        <w:t> </w:t>
      </w:r>
      <w:r>
        <w:rPr>
          <w:spacing w:val="-2"/>
        </w:rPr>
        <w:t>年度内部控制自我评价报告》、《上海汉得信息技术股份有限公司</w:t>
      </w:r>
    </w:p>
    <w:p>
      <w:pPr>
        <w:pStyle w:val="BodyText"/>
        <w:spacing w:line="240" w:lineRule="auto"/>
        <w:ind w:left="1001" w:right="3443"/>
        <w:jc w:val="left"/>
      </w:pPr>
      <w:r>
        <w:rPr>
          <w:rFonts w:ascii="宋体" w:hAnsi="宋体" w:cs="宋体" w:eastAsia="宋体" w:hint="default"/>
        </w:rPr>
        <w:t>2010</w:t>
      </w:r>
      <w:r>
        <w:rPr>
          <w:rFonts w:ascii="宋体" w:hAnsi="宋体" w:cs="宋体" w:eastAsia="宋体" w:hint="default"/>
          <w:spacing w:val="-60"/>
        </w:rPr>
        <w:t> </w:t>
      </w:r>
      <w:r>
        <w:rPr/>
        <w:t>年年度利润分配的预案》。</w:t>
      </w:r>
    </w:p>
    <w:p>
      <w:pPr>
        <w:pStyle w:val="BodyText"/>
        <w:tabs>
          <w:tab w:pos="762" w:val="left" w:leader="none"/>
        </w:tabs>
        <w:spacing w:line="240" w:lineRule="auto"/>
        <w:ind w:left="42" w:right="0"/>
        <w:jc w:val="center"/>
      </w:pPr>
      <w:r>
        <w:rPr>
          <w:rFonts w:ascii="宋体" w:hAnsi="宋体" w:cs="宋体" w:eastAsia="宋体" w:hint="default"/>
          <w:spacing w:val="-1"/>
        </w:rPr>
        <w:t>(</w:t>
      </w:r>
      <w:r>
        <w:rPr>
          <w:spacing w:val="-1"/>
        </w:rPr>
        <w:t>二</w:t>
      </w:r>
      <w:r>
        <w:rPr>
          <w:rFonts w:ascii="宋体" w:hAnsi="宋体" w:cs="宋体" w:eastAsia="宋体" w:hint="default"/>
          <w:spacing w:val="-1"/>
        </w:rPr>
        <w:t>)</w:t>
        <w:tab/>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4</w:t>
      </w:r>
      <w:r>
        <w:rPr>
          <w:rFonts w:ascii="宋体" w:hAnsi="宋体" w:cs="宋体" w:eastAsia="宋体" w:hint="default"/>
          <w:spacing w:val="-48"/>
        </w:rPr>
        <w:t> </w:t>
      </w:r>
      <w:r>
        <w:rPr/>
        <w:t>月</w:t>
      </w:r>
      <w:r>
        <w:rPr>
          <w:spacing w:val="-48"/>
        </w:rPr>
        <w:t> </w:t>
      </w:r>
      <w:r>
        <w:rPr>
          <w:rFonts w:ascii="宋体" w:hAnsi="宋体" w:cs="宋体" w:eastAsia="宋体" w:hint="default"/>
          <w:spacing w:val="1"/>
        </w:rPr>
        <w:t>21</w:t>
      </w:r>
      <w:r>
        <w:rPr>
          <w:rFonts w:ascii="宋体" w:hAnsi="宋体" w:cs="宋体" w:eastAsia="宋体" w:hint="default"/>
          <w:spacing w:val="-48"/>
        </w:rPr>
        <w:t> </w:t>
      </w:r>
      <w:r>
        <w:rPr/>
        <w:t>日召开第一届监事会第五次（临时）会议，审议通过了</w:t>
      </w:r>
    </w:p>
    <w:p>
      <w:pPr>
        <w:pStyle w:val="BodyText"/>
        <w:spacing w:line="357" w:lineRule="auto"/>
        <w:ind w:left="1001" w:right="235"/>
        <w:jc w:val="both"/>
      </w:pPr>
      <w:r>
        <w:rPr/>
        <w:t>《上海汉得信息技术股份有限公司加强上市公司治理专项活动自查事项</w:t>
      </w:r>
      <w:r>
        <w:rPr>
          <w:spacing w:val="-115"/>
        </w:rPr>
        <w:t> </w:t>
      </w:r>
      <w:r>
        <w:rPr>
          <w:spacing w:val="-115"/>
        </w:rPr>
      </w:r>
      <w:r>
        <w:rPr/>
        <w:t>报告》、《上海汉得信息技术股份有限公司加强上市公司治理专项活动</w:t>
      </w:r>
      <w:r>
        <w:rPr>
          <w:spacing w:val="-115"/>
        </w:rPr>
        <w:t> </w:t>
      </w:r>
      <w:r>
        <w:rPr>
          <w:spacing w:val="-115"/>
        </w:rPr>
      </w:r>
      <w:r>
        <w:rPr>
          <w:spacing w:val="-5"/>
        </w:rPr>
        <w:t>自查报告和整改计划》、《上海汉得信息技术股份有限公司</w:t>
      </w:r>
      <w:r>
        <w:rPr>
          <w:spacing w:val="-53"/>
        </w:rPr>
        <w:t> </w:t>
      </w:r>
      <w:r>
        <w:rPr>
          <w:rFonts w:ascii="宋体" w:hAnsi="宋体" w:cs="宋体" w:eastAsia="宋体" w:hint="default"/>
        </w:rPr>
        <w:t>2011</w:t>
      </w:r>
      <w:r>
        <w:rPr>
          <w:rFonts w:ascii="宋体" w:hAnsi="宋体" w:cs="宋体" w:eastAsia="宋体" w:hint="default"/>
          <w:spacing w:val="-54"/>
        </w:rPr>
        <w:t> </w:t>
      </w:r>
      <w:r>
        <w:rPr/>
        <w:t>年第一 季度报告》。</w:t>
      </w:r>
    </w:p>
    <w:p>
      <w:pPr>
        <w:pStyle w:val="BodyText"/>
        <w:tabs>
          <w:tab w:pos="762" w:val="left" w:leader="none"/>
        </w:tabs>
        <w:spacing w:line="240" w:lineRule="auto" w:before="36"/>
        <w:ind w:left="42" w:right="0"/>
        <w:jc w:val="center"/>
      </w:pPr>
      <w:r>
        <w:rPr>
          <w:rFonts w:ascii="宋体" w:hAnsi="宋体" w:cs="宋体" w:eastAsia="宋体" w:hint="default"/>
          <w:spacing w:val="-1"/>
        </w:rPr>
        <w:t>(</w:t>
      </w:r>
      <w:r>
        <w:rPr>
          <w:spacing w:val="-1"/>
        </w:rPr>
        <w:t>三</w:t>
      </w:r>
      <w:r>
        <w:rPr>
          <w:rFonts w:ascii="宋体" w:hAnsi="宋体" w:cs="宋体" w:eastAsia="宋体" w:hint="default"/>
          <w:spacing w:val="-1"/>
        </w:rPr>
        <w:t>)</w:t>
        <w:tab/>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4</w:t>
      </w:r>
      <w:r>
        <w:rPr>
          <w:rFonts w:ascii="宋体" w:hAnsi="宋体" w:cs="宋体" w:eastAsia="宋体" w:hint="default"/>
          <w:spacing w:val="-48"/>
        </w:rPr>
        <w:t> </w:t>
      </w:r>
      <w:r>
        <w:rPr/>
        <w:t>月</w:t>
      </w:r>
      <w:r>
        <w:rPr>
          <w:spacing w:val="-48"/>
        </w:rPr>
        <w:t> </w:t>
      </w:r>
      <w:r>
        <w:rPr>
          <w:rFonts w:ascii="宋体" w:hAnsi="宋体" w:cs="宋体" w:eastAsia="宋体" w:hint="default"/>
          <w:spacing w:val="1"/>
        </w:rPr>
        <w:t>27</w:t>
      </w:r>
      <w:r>
        <w:rPr>
          <w:rFonts w:ascii="宋体" w:hAnsi="宋体" w:cs="宋体" w:eastAsia="宋体" w:hint="default"/>
          <w:spacing w:val="-48"/>
        </w:rPr>
        <w:t> </w:t>
      </w:r>
      <w:r>
        <w:rPr/>
        <w:t>日召开第一届监事会第六次（临时）会议，审议通过了</w:t>
      </w:r>
    </w:p>
    <w:p>
      <w:pPr>
        <w:pStyle w:val="BodyText"/>
        <w:spacing w:line="357" w:lineRule="auto"/>
        <w:ind w:left="1001" w:right="225"/>
        <w:jc w:val="left"/>
      </w:pPr>
      <w:r>
        <w:rPr/>
        <w:t>《上海汉得信息技术股份有限公司限制性股票激励计划（草案）》（以</w:t>
      </w:r>
      <w:r>
        <w:rPr>
          <w:spacing w:val="-115"/>
        </w:rPr>
        <w:t> </w:t>
      </w:r>
      <w:r>
        <w:rPr>
          <w:spacing w:val="-115"/>
        </w:rPr>
      </w:r>
      <w:r>
        <w:rPr/>
        <w:t>下简称《激励计划》）及其摘要、《关于核查公司限制性股票激励计划</w:t>
      </w:r>
    </w:p>
    <w:p>
      <w:pPr>
        <w:pStyle w:val="BodyText"/>
        <w:spacing w:line="240" w:lineRule="auto" w:before="36"/>
        <w:ind w:left="1001" w:right="3443"/>
        <w:jc w:val="left"/>
      </w:pPr>
      <w:r>
        <w:rPr/>
        <w:t>（草案）激励对象名单的议案》。</w:t>
      </w:r>
    </w:p>
    <w:p>
      <w:pPr>
        <w:pStyle w:val="BodyText"/>
        <w:tabs>
          <w:tab w:pos="762" w:val="left" w:leader="none"/>
        </w:tabs>
        <w:spacing w:line="240" w:lineRule="auto"/>
        <w:ind w:left="43" w:right="0"/>
        <w:jc w:val="center"/>
      </w:pPr>
      <w:r>
        <w:rPr>
          <w:rFonts w:ascii="宋体" w:hAnsi="宋体" w:cs="宋体" w:eastAsia="宋体" w:hint="default"/>
          <w:spacing w:val="-1"/>
        </w:rPr>
        <w:t>(</w:t>
      </w:r>
      <w:r>
        <w:rPr>
          <w:spacing w:val="-1"/>
        </w:rPr>
        <w:t>四</w:t>
      </w:r>
      <w:r>
        <w:rPr>
          <w:rFonts w:ascii="宋体" w:hAnsi="宋体" w:cs="宋体" w:eastAsia="宋体" w:hint="default"/>
          <w:spacing w:val="-1"/>
        </w:rPr>
        <w:t>)</w:t>
        <w:tab/>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7</w:t>
      </w:r>
      <w:r>
        <w:rPr>
          <w:rFonts w:ascii="宋体" w:hAnsi="宋体" w:cs="宋体" w:eastAsia="宋体" w:hint="default"/>
          <w:spacing w:val="-48"/>
        </w:rPr>
        <w:t> </w:t>
      </w:r>
      <w:r>
        <w:rPr/>
        <w:t>月</w:t>
      </w:r>
      <w:r>
        <w:rPr>
          <w:spacing w:val="-48"/>
        </w:rPr>
        <w:t> </w:t>
      </w:r>
      <w:r>
        <w:rPr>
          <w:rFonts w:ascii="宋体" w:hAnsi="宋体" w:cs="宋体" w:eastAsia="宋体" w:hint="default"/>
          <w:spacing w:val="1"/>
        </w:rPr>
        <w:t>14</w:t>
      </w:r>
      <w:r>
        <w:rPr>
          <w:rFonts w:ascii="宋体" w:hAnsi="宋体" w:cs="宋体" w:eastAsia="宋体" w:hint="default"/>
          <w:spacing w:val="-48"/>
        </w:rPr>
        <w:t> </w:t>
      </w:r>
      <w:r>
        <w:rPr/>
        <w:t>日召开第一届监事会第七次（临时）会议，审议通过了</w:t>
      </w:r>
    </w:p>
    <w:p>
      <w:pPr>
        <w:pStyle w:val="BodyText"/>
        <w:spacing w:line="240" w:lineRule="auto"/>
        <w:ind w:left="1001" w:right="863"/>
        <w:jc w:val="left"/>
      </w:pPr>
      <w:r>
        <w:rPr/>
        <w:t>《关于运用自有闲置资金购买短期银行保本理财产品的议案》。</w:t>
      </w:r>
    </w:p>
    <w:p>
      <w:pPr>
        <w:pStyle w:val="BodyText"/>
        <w:tabs>
          <w:tab w:pos="762" w:val="left" w:leader="none"/>
        </w:tabs>
        <w:spacing w:line="240" w:lineRule="auto"/>
        <w:ind w:left="42" w:right="0"/>
        <w:jc w:val="center"/>
      </w:pPr>
      <w:r>
        <w:rPr>
          <w:rFonts w:ascii="宋体" w:hAnsi="宋体" w:cs="宋体" w:eastAsia="宋体" w:hint="default"/>
          <w:spacing w:val="-1"/>
        </w:rPr>
        <w:t>(</w:t>
      </w:r>
      <w:r>
        <w:rPr>
          <w:spacing w:val="-1"/>
        </w:rPr>
        <w:t>五</w:t>
      </w:r>
      <w:r>
        <w:rPr>
          <w:rFonts w:ascii="宋体" w:hAnsi="宋体" w:cs="宋体" w:eastAsia="宋体" w:hint="default"/>
          <w:spacing w:val="-1"/>
        </w:rPr>
        <w:t>)</w:t>
        <w:tab/>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7</w:t>
      </w:r>
      <w:r>
        <w:rPr>
          <w:rFonts w:ascii="宋体" w:hAnsi="宋体" w:cs="宋体" w:eastAsia="宋体" w:hint="default"/>
          <w:spacing w:val="-48"/>
        </w:rPr>
        <w:t> </w:t>
      </w:r>
      <w:r>
        <w:rPr/>
        <w:t>月</w:t>
      </w:r>
      <w:r>
        <w:rPr>
          <w:spacing w:val="-48"/>
        </w:rPr>
        <w:t> </w:t>
      </w:r>
      <w:r>
        <w:rPr>
          <w:rFonts w:ascii="宋体" w:hAnsi="宋体" w:cs="宋体" w:eastAsia="宋体" w:hint="default"/>
          <w:spacing w:val="1"/>
        </w:rPr>
        <w:t>22</w:t>
      </w:r>
      <w:r>
        <w:rPr>
          <w:rFonts w:ascii="宋体" w:hAnsi="宋体" w:cs="宋体" w:eastAsia="宋体" w:hint="default"/>
          <w:spacing w:val="-48"/>
        </w:rPr>
        <w:t> </w:t>
      </w:r>
      <w:r>
        <w:rPr/>
        <w:t>日召开第一届监事会第八次（临时）会议，审议通过了</w:t>
      </w:r>
    </w:p>
    <w:p>
      <w:pPr>
        <w:pStyle w:val="BodyText"/>
        <w:spacing w:line="357" w:lineRule="auto"/>
        <w:ind w:left="1001" w:right="113"/>
        <w:jc w:val="left"/>
      </w:pPr>
      <w:r>
        <w:rPr>
          <w:spacing w:val="-4"/>
        </w:rPr>
        <w:t>《上海汉得信息技术股份有限公司限制性股票激励计划（草案）修订稿》</w:t>
      </w:r>
      <w:r>
        <w:rPr>
          <w:spacing w:val="-108"/>
        </w:rPr>
        <w:t> </w:t>
      </w:r>
      <w:r>
        <w:rPr>
          <w:spacing w:val="-108"/>
        </w:rPr>
      </w:r>
      <w:r>
        <w:rPr/>
        <w:t>及其摘要、《上海汉得信息技术股份有限公司限制性股票激励计划首期</w:t>
      </w:r>
      <w:r>
        <w:rPr>
          <w:spacing w:val="-115"/>
        </w:rPr>
        <w:t> </w:t>
      </w:r>
      <w:r>
        <w:rPr>
          <w:spacing w:val="-115"/>
        </w:rPr>
      </w:r>
      <w:r>
        <w:rPr/>
        <w:t>激励对象名单（修订）》、《关于豁免第一届监事会第八次（临时）会</w:t>
      </w:r>
      <w:r>
        <w:rPr>
          <w:spacing w:val="-115"/>
        </w:rPr>
        <w:t> </w:t>
      </w:r>
      <w:r>
        <w:rPr>
          <w:spacing w:val="-115"/>
        </w:rPr>
      </w:r>
      <w:r>
        <w:rPr/>
        <w:t>议通知期限的议案》。</w:t>
      </w:r>
    </w:p>
    <w:p>
      <w:pPr>
        <w:spacing w:after="0" w:line="357" w:lineRule="auto"/>
        <w:jc w:val="left"/>
        <w:sectPr>
          <w:pgSz w:w="11910" w:h="16840"/>
          <w:pgMar w:header="884" w:footer="980" w:top="1140" w:bottom="1160" w:left="1660" w:right="1560"/>
        </w:sectPr>
      </w:pPr>
    </w:p>
    <w:p>
      <w:pPr>
        <w:spacing w:line="240" w:lineRule="auto" w:before="6"/>
        <w:rPr>
          <w:rFonts w:ascii="宋体" w:hAnsi="宋体" w:cs="宋体" w:eastAsia="宋体" w:hint="default"/>
          <w:sz w:val="22"/>
          <w:szCs w:val="22"/>
        </w:rPr>
      </w:pPr>
    </w:p>
    <w:p>
      <w:pPr>
        <w:pStyle w:val="BodyText"/>
        <w:tabs>
          <w:tab w:pos="1001" w:val="left" w:leader="none"/>
        </w:tabs>
        <w:spacing w:line="240" w:lineRule="auto" w:before="26"/>
        <w:ind w:left="282" w:right="87"/>
        <w:jc w:val="left"/>
      </w:pPr>
      <w:r>
        <w:rPr>
          <w:rFonts w:ascii="宋体" w:hAnsi="宋体" w:cs="宋体" w:eastAsia="宋体" w:hint="default"/>
          <w:spacing w:val="-1"/>
        </w:rPr>
        <w:t>(</w:t>
      </w:r>
      <w:r>
        <w:rPr>
          <w:spacing w:val="-1"/>
        </w:rPr>
        <w:t>六</w:t>
      </w:r>
      <w:r>
        <w:rPr>
          <w:rFonts w:ascii="宋体" w:hAnsi="宋体" w:cs="宋体" w:eastAsia="宋体" w:hint="default"/>
          <w:spacing w:val="-1"/>
        </w:rPr>
        <w:t>)</w:t>
        <w:tab/>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7</w:t>
      </w:r>
      <w:r>
        <w:rPr>
          <w:rFonts w:ascii="宋体" w:hAnsi="宋体" w:cs="宋体" w:eastAsia="宋体" w:hint="default"/>
          <w:spacing w:val="-48"/>
        </w:rPr>
        <w:t> </w:t>
      </w:r>
      <w:r>
        <w:rPr/>
        <w:t>月</w:t>
      </w:r>
      <w:r>
        <w:rPr>
          <w:spacing w:val="-48"/>
        </w:rPr>
        <w:t> </w:t>
      </w:r>
      <w:r>
        <w:rPr>
          <w:rFonts w:ascii="宋体" w:hAnsi="宋体" w:cs="宋体" w:eastAsia="宋体" w:hint="default"/>
          <w:spacing w:val="1"/>
        </w:rPr>
        <w:t>29</w:t>
      </w:r>
      <w:r>
        <w:rPr>
          <w:rFonts w:ascii="宋体" w:hAnsi="宋体" w:cs="宋体" w:eastAsia="宋体" w:hint="default"/>
          <w:spacing w:val="-48"/>
        </w:rPr>
        <w:t> </w:t>
      </w:r>
      <w:r>
        <w:rPr/>
        <w:t>日召开第一届监事会第九次（临时）会议，审议通过了</w:t>
      </w:r>
    </w:p>
    <w:p>
      <w:pPr>
        <w:pStyle w:val="BodyText"/>
        <w:spacing w:line="240" w:lineRule="auto"/>
        <w:ind w:left="1001" w:right="182"/>
        <w:jc w:val="left"/>
      </w:pPr>
      <w:r>
        <w:rPr/>
        <w:t>《上海汉得信息技术股份有限公司</w:t>
      </w:r>
      <w:r>
        <w:rPr>
          <w:spacing w:val="-60"/>
        </w:rPr>
        <w:t> </w:t>
      </w:r>
      <w:r>
        <w:rPr>
          <w:rFonts w:ascii="宋体" w:hAnsi="宋体" w:cs="宋体" w:eastAsia="宋体" w:hint="default"/>
        </w:rPr>
        <w:t>2011</w:t>
      </w:r>
      <w:r>
        <w:rPr>
          <w:rFonts w:ascii="宋体" w:hAnsi="宋体" w:cs="宋体" w:eastAsia="宋体" w:hint="default"/>
          <w:spacing w:val="-60"/>
        </w:rPr>
        <w:t> </w:t>
      </w:r>
      <w:r>
        <w:rPr/>
        <w:t>年半年度报告》。</w:t>
      </w:r>
    </w:p>
    <w:p>
      <w:pPr>
        <w:pStyle w:val="BodyText"/>
        <w:spacing w:line="357" w:lineRule="auto"/>
        <w:ind w:left="1001" w:right="195" w:hanging="720"/>
        <w:jc w:val="both"/>
      </w:pPr>
      <w:r>
        <w:rPr>
          <w:rFonts w:ascii="宋体" w:hAnsi="宋体" w:cs="宋体" w:eastAsia="宋体" w:hint="default"/>
        </w:rPr>
        <w:t>(</w:t>
      </w:r>
      <w:r>
        <w:rPr/>
        <w:t>七</w:t>
      </w:r>
      <w:r>
        <w:rPr>
          <w:rFonts w:ascii="宋体" w:hAnsi="宋体" w:cs="宋体" w:eastAsia="宋体" w:hint="default"/>
        </w:rPr>
        <w:t>)</w:t>
      </w:r>
      <w:r>
        <w:rPr>
          <w:rFonts w:ascii="宋体" w:hAnsi="宋体" w:cs="宋体" w:eastAsia="宋体" w:hint="default"/>
          <w:spacing w:val="4"/>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8</w:t>
      </w:r>
      <w:r>
        <w:rPr>
          <w:rFonts w:ascii="宋体" w:hAnsi="宋体" w:cs="宋体" w:eastAsia="宋体" w:hint="default"/>
          <w:spacing w:val="-59"/>
        </w:rPr>
        <w:t> </w:t>
      </w:r>
      <w:r>
        <w:rPr/>
        <w:t>月</w:t>
      </w:r>
      <w:r>
        <w:rPr>
          <w:spacing w:val="-59"/>
        </w:rPr>
        <w:t> </w:t>
      </w:r>
      <w:r>
        <w:rPr>
          <w:rFonts w:ascii="宋体" w:hAnsi="宋体" w:cs="宋体" w:eastAsia="宋体" w:hint="default"/>
        </w:rPr>
        <w:t>9</w:t>
      </w:r>
      <w:r>
        <w:rPr>
          <w:rFonts w:ascii="宋体" w:hAnsi="宋体" w:cs="宋体" w:eastAsia="宋体" w:hint="default"/>
          <w:spacing w:val="-59"/>
        </w:rPr>
        <w:t> </w:t>
      </w:r>
      <w:r>
        <w:rPr>
          <w:spacing w:val="-12"/>
        </w:rPr>
        <w:t>日召开第一届监事会第十次（临时）会议，审议通过了《上</w:t>
      </w:r>
      <w:r>
        <w:rPr/>
        <w:t> 海汉得信息技术股份有限公司限制性股票激励计划预留部分激励对象名 单及授予价格的议案》、《上海汉得信息技术股份有限公司关于向激励 对象授予限制性股票的议案》。</w:t>
      </w:r>
    </w:p>
    <w:p>
      <w:pPr>
        <w:pStyle w:val="BodyText"/>
        <w:tabs>
          <w:tab w:pos="1001" w:val="left" w:leader="none"/>
        </w:tabs>
        <w:spacing w:line="240" w:lineRule="auto" w:before="36"/>
        <w:ind w:left="282" w:right="87"/>
        <w:jc w:val="left"/>
      </w:pPr>
      <w:r>
        <w:rPr>
          <w:rFonts w:ascii="宋体" w:hAnsi="宋体" w:cs="宋体" w:eastAsia="宋体" w:hint="default"/>
          <w:spacing w:val="-1"/>
        </w:rPr>
        <w:t>(</w:t>
      </w:r>
      <w:r>
        <w:rPr>
          <w:spacing w:val="-1"/>
        </w:rPr>
        <w:t>八</w:t>
      </w:r>
      <w:r>
        <w:rPr>
          <w:rFonts w:ascii="宋体" w:hAnsi="宋体" w:cs="宋体" w:eastAsia="宋体" w:hint="default"/>
          <w:spacing w:val="-1"/>
        </w:rPr>
        <w:t>)</w:t>
        <w:tab/>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9</w:t>
      </w:r>
      <w:r>
        <w:rPr>
          <w:rFonts w:ascii="宋体" w:hAnsi="宋体" w:cs="宋体" w:eastAsia="宋体" w:hint="default"/>
          <w:spacing w:val="-57"/>
        </w:rPr>
        <w:t> </w:t>
      </w:r>
      <w:r>
        <w:rPr/>
        <w:t>月</w:t>
      </w:r>
      <w:r>
        <w:rPr>
          <w:spacing w:val="-57"/>
        </w:rPr>
        <w:t> </w:t>
      </w:r>
      <w:r>
        <w:rPr>
          <w:rFonts w:ascii="宋体" w:hAnsi="宋体" w:cs="宋体" w:eastAsia="宋体" w:hint="default"/>
        </w:rPr>
        <w:t>6</w:t>
      </w:r>
      <w:r>
        <w:rPr>
          <w:rFonts w:ascii="宋体" w:hAnsi="宋体" w:cs="宋体" w:eastAsia="宋体" w:hint="default"/>
          <w:spacing w:val="-57"/>
        </w:rPr>
        <w:t> </w:t>
      </w:r>
      <w:r>
        <w:rPr>
          <w:spacing w:val="-3"/>
        </w:rPr>
        <w:t>日召开第一届监事会第十一次（临时）会议，审议通过了</w:t>
      </w:r>
    </w:p>
    <w:p>
      <w:pPr>
        <w:pStyle w:val="BodyText"/>
        <w:spacing w:line="240" w:lineRule="auto"/>
        <w:ind w:left="1001" w:right="182"/>
        <w:jc w:val="left"/>
      </w:pPr>
      <w:r>
        <w:rPr/>
        <w:t>《关于公司限制性股票激励计划激励对象人员名单调整的议案》。</w:t>
      </w:r>
    </w:p>
    <w:p>
      <w:pPr>
        <w:pStyle w:val="BodyText"/>
        <w:tabs>
          <w:tab w:pos="1001" w:val="left" w:leader="none"/>
        </w:tabs>
        <w:spacing w:line="240" w:lineRule="auto"/>
        <w:ind w:left="282" w:right="87"/>
        <w:jc w:val="left"/>
      </w:pPr>
      <w:r>
        <w:rPr>
          <w:rFonts w:ascii="宋体" w:hAnsi="宋体" w:cs="宋体" w:eastAsia="宋体" w:hint="default"/>
          <w:spacing w:val="-1"/>
        </w:rPr>
        <w:t>(</w:t>
      </w:r>
      <w:r>
        <w:rPr>
          <w:spacing w:val="-1"/>
        </w:rPr>
        <w:t>九</w:t>
      </w:r>
      <w:r>
        <w:rPr>
          <w:rFonts w:ascii="宋体" w:hAnsi="宋体" w:cs="宋体" w:eastAsia="宋体" w:hint="default"/>
          <w:spacing w:val="-1"/>
        </w:rPr>
        <w:t>)</w:t>
        <w:tab/>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10</w:t>
      </w:r>
      <w:r>
        <w:rPr>
          <w:rFonts w:ascii="宋体" w:hAnsi="宋体" w:cs="宋体" w:eastAsia="宋体" w:hint="default"/>
          <w:spacing w:val="-58"/>
        </w:rPr>
        <w:t> </w:t>
      </w:r>
      <w:r>
        <w:rPr/>
        <w:t>月</w:t>
      </w:r>
      <w:r>
        <w:rPr>
          <w:spacing w:val="-58"/>
        </w:rPr>
        <w:t> </w:t>
      </w:r>
      <w:r>
        <w:rPr>
          <w:rFonts w:ascii="宋体" w:hAnsi="宋体" w:cs="宋体" w:eastAsia="宋体" w:hint="default"/>
        </w:rPr>
        <w:t>21</w:t>
      </w:r>
      <w:r>
        <w:rPr>
          <w:rFonts w:ascii="宋体" w:hAnsi="宋体" w:cs="宋体" w:eastAsia="宋体" w:hint="default"/>
          <w:spacing w:val="-58"/>
        </w:rPr>
        <w:t> </w:t>
      </w:r>
      <w:r>
        <w:rPr>
          <w:spacing w:val="-3"/>
        </w:rPr>
        <w:t>日召开第一届监事会第十二次（临时）会议，审议通过</w:t>
      </w:r>
    </w:p>
    <w:p>
      <w:pPr>
        <w:pStyle w:val="BodyText"/>
        <w:spacing w:line="240" w:lineRule="auto"/>
        <w:ind w:left="982" w:right="784"/>
        <w:jc w:val="center"/>
      </w:pPr>
      <w:r>
        <w:rPr/>
        <w:t>了《上海汉得信息技术股份有限公司</w:t>
      </w:r>
      <w:r>
        <w:rPr>
          <w:spacing w:val="-60"/>
        </w:rPr>
        <w:t> </w:t>
      </w:r>
      <w:r>
        <w:rPr>
          <w:rFonts w:ascii="宋体" w:hAnsi="宋体" w:cs="宋体" w:eastAsia="宋体" w:hint="default"/>
        </w:rPr>
        <w:t>2011</w:t>
      </w:r>
      <w:r>
        <w:rPr>
          <w:rFonts w:ascii="宋体" w:hAnsi="宋体" w:cs="宋体" w:eastAsia="宋体" w:hint="default"/>
          <w:spacing w:val="-60"/>
        </w:rPr>
        <w:t> </w:t>
      </w:r>
      <w:r>
        <w:rPr/>
        <w:t>年度第三季度报告》。</w:t>
      </w:r>
    </w:p>
    <w:p>
      <w:pPr>
        <w:pStyle w:val="BodyText"/>
        <w:spacing w:line="357" w:lineRule="auto"/>
        <w:ind w:left="1001" w:right="195" w:hanging="720"/>
        <w:jc w:val="both"/>
      </w:pPr>
      <w:r>
        <w:rPr>
          <w:rFonts w:ascii="宋体" w:hAnsi="宋体" w:cs="宋体" w:eastAsia="宋体" w:hint="default"/>
        </w:rPr>
        <w:t>(</w:t>
      </w:r>
      <w:r>
        <w:rPr/>
        <w:t>十</w:t>
      </w:r>
      <w:r>
        <w:rPr>
          <w:rFonts w:ascii="宋体" w:hAnsi="宋体" w:cs="宋体" w:eastAsia="宋体" w:hint="default"/>
        </w:rPr>
        <w:t>)</w:t>
      </w:r>
      <w:r>
        <w:rPr>
          <w:rFonts w:ascii="宋体" w:hAnsi="宋体" w:cs="宋体" w:eastAsia="宋体" w:hint="default"/>
          <w:spacing w:val="5"/>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3"/>
        </w:rPr>
        <w:t>日召开第一届监事会第十三次（临时）会议，审议通过</w:t>
      </w:r>
      <w:r>
        <w:rPr/>
        <w:t> 了《关于回购注销部分已不符合激励条件的原激励对象已获授的限制性 股票的议案》。</w:t>
      </w:r>
    </w:p>
    <w:p>
      <w:pPr>
        <w:spacing w:line="357" w:lineRule="auto" w:before="36"/>
        <w:ind w:left="620" w:right="185" w:hanging="480"/>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pacing w:val="-38"/>
          <w:sz w:val="24"/>
          <w:szCs w:val="24"/>
        </w:rPr>
        <w:t> </w:t>
      </w:r>
      <w:r>
        <w:rPr>
          <w:rFonts w:ascii="宋体" w:hAnsi="宋体" w:cs="宋体" w:eastAsia="宋体" w:hint="default"/>
          <w:b/>
          <w:bCs/>
          <w:sz w:val="24"/>
          <w:szCs w:val="24"/>
        </w:rPr>
        <w:t>监事会对报告期内有关事项的独立意见</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报告期内，公司监事会严格按照有关法律、法规及公司章程的规定，对公司</w:t>
      </w:r>
    </w:p>
    <w:p>
      <w:pPr>
        <w:pStyle w:val="BodyText"/>
        <w:spacing w:line="357" w:lineRule="auto" w:before="36"/>
        <w:ind w:right="197"/>
        <w:jc w:val="both"/>
      </w:pPr>
      <w:r>
        <w:rPr>
          <w:spacing w:val="-3"/>
        </w:rPr>
        <w:t>依法运作情况、公司财务情况、关联交易等事项进行了认真监督检查，根据检查</w:t>
      </w:r>
      <w:r>
        <w:rPr>
          <w:spacing w:val="-111"/>
        </w:rPr>
        <w:t> </w:t>
      </w:r>
      <w:r>
        <w:rPr>
          <w:spacing w:val="-111"/>
        </w:rPr>
      </w:r>
      <w:r>
        <w:rPr/>
        <w:t>结果，对报告期内公司有关情况发表如下独立意见：</w:t>
      </w:r>
    </w:p>
    <w:p>
      <w:pPr>
        <w:pStyle w:val="BodyText"/>
        <w:tabs>
          <w:tab w:pos="1001" w:val="left" w:leader="none"/>
        </w:tabs>
        <w:spacing w:line="240" w:lineRule="auto" w:before="36"/>
        <w:ind w:left="282" w:right="182"/>
        <w:jc w:val="left"/>
      </w:pPr>
      <w:r>
        <w:rPr>
          <w:rFonts w:ascii="宋体" w:hAnsi="宋体" w:cs="宋体" w:eastAsia="宋体" w:hint="default"/>
          <w:spacing w:val="-1"/>
        </w:rPr>
        <w:t>(</w:t>
      </w:r>
      <w:r>
        <w:rPr>
          <w:spacing w:val="-1"/>
        </w:rPr>
        <w:t>一</w:t>
      </w:r>
      <w:r>
        <w:rPr>
          <w:rFonts w:ascii="宋体" w:hAnsi="宋体" w:cs="宋体" w:eastAsia="宋体" w:hint="default"/>
          <w:spacing w:val="-1"/>
        </w:rPr>
        <w:t>)</w:t>
        <w:tab/>
      </w:r>
      <w:r>
        <w:rPr/>
        <w:t>公司依法运作情况</w:t>
      </w:r>
    </w:p>
    <w:p>
      <w:pPr>
        <w:pStyle w:val="BodyText"/>
        <w:spacing w:line="352" w:lineRule="auto"/>
        <w:ind w:right="86" w:firstLine="479"/>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t>年，监事会依法列席了公司监事会成立以来所有董事会和股东大会， 对公司的决策程序和公司董事、高级管理人员履行职务情况进行了严格的监督。 </w:t>
      </w:r>
      <w:r>
        <w:rPr>
          <w:spacing w:val="-3"/>
        </w:rPr>
        <w:t>监事会认为：公司董事会决策程序严格遵循《公司法》、《证券法》等法律法规</w:t>
      </w:r>
      <w:r>
        <w:rPr>
          <w:spacing w:val="-108"/>
        </w:rPr>
        <w:t> </w:t>
      </w:r>
      <w:r>
        <w:rPr>
          <w:spacing w:val="-108"/>
        </w:rPr>
      </w:r>
      <w:r>
        <w:rPr>
          <w:spacing w:val="-3"/>
        </w:rPr>
        <w:t>和《公司章程》的规定，建立了较为完善的内部控制制度。公司董事、高级管理</w:t>
      </w:r>
      <w:r>
        <w:rPr>
          <w:spacing w:val="-115"/>
        </w:rPr>
        <w:t> </w:t>
      </w:r>
      <w:r>
        <w:rPr>
          <w:spacing w:val="-115"/>
        </w:rPr>
      </w:r>
      <w:r>
        <w:rPr>
          <w:spacing w:val="-3"/>
        </w:rPr>
        <w:t>人员在执行公司职务时不存在违反法律、法规、《公司章程》或有损于公司和股</w:t>
      </w:r>
      <w:r>
        <w:rPr>
          <w:spacing w:val="-109"/>
        </w:rPr>
        <w:t> </w:t>
      </w:r>
      <w:r>
        <w:rPr>
          <w:spacing w:val="-109"/>
        </w:rPr>
      </w:r>
      <w:r>
        <w:rPr/>
        <w:t>东利益的行为。</w:t>
      </w:r>
    </w:p>
    <w:p>
      <w:pPr>
        <w:pStyle w:val="BodyText"/>
        <w:tabs>
          <w:tab w:pos="1001" w:val="left" w:leader="none"/>
        </w:tabs>
        <w:spacing w:line="357" w:lineRule="auto" w:before="41"/>
        <w:ind w:left="620" w:right="190" w:hanging="339"/>
        <w:jc w:val="left"/>
      </w:pPr>
      <w:r>
        <w:rPr>
          <w:rFonts w:ascii="宋体" w:hAnsi="宋体" w:cs="宋体" w:eastAsia="宋体" w:hint="default"/>
          <w:spacing w:val="-1"/>
        </w:rPr>
        <w:t>(</w:t>
      </w:r>
      <w:r>
        <w:rPr>
          <w:spacing w:val="-1"/>
        </w:rPr>
        <w:t>二</w:t>
      </w:r>
      <w:r>
        <w:rPr>
          <w:rFonts w:ascii="宋体" w:hAnsi="宋体" w:cs="宋体" w:eastAsia="宋体" w:hint="default"/>
          <w:spacing w:val="-1"/>
        </w:rPr>
        <w:t>)</w:t>
        <w:tab/>
      </w:r>
      <w:r>
        <w:rPr/>
        <w:t>公司财务情况 </w:t>
      </w:r>
      <w:r>
        <w:rPr>
          <w:spacing w:val="4"/>
        </w:rPr>
        <w:t>监事会对公司报告期内的财务状况、财务管理和经营成果进行了认真的监</w:t>
      </w:r>
      <w:r>
        <w:rPr/>
      </w:r>
    </w:p>
    <w:p>
      <w:pPr>
        <w:pStyle w:val="BodyText"/>
        <w:spacing w:line="348" w:lineRule="auto" w:before="36"/>
        <w:ind w:right="199"/>
        <w:jc w:val="both"/>
      </w:pPr>
      <w:r>
        <w:rPr>
          <w:spacing w:val="-3"/>
        </w:rPr>
        <w:t>督、检查和审核，公司监事会认为：公司财务制度及内控机制健全、财务运作规</w:t>
      </w:r>
      <w:r>
        <w:rPr>
          <w:spacing w:val="-111"/>
        </w:rPr>
        <w:t> </w:t>
      </w:r>
      <w:r>
        <w:rPr>
          <w:spacing w:val="-111"/>
        </w:rPr>
      </w:r>
      <w:r>
        <w:rPr/>
        <w:t>范、财务状况良好。</w:t>
      </w:r>
      <w:r>
        <w:rPr>
          <w:rFonts w:ascii="Times New Roman" w:hAnsi="Times New Roman" w:cs="Times New Roman" w:eastAsia="Times New Roman" w:hint="default"/>
        </w:rPr>
        <w:t>2011</w:t>
      </w:r>
      <w:r>
        <w:rPr>
          <w:rFonts w:ascii="Times New Roman" w:hAnsi="Times New Roman" w:cs="Times New Roman" w:eastAsia="Times New Roman" w:hint="default"/>
          <w:spacing w:val="16"/>
        </w:rPr>
        <w:t> </w:t>
      </w:r>
      <w:r>
        <w:rPr/>
        <w:t>年度财务报告真实、客观反映了公司的财务状况和经 营成果。</w:t>
      </w:r>
    </w:p>
    <w:p>
      <w:pPr>
        <w:spacing w:after="0" w:line="348" w:lineRule="auto"/>
        <w:jc w:val="both"/>
        <w:sectPr>
          <w:pgSz w:w="11910" w:h="16840"/>
          <w:pgMar w:header="884" w:footer="980" w:top="1140" w:bottom="1160" w:left="1660" w:right="1600"/>
        </w:sectPr>
      </w:pPr>
    </w:p>
    <w:p>
      <w:pPr>
        <w:spacing w:line="240" w:lineRule="auto" w:before="6"/>
        <w:rPr>
          <w:rFonts w:ascii="宋体" w:hAnsi="宋体" w:cs="宋体" w:eastAsia="宋体" w:hint="default"/>
          <w:sz w:val="22"/>
          <w:szCs w:val="22"/>
        </w:rPr>
      </w:pPr>
    </w:p>
    <w:p>
      <w:pPr>
        <w:pStyle w:val="BodyText"/>
        <w:tabs>
          <w:tab w:pos="1001" w:val="left" w:leader="none"/>
        </w:tabs>
        <w:spacing w:line="240" w:lineRule="auto" w:before="26"/>
        <w:ind w:left="282" w:right="0"/>
        <w:jc w:val="left"/>
      </w:pPr>
      <w:r>
        <w:rPr>
          <w:rFonts w:ascii="宋体" w:hAnsi="宋体" w:cs="宋体" w:eastAsia="宋体" w:hint="default"/>
          <w:spacing w:val="-1"/>
        </w:rPr>
        <w:t>(</w:t>
      </w:r>
      <w:r>
        <w:rPr>
          <w:spacing w:val="-1"/>
        </w:rPr>
        <w:t>三</w:t>
      </w:r>
      <w:r>
        <w:rPr>
          <w:rFonts w:ascii="宋体" w:hAnsi="宋体" w:cs="宋体" w:eastAsia="宋体" w:hint="default"/>
          <w:spacing w:val="-1"/>
        </w:rPr>
        <w:t>)</w:t>
        <w:tab/>
      </w:r>
      <w:r>
        <w:rPr/>
        <w:t>公司关联交易情况</w:t>
      </w:r>
    </w:p>
    <w:p>
      <w:pPr>
        <w:pStyle w:val="BodyText"/>
        <w:spacing w:line="338" w:lineRule="auto"/>
        <w:ind w:right="140" w:firstLine="479"/>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20"/>
        </w:rPr>
        <w:t> </w:t>
      </w:r>
      <w:r>
        <w:rPr/>
        <w:t>年度公司未发生重大关联交易行为，不存在任何内部交易，不存在损 害公司和所有股东利益的行为。</w:t>
      </w:r>
    </w:p>
    <w:p>
      <w:pPr>
        <w:pStyle w:val="BodyText"/>
        <w:tabs>
          <w:tab w:pos="1001" w:val="left" w:leader="none"/>
        </w:tabs>
        <w:spacing w:line="357" w:lineRule="auto" w:before="55"/>
        <w:ind w:left="620" w:right="141" w:hanging="339"/>
        <w:jc w:val="left"/>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公司募集资金投入项目情况 </w:t>
      </w:r>
      <w:r>
        <w:rPr>
          <w:spacing w:val="-3"/>
        </w:rPr>
        <w:t>监事会检查了报告期内公司募集资金的使用与管理情况，监事会认为：公司</w:t>
      </w:r>
    </w:p>
    <w:p>
      <w:pPr>
        <w:pStyle w:val="BodyText"/>
        <w:spacing w:line="357" w:lineRule="auto" w:before="36"/>
        <w:ind w:right="137"/>
        <w:jc w:val="both"/>
      </w:pPr>
      <w:r>
        <w:rPr>
          <w:spacing w:val="-3"/>
        </w:rPr>
        <w:t>严格按照《深圳证券交易所创业板股票上市规则》、《深圳证券交易所创业板上</w:t>
      </w:r>
      <w:r>
        <w:rPr>
          <w:spacing w:val="-109"/>
        </w:rPr>
        <w:t> </w:t>
      </w:r>
      <w:r>
        <w:rPr>
          <w:spacing w:val="-109"/>
        </w:rPr>
      </w:r>
      <w:r>
        <w:rPr>
          <w:spacing w:val="-3"/>
        </w:rPr>
        <w:t>市公司规范运作指引》、《公司章程》、《募集资金使用管理办法》对募集资金</w:t>
      </w:r>
      <w:r>
        <w:rPr>
          <w:spacing w:val="-113"/>
        </w:rPr>
        <w:t> </w:t>
      </w:r>
      <w:r>
        <w:rPr>
          <w:spacing w:val="-113"/>
        </w:rPr>
      </w:r>
      <w:r>
        <w:rPr>
          <w:spacing w:val="-3"/>
        </w:rPr>
        <w:t>进行使用和管理，公司募集资金实际投入项目与承诺投入项目一致，不存在违规</w:t>
      </w:r>
      <w:r>
        <w:rPr>
          <w:spacing w:val="-111"/>
        </w:rPr>
        <w:t> </w:t>
      </w:r>
      <w:r>
        <w:rPr>
          <w:spacing w:val="-111"/>
        </w:rPr>
      </w:r>
      <w:r>
        <w:rPr/>
        <w:t>使用募集资金的行为，没有变更投向和用途。</w:t>
      </w:r>
    </w:p>
    <w:p>
      <w:pPr>
        <w:pStyle w:val="BodyText"/>
        <w:tabs>
          <w:tab w:pos="1001" w:val="left" w:leader="none"/>
        </w:tabs>
        <w:spacing w:line="240" w:lineRule="auto" w:before="37"/>
        <w:ind w:left="282" w:right="0"/>
        <w:jc w:val="left"/>
      </w:pPr>
      <w:r>
        <w:rPr>
          <w:rFonts w:ascii="宋体" w:hAnsi="宋体" w:cs="宋体" w:eastAsia="宋体" w:hint="default"/>
          <w:spacing w:val="-1"/>
        </w:rPr>
        <w:t>(</w:t>
      </w:r>
      <w:r>
        <w:rPr>
          <w:spacing w:val="-1"/>
        </w:rPr>
        <w:t>五</w:t>
      </w:r>
      <w:r>
        <w:rPr>
          <w:rFonts w:ascii="宋体" w:hAnsi="宋体" w:cs="宋体" w:eastAsia="宋体" w:hint="default"/>
          <w:spacing w:val="-1"/>
        </w:rPr>
        <w:t>)</w:t>
        <w:tab/>
      </w:r>
      <w:r>
        <w:rPr/>
        <w:t>公司对外担保及股权、资产置换情况</w:t>
      </w:r>
    </w:p>
    <w:p>
      <w:pPr>
        <w:pStyle w:val="BodyText"/>
        <w:spacing w:line="338" w:lineRule="auto"/>
        <w:ind w:right="140" w:firstLine="479"/>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20"/>
        </w:rPr>
        <w:t> </w:t>
      </w:r>
      <w:r>
        <w:rPr/>
        <w:t>年度公司未发生对外担保，未发生债务重组、非货币性交易事项及资 产置换，也未发生其他损害公司股东利益或造成公司资产流失的情况。</w:t>
      </w:r>
    </w:p>
    <w:p>
      <w:pPr>
        <w:pStyle w:val="BodyText"/>
        <w:tabs>
          <w:tab w:pos="1001" w:val="left" w:leader="none"/>
        </w:tabs>
        <w:spacing w:line="240" w:lineRule="auto" w:before="55"/>
        <w:ind w:left="282" w:right="0"/>
        <w:jc w:val="left"/>
      </w:pPr>
      <w:r>
        <w:rPr>
          <w:rFonts w:ascii="宋体" w:hAnsi="宋体" w:cs="宋体" w:eastAsia="宋体" w:hint="default"/>
          <w:spacing w:val="-1"/>
        </w:rPr>
        <w:t>(</w:t>
      </w:r>
      <w:r>
        <w:rPr>
          <w:spacing w:val="-1"/>
        </w:rPr>
        <w:t>六</w:t>
      </w:r>
      <w:r>
        <w:rPr>
          <w:rFonts w:ascii="宋体" w:hAnsi="宋体" w:cs="宋体" w:eastAsia="宋体" w:hint="default"/>
          <w:spacing w:val="-1"/>
        </w:rPr>
        <w:t>)</w:t>
        <w:tab/>
      </w:r>
      <w:r>
        <w:rPr/>
        <w:t>公司收购、出售资产情况</w:t>
      </w:r>
    </w:p>
    <w:p>
      <w:pPr>
        <w:pStyle w:val="BodyText"/>
        <w:tabs>
          <w:tab w:pos="1001" w:val="left" w:leader="none"/>
        </w:tabs>
        <w:spacing w:line="338" w:lineRule="auto"/>
        <w:ind w:left="282" w:right="3345" w:firstLine="338"/>
        <w:jc w:val="left"/>
      </w:pPr>
      <w:r>
        <w:rPr>
          <w:rFonts w:ascii="Times New Roman" w:hAnsi="Times New Roman" w:cs="Times New Roman" w:eastAsia="Times New Roman" w:hint="default"/>
        </w:rPr>
        <w:t>2011 </w:t>
      </w:r>
      <w:r>
        <w:rPr/>
        <w:t>年度公司未发生收购、出售资产情况。 </w:t>
      </w:r>
      <w:r>
        <w:rPr>
          <w:rFonts w:ascii="宋体" w:hAnsi="宋体" w:cs="宋体" w:eastAsia="宋体" w:hint="default"/>
          <w:spacing w:val="-1"/>
        </w:rPr>
        <w:t>(</w:t>
      </w:r>
      <w:r>
        <w:rPr>
          <w:spacing w:val="-1"/>
        </w:rPr>
        <w:t>七</w:t>
      </w:r>
      <w:r>
        <w:rPr>
          <w:rFonts w:ascii="宋体" w:hAnsi="宋体" w:cs="宋体" w:eastAsia="宋体" w:hint="default"/>
          <w:spacing w:val="-1"/>
        </w:rPr>
        <w:t>)</w:t>
        <w:tab/>
      </w:r>
      <w:r>
        <w:rPr/>
        <w:t>对内部控制自我评价报告的意见</w:t>
      </w:r>
    </w:p>
    <w:p>
      <w:pPr>
        <w:pStyle w:val="BodyText"/>
        <w:spacing w:line="357" w:lineRule="auto" w:before="55"/>
        <w:ind w:right="136" w:firstLine="479"/>
        <w:jc w:val="both"/>
      </w:pPr>
      <w:r>
        <w:rPr>
          <w:spacing w:val="-3"/>
        </w:rPr>
        <w:t>监事会认为：公司现已建立了较完善的内部控制体系，符合国家相关法律法</w:t>
      </w:r>
      <w:r>
        <w:rPr/>
        <w:t> </w:t>
      </w:r>
      <w:r>
        <w:rPr>
          <w:spacing w:val="-3"/>
        </w:rPr>
        <w:t>规要求以及公司生产经营管理实际需要，并能得到有效执行，内部控制体系的建</w:t>
      </w:r>
      <w:r>
        <w:rPr>
          <w:spacing w:val="-111"/>
        </w:rPr>
        <w:t> </w:t>
      </w:r>
      <w:r>
        <w:rPr>
          <w:spacing w:val="-111"/>
        </w:rPr>
      </w:r>
      <w:r>
        <w:rPr>
          <w:spacing w:val="-3"/>
        </w:rPr>
        <w:t>立对公司生产经营管理的各环节，起到了较好的风险防范和控制作用，保证了公</w:t>
      </w:r>
      <w:r>
        <w:rPr>
          <w:spacing w:val="-111"/>
        </w:rPr>
        <w:t> </w:t>
      </w:r>
      <w:r>
        <w:rPr>
          <w:spacing w:val="-111"/>
        </w:rPr>
      </w:r>
      <w:r>
        <w:rPr>
          <w:spacing w:val="-3"/>
        </w:rPr>
        <w:t>司各项业务活动的有序有效开展，保护了公司资产的安全完整，维护了公司及股</w:t>
      </w:r>
      <w:r>
        <w:rPr>
          <w:spacing w:val="-111"/>
        </w:rPr>
        <w:t> </w:t>
      </w:r>
      <w:r>
        <w:rPr>
          <w:spacing w:val="-111"/>
        </w:rPr>
      </w:r>
      <w:r>
        <w:rPr/>
        <w:t>东的利益。董事会《上海汉得信息技术股份有限公司 </w:t>
      </w:r>
      <w:r>
        <w:rPr>
          <w:rFonts w:ascii="宋体" w:hAnsi="宋体" w:cs="宋体" w:eastAsia="宋体" w:hint="default"/>
        </w:rPr>
        <w:t>2011</w:t>
      </w:r>
      <w:r>
        <w:rPr>
          <w:rFonts w:ascii="宋体" w:hAnsi="宋体" w:cs="宋体" w:eastAsia="宋体" w:hint="default"/>
          <w:spacing w:val="-95"/>
        </w:rPr>
        <w:t> </w:t>
      </w:r>
      <w:r>
        <w:rPr/>
        <w:t>年度内部控制自我评 价报告》真实客观地反映了公司内部控制制度的建设及运行情况。</w:t>
      </w:r>
    </w:p>
    <w:p>
      <w:pPr>
        <w:pStyle w:val="BodyText"/>
        <w:spacing w:line="357" w:lineRule="auto" w:before="36"/>
        <w:ind w:right="137" w:firstLine="479"/>
        <w:jc w:val="both"/>
      </w:pPr>
      <w:r>
        <w:rPr>
          <w:spacing w:val="-3"/>
        </w:rPr>
        <w:t>本届监事会将继续严格按照《公司法》、《公司章程》和国家有关法规政策</w:t>
      </w:r>
      <w:r>
        <w:rPr/>
        <w:t> 的规定，忠实履行自己的职责，进一步促进公司的规范运作。</w:t>
      </w:r>
    </w:p>
    <w:p>
      <w:pPr>
        <w:spacing w:after="0" w:line="357" w:lineRule="auto"/>
        <w:jc w:val="both"/>
        <w:sectPr>
          <w:pgSz w:w="11910" w:h="16840"/>
          <w:pgMar w:header="884" w:footer="980" w:top="1140" w:bottom="1160" w:left="1660" w:right="16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1"/>
        <w:spacing w:line="460" w:lineRule="exact"/>
        <w:ind w:left="723" w:right="784"/>
        <w:jc w:val="center"/>
        <w:rPr>
          <w:b w:val="0"/>
          <w:bCs w:val="0"/>
        </w:rPr>
      </w:pPr>
      <w:bookmarkStart w:name="_bookmark8" w:id="9"/>
      <w:bookmarkEnd w:id="9"/>
      <w:r>
        <w:rPr>
          <w:b w:val="0"/>
          <w:bCs w:val="0"/>
        </w:rPr>
      </w:r>
      <w:r>
        <w:rPr/>
        <w:t>第九节</w:t>
      </w:r>
      <w:r>
        <w:rPr>
          <w:spacing w:val="-3"/>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4" w:footer="980" w:top="1140" w:bottom="1160" w:left="1660" w:right="1600"/>
        </w:sectPr>
      </w:pPr>
    </w:p>
    <w:p>
      <w:pPr>
        <w:spacing w:line="460" w:lineRule="exact" w:before="0"/>
        <w:ind w:left="3299" w:right="-20" w:firstLine="0"/>
        <w:jc w:val="left"/>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3"/>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4"/>
        <w:rPr>
          <w:rFonts w:ascii="宋体" w:hAnsi="宋体" w:cs="宋体" w:eastAsia="宋体" w:hint="default"/>
          <w:b/>
          <w:bCs/>
          <w:sz w:val="22"/>
          <w:szCs w:val="22"/>
        </w:rPr>
      </w:pPr>
    </w:p>
    <w:p>
      <w:pPr>
        <w:spacing w:before="0"/>
        <w:ind w:left="363" w:right="0" w:firstLine="0"/>
        <w:jc w:val="left"/>
        <w:rPr>
          <w:rFonts w:ascii="宋体" w:hAnsi="宋体" w:cs="宋体" w:eastAsia="宋体" w:hint="default"/>
          <w:sz w:val="21"/>
          <w:szCs w:val="21"/>
        </w:rPr>
      </w:pPr>
      <w:r>
        <w:rPr>
          <w:rFonts w:ascii="宋体" w:hAnsi="宋体" w:cs="宋体" w:eastAsia="宋体" w:hint="default"/>
          <w:sz w:val="21"/>
          <w:szCs w:val="21"/>
        </w:rPr>
        <w:t>信会师报字</w:t>
      </w:r>
      <w:r>
        <w:rPr>
          <w:rFonts w:ascii="Times New Roman" w:hAnsi="Times New Roman" w:cs="Times New Roman" w:eastAsia="Times New Roman" w:hint="default"/>
          <w:sz w:val="21"/>
          <w:szCs w:val="21"/>
        </w:rPr>
        <w:t>[2012]</w:t>
      </w:r>
      <w:r>
        <w:rPr>
          <w:rFonts w:ascii="宋体" w:hAnsi="宋体" w:cs="宋体" w:eastAsia="宋体" w:hint="default"/>
          <w:sz w:val="21"/>
          <w:szCs w:val="21"/>
        </w:rPr>
        <w:t>第</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112309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p>
      <w:pPr>
        <w:spacing w:after="0"/>
        <w:jc w:val="left"/>
        <w:rPr>
          <w:rFonts w:ascii="宋体" w:hAnsi="宋体" w:cs="宋体" w:eastAsia="宋体" w:hint="default"/>
          <w:sz w:val="21"/>
          <w:szCs w:val="21"/>
        </w:rPr>
        <w:sectPr>
          <w:type w:val="continuous"/>
          <w:pgSz w:w="11910" w:h="16840"/>
          <w:pgMar w:top="1080" w:bottom="280" w:left="1660" w:right="1600"/>
          <w:cols w:num="2" w:equalWidth="0">
            <w:col w:w="5287" w:space="40"/>
            <w:col w:w="3323"/>
          </w:cols>
        </w:sectPr>
      </w:pPr>
    </w:p>
    <w:p>
      <w:pPr>
        <w:spacing w:line="240" w:lineRule="auto" w:before="1"/>
        <w:rPr>
          <w:rFonts w:ascii="宋体" w:hAnsi="宋体" w:cs="宋体" w:eastAsia="宋体" w:hint="default"/>
          <w:sz w:val="23"/>
          <w:szCs w:val="23"/>
        </w:rPr>
      </w:pPr>
    </w:p>
    <w:p>
      <w:pPr>
        <w:pStyle w:val="Heading3"/>
        <w:spacing w:line="240" w:lineRule="auto" w:before="14"/>
        <w:ind w:right="182"/>
        <w:jc w:val="left"/>
        <w:rPr>
          <w:b w:val="0"/>
          <w:bCs w:val="0"/>
        </w:rPr>
      </w:pPr>
      <w:r>
        <w:rPr/>
        <w:t>上海汉得信息技术股份有限公司全体股东：</w:t>
      </w:r>
      <w:r>
        <w:rPr>
          <w:b w:val="0"/>
          <w:bCs w:val="0"/>
        </w:rPr>
      </w:r>
    </w:p>
    <w:p>
      <w:pPr>
        <w:spacing w:line="240" w:lineRule="auto" w:before="5"/>
        <w:rPr>
          <w:rFonts w:ascii="宋体" w:hAnsi="宋体" w:cs="宋体" w:eastAsia="宋体" w:hint="default"/>
          <w:b/>
          <w:bCs/>
          <w:sz w:val="30"/>
          <w:szCs w:val="30"/>
        </w:rPr>
      </w:pPr>
    </w:p>
    <w:p>
      <w:pPr>
        <w:pStyle w:val="Heading4"/>
        <w:spacing w:line="237" w:lineRule="auto"/>
        <w:ind w:right="196" w:firstLine="559"/>
        <w:jc w:val="both"/>
      </w:pPr>
      <w:r>
        <w:rPr>
          <w:spacing w:val="-5"/>
        </w:rPr>
        <w:t>我们审计了后附的上海汉得信息技术股份有限公司（以下简称贵</w:t>
      </w:r>
      <w:r>
        <w:rPr>
          <w:w w:val="100"/>
        </w:rPr>
        <w:t> </w:t>
      </w:r>
      <w:r>
        <w:rPr/>
        <w:t>公司）财务报表，包括</w:t>
      </w:r>
      <w:r>
        <w:rPr>
          <w:spacing w:val="-60"/>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64"/>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日的资产负债表和合并资产</w:t>
      </w:r>
      <w:r>
        <w:rPr>
          <w:w w:val="100"/>
        </w:rPr>
        <w:t> </w:t>
      </w:r>
      <w:r>
        <w:rPr/>
        <w:t>负债表、</w:t>
      </w:r>
      <w:r>
        <w:rPr>
          <w:rFonts w:ascii="Times New Roman" w:hAnsi="Times New Roman" w:cs="Times New Roman" w:eastAsia="Times New Roman" w:hint="default"/>
        </w:rPr>
        <w:t>2011 </w:t>
      </w:r>
      <w:r>
        <w:rPr/>
        <w:t>年度的利润表和合并利润表、</w:t>
      </w:r>
      <w:r>
        <w:rPr>
          <w:rFonts w:ascii="Times New Roman" w:hAnsi="Times New Roman" w:cs="Times New Roman" w:eastAsia="Times New Roman" w:hint="default"/>
        </w:rPr>
        <w:t>2011</w:t>
      </w:r>
      <w:r>
        <w:rPr>
          <w:rFonts w:ascii="Times New Roman" w:hAnsi="Times New Roman" w:cs="Times New Roman" w:eastAsia="Times New Roman" w:hint="default"/>
          <w:spacing w:val="39"/>
        </w:rPr>
        <w:t> </w:t>
      </w:r>
      <w:r>
        <w:rPr/>
        <w:t>年度的现金流量表</w:t>
      </w:r>
      <w:r>
        <w:rPr>
          <w:w w:val="100"/>
        </w:rPr>
        <w:t> </w:t>
      </w:r>
      <w:r>
        <w:rPr/>
        <w:t>和合并现金流量表、</w:t>
      </w:r>
      <w:r>
        <w:rPr>
          <w:rFonts w:ascii="Times New Roman" w:hAnsi="Times New Roman" w:cs="Times New Roman" w:eastAsia="Times New Roman" w:hint="default"/>
        </w:rPr>
        <w:t>2011</w:t>
      </w:r>
      <w:r>
        <w:rPr>
          <w:rFonts w:ascii="Times New Roman" w:hAnsi="Times New Roman" w:cs="Times New Roman" w:eastAsia="Times New Roman" w:hint="default"/>
          <w:spacing w:val="37"/>
        </w:rPr>
        <w:t> </w:t>
      </w:r>
      <w:r>
        <w:rPr/>
        <w:t>年度的所有者权益变动表和合并所有者权</w:t>
      </w:r>
      <w:r>
        <w:rPr>
          <w:spacing w:val="-137"/>
        </w:rPr>
        <w:t> </w:t>
      </w:r>
      <w:r>
        <w:rPr>
          <w:spacing w:val="-137"/>
        </w:rPr>
      </w:r>
      <w:r>
        <w:rPr/>
        <w:t>益变动表以及财务报表附注。</w:t>
      </w:r>
    </w:p>
    <w:p>
      <w:pPr>
        <w:spacing w:line="888" w:lineRule="exact" w:before="126"/>
        <w:ind w:left="699" w:right="182" w:firstLine="7"/>
        <w:jc w:val="left"/>
        <w:rPr>
          <w:rFonts w:ascii="宋体" w:hAnsi="宋体" w:cs="宋体" w:eastAsia="宋体" w:hint="default"/>
          <w:sz w:val="28"/>
          <w:szCs w:val="28"/>
        </w:rPr>
      </w:pPr>
      <w:r>
        <w:rPr>
          <w:rFonts w:ascii="宋体" w:hAnsi="宋体" w:cs="宋体" w:eastAsia="宋体" w:hint="default"/>
          <w:b/>
          <w:bCs/>
          <w:sz w:val="28"/>
          <w:szCs w:val="28"/>
        </w:rPr>
        <w:t>一、管理层对财务报表的责任</w:t>
      </w:r>
      <w:r>
        <w:rPr>
          <w:rFonts w:ascii="宋体" w:hAnsi="宋体" w:cs="宋体" w:eastAsia="宋体" w:hint="default"/>
          <w:b/>
          <w:bCs/>
          <w:w w:val="99"/>
          <w:sz w:val="28"/>
          <w:szCs w:val="28"/>
        </w:rPr>
        <w:t> </w:t>
      </w:r>
      <w:r>
        <w:rPr>
          <w:rFonts w:ascii="宋体" w:hAnsi="宋体" w:cs="宋体" w:eastAsia="宋体" w:hint="default"/>
          <w:spacing w:val="4"/>
          <w:sz w:val="28"/>
          <w:szCs w:val="28"/>
        </w:rPr>
        <w:t>编制和公允列报财务报表是贵公司管理层的责任。这种责任包</w:t>
      </w:r>
    </w:p>
    <w:p>
      <w:pPr>
        <w:pStyle w:val="Heading4"/>
        <w:spacing w:line="259" w:lineRule="exact"/>
        <w:ind w:right="87"/>
        <w:jc w:val="left"/>
      </w:pPr>
      <w:r>
        <w:rPr>
          <w:w w:val="100"/>
        </w:rPr>
        <w:t>括</w:t>
      </w:r>
      <w:r>
        <w:rPr>
          <w:spacing w:val="-171"/>
          <w:w w:val="100"/>
        </w:rPr>
        <w:t>：</w:t>
      </w:r>
      <w:r>
        <w:rPr>
          <w:spacing w:val="-3"/>
          <w:w w:val="100"/>
        </w:rPr>
        <w:t>（</w:t>
      </w:r>
      <w:r>
        <w:rPr>
          <w:rFonts w:ascii="Times New Roman" w:hAnsi="Times New Roman" w:cs="Times New Roman" w:eastAsia="Times New Roman" w:hint="default"/>
          <w:spacing w:val="1"/>
          <w:w w:val="100"/>
        </w:rPr>
        <w:t>1</w:t>
      </w:r>
      <w:r>
        <w:rPr>
          <w:spacing w:val="-34"/>
          <w:w w:val="100"/>
        </w:rPr>
        <w:t>）</w:t>
      </w:r>
      <w:r>
        <w:rPr>
          <w:w w:val="100"/>
        </w:rPr>
        <w:t>按照</w:t>
      </w:r>
      <w:r>
        <w:rPr>
          <w:spacing w:val="-3"/>
          <w:w w:val="100"/>
        </w:rPr>
        <w:t>企业</w:t>
      </w:r>
      <w:r>
        <w:rPr>
          <w:w w:val="100"/>
        </w:rPr>
        <w:t>会计准</w:t>
      </w:r>
      <w:r>
        <w:rPr>
          <w:spacing w:val="-3"/>
          <w:w w:val="100"/>
        </w:rPr>
        <w:t>则</w:t>
      </w:r>
      <w:r>
        <w:rPr>
          <w:w w:val="100"/>
        </w:rPr>
        <w:t>的规</w:t>
      </w:r>
      <w:r>
        <w:rPr>
          <w:spacing w:val="-3"/>
          <w:w w:val="100"/>
        </w:rPr>
        <w:t>定编</w:t>
      </w:r>
      <w:r>
        <w:rPr>
          <w:w w:val="100"/>
        </w:rPr>
        <w:t>制财务</w:t>
      </w:r>
      <w:r>
        <w:rPr>
          <w:spacing w:val="-3"/>
          <w:w w:val="100"/>
        </w:rPr>
        <w:t>报</w:t>
      </w:r>
      <w:r>
        <w:rPr>
          <w:w w:val="100"/>
        </w:rPr>
        <w:t>表</w:t>
      </w:r>
      <w:r>
        <w:rPr>
          <w:spacing w:val="-32"/>
          <w:w w:val="100"/>
        </w:rPr>
        <w:t>，</w:t>
      </w:r>
      <w:r>
        <w:rPr>
          <w:spacing w:val="-3"/>
          <w:w w:val="100"/>
        </w:rPr>
        <w:t>并使</w:t>
      </w:r>
      <w:r>
        <w:rPr>
          <w:w w:val="100"/>
        </w:rPr>
        <w:t>其实现</w:t>
      </w:r>
      <w:r>
        <w:rPr>
          <w:spacing w:val="-3"/>
          <w:w w:val="100"/>
        </w:rPr>
        <w:t>公</w:t>
      </w:r>
      <w:r>
        <w:rPr>
          <w:w w:val="100"/>
        </w:rPr>
        <w:t>允反</w:t>
      </w:r>
    </w:p>
    <w:p>
      <w:pPr>
        <w:pStyle w:val="Heading4"/>
        <w:spacing w:line="380" w:lineRule="exact" w:before="20"/>
        <w:ind w:right="182"/>
        <w:jc w:val="left"/>
      </w:pPr>
      <w:r>
        <w:rPr>
          <w:spacing w:val="-9"/>
          <w:w w:val="100"/>
        </w:rPr>
        <w:t>映；（</w:t>
      </w:r>
      <w:r>
        <w:rPr>
          <w:rFonts w:ascii="Times New Roman" w:hAnsi="Times New Roman" w:cs="Times New Roman" w:eastAsia="Times New Roman" w:hint="default"/>
          <w:spacing w:val="-9"/>
          <w:w w:val="100"/>
        </w:rPr>
        <w:t>2</w:t>
      </w:r>
      <w:r>
        <w:rPr>
          <w:spacing w:val="-9"/>
          <w:w w:val="100"/>
        </w:rPr>
        <w:t>）设计、执行和维护必要的内部控制，以使财务报表不存在由</w:t>
      </w:r>
      <w:r>
        <w:rPr>
          <w:spacing w:val="-123"/>
          <w:w w:val="100"/>
        </w:rPr>
        <w:t> </w:t>
      </w:r>
      <w:r>
        <w:rPr>
          <w:spacing w:val="-123"/>
          <w:w w:val="100"/>
        </w:rPr>
      </w:r>
      <w:r>
        <w:rPr/>
        <w:t>于舞弊或错误导致的重大错报。</w:t>
      </w:r>
    </w:p>
    <w:p>
      <w:pPr>
        <w:spacing w:line="888" w:lineRule="exact" w:before="90"/>
        <w:ind w:left="699" w:right="182" w:firstLine="7"/>
        <w:jc w:val="left"/>
        <w:rPr>
          <w:rFonts w:ascii="宋体" w:hAnsi="宋体" w:cs="宋体" w:eastAsia="宋体" w:hint="default"/>
          <w:sz w:val="28"/>
          <w:szCs w:val="28"/>
        </w:rPr>
      </w:pPr>
      <w:r>
        <w:rPr>
          <w:rFonts w:ascii="宋体" w:hAnsi="宋体" w:cs="宋体" w:eastAsia="宋体" w:hint="default"/>
          <w:b/>
          <w:bCs/>
          <w:sz w:val="28"/>
          <w:szCs w:val="28"/>
        </w:rPr>
        <w:t>二、注册会计师的责任</w:t>
      </w:r>
      <w:r>
        <w:rPr>
          <w:rFonts w:ascii="宋体" w:hAnsi="宋体" w:cs="宋体" w:eastAsia="宋体" w:hint="default"/>
          <w:b/>
          <w:bCs/>
          <w:w w:val="99"/>
          <w:sz w:val="28"/>
          <w:szCs w:val="28"/>
        </w:rPr>
        <w:t> </w:t>
      </w:r>
      <w:r>
        <w:rPr>
          <w:rFonts w:ascii="宋体" w:hAnsi="宋体" w:cs="宋体" w:eastAsia="宋体" w:hint="default"/>
          <w:spacing w:val="4"/>
          <w:sz w:val="28"/>
          <w:szCs w:val="28"/>
        </w:rPr>
        <w:t>我们的责任是在执行审计工作的基础上对财务报表发表审计意</w:t>
      </w:r>
    </w:p>
    <w:p>
      <w:pPr>
        <w:pStyle w:val="Heading4"/>
        <w:spacing w:line="241" w:lineRule="exact"/>
        <w:ind w:right="182"/>
        <w:jc w:val="left"/>
      </w:pPr>
      <w:r>
        <w:rPr>
          <w:spacing w:val="-5"/>
        </w:rPr>
        <w:t>见。我们按照中国注册会计师审计准则的规定执行了审计工作。中国</w:t>
      </w:r>
    </w:p>
    <w:p>
      <w:pPr>
        <w:pStyle w:val="Heading4"/>
        <w:spacing w:line="247" w:lineRule="auto" w:before="15"/>
        <w:ind w:right="87"/>
        <w:jc w:val="left"/>
      </w:pPr>
      <w:r>
        <w:rPr>
          <w:spacing w:val="-5"/>
        </w:rPr>
        <w:t>注册会计师审计准则要求我们遵守中国注册会计师职业道德守则，计</w:t>
      </w:r>
      <w:r>
        <w:rPr>
          <w:spacing w:val="-90"/>
        </w:rPr>
        <w:t> </w:t>
      </w:r>
      <w:r>
        <w:rPr>
          <w:spacing w:val="-90"/>
        </w:rPr>
      </w:r>
      <w:r>
        <w:rPr>
          <w:spacing w:val="-1"/>
        </w:rPr>
        <w:t>划和执行审计工作以对财务报表是否不存在重大错报获取合理保证。</w:t>
      </w:r>
    </w:p>
    <w:p>
      <w:pPr>
        <w:spacing w:line="240" w:lineRule="auto" w:before="7"/>
        <w:rPr>
          <w:rFonts w:ascii="宋体" w:hAnsi="宋体" w:cs="宋体" w:eastAsia="宋体" w:hint="default"/>
          <w:sz w:val="29"/>
          <w:szCs w:val="29"/>
        </w:rPr>
      </w:pPr>
    </w:p>
    <w:p>
      <w:pPr>
        <w:pStyle w:val="Heading4"/>
        <w:spacing w:line="249" w:lineRule="auto"/>
        <w:ind w:right="87" w:firstLine="559"/>
        <w:jc w:val="left"/>
      </w:pPr>
      <w:r>
        <w:rPr>
          <w:spacing w:val="-5"/>
        </w:rPr>
        <w:t>审计工作涉及实施审计程序，以获取有关财务报表金额和披露的</w:t>
      </w:r>
      <w:r>
        <w:rPr>
          <w:w w:val="100"/>
        </w:rPr>
        <w:t> </w:t>
      </w:r>
      <w:r>
        <w:rPr>
          <w:spacing w:val="-4"/>
        </w:rPr>
        <w:t>审计证据。选择的审计程序取决于注册会计师的判断，包括对由于舞</w:t>
      </w:r>
      <w:r>
        <w:rPr>
          <w:spacing w:val="-116"/>
        </w:rPr>
        <w:t> </w:t>
      </w:r>
      <w:r>
        <w:rPr>
          <w:spacing w:val="-116"/>
        </w:rPr>
      </w:r>
      <w:r>
        <w:rPr>
          <w:spacing w:val="-1"/>
        </w:rPr>
        <w:t>弊或错误导致的财务报表重大错报风险的评估。在进行风险评估时，</w:t>
      </w:r>
      <w:r>
        <w:rPr>
          <w:spacing w:val="-116"/>
        </w:rPr>
        <w:t> </w:t>
      </w:r>
      <w:r>
        <w:rPr>
          <w:spacing w:val="-116"/>
        </w:rPr>
      </w:r>
      <w:r>
        <w:rPr>
          <w:spacing w:val="-5"/>
        </w:rPr>
        <w:t>注册会计师考虑与财务报表编制和公允列报相关的内部控制，以设计</w:t>
      </w:r>
      <w:r>
        <w:rPr>
          <w:spacing w:val="-89"/>
        </w:rPr>
        <w:t> </w:t>
      </w:r>
      <w:r>
        <w:rPr>
          <w:spacing w:val="-89"/>
        </w:rPr>
      </w:r>
      <w:r>
        <w:rPr>
          <w:spacing w:val="-5"/>
        </w:rPr>
        <w:t>恰当的审计程序，但目的并非对内部控制的有效性发表意见。审计工</w:t>
      </w:r>
      <w:r>
        <w:rPr>
          <w:spacing w:val="-89"/>
        </w:rPr>
        <w:t> </w:t>
      </w:r>
      <w:r>
        <w:rPr>
          <w:spacing w:val="-89"/>
        </w:rPr>
      </w:r>
      <w:r>
        <w:rPr>
          <w:spacing w:val="4"/>
        </w:rPr>
        <w:t>作还包括评价管理层选用会计政策的恰当性和作出会计估计的合理</w:t>
      </w:r>
    </w:p>
    <w:p>
      <w:pPr>
        <w:spacing w:after="0" w:line="249" w:lineRule="auto"/>
        <w:jc w:val="left"/>
        <w:sectPr>
          <w:type w:val="continuous"/>
          <w:pgSz w:w="11910" w:h="16840"/>
          <w:pgMar w:top="1080" w:bottom="280" w:left="1660" w:right="1600"/>
        </w:sectPr>
      </w:pPr>
    </w:p>
    <w:p>
      <w:pPr>
        <w:spacing w:line="240" w:lineRule="auto" w:before="2"/>
        <w:rPr>
          <w:rFonts w:ascii="宋体" w:hAnsi="宋体" w:cs="宋体" w:eastAsia="宋体" w:hint="default"/>
          <w:sz w:val="18"/>
          <w:szCs w:val="18"/>
        </w:rPr>
      </w:pPr>
    </w:p>
    <w:p>
      <w:pPr>
        <w:pStyle w:val="Heading4"/>
        <w:spacing w:line="240" w:lineRule="auto" w:before="14"/>
        <w:ind w:right="0"/>
        <w:jc w:val="left"/>
      </w:pPr>
      <w:r>
        <w:rPr/>
        <w:t>性，以及评价财务报表的总体列报。</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2"/>
        <w:rPr>
          <w:rFonts w:ascii="宋体" w:hAnsi="宋体" w:cs="宋体" w:eastAsia="宋体" w:hint="default"/>
          <w:sz w:val="38"/>
          <w:szCs w:val="38"/>
        </w:rPr>
      </w:pPr>
    </w:p>
    <w:p>
      <w:pPr>
        <w:pStyle w:val="Heading4"/>
        <w:spacing w:line="261" w:lineRule="auto"/>
        <w:ind w:right="0" w:firstLine="559"/>
        <w:jc w:val="left"/>
      </w:pPr>
      <w:r>
        <w:rPr>
          <w:spacing w:val="-5"/>
        </w:rPr>
        <w:t>我们相信，我们获取的审计证据是充分、适当的，为发表审计意</w:t>
      </w:r>
      <w:r>
        <w:rPr>
          <w:w w:val="100"/>
        </w:rPr>
        <w:t> </w:t>
      </w:r>
      <w:r>
        <w:rPr/>
        <w:t>见提供了基础。</w:t>
      </w:r>
    </w:p>
    <w:p>
      <w:pPr>
        <w:pStyle w:val="Heading4"/>
        <w:spacing w:line="928" w:lineRule="exact" w:before="88"/>
        <w:ind w:left="699" w:right="0" w:firstLine="7"/>
        <w:jc w:val="left"/>
      </w:pPr>
      <w:r>
        <w:rPr>
          <w:rFonts w:ascii="宋体" w:hAnsi="宋体" w:cs="宋体" w:eastAsia="宋体" w:hint="default"/>
          <w:b/>
          <w:bCs/>
        </w:rPr>
        <w:t>三、审计意见</w:t>
      </w:r>
      <w:r>
        <w:rPr>
          <w:rFonts w:ascii="宋体" w:hAnsi="宋体" w:cs="宋体" w:eastAsia="宋体" w:hint="default"/>
          <w:b/>
          <w:bCs/>
          <w:w w:val="99"/>
        </w:rPr>
        <w:t> </w:t>
      </w:r>
      <w:r>
        <w:rPr>
          <w:spacing w:val="-5"/>
        </w:rPr>
        <w:t>我们认为，贵公司财务报表在所有重大方面按照企业会计准则的</w:t>
      </w:r>
    </w:p>
    <w:p>
      <w:pPr>
        <w:pStyle w:val="Heading4"/>
        <w:spacing w:line="276" w:lineRule="exact"/>
        <w:ind w:right="0"/>
        <w:jc w:val="left"/>
        <w:rPr>
          <w:rFonts w:ascii="Times New Roman" w:hAnsi="Times New Roman" w:cs="Times New Roman" w:eastAsia="Times New Roman" w:hint="default"/>
        </w:rPr>
      </w:pPr>
      <w:r>
        <w:rPr>
          <w:w w:val="100"/>
        </w:rPr>
        <w:t>规定编</w:t>
      </w:r>
      <w:r>
        <w:rPr>
          <w:spacing w:val="-3"/>
          <w:w w:val="100"/>
        </w:rPr>
        <w:t>制</w:t>
      </w:r>
      <w:r>
        <w:rPr>
          <w:spacing w:val="-140"/>
          <w:w w:val="100"/>
        </w:rPr>
        <w:t>，</w:t>
      </w:r>
      <w:r>
        <w:rPr>
          <w:spacing w:val="-3"/>
          <w:w w:val="100"/>
        </w:rPr>
        <w:t>公</w:t>
      </w:r>
      <w:r>
        <w:rPr>
          <w:w w:val="100"/>
        </w:rPr>
        <w:t>允反</w:t>
      </w:r>
      <w:r>
        <w:rPr>
          <w:spacing w:val="-3"/>
          <w:w w:val="100"/>
        </w:rPr>
        <w:t>映</w:t>
      </w:r>
      <w:r>
        <w:rPr>
          <w:w w:val="100"/>
        </w:rPr>
        <w:t>了贵</w:t>
      </w:r>
      <w:r>
        <w:rPr>
          <w:spacing w:val="-3"/>
          <w:w w:val="100"/>
        </w:rPr>
        <w:t>公</w:t>
      </w:r>
      <w:r>
        <w:rPr>
          <w:w w:val="100"/>
        </w:rPr>
        <w:t>司</w:t>
      </w:r>
      <w:r>
        <w:rPr>
          <w:spacing w:val="-89"/>
        </w:rPr>
        <w:t> </w:t>
      </w:r>
      <w:r>
        <w:rPr>
          <w:rFonts w:ascii="Times New Roman" w:hAnsi="Times New Roman" w:cs="Times New Roman" w:eastAsia="Times New Roman" w:hint="default"/>
          <w:spacing w:val="-2"/>
          <w:w w:val="100"/>
        </w:rPr>
        <w:t>20</w:t>
      </w:r>
      <w:r>
        <w:rPr>
          <w:rFonts w:ascii="Times New Roman" w:hAnsi="Times New Roman" w:cs="Times New Roman" w:eastAsia="Times New Roman" w:hint="default"/>
          <w:spacing w:val="-11"/>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22"/>
        </w:rPr>
        <w:t> </w:t>
      </w:r>
      <w:r>
        <w:rPr>
          <w:w w:val="100"/>
        </w:rPr>
        <w:t>年</w:t>
      </w:r>
      <w:r>
        <w:rPr>
          <w:spacing w:val="-90"/>
        </w:rPr>
        <w:t> </w:t>
      </w:r>
      <w:r>
        <w:rPr>
          <w:rFonts w:ascii="Times New Roman" w:hAnsi="Times New Roman" w:cs="Times New Roman" w:eastAsia="Times New Roman" w:hint="default"/>
          <w:spacing w:val="-2"/>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spacing w:val="-21"/>
        </w:rPr>
        <w:t> </w:t>
      </w:r>
      <w:r>
        <w:rPr>
          <w:w w:val="100"/>
        </w:rPr>
        <w:t>月</w:t>
      </w:r>
      <w:r>
        <w:rPr>
          <w:spacing w:val="-90"/>
        </w:rPr>
        <w:t> </w:t>
      </w:r>
      <w:r>
        <w:rPr>
          <w:rFonts w:ascii="Times New Roman" w:hAnsi="Times New Roman" w:cs="Times New Roman" w:eastAsia="Times New Roman" w:hint="default"/>
          <w:spacing w:val="-2"/>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spacing w:val="-21"/>
        </w:rPr>
        <w:t> </w:t>
      </w:r>
      <w:r>
        <w:rPr>
          <w:w w:val="100"/>
        </w:rPr>
        <w:t>日的</w:t>
      </w:r>
      <w:r>
        <w:rPr>
          <w:spacing w:val="-3"/>
          <w:w w:val="100"/>
        </w:rPr>
        <w:t>财</w:t>
      </w:r>
      <w:r>
        <w:rPr>
          <w:w w:val="100"/>
        </w:rPr>
        <w:t>务状</w:t>
      </w:r>
      <w:r>
        <w:rPr>
          <w:spacing w:val="-3"/>
          <w:w w:val="100"/>
        </w:rPr>
        <w:t>况</w:t>
      </w:r>
      <w:r>
        <w:rPr>
          <w:w w:val="100"/>
        </w:rPr>
        <w:t>以及</w:t>
      </w:r>
      <w:r>
        <w:rPr>
          <w:spacing w:val="-92"/>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2"/>
          <w:w w:val="100"/>
        </w:rPr>
        <w:t>0</w:t>
      </w:r>
      <w:r>
        <w:rPr>
          <w:rFonts w:ascii="Times New Roman" w:hAnsi="Times New Roman" w:cs="Times New Roman" w:eastAsia="Times New Roman" w:hint="default"/>
          <w:spacing w:val="-11"/>
          <w:w w:val="100"/>
        </w:rPr>
        <w:t>1</w:t>
      </w:r>
      <w:r>
        <w:rPr>
          <w:rFonts w:ascii="Times New Roman" w:hAnsi="Times New Roman" w:cs="Times New Roman" w:eastAsia="Times New Roman" w:hint="default"/>
          <w:w w:val="100"/>
        </w:rPr>
        <w:t>1</w:t>
      </w:r>
    </w:p>
    <w:p>
      <w:pPr>
        <w:pStyle w:val="Heading4"/>
        <w:spacing w:line="240" w:lineRule="auto" w:before="11"/>
        <w:ind w:right="0"/>
        <w:jc w:val="left"/>
      </w:pPr>
      <w:r>
        <w:rPr/>
        <w:t>年度的经营成果和现金流量。</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4"/>
        <w:rPr>
          <w:rFonts w:ascii="宋体" w:hAnsi="宋体" w:cs="宋体" w:eastAsia="宋体" w:hint="default"/>
          <w:sz w:val="38"/>
          <w:szCs w:val="38"/>
        </w:rPr>
      </w:pPr>
    </w:p>
    <w:p>
      <w:pPr>
        <w:pStyle w:val="Heading3"/>
        <w:tabs>
          <w:tab w:pos="5000" w:val="left" w:leader="none"/>
        </w:tabs>
        <w:spacing w:line="240" w:lineRule="auto"/>
        <w:ind w:right="0"/>
        <w:jc w:val="left"/>
        <w:rPr>
          <w:b w:val="0"/>
          <w:bCs w:val="0"/>
        </w:rPr>
      </w:pPr>
      <w:r>
        <w:rPr>
          <w:w w:val="95"/>
        </w:rPr>
        <w:t>立信会计师事务所</w:t>
        <w:tab/>
      </w:r>
      <w:r>
        <w:rPr/>
        <w:t>中国注册会计师：</w:t>
      </w:r>
      <w:r>
        <w:rPr>
          <w:b w:val="0"/>
          <w:bCs w:val="0"/>
        </w:rPr>
      </w:r>
    </w:p>
    <w:p>
      <w:pPr>
        <w:pStyle w:val="Heading3"/>
        <w:spacing w:line="240" w:lineRule="auto" w:before="34"/>
        <w:ind w:right="0"/>
        <w:jc w:val="left"/>
        <w:rPr>
          <w:b w:val="0"/>
          <w:bCs w:val="0"/>
        </w:rPr>
      </w:pPr>
      <w:r>
        <w:rPr/>
        <w:t>（特殊普通合伙）</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2"/>
        <w:rPr>
          <w:rFonts w:ascii="宋体" w:hAnsi="宋体" w:cs="宋体" w:eastAsia="宋体" w:hint="default"/>
          <w:b/>
          <w:bCs/>
          <w:sz w:val="38"/>
          <w:szCs w:val="38"/>
        </w:rPr>
      </w:pPr>
    </w:p>
    <w:p>
      <w:pPr>
        <w:pStyle w:val="Heading3"/>
        <w:spacing w:line="240" w:lineRule="auto"/>
        <w:ind w:left="5001" w:right="0"/>
        <w:jc w:val="left"/>
        <w:rPr>
          <w:b w:val="0"/>
          <w:bCs w:val="0"/>
        </w:rPr>
      </w:pPr>
      <w:r>
        <w:rPr/>
        <w:t>中国注册会计师：</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3"/>
        <w:rPr>
          <w:rFonts w:ascii="宋体" w:hAnsi="宋体" w:cs="宋体" w:eastAsia="宋体" w:hint="default"/>
          <w:b/>
          <w:bCs/>
          <w:sz w:val="40"/>
          <w:szCs w:val="40"/>
        </w:rPr>
      </w:pPr>
    </w:p>
    <w:p>
      <w:pPr>
        <w:pStyle w:val="Heading3"/>
        <w:tabs>
          <w:tab w:pos="4991" w:val="left" w:leader="none"/>
        </w:tabs>
        <w:spacing w:line="240" w:lineRule="auto"/>
        <w:ind w:left="423" w:right="0"/>
        <w:jc w:val="left"/>
        <w:rPr>
          <w:b w:val="0"/>
          <w:bCs w:val="0"/>
        </w:rPr>
      </w:pPr>
      <w:r>
        <w:rPr>
          <w:spacing w:val="-29"/>
        </w:rPr>
        <w:t>中国</w:t>
      </w:r>
      <w:r>
        <w:rPr>
          <w:rFonts w:ascii="Times New Roman" w:hAnsi="Times New Roman" w:cs="Times New Roman" w:eastAsia="Times New Roman" w:hint="default"/>
          <w:spacing w:val="-29"/>
        </w:rPr>
        <w:t>·</w:t>
      </w:r>
      <w:r>
        <w:rPr>
          <w:spacing w:val="-29"/>
        </w:rPr>
        <w:t>上海</w:t>
        <w:tab/>
      </w:r>
      <w:r>
        <w:rPr/>
        <w:t>二</w:t>
      </w:r>
      <w:r>
        <w:rPr>
          <w:spacing w:val="-71"/>
        </w:rPr>
        <w:t> </w:t>
      </w:r>
      <w:r>
        <w:rPr>
          <w:rFonts w:ascii="Times New Roman" w:hAnsi="Times New Roman" w:cs="Times New Roman" w:eastAsia="Times New Roman" w:hint="default"/>
        </w:rPr>
        <w:t>O</w:t>
      </w:r>
      <w:r>
        <w:rPr>
          <w:rFonts w:ascii="Times New Roman" w:hAnsi="Times New Roman" w:cs="Times New Roman" w:eastAsia="Times New Roman" w:hint="default"/>
          <w:spacing w:val="-2"/>
        </w:rPr>
        <w:t> </w:t>
      </w:r>
      <w:r>
        <w:rPr/>
        <w:t>一二年四月十七日</w:t>
      </w:r>
      <w:r>
        <w:rPr>
          <w:b w:val="0"/>
          <w:bCs w:val="0"/>
        </w:rPr>
      </w:r>
    </w:p>
    <w:p>
      <w:pPr>
        <w:spacing w:after="0" w:line="240" w:lineRule="auto"/>
        <w:jc w:val="left"/>
        <w:sectPr>
          <w:pgSz w:w="11910" w:h="16840"/>
          <w:pgMar w:header="884" w:footer="980" w:top="1140" w:bottom="1160" w:left="1660" w:right="1660"/>
        </w:sectPr>
      </w:pPr>
    </w:p>
    <w:p>
      <w:pPr>
        <w:spacing w:line="240" w:lineRule="auto" w:before="10"/>
        <w:rPr>
          <w:rFonts w:ascii="宋体" w:hAnsi="宋体" w:cs="宋体" w:eastAsia="宋体" w:hint="default"/>
          <w:b/>
          <w:bCs/>
          <w:sz w:val="3"/>
          <w:szCs w:val="3"/>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73" w:lineRule="auto" w:before="0"/>
        <w:ind w:left="2897" w:right="2835" w:firstLine="0"/>
        <w:jc w:val="center"/>
        <w:rPr>
          <w:rFonts w:ascii="宋体" w:hAnsi="宋体" w:cs="宋体" w:eastAsia="宋体" w:hint="default"/>
          <w:sz w:val="21"/>
          <w:szCs w:val="21"/>
        </w:rPr>
      </w:pPr>
      <w:r>
        <w:rPr>
          <w:rFonts w:ascii="宋体" w:hAnsi="宋体" w:cs="宋体" w:eastAsia="宋体" w:hint="default"/>
          <w:b/>
          <w:bCs/>
          <w:spacing w:val="-1"/>
          <w:sz w:val="21"/>
          <w:szCs w:val="21"/>
        </w:rPr>
        <w:t>上海汉得信息技术股份有限公司</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b/>
          <w:bCs/>
          <w:sz w:val="21"/>
          <w:szCs w:val="21"/>
        </w:rPr>
        <w:t>资产负债表</w:t>
      </w:r>
      <w:r>
        <w:rPr>
          <w:rFonts w:ascii="宋体" w:hAnsi="宋体" w:cs="宋体" w:eastAsia="宋体" w:hint="default"/>
          <w:sz w:val="21"/>
          <w:szCs w:val="21"/>
        </w:rPr>
      </w:r>
    </w:p>
    <w:p>
      <w:pPr>
        <w:spacing w:before="8"/>
        <w:ind w:left="2896" w:right="2835" w:firstLine="0"/>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spacing w:before="21"/>
        <w:ind w:left="63" w:right="0"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tbl>
      <w:tblPr>
        <w:tblW w:w="0" w:type="auto"/>
        <w:jc w:val="left"/>
        <w:tblInd w:w="105" w:type="dxa"/>
        <w:tblLayout w:type="fixed"/>
        <w:tblCellMar>
          <w:top w:w="0" w:type="dxa"/>
          <w:left w:w="0" w:type="dxa"/>
          <w:bottom w:w="0" w:type="dxa"/>
          <w:right w:w="0" w:type="dxa"/>
        </w:tblCellMar>
        <w:tblLook w:val="01E0"/>
      </w:tblPr>
      <w:tblGrid>
        <w:gridCol w:w="3229"/>
        <w:gridCol w:w="991"/>
        <w:gridCol w:w="1997"/>
        <w:gridCol w:w="2000"/>
      </w:tblGrid>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资</w:t>
              <w:tab/>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5"/>
              <w:jc w:val="center"/>
              <w:rPr>
                <w:rFonts w:ascii="宋体" w:hAnsi="宋体" w:cs="宋体" w:eastAsia="宋体" w:hint="default"/>
                <w:sz w:val="18"/>
                <w:szCs w:val="18"/>
              </w:rPr>
            </w:pPr>
            <w:r>
              <w:rPr>
                <w:rFonts w:ascii="宋体" w:hAnsi="宋体" w:cs="宋体" w:eastAsia="宋体" w:hint="default"/>
                <w:sz w:val="18"/>
                <w:szCs w:val="18"/>
              </w:rPr>
              <w:t>附注十二</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33"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spacing w:val="-1"/>
                <w:sz w:val="18"/>
              </w:rPr>
              <w:t>926,179,727.85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170,292,450.72</w:t>
            </w: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9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spacing w:val="-1"/>
                <w:sz w:val="18"/>
              </w:rPr>
              <w:t>10,466,951.37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3,827,292.55</w:t>
            </w: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spacing w:val="-1"/>
                <w:sz w:val="18"/>
              </w:rPr>
              <w:t>130,895,465.38</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75,180,385.18</w:t>
            </w:r>
          </w:p>
        </w:tc>
      </w:tr>
      <w:tr>
        <w:trPr>
          <w:trHeight w:val="29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9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spacing w:val="-1"/>
                <w:sz w:val="18"/>
              </w:rPr>
              <w:t>9,791,609.26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4,478,898.26</w:t>
            </w: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9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spacing w:val="-1"/>
                <w:sz w:val="18"/>
              </w:rPr>
              <w:t>15,648,713.09</w:t>
            </w: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99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spacing w:val="-1"/>
                <w:sz w:val="18"/>
              </w:rPr>
              <w:t>13,719,767.87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6,264,630.82</w:t>
            </w: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9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918,012.92</w:t>
            </w: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Times New Roman" w:hAnsi="Times New Roman" w:cs="Times New Roman" w:eastAsia="Times New Roman" w:hint="default"/>
                <w:sz w:val="18"/>
                <w:szCs w:val="18"/>
              </w:rPr>
            </w:pPr>
            <w:r>
              <w:rPr>
                <w:rFonts w:ascii="Times New Roman"/>
                <w:spacing w:val="-1"/>
                <w:sz w:val="18"/>
              </w:rPr>
              <w:t>1,106,702,234.82</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260,961,670.45</w:t>
            </w: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9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w:t>
            </w:r>
            <w:r>
              <w:rPr>
                <w:rFonts w:ascii="Times New Roman" w:hAnsi="Times New Roman" w:cs="Times New Roman" w:eastAsia="Times New Roman" w:hint="default"/>
                <w:sz w:val="18"/>
                <w:szCs w:val="18"/>
              </w:rPr>
              <w:t>)</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spacing w:val="-1"/>
                <w:sz w:val="18"/>
              </w:rPr>
              <w:t>574,886.68</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574,886.68</w:t>
            </w: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spacing w:val="-1"/>
                <w:sz w:val="18"/>
              </w:rPr>
              <w:t>8,005,236.59</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3,886,052.52</w:t>
            </w: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9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99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spacing w:val="-1"/>
                <w:sz w:val="18"/>
              </w:rPr>
              <w:t>196,469.01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251,882.25</w:t>
            </w: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9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9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9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spacing w:val="-1"/>
                <w:sz w:val="18"/>
              </w:rPr>
              <w:t>441,294.34</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1,240,204.53</w:t>
            </w:r>
          </w:p>
        </w:tc>
      </w:tr>
      <w:tr>
        <w:trPr>
          <w:trHeight w:val="29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spacing w:val="-1"/>
                <w:sz w:val="18"/>
              </w:rPr>
              <w:t>3,079,715.87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1,224,866.28</w:t>
            </w: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spacing w:val="-1"/>
                <w:sz w:val="18"/>
              </w:rPr>
              <w:t>2,675,000.00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2,975,000.00</w:t>
            </w: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spacing w:val="-1"/>
                <w:sz w:val="18"/>
              </w:rPr>
              <w:t>14,972,602.49</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10,152,892.26</w:t>
            </w: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9"/>
              <w:jc w:val="right"/>
              <w:rPr>
                <w:rFonts w:ascii="Times New Roman" w:hAnsi="Times New Roman" w:cs="Times New Roman" w:eastAsia="Times New Roman" w:hint="default"/>
                <w:sz w:val="18"/>
                <w:szCs w:val="18"/>
              </w:rPr>
            </w:pPr>
            <w:r>
              <w:rPr>
                <w:rFonts w:ascii="Times New Roman"/>
                <w:spacing w:val="-1"/>
                <w:sz w:val="18"/>
              </w:rPr>
              <w:t>1,121,674,837.31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8"/>
                <w:szCs w:val="18"/>
              </w:rPr>
            </w:pPr>
            <w:r>
              <w:rPr>
                <w:rFonts w:ascii="Times New Roman"/>
                <w:spacing w:val="-1"/>
                <w:sz w:val="18"/>
              </w:rPr>
              <w:t>271,114,562.71</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9"/>
          <w:szCs w:val="29"/>
        </w:rPr>
      </w:pPr>
    </w:p>
    <w:p>
      <w:pPr>
        <w:spacing w:before="44"/>
        <w:ind w:left="218" w:right="3443"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3103" w:val="left" w:leader="none"/>
          <w:tab w:pos="5894" w:val="left" w:leader="none"/>
        </w:tabs>
        <w:spacing w:before="133"/>
        <w:ind w:left="218" w:right="863"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884" w:footer="980" w:top="1080" w:bottom="1160" w:left="1580" w:right="1640"/>
        </w:sectPr>
      </w:pPr>
    </w:p>
    <w:p>
      <w:pPr>
        <w:spacing w:line="240" w:lineRule="auto" w:before="10"/>
        <w:rPr>
          <w:rFonts w:ascii="宋体" w:hAnsi="宋体" w:cs="宋体" w:eastAsia="宋体" w:hint="default"/>
          <w:sz w:val="3"/>
          <w:szCs w:val="3"/>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73" w:lineRule="auto" w:before="0"/>
        <w:ind w:left="2897" w:right="2835" w:firstLine="0"/>
        <w:jc w:val="center"/>
        <w:rPr>
          <w:rFonts w:ascii="宋体" w:hAnsi="宋体" w:cs="宋体" w:eastAsia="宋体" w:hint="default"/>
          <w:sz w:val="21"/>
          <w:szCs w:val="21"/>
        </w:rPr>
      </w:pPr>
      <w:r>
        <w:rPr>
          <w:rFonts w:ascii="宋体" w:hAnsi="宋体" w:cs="宋体" w:eastAsia="宋体" w:hint="default"/>
          <w:b/>
          <w:bCs/>
          <w:spacing w:val="-1"/>
          <w:sz w:val="21"/>
          <w:szCs w:val="21"/>
        </w:rPr>
        <w:t>上海汉得信息技术股份有限公司</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b/>
          <w:bCs/>
          <w:sz w:val="21"/>
          <w:szCs w:val="21"/>
        </w:rPr>
        <w:t>资产负债表（续）</w:t>
      </w:r>
      <w:r>
        <w:rPr>
          <w:rFonts w:ascii="宋体" w:hAnsi="宋体" w:cs="宋体" w:eastAsia="宋体" w:hint="default"/>
          <w:sz w:val="21"/>
          <w:szCs w:val="21"/>
        </w:rPr>
      </w:r>
    </w:p>
    <w:p>
      <w:pPr>
        <w:spacing w:before="8"/>
        <w:ind w:left="2896" w:right="2835" w:firstLine="0"/>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spacing w:before="21"/>
        <w:ind w:left="63" w:right="0"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tbl>
      <w:tblPr>
        <w:tblW w:w="0" w:type="auto"/>
        <w:jc w:val="left"/>
        <w:tblInd w:w="105" w:type="dxa"/>
        <w:tblLayout w:type="fixed"/>
        <w:tblCellMar>
          <w:top w:w="0" w:type="dxa"/>
          <w:left w:w="0" w:type="dxa"/>
          <w:bottom w:w="0" w:type="dxa"/>
          <w:right w:w="0" w:type="dxa"/>
        </w:tblCellMar>
        <w:tblLook w:val="01E0"/>
      </w:tblPr>
      <w:tblGrid>
        <w:gridCol w:w="3229"/>
        <w:gridCol w:w="991"/>
        <w:gridCol w:w="2000"/>
        <w:gridCol w:w="2002"/>
      </w:tblGrid>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59"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27" w:right="0"/>
              <w:jc w:val="left"/>
              <w:rPr>
                <w:rFonts w:ascii="宋体" w:hAnsi="宋体" w:cs="宋体" w:eastAsia="宋体" w:hint="default"/>
                <w:sz w:val="18"/>
                <w:szCs w:val="18"/>
              </w:rPr>
            </w:pPr>
            <w:r>
              <w:rPr>
                <w:rFonts w:ascii="宋体" w:hAnsi="宋体" w:cs="宋体" w:eastAsia="宋体" w:hint="default"/>
                <w:sz w:val="18"/>
                <w:szCs w:val="18"/>
              </w:rPr>
              <w:t>附注十二</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33"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6,480,548.66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4"/>
              <w:jc w:val="right"/>
              <w:rPr>
                <w:rFonts w:ascii="Times New Roman" w:hAnsi="Times New Roman" w:cs="Times New Roman" w:eastAsia="Times New Roman" w:hint="default"/>
                <w:sz w:val="18"/>
                <w:szCs w:val="18"/>
              </w:rPr>
            </w:pPr>
            <w:r>
              <w:rPr>
                <w:rFonts w:ascii="Times New Roman"/>
                <w:spacing w:val="-1"/>
                <w:sz w:val="18"/>
              </w:rPr>
              <w:t>3,725,329.39</w:t>
            </w:r>
          </w:p>
        </w:tc>
      </w:tr>
      <w:tr>
        <w:trPr>
          <w:trHeight w:val="29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5,689,824.83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4"/>
              <w:jc w:val="right"/>
              <w:rPr>
                <w:rFonts w:ascii="Times New Roman" w:hAnsi="Times New Roman" w:cs="Times New Roman" w:eastAsia="Times New Roman" w:hint="default"/>
                <w:sz w:val="18"/>
                <w:szCs w:val="18"/>
              </w:rPr>
            </w:pPr>
            <w:r>
              <w:rPr>
                <w:rFonts w:ascii="Times New Roman"/>
                <w:spacing w:val="-1"/>
                <w:sz w:val="18"/>
              </w:rPr>
              <w:t>4,960,457.37</w:t>
            </w: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37,171,586.94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Times New Roman" w:hAnsi="Times New Roman" w:cs="Times New Roman" w:eastAsia="Times New Roman" w:hint="default"/>
                <w:sz w:val="18"/>
                <w:szCs w:val="18"/>
              </w:rPr>
            </w:pPr>
            <w:r>
              <w:rPr>
                <w:rFonts w:ascii="Times New Roman"/>
                <w:spacing w:val="-1"/>
                <w:sz w:val="18"/>
              </w:rPr>
              <w:t>30,947,750.55</w:t>
            </w: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9,770,316.98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Times New Roman" w:hAnsi="Times New Roman" w:cs="Times New Roman" w:eastAsia="Times New Roman" w:hint="default"/>
                <w:sz w:val="18"/>
                <w:szCs w:val="18"/>
              </w:rPr>
            </w:pPr>
            <w:r>
              <w:rPr>
                <w:rFonts w:ascii="Times New Roman"/>
                <w:spacing w:val="-1"/>
                <w:sz w:val="18"/>
              </w:rPr>
              <w:t>2,975,671.73</w:t>
            </w: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5,148,559.62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4"/>
              <w:jc w:val="right"/>
              <w:rPr>
                <w:rFonts w:ascii="Times New Roman" w:hAnsi="Times New Roman" w:cs="Times New Roman" w:eastAsia="Times New Roman" w:hint="default"/>
                <w:sz w:val="18"/>
                <w:szCs w:val="18"/>
              </w:rPr>
            </w:pPr>
            <w:r>
              <w:rPr>
                <w:rFonts w:ascii="Times New Roman"/>
                <w:spacing w:val="-1"/>
                <w:sz w:val="18"/>
              </w:rPr>
              <w:t>5,355,370.54</w:t>
            </w: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64,260,837.03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4"/>
              <w:jc w:val="right"/>
              <w:rPr>
                <w:rFonts w:ascii="Times New Roman" w:hAnsi="Times New Roman" w:cs="Times New Roman" w:eastAsia="Times New Roman" w:hint="default"/>
                <w:sz w:val="18"/>
                <w:szCs w:val="18"/>
              </w:rPr>
            </w:pPr>
            <w:r>
              <w:rPr>
                <w:rFonts w:ascii="Times New Roman"/>
                <w:spacing w:val="-1"/>
                <w:sz w:val="18"/>
              </w:rPr>
              <w:t>47,964,579.58</w:t>
            </w: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64,260,837.03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4"/>
              <w:jc w:val="right"/>
              <w:rPr>
                <w:rFonts w:ascii="Times New Roman" w:hAnsi="Times New Roman" w:cs="Times New Roman" w:eastAsia="Times New Roman" w:hint="default"/>
                <w:sz w:val="18"/>
                <w:szCs w:val="18"/>
              </w:rPr>
            </w:pPr>
            <w:r>
              <w:rPr>
                <w:rFonts w:ascii="Times New Roman"/>
                <w:spacing w:val="-1"/>
                <w:sz w:val="18"/>
              </w:rPr>
              <w:t>47,964,579.58</w:t>
            </w: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168,007,774.00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4"/>
              <w:jc w:val="right"/>
              <w:rPr>
                <w:rFonts w:ascii="Times New Roman" w:hAnsi="Times New Roman" w:cs="Times New Roman" w:eastAsia="Times New Roman" w:hint="default"/>
                <w:sz w:val="18"/>
                <w:szCs w:val="18"/>
              </w:rPr>
            </w:pPr>
            <w:r>
              <w:rPr>
                <w:rFonts w:ascii="Times New Roman"/>
                <w:spacing w:val="-1"/>
                <w:sz w:val="18"/>
              </w:rPr>
              <w:t>85,724,482.00</w:t>
            </w: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747,973,060.48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4"/>
              <w:jc w:val="right"/>
              <w:rPr>
                <w:rFonts w:ascii="Times New Roman" w:hAnsi="Times New Roman" w:cs="Times New Roman" w:eastAsia="Times New Roman" w:hint="default"/>
                <w:sz w:val="18"/>
                <w:szCs w:val="18"/>
              </w:rPr>
            </w:pPr>
            <w:r>
              <w:rPr>
                <w:rFonts w:ascii="Times New Roman"/>
                <w:spacing w:val="-1"/>
                <w:sz w:val="18"/>
              </w:rPr>
              <w:t>55,076,131.59</w:t>
            </w: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65,000.00</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15,760,411.66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4"/>
              <w:jc w:val="right"/>
              <w:rPr>
                <w:rFonts w:ascii="Times New Roman" w:hAnsi="Times New Roman" w:cs="Times New Roman" w:eastAsia="Times New Roman" w:hint="default"/>
                <w:sz w:val="18"/>
                <w:szCs w:val="18"/>
              </w:rPr>
            </w:pPr>
            <w:r>
              <w:rPr>
                <w:rFonts w:ascii="Times New Roman"/>
                <w:spacing w:val="-1"/>
                <w:sz w:val="18"/>
              </w:rPr>
              <w:t>6,373,797.57</w:t>
            </w: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125,737,754.14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Times New Roman" w:hAnsi="Times New Roman" w:cs="Times New Roman" w:eastAsia="Times New Roman" w:hint="default"/>
                <w:sz w:val="18"/>
                <w:szCs w:val="18"/>
              </w:rPr>
            </w:pPr>
            <w:r>
              <w:rPr>
                <w:rFonts w:ascii="Times New Roman"/>
                <w:spacing w:val="-1"/>
                <w:sz w:val="18"/>
              </w:rPr>
              <w:t>75,975,571.97</w:t>
            </w: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所有者权益（或股东权益）合计</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1,057,414,000.28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Times New Roman" w:hAnsi="Times New Roman" w:cs="Times New Roman" w:eastAsia="Times New Roman" w:hint="default"/>
                <w:sz w:val="18"/>
                <w:szCs w:val="18"/>
              </w:rPr>
            </w:pPr>
            <w:r>
              <w:rPr>
                <w:rFonts w:ascii="Times New Roman"/>
                <w:spacing w:val="-1"/>
                <w:sz w:val="18"/>
              </w:rPr>
              <w:t>223,149,983.13</w:t>
            </w:r>
          </w:p>
        </w:tc>
      </w:tr>
      <w:tr>
        <w:trPr>
          <w:trHeight w:val="29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b/>
                <w:bCs/>
                <w:spacing w:val="-4"/>
                <w:sz w:val="18"/>
                <w:szCs w:val="18"/>
              </w:rPr>
              <w:t>负债和所有者权益（或股东权益）总计</w:t>
            </w:r>
            <w:r>
              <w:rPr>
                <w:rFonts w:ascii="宋体" w:hAnsi="宋体" w:cs="宋体" w:eastAsia="宋体" w:hint="default"/>
                <w:spacing w:val="-4"/>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1,121,674,837.31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Times New Roman" w:hAnsi="Times New Roman" w:cs="Times New Roman" w:eastAsia="Times New Roman" w:hint="default"/>
                <w:sz w:val="18"/>
                <w:szCs w:val="18"/>
              </w:rPr>
            </w:pPr>
            <w:r>
              <w:rPr>
                <w:rFonts w:ascii="Times New Roman"/>
                <w:spacing w:val="-1"/>
                <w:sz w:val="18"/>
              </w:rPr>
              <w:t>271,114,562.71</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9"/>
          <w:szCs w:val="29"/>
        </w:rPr>
      </w:pPr>
    </w:p>
    <w:p>
      <w:pPr>
        <w:spacing w:before="44"/>
        <w:ind w:left="218" w:right="3443"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3103" w:val="left" w:leader="none"/>
          <w:tab w:pos="5894" w:val="left" w:leader="none"/>
        </w:tabs>
        <w:spacing w:before="126"/>
        <w:ind w:left="218" w:right="863"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884" w:footer="980" w:top="1080" w:bottom="1160" w:left="1580" w:right="1640"/>
        </w:sectPr>
      </w:pPr>
    </w:p>
    <w:p>
      <w:pPr>
        <w:spacing w:line="240" w:lineRule="auto" w:before="10"/>
        <w:rPr>
          <w:rFonts w:ascii="宋体" w:hAnsi="宋体" w:cs="宋体" w:eastAsia="宋体" w:hint="default"/>
          <w:sz w:val="3"/>
          <w:szCs w:val="3"/>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73" w:lineRule="auto" w:before="0"/>
        <w:ind w:left="2897" w:right="2835" w:firstLine="0"/>
        <w:jc w:val="center"/>
        <w:rPr>
          <w:rFonts w:ascii="宋体" w:hAnsi="宋体" w:cs="宋体" w:eastAsia="宋体" w:hint="default"/>
          <w:sz w:val="21"/>
          <w:szCs w:val="21"/>
        </w:rPr>
      </w:pPr>
      <w:r>
        <w:rPr>
          <w:rFonts w:ascii="宋体" w:hAnsi="宋体" w:cs="宋体" w:eastAsia="宋体" w:hint="default"/>
          <w:b/>
          <w:bCs/>
          <w:spacing w:val="-1"/>
          <w:sz w:val="21"/>
          <w:szCs w:val="21"/>
        </w:rPr>
        <w:t>上海汉得信息技术股份有限公司</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before="8"/>
        <w:ind w:left="2896" w:right="2835" w:firstLine="0"/>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spacing w:before="21"/>
        <w:ind w:left="63" w:right="0"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tbl>
      <w:tblPr>
        <w:tblW w:w="0" w:type="auto"/>
        <w:jc w:val="left"/>
        <w:tblInd w:w="105" w:type="dxa"/>
        <w:tblLayout w:type="fixed"/>
        <w:tblCellMar>
          <w:top w:w="0" w:type="dxa"/>
          <w:left w:w="0" w:type="dxa"/>
          <w:bottom w:w="0" w:type="dxa"/>
          <w:right w:w="0" w:type="dxa"/>
        </w:tblCellMar>
        <w:tblLook w:val="01E0"/>
      </w:tblPr>
      <w:tblGrid>
        <w:gridCol w:w="3229"/>
        <w:gridCol w:w="991"/>
        <w:gridCol w:w="2000"/>
        <w:gridCol w:w="2000"/>
      </w:tblGrid>
      <w:tr>
        <w:trPr>
          <w:trHeight w:val="25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资</w:t>
              <w:tab/>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
              <w:jc w:val="center"/>
              <w:rPr>
                <w:rFonts w:ascii="宋体" w:hAnsi="宋体" w:cs="宋体" w:eastAsia="宋体" w:hint="default"/>
                <w:sz w:val="18"/>
                <w:szCs w:val="18"/>
              </w:rPr>
            </w:pPr>
            <w:r>
              <w:rPr>
                <w:rFonts w:ascii="宋体" w:hAnsi="宋体" w:cs="宋体" w:eastAsia="宋体" w:hint="default"/>
                <w:sz w:val="18"/>
                <w:szCs w:val="18"/>
              </w:rPr>
              <w:t>附注五</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6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633"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936,666,012.17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171,545,154.07</w:t>
            </w: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10,466,951.37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3,827,292.55</w:t>
            </w: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四</w:t>
            </w:r>
            <w:r>
              <w:rPr>
                <w:rFonts w:ascii="Times New Roman" w:hAnsi="Times New Roman" w:cs="Times New Roman" w:eastAsia="Times New Roman" w:hint="default"/>
                <w:sz w:val="18"/>
                <w:szCs w:val="18"/>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124,676,216.23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74,590,253.79</w:t>
            </w: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六</w:t>
            </w:r>
            <w:r>
              <w:rPr>
                <w:rFonts w:ascii="Times New Roman" w:hAnsi="Times New Roman" w:cs="Times New Roman" w:eastAsia="Times New Roman" w:hint="default"/>
                <w:sz w:val="18"/>
                <w:szCs w:val="18"/>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9,806,457.52</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4,534,626.70</w:t>
            </w: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w:t>
            </w:r>
            <w:r>
              <w:rPr>
                <w:rFonts w:ascii="Times New Roman" w:hAnsi="Times New Roman" w:cs="Times New Roman" w:eastAsia="Times New Roman" w:hint="default"/>
                <w:sz w:val="18"/>
                <w:szCs w:val="18"/>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15,648,713.09</w:t>
            </w: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11,475,030.78</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5,684,555.49</w:t>
            </w: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七</w:t>
            </w:r>
            <w:r>
              <w:rPr>
                <w:rFonts w:ascii="Times New Roman" w:hAnsi="Times New Roman" w:cs="Times New Roman" w:eastAsia="Times New Roman" w:hint="default"/>
                <w:sz w:val="18"/>
                <w:szCs w:val="18"/>
              </w:rPr>
              <w:t>)</w:t>
            </w: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918,012.92</w:t>
            </w: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1,108,739,381.16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261,099,895.52</w:t>
            </w: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94"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八</w:t>
            </w:r>
            <w:r>
              <w:rPr>
                <w:rFonts w:ascii="Times New Roman" w:hAnsi="Times New Roman" w:cs="Times New Roman" w:eastAsia="Times New Roman" w:hint="default"/>
                <w:sz w:val="18"/>
                <w:szCs w:val="18"/>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8,172,666.22</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3,886,052.52</w:t>
            </w: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5"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九</w:t>
            </w:r>
            <w:r>
              <w:rPr>
                <w:rFonts w:ascii="Times New Roman" w:hAnsi="Times New Roman" w:cs="Times New Roman" w:eastAsia="Times New Roman" w:hint="default"/>
                <w:sz w:val="18"/>
                <w:szCs w:val="18"/>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8"/>
                <w:szCs w:val="18"/>
              </w:rPr>
            </w:pPr>
            <w:r>
              <w:rPr>
                <w:rFonts w:ascii="Times New Roman"/>
                <w:spacing w:val="-1"/>
                <w:sz w:val="18"/>
              </w:rPr>
              <w:t>196,469.01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251,882.25</w:t>
            </w: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十</w:t>
            </w:r>
            <w:r>
              <w:rPr>
                <w:rFonts w:ascii="Times New Roman" w:hAnsi="Times New Roman" w:cs="Times New Roman" w:eastAsia="Times New Roman" w:hint="default"/>
                <w:sz w:val="18"/>
                <w:szCs w:val="18"/>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441,294.34</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1,240,204.53</w:t>
            </w: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十一</w:t>
            </w:r>
            <w:r>
              <w:rPr>
                <w:rFonts w:ascii="Times New Roman" w:hAnsi="Times New Roman" w:cs="Times New Roman" w:eastAsia="Times New Roman" w:hint="default"/>
                <w:sz w:val="18"/>
                <w:szCs w:val="18"/>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2,779,455.49</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1,020,546.39</w:t>
            </w: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十三</w:t>
            </w:r>
            <w:r>
              <w:rPr>
                <w:rFonts w:ascii="Times New Roman" w:hAnsi="Times New Roman" w:cs="Times New Roman" w:eastAsia="Times New Roman" w:hint="default"/>
                <w:sz w:val="18"/>
                <w:szCs w:val="18"/>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2,675,000.00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2,975,000.00</w:t>
            </w: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14,264,885.06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9,373,685.69</w:t>
            </w: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1,123,004,266.22</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270,473,581.21</w:t>
            </w:r>
          </w:p>
        </w:tc>
      </w:tr>
    </w:tbl>
    <w:p>
      <w:pPr>
        <w:spacing w:line="240" w:lineRule="auto" w:before="2"/>
        <w:rPr>
          <w:rFonts w:ascii="宋体" w:hAnsi="宋体" w:cs="宋体" w:eastAsia="宋体" w:hint="default"/>
          <w:b/>
          <w:bCs/>
          <w:sz w:val="21"/>
          <w:szCs w:val="21"/>
        </w:rPr>
      </w:pPr>
    </w:p>
    <w:p>
      <w:pPr>
        <w:spacing w:before="44"/>
        <w:ind w:left="218" w:right="3443"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3103" w:val="left" w:leader="none"/>
          <w:tab w:pos="5894" w:val="left" w:leader="none"/>
        </w:tabs>
        <w:spacing w:before="160"/>
        <w:ind w:left="218" w:right="863"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884" w:footer="980" w:top="1080" w:bottom="1160" w:left="1580" w:right="1640"/>
        </w:sectPr>
      </w:pPr>
    </w:p>
    <w:p>
      <w:pPr>
        <w:spacing w:line="240" w:lineRule="auto" w:before="10"/>
        <w:rPr>
          <w:rFonts w:ascii="宋体" w:hAnsi="宋体" w:cs="宋体" w:eastAsia="宋体" w:hint="default"/>
          <w:sz w:val="3"/>
          <w:szCs w:val="3"/>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73" w:lineRule="auto" w:before="0"/>
        <w:ind w:left="2897" w:right="2835" w:firstLine="0"/>
        <w:jc w:val="center"/>
        <w:rPr>
          <w:rFonts w:ascii="宋体" w:hAnsi="宋体" w:cs="宋体" w:eastAsia="宋体" w:hint="default"/>
          <w:sz w:val="21"/>
          <w:szCs w:val="21"/>
        </w:rPr>
      </w:pPr>
      <w:r>
        <w:rPr>
          <w:rFonts w:ascii="宋体" w:hAnsi="宋体" w:cs="宋体" w:eastAsia="宋体" w:hint="default"/>
          <w:b/>
          <w:bCs/>
          <w:spacing w:val="-1"/>
          <w:sz w:val="21"/>
          <w:szCs w:val="21"/>
        </w:rPr>
        <w:t>上海汉得信息技术股份有限公司</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b/>
          <w:bCs/>
          <w:sz w:val="21"/>
          <w:szCs w:val="21"/>
        </w:rPr>
        <w:t>合并资产负债表（续）</w:t>
      </w:r>
      <w:r>
        <w:rPr>
          <w:rFonts w:ascii="宋体" w:hAnsi="宋体" w:cs="宋体" w:eastAsia="宋体" w:hint="default"/>
          <w:sz w:val="21"/>
          <w:szCs w:val="21"/>
        </w:rPr>
      </w:r>
    </w:p>
    <w:p>
      <w:pPr>
        <w:spacing w:before="8"/>
        <w:ind w:left="2896" w:right="2835" w:firstLine="0"/>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spacing w:before="21"/>
        <w:ind w:left="63" w:right="0"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3"/>
        <w:rPr>
          <w:rFonts w:ascii="宋体" w:hAnsi="宋体" w:cs="宋体" w:eastAsia="宋体" w:hint="default"/>
          <w:b/>
          <w:bCs/>
          <w:sz w:val="21"/>
          <w:szCs w:val="21"/>
        </w:rPr>
      </w:pPr>
    </w:p>
    <w:tbl>
      <w:tblPr>
        <w:tblW w:w="0" w:type="auto"/>
        <w:jc w:val="left"/>
        <w:tblInd w:w="105" w:type="dxa"/>
        <w:tblLayout w:type="fixed"/>
        <w:tblCellMar>
          <w:top w:w="0" w:type="dxa"/>
          <w:left w:w="0" w:type="dxa"/>
          <w:bottom w:w="0" w:type="dxa"/>
          <w:right w:w="0" w:type="dxa"/>
        </w:tblCellMar>
        <w:tblLook w:val="01E0"/>
      </w:tblPr>
      <w:tblGrid>
        <w:gridCol w:w="3229"/>
        <w:gridCol w:w="991"/>
        <w:gridCol w:w="2000"/>
        <w:gridCol w:w="2000"/>
      </w:tblGrid>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59"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2"/>
              <w:jc w:val="center"/>
              <w:rPr>
                <w:rFonts w:ascii="宋体" w:hAnsi="宋体" w:cs="宋体" w:eastAsia="宋体" w:hint="default"/>
                <w:sz w:val="18"/>
                <w:szCs w:val="18"/>
              </w:rPr>
            </w:pPr>
            <w:r>
              <w:rPr>
                <w:rFonts w:ascii="宋体" w:hAnsi="宋体" w:cs="宋体" w:eastAsia="宋体" w:hint="default"/>
                <w:sz w:val="18"/>
                <w:szCs w:val="18"/>
              </w:rPr>
              <w:t>附注五</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6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633"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5"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十四</w:t>
            </w:r>
            <w:r>
              <w:rPr>
                <w:rFonts w:ascii="Times New Roman" w:hAnsi="Times New Roman" w:cs="Times New Roman" w:eastAsia="Times New Roman" w:hint="default"/>
                <w:sz w:val="18"/>
                <w:szCs w:val="18"/>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7,457,091.23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3,725,329.38</w:t>
            </w: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十五</w:t>
            </w:r>
            <w:r>
              <w:rPr>
                <w:rFonts w:ascii="Times New Roman" w:hAnsi="Times New Roman" w:cs="Times New Roman" w:eastAsia="Times New Roman" w:hint="default"/>
                <w:sz w:val="18"/>
                <w:szCs w:val="18"/>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5,689,824.83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4,960,457.37</w:t>
            </w: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十六</w:t>
            </w:r>
            <w:r>
              <w:rPr>
                <w:rFonts w:ascii="Times New Roman" w:hAnsi="Times New Roman" w:cs="Times New Roman" w:eastAsia="Times New Roman" w:hint="default"/>
                <w:sz w:val="18"/>
                <w:szCs w:val="18"/>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37,171,586.94</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31,154,897.97</w:t>
            </w: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十七</w:t>
            </w:r>
            <w:r>
              <w:rPr>
                <w:rFonts w:ascii="Times New Roman" w:hAnsi="Times New Roman" w:cs="Times New Roman" w:eastAsia="Times New Roman" w:hint="default"/>
                <w:sz w:val="18"/>
                <w:szCs w:val="18"/>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10,887,729.78</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3,430,305.18</w:t>
            </w: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十八</w:t>
            </w:r>
            <w:r>
              <w:rPr>
                <w:rFonts w:ascii="Times New Roman" w:hAnsi="Times New Roman" w:cs="Times New Roman" w:eastAsia="Times New Roman" w:hint="default"/>
                <w:sz w:val="18"/>
                <w:szCs w:val="18"/>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5,367,072.60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4,942,873.33</w:t>
            </w:r>
          </w:p>
        </w:tc>
      </w:tr>
      <w:tr>
        <w:trPr>
          <w:trHeight w:val="25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5"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66,573,305.38</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48,213,863.23</w:t>
            </w: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66,573,305.38</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48,213,863.23</w:t>
            </w: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十九</w:t>
            </w:r>
            <w:r>
              <w:rPr>
                <w:rFonts w:ascii="Times New Roman" w:hAnsi="Times New Roman" w:cs="Times New Roman" w:eastAsia="Times New Roman" w:hint="default"/>
                <w:sz w:val="18"/>
                <w:szCs w:val="18"/>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168,007,774.00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85,724,482.00</w:t>
            </w: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二十一</w:t>
            </w:r>
            <w:r>
              <w:rPr>
                <w:rFonts w:ascii="Times New Roman" w:hAnsi="Times New Roman" w:cs="Times New Roman" w:eastAsia="Times New Roman" w:hint="default"/>
                <w:sz w:val="18"/>
                <w:szCs w:val="18"/>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751,165,482.46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58,268,553.57</w:t>
            </w: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二十</w:t>
            </w:r>
            <w:r>
              <w:rPr>
                <w:rFonts w:ascii="Times New Roman" w:hAnsi="Times New Roman" w:cs="Times New Roman" w:eastAsia="Times New Roman" w:hint="default"/>
                <w:sz w:val="18"/>
                <w:szCs w:val="18"/>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8"/>
                <w:szCs w:val="18"/>
              </w:rPr>
            </w:pPr>
            <w:r>
              <w:rPr>
                <w:rFonts w:ascii="Times New Roman"/>
                <w:spacing w:val="-1"/>
                <w:sz w:val="18"/>
              </w:rPr>
              <w:t>65,000.00</w:t>
            </w: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二十二</w:t>
            </w:r>
            <w:r>
              <w:rPr>
                <w:rFonts w:ascii="Times New Roman" w:hAnsi="Times New Roman" w:cs="Times New Roman" w:eastAsia="Times New Roman" w:hint="default"/>
                <w:sz w:val="18"/>
                <w:szCs w:val="18"/>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15,760,411.66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6,373,797.57</w:t>
            </w: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二十三</w:t>
            </w:r>
            <w:r>
              <w:rPr>
                <w:rFonts w:ascii="Times New Roman" w:hAnsi="Times New Roman" w:cs="Times New Roman" w:eastAsia="Times New Roman" w:hint="default"/>
                <w:sz w:val="18"/>
                <w:szCs w:val="18"/>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121,669,534.99</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72,003,041.22</w:t>
            </w: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5"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-107,242.27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-110,156.38</w:t>
            </w: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1,056,430,960.84</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222,259,717.98</w:t>
            </w: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所有者权益（或股东权益）合计</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1,056,430,960.84</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222,259,717.98</w:t>
            </w:r>
          </w:p>
        </w:tc>
      </w:tr>
      <w:tr>
        <w:trPr>
          <w:trHeight w:val="2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b/>
                <w:bCs/>
                <w:spacing w:val="-4"/>
                <w:sz w:val="18"/>
                <w:szCs w:val="18"/>
              </w:rPr>
              <w:t>负债和所有者权益（或股东权益）总计</w:t>
            </w:r>
            <w:r>
              <w:rPr>
                <w:rFonts w:ascii="宋体" w:hAnsi="宋体" w:cs="宋体" w:eastAsia="宋体" w:hint="default"/>
                <w:spacing w:val="-4"/>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1,123,004,266.22</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270,473,581.21</w:t>
            </w:r>
          </w:p>
        </w:tc>
      </w:tr>
    </w:tbl>
    <w:p>
      <w:pPr>
        <w:spacing w:line="240" w:lineRule="auto" w:before="8"/>
        <w:rPr>
          <w:rFonts w:ascii="宋体" w:hAnsi="宋体" w:cs="宋体" w:eastAsia="宋体" w:hint="default"/>
          <w:b/>
          <w:bCs/>
          <w:sz w:val="12"/>
          <w:szCs w:val="12"/>
        </w:rPr>
      </w:pPr>
    </w:p>
    <w:p>
      <w:pPr>
        <w:spacing w:line="235" w:lineRule="exact" w:before="44"/>
        <w:ind w:left="218" w:right="3443"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3103" w:val="left" w:leader="none"/>
          <w:tab w:pos="5894" w:val="left" w:leader="none"/>
        </w:tabs>
        <w:spacing w:before="0"/>
        <w:ind w:left="218" w:right="863"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884" w:footer="980" w:top="1080" w:bottom="1160" w:left="1580" w:right="1640"/>
        </w:sectPr>
      </w:pPr>
    </w:p>
    <w:p>
      <w:pPr>
        <w:spacing w:line="240" w:lineRule="auto" w:before="10"/>
        <w:rPr>
          <w:rFonts w:ascii="宋体" w:hAnsi="宋体" w:cs="宋体" w:eastAsia="宋体" w:hint="default"/>
          <w:sz w:val="3"/>
          <w:szCs w:val="3"/>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73" w:lineRule="auto" w:before="0"/>
        <w:ind w:left="2897" w:right="3235" w:firstLine="0"/>
        <w:jc w:val="center"/>
        <w:rPr>
          <w:rFonts w:ascii="宋体" w:hAnsi="宋体" w:cs="宋体" w:eastAsia="宋体" w:hint="default"/>
          <w:sz w:val="21"/>
          <w:szCs w:val="21"/>
        </w:rPr>
      </w:pPr>
      <w:r>
        <w:rPr>
          <w:rFonts w:ascii="宋体" w:hAnsi="宋体" w:cs="宋体" w:eastAsia="宋体" w:hint="default"/>
          <w:b/>
          <w:bCs/>
          <w:spacing w:val="-1"/>
          <w:sz w:val="21"/>
          <w:szCs w:val="21"/>
        </w:rPr>
        <w:t>上海汉得信息技术股份有限公司</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b/>
          <w:bCs/>
          <w:sz w:val="21"/>
          <w:szCs w:val="21"/>
        </w:rPr>
        <w:t>利润表</w:t>
      </w:r>
      <w:r>
        <w:rPr>
          <w:rFonts w:ascii="宋体" w:hAnsi="宋体" w:cs="宋体" w:eastAsia="宋体" w:hint="default"/>
          <w:sz w:val="21"/>
          <w:szCs w:val="21"/>
        </w:rPr>
      </w:r>
    </w:p>
    <w:p>
      <w:pPr>
        <w:spacing w:before="8"/>
        <w:ind w:left="2897" w:right="3235" w:firstLine="0"/>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spacing w:before="21"/>
        <w:ind w:left="2353" w:right="2687"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tbl>
      <w:tblPr>
        <w:tblW w:w="0" w:type="auto"/>
        <w:jc w:val="left"/>
        <w:tblInd w:w="105" w:type="dxa"/>
        <w:tblLayout w:type="fixed"/>
        <w:tblCellMar>
          <w:top w:w="0" w:type="dxa"/>
          <w:left w:w="0" w:type="dxa"/>
          <w:bottom w:w="0" w:type="dxa"/>
          <w:right w:w="0" w:type="dxa"/>
        </w:tblCellMar>
        <w:tblLook w:val="01E0"/>
      </w:tblPr>
      <w:tblGrid>
        <w:gridCol w:w="4220"/>
        <w:gridCol w:w="1133"/>
        <w:gridCol w:w="1730"/>
        <w:gridCol w:w="1765"/>
      </w:tblGrid>
      <w:tr>
        <w:trPr>
          <w:trHeight w:val="46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附注十二</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9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1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6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四</w:t>
            </w:r>
            <w:r>
              <w:rPr>
                <w:rFonts w:ascii="Times New Roman" w:hAnsi="Times New Roman" w:cs="Times New Roman" w:eastAsia="Times New Roman" w:hint="default"/>
                <w:sz w:val="18"/>
                <w:szCs w:val="18"/>
              </w:rPr>
              <w:t>)</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spacing w:val="-1"/>
                <w:sz w:val="18"/>
              </w:rPr>
              <w:t>503,942,268.42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356,985,573.22</w:t>
            </w:r>
          </w:p>
        </w:tc>
      </w:tr>
      <w:tr>
        <w:trPr>
          <w:trHeight w:val="466"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6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四</w:t>
            </w:r>
            <w:r>
              <w:rPr>
                <w:rFonts w:ascii="Times New Roman" w:hAnsi="Times New Roman" w:cs="Times New Roman" w:eastAsia="Times New Roman" w:hint="default"/>
                <w:sz w:val="18"/>
                <w:szCs w:val="18"/>
              </w:rPr>
              <w:t>)</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335,068,269.30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228,689,442.41</w:t>
            </w:r>
          </w:p>
        </w:tc>
      </w:tr>
      <w:tr>
        <w:trPr>
          <w:trHeight w:val="46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2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spacing w:val="-1"/>
                <w:sz w:val="18"/>
              </w:rPr>
              <w:t>19,827,440.88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13,133,142.68</w:t>
            </w:r>
          </w:p>
        </w:tc>
      </w:tr>
      <w:tr>
        <w:trPr>
          <w:trHeight w:val="46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82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spacing w:val="-1"/>
                <w:sz w:val="18"/>
              </w:rPr>
              <w:t>28,064,103.05</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24,346,772.77</w:t>
            </w:r>
          </w:p>
        </w:tc>
      </w:tr>
      <w:tr>
        <w:trPr>
          <w:trHeight w:val="466"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82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46,341,980.85</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35,447,031.08</w:t>
            </w:r>
          </w:p>
        </w:tc>
      </w:tr>
      <w:tr>
        <w:trPr>
          <w:trHeight w:val="46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2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3"/>
              <w:jc w:val="right"/>
              <w:rPr>
                <w:rFonts w:ascii="Times New Roman" w:hAnsi="Times New Roman" w:cs="Times New Roman" w:eastAsia="Times New Roman" w:hint="default"/>
                <w:sz w:val="18"/>
                <w:szCs w:val="18"/>
              </w:rPr>
            </w:pPr>
            <w:r>
              <w:rPr>
                <w:rFonts w:ascii="Times New Roman"/>
                <w:spacing w:val="-1"/>
                <w:sz w:val="18"/>
              </w:rPr>
              <w:t>-25,350,555.02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-3,661,980.61</w:t>
            </w:r>
          </w:p>
        </w:tc>
      </w:tr>
      <w:tr>
        <w:trPr>
          <w:trHeight w:val="46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82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spacing w:val="-1"/>
                <w:sz w:val="18"/>
              </w:rPr>
              <w:t>8,282,776.37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5,097,190.92</w:t>
            </w:r>
          </w:p>
        </w:tc>
      </w:tr>
      <w:tr>
        <w:trPr>
          <w:trHeight w:val="466"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65" w:right="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加：公允价值变动收益（损失以“－”号填列）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25"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825"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91,708,252.99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53,933,973.97</w:t>
            </w:r>
          </w:p>
        </w:tc>
      </w:tr>
      <w:tr>
        <w:trPr>
          <w:trHeight w:val="46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spacing w:val="-1"/>
                <w:sz w:val="18"/>
              </w:rPr>
              <w:t>17,646,480.18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15,448,458.74</w:t>
            </w:r>
          </w:p>
        </w:tc>
      </w:tr>
      <w:tr>
        <w:trPr>
          <w:trHeight w:val="46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spacing w:val="-1"/>
                <w:w w:val="95"/>
                <w:sz w:val="18"/>
              </w:rPr>
              <w:t>11,013.70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59,368.40</w:t>
            </w:r>
          </w:p>
        </w:tc>
      </w:tr>
      <w:tr>
        <w:trPr>
          <w:trHeight w:val="466"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82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w w:val="95"/>
                <w:sz w:val="18"/>
              </w:rPr>
              <w:t>11,013.70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59,368.40</w:t>
            </w:r>
          </w:p>
        </w:tc>
      </w:tr>
      <w:tr>
        <w:trPr>
          <w:trHeight w:val="46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109,343,719.47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69,323,064.31</w:t>
            </w:r>
          </w:p>
        </w:tc>
      </w:tr>
      <w:tr>
        <w:trPr>
          <w:trHeight w:val="46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spacing w:val="-1"/>
                <w:sz w:val="18"/>
              </w:rPr>
              <w:t>15,477,578.61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5,585,088.63</w:t>
            </w:r>
          </w:p>
        </w:tc>
      </w:tr>
      <w:tr>
        <w:trPr>
          <w:trHeight w:val="466"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93,866,140.86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63,737,975.68</w:t>
            </w:r>
          </w:p>
        </w:tc>
      </w:tr>
      <w:tr>
        <w:trPr>
          <w:trHeight w:val="46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0.58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0.53</w:t>
            </w:r>
          </w:p>
        </w:tc>
      </w:tr>
      <w:tr>
        <w:trPr>
          <w:trHeight w:val="466"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0.58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0.53</w:t>
            </w:r>
          </w:p>
        </w:tc>
      </w:tr>
      <w:tr>
        <w:trPr>
          <w:trHeight w:val="46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3"/>
              <w:jc w:val="right"/>
              <w:rPr>
                <w:rFonts w:ascii="Times New Roman" w:hAnsi="Times New Roman" w:cs="Times New Roman" w:eastAsia="Times New Roman" w:hint="default"/>
                <w:sz w:val="18"/>
                <w:szCs w:val="18"/>
              </w:rPr>
            </w:pPr>
            <w:r>
              <w:rPr>
                <w:rFonts w:ascii="Times New Roman"/>
                <w:spacing w:val="-1"/>
                <w:sz w:val="18"/>
              </w:rPr>
              <w:t>93,866,140.86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63,737,975.68</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4"/>
          <w:szCs w:val="24"/>
        </w:rPr>
      </w:pPr>
    </w:p>
    <w:p>
      <w:pPr>
        <w:spacing w:before="44"/>
        <w:ind w:left="218"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3463" w:val="left" w:leader="none"/>
          <w:tab w:pos="6614" w:val="left" w:leader="none"/>
        </w:tabs>
        <w:spacing w:before="129"/>
        <w:ind w:left="218"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r>
      <w:r>
        <w:rPr>
          <w:rFonts w:ascii="宋体" w:hAnsi="宋体" w:cs="宋体" w:eastAsia="宋体" w:hint="default"/>
          <w:spacing w:val="-1"/>
          <w:sz w:val="18"/>
          <w:szCs w:val="18"/>
        </w:rPr>
        <w:t>主管会计工作负责人：</w:t>
        <w:tab/>
        <w:t>会计机构负责人：</w:t>
      </w:r>
    </w:p>
    <w:p>
      <w:pPr>
        <w:spacing w:after="0"/>
        <w:jc w:val="left"/>
        <w:rPr>
          <w:rFonts w:ascii="宋体" w:hAnsi="宋体" w:cs="宋体" w:eastAsia="宋体" w:hint="default"/>
          <w:sz w:val="18"/>
          <w:szCs w:val="18"/>
        </w:rPr>
        <w:sectPr>
          <w:pgSz w:w="11910" w:h="16840"/>
          <w:pgMar w:header="884" w:footer="980" w:top="1080" w:bottom="1160" w:left="1580" w:right="1240"/>
        </w:sectPr>
      </w:pPr>
    </w:p>
    <w:p>
      <w:pPr>
        <w:spacing w:line="240" w:lineRule="auto" w:before="10"/>
        <w:rPr>
          <w:rFonts w:ascii="宋体" w:hAnsi="宋体" w:cs="宋体" w:eastAsia="宋体" w:hint="default"/>
          <w:sz w:val="3"/>
          <w:szCs w:val="3"/>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7"/>
          <w:szCs w:val="17"/>
        </w:rPr>
      </w:pPr>
    </w:p>
    <w:p>
      <w:pPr>
        <w:spacing w:line="273" w:lineRule="auto" w:before="36"/>
        <w:ind w:left="2897" w:right="3115" w:firstLine="0"/>
        <w:jc w:val="center"/>
        <w:rPr>
          <w:rFonts w:ascii="宋体" w:hAnsi="宋体" w:cs="宋体" w:eastAsia="宋体" w:hint="default"/>
          <w:sz w:val="21"/>
          <w:szCs w:val="21"/>
        </w:rPr>
      </w:pPr>
      <w:r>
        <w:rPr>
          <w:rFonts w:ascii="宋体" w:hAnsi="宋体" w:cs="宋体" w:eastAsia="宋体" w:hint="default"/>
          <w:b/>
          <w:bCs/>
          <w:spacing w:val="-1"/>
          <w:sz w:val="21"/>
          <w:szCs w:val="21"/>
        </w:rPr>
        <w:t>上海汉得信息技术股份有限公司</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b/>
          <w:bCs/>
          <w:sz w:val="21"/>
          <w:szCs w:val="21"/>
        </w:rPr>
        <w:t>合并利润表</w:t>
      </w:r>
      <w:r>
        <w:rPr>
          <w:rFonts w:ascii="宋体" w:hAnsi="宋体" w:cs="宋体" w:eastAsia="宋体" w:hint="default"/>
          <w:sz w:val="21"/>
          <w:szCs w:val="21"/>
        </w:rPr>
      </w:r>
    </w:p>
    <w:p>
      <w:pPr>
        <w:spacing w:before="7"/>
        <w:ind w:left="2897" w:right="3115" w:firstLine="0"/>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spacing w:before="21"/>
        <w:ind w:left="2353" w:right="2567"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3"/>
        <w:rPr>
          <w:rFonts w:ascii="宋体" w:hAnsi="宋体" w:cs="宋体" w:eastAsia="宋体" w:hint="default"/>
          <w:b/>
          <w:bCs/>
          <w:sz w:val="19"/>
          <w:szCs w:val="19"/>
        </w:rPr>
      </w:pPr>
    </w:p>
    <w:tbl>
      <w:tblPr>
        <w:tblW w:w="0" w:type="auto"/>
        <w:jc w:val="left"/>
        <w:tblInd w:w="105" w:type="dxa"/>
        <w:tblLayout w:type="fixed"/>
        <w:tblCellMar>
          <w:top w:w="0" w:type="dxa"/>
          <w:left w:w="0" w:type="dxa"/>
          <w:bottom w:w="0" w:type="dxa"/>
          <w:right w:w="0" w:type="dxa"/>
        </w:tblCellMar>
        <w:tblLook w:val="01E0"/>
      </w:tblPr>
      <w:tblGrid>
        <w:gridCol w:w="4220"/>
        <w:gridCol w:w="992"/>
        <w:gridCol w:w="1742"/>
        <w:gridCol w:w="1774"/>
      </w:tblGrid>
      <w:tr>
        <w:trPr>
          <w:trHeight w:val="25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50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52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520,493,452.28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2"/>
              <w:jc w:val="right"/>
              <w:rPr>
                <w:rFonts w:ascii="Times New Roman" w:hAnsi="Times New Roman" w:cs="Times New Roman" w:eastAsia="Times New Roman" w:hint="default"/>
                <w:sz w:val="18"/>
                <w:szCs w:val="18"/>
              </w:rPr>
            </w:pPr>
            <w:r>
              <w:rPr>
                <w:rFonts w:ascii="Times New Roman"/>
                <w:spacing w:val="-1"/>
                <w:sz w:val="18"/>
              </w:rPr>
              <w:t>361,112,821.02</w:t>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465"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二十四</w:t>
            </w:r>
            <w:r>
              <w:rPr>
                <w:rFonts w:ascii="Times New Roman" w:hAnsi="Times New Roman" w:cs="Times New Roman" w:eastAsia="Times New Roman" w:hint="default"/>
                <w:sz w:val="18"/>
                <w:szCs w:val="18"/>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520,493,452.28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2"/>
              <w:jc w:val="right"/>
              <w:rPr>
                <w:rFonts w:ascii="Times New Roman" w:hAnsi="Times New Roman" w:cs="Times New Roman" w:eastAsia="Times New Roman" w:hint="default"/>
                <w:sz w:val="18"/>
                <w:szCs w:val="18"/>
              </w:rPr>
            </w:pPr>
            <w:r>
              <w:rPr>
                <w:rFonts w:ascii="Times New Roman"/>
                <w:spacing w:val="-1"/>
                <w:sz w:val="18"/>
              </w:rPr>
              <w:t>361,112,821.02</w:t>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0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05"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05"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428,782,929.99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307,459,754.20</w:t>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465"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二十四</w:t>
            </w:r>
            <w:r>
              <w:rPr>
                <w:rFonts w:ascii="Times New Roman" w:hAnsi="Times New Roman" w:cs="Times New Roman" w:eastAsia="Times New Roman" w:hint="default"/>
                <w:sz w:val="18"/>
                <w:szCs w:val="18"/>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344,081,804.51</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Times New Roman" w:hAnsi="Times New Roman" w:cs="Times New Roman" w:eastAsia="Times New Roman" w:hint="default"/>
                <w:sz w:val="18"/>
                <w:szCs w:val="18"/>
              </w:rPr>
            </w:pPr>
            <w:r>
              <w:rPr>
                <w:rFonts w:ascii="Times New Roman"/>
                <w:spacing w:val="-1"/>
                <w:sz w:val="18"/>
              </w:rPr>
              <w:t>228,689,442.41</w:t>
            </w:r>
            <w:r>
              <w:rPr>
                <w:rFonts w:ascii="Times New Roman"/>
                <w:sz w:val="18"/>
              </w:rPr>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0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05"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55"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05"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05"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05"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05"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05"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0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二十五</w:t>
            </w:r>
            <w:r>
              <w:rPr>
                <w:rFonts w:ascii="Times New Roman" w:hAnsi="Times New Roman" w:cs="Times New Roman" w:eastAsia="Times New Roman" w:hint="default"/>
                <w:sz w:val="18"/>
                <w:szCs w:val="18"/>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19,827,440.88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13,133,142.68</w:t>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0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二十六</w:t>
            </w:r>
            <w:r>
              <w:rPr>
                <w:rFonts w:ascii="Times New Roman" w:hAnsi="Times New Roman" w:cs="Times New Roman" w:eastAsia="Times New Roman" w:hint="default"/>
                <w:sz w:val="18"/>
                <w:szCs w:val="18"/>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28,064,103.05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24,346,772.77</w:t>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0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二十七</w:t>
            </w:r>
            <w:r>
              <w:rPr>
                <w:rFonts w:ascii="Times New Roman" w:hAnsi="Times New Roman" w:cs="Times New Roman" w:eastAsia="Times New Roman" w:hint="default"/>
                <w:sz w:val="18"/>
                <w:szCs w:val="18"/>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53,582,395.04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41,642,569.17</w:t>
            </w:r>
          </w:p>
        </w:tc>
      </w:tr>
      <w:tr>
        <w:trPr>
          <w:trHeight w:val="25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0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二十八</w:t>
            </w:r>
            <w:r>
              <w:rPr>
                <w:rFonts w:ascii="Times New Roman" w:hAnsi="Times New Roman" w:cs="Times New Roman" w:eastAsia="Times New Roman" w:hint="default"/>
                <w:sz w:val="18"/>
                <w:szCs w:val="18"/>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-25,331,324.14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-3,649,992.84</w:t>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0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二十九</w:t>
            </w:r>
            <w:r>
              <w:rPr>
                <w:rFonts w:ascii="Times New Roman" w:hAnsi="Times New Roman" w:cs="Times New Roman" w:eastAsia="Times New Roman" w:hint="default"/>
                <w:sz w:val="18"/>
                <w:szCs w:val="18"/>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8,558,510.65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3,297,820.01</w:t>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84"/>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25"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144"/>
              <w:jc w:val="right"/>
              <w:rPr>
                <w:rFonts w:ascii="宋体" w:hAnsi="宋体" w:cs="宋体" w:eastAsia="宋体" w:hint="default"/>
                <w:sz w:val="18"/>
                <w:szCs w:val="18"/>
              </w:rPr>
            </w:pPr>
            <w:r>
              <w:rPr>
                <w:rFonts w:ascii="宋体" w:hAnsi="宋体" w:cs="宋体" w:eastAsia="宋体" w:hint="default"/>
                <w:spacing w:val="-1"/>
                <w:sz w:val="18"/>
                <w:szCs w:val="18"/>
              </w:rPr>
              <w:t>其中：对联营企业和合营企业的投资收益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05"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91,710,522.29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53,653,066.82</w:t>
            </w:r>
          </w:p>
        </w:tc>
      </w:tr>
      <w:tr>
        <w:trPr>
          <w:trHeight w:val="255"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46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三十</w:t>
            </w:r>
            <w:r>
              <w:rPr>
                <w:rFonts w:ascii="Times New Roman" w:hAnsi="Times New Roman" w:cs="Times New Roman" w:eastAsia="Times New Roman" w:hint="default"/>
                <w:sz w:val="18"/>
                <w:szCs w:val="18"/>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17,646,493.66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15,450,618.48</w:t>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46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三十一</w:t>
            </w:r>
            <w:r>
              <w:rPr>
                <w:rFonts w:ascii="Times New Roman" w:hAnsi="Times New Roman" w:cs="Times New Roman" w:eastAsia="Times New Roman" w:hint="default"/>
                <w:sz w:val="18"/>
                <w:szCs w:val="18"/>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8"/>
                <w:szCs w:val="18"/>
              </w:rPr>
            </w:pPr>
            <w:r>
              <w:rPr>
                <w:rFonts w:ascii="Times New Roman"/>
                <w:spacing w:val="-1"/>
                <w:w w:val="95"/>
                <w:sz w:val="18"/>
              </w:rPr>
              <w:t>11,909.06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8"/>
                <w:szCs w:val="18"/>
              </w:rPr>
            </w:pPr>
            <w:r>
              <w:rPr>
                <w:rFonts w:ascii="Times New Roman"/>
                <w:spacing w:val="-1"/>
                <w:sz w:val="18"/>
              </w:rPr>
              <w:t>59,368.40</w:t>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825"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8"/>
                <w:szCs w:val="18"/>
              </w:rPr>
            </w:pPr>
            <w:r>
              <w:rPr>
                <w:rFonts w:ascii="Times New Roman"/>
                <w:spacing w:val="-1"/>
                <w:w w:val="95"/>
                <w:sz w:val="18"/>
              </w:rPr>
              <w:t>11,013.70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8"/>
                <w:szCs w:val="18"/>
              </w:rPr>
            </w:pPr>
            <w:r>
              <w:rPr>
                <w:rFonts w:ascii="Times New Roman"/>
                <w:spacing w:val="-1"/>
                <w:sz w:val="18"/>
              </w:rPr>
              <w:t>59,368.40</w:t>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109,345,106.89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69,044,316.90</w:t>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46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三十二</w:t>
            </w:r>
            <w:r>
              <w:rPr>
                <w:rFonts w:ascii="Times New Roman" w:hAnsi="Times New Roman" w:cs="Times New Roman" w:eastAsia="Times New Roman" w:hint="default"/>
                <w:sz w:val="18"/>
                <w:szCs w:val="18"/>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15,574,654.43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5,765,369.26</w:t>
            </w:r>
          </w:p>
        </w:tc>
      </w:tr>
      <w:tr>
        <w:trPr>
          <w:trHeight w:val="25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93,770,452.46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63,278,947.64</w:t>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465" w:right="0"/>
              <w:jc w:val="left"/>
              <w:rPr>
                <w:rFonts w:ascii="宋体" w:hAnsi="宋体" w:cs="宋体" w:eastAsia="宋体" w:hint="default"/>
                <w:sz w:val="18"/>
                <w:szCs w:val="18"/>
              </w:rPr>
            </w:pPr>
            <w:r>
              <w:rPr>
                <w:rFonts w:ascii="宋体" w:hAnsi="宋体" w:cs="宋体" w:eastAsia="宋体" w:hint="default"/>
                <w:sz w:val="18"/>
                <w:szCs w:val="18"/>
              </w:rPr>
              <w:t>其中：被合并方在合并前实现的净利润</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465"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93,770,452.46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63,278,947.64</w:t>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465"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465"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三十三</w:t>
            </w:r>
            <w:r>
              <w:rPr>
                <w:rFonts w:ascii="Times New Roman" w:hAnsi="Times New Roman" w:cs="Times New Roman" w:eastAsia="Times New Roman" w:hint="default"/>
                <w:sz w:val="18"/>
                <w:szCs w:val="18"/>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0.58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0.53</w:t>
            </w:r>
          </w:p>
        </w:tc>
      </w:tr>
      <w:tr>
        <w:trPr>
          <w:trHeight w:val="25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465"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三十三</w:t>
            </w:r>
            <w:r>
              <w:rPr>
                <w:rFonts w:ascii="Times New Roman" w:hAnsi="Times New Roman" w:cs="Times New Roman" w:eastAsia="Times New Roman" w:hint="default"/>
                <w:sz w:val="18"/>
                <w:szCs w:val="18"/>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0.58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0.53</w:t>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三十四</w:t>
            </w:r>
            <w:r>
              <w:rPr>
                <w:rFonts w:ascii="Times New Roman" w:hAnsi="Times New Roman" w:cs="Times New Roman" w:eastAsia="Times New Roman" w:hint="default"/>
                <w:sz w:val="18"/>
                <w:szCs w:val="18"/>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8"/>
                <w:szCs w:val="18"/>
              </w:rPr>
            </w:pPr>
            <w:r>
              <w:rPr>
                <w:rFonts w:ascii="Times New Roman"/>
                <w:spacing w:val="-1"/>
                <w:sz w:val="18"/>
              </w:rPr>
              <w:t>2,914.11</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8"/>
                <w:szCs w:val="18"/>
              </w:rPr>
            </w:pPr>
            <w:r>
              <w:rPr>
                <w:rFonts w:ascii="Times New Roman"/>
                <w:spacing w:val="-1"/>
                <w:sz w:val="18"/>
              </w:rPr>
              <w:t>-53,648.43</w:t>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93,773,366.57</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63,225,299.21</w:t>
            </w:r>
          </w:p>
        </w:tc>
      </w:tr>
      <w:tr>
        <w:trPr>
          <w:trHeight w:val="2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465"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93,773,366.57</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63,225,299.21</w:t>
            </w:r>
          </w:p>
        </w:tc>
      </w:tr>
      <w:tr>
        <w:trPr>
          <w:trHeight w:val="255"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b/>
          <w:bCs/>
          <w:sz w:val="25"/>
          <w:szCs w:val="25"/>
        </w:rPr>
      </w:pPr>
    </w:p>
    <w:p>
      <w:pPr>
        <w:spacing w:before="44"/>
        <w:ind w:left="218"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7"/>
        <w:rPr>
          <w:rFonts w:ascii="宋体" w:hAnsi="宋体" w:cs="宋体" w:eastAsia="宋体" w:hint="default"/>
          <w:sz w:val="15"/>
          <w:szCs w:val="15"/>
        </w:rPr>
      </w:pPr>
    </w:p>
    <w:p>
      <w:pPr>
        <w:tabs>
          <w:tab w:pos="3463" w:val="left" w:leader="none"/>
          <w:tab w:pos="6614" w:val="left" w:leader="none"/>
        </w:tabs>
        <w:spacing w:before="0"/>
        <w:ind w:left="218"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r>
      <w:r>
        <w:rPr>
          <w:rFonts w:ascii="宋体" w:hAnsi="宋体" w:cs="宋体" w:eastAsia="宋体" w:hint="default"/>
          <w:spacing w:val="-1"/>
          <w:sz w:val="18"/>
          <w:szCs w:val="18"/>
        </w:rPr>
        <w:t>主管会计工作负责人：</w:t>
        <w:tab/>
        <w:t>会计机构负责人：</w:t>
      </w:r>
    </w:p>
    <w:p>
      <w:pPr>
        <w:spacing w:after="0"/>
        <w:jc w:val="left"/>
        <w:rPr>
          <w:rFonts w:ascii="宋体" w:hAnsi="宋体" w:cs="宋体" w:eastAsia="宋体" w:hint="default"/>
          <w:sz w:val="18"/>
          <w:szCs w:val="18"/>
        </w:rPr>
        <w:sectPr>
          <w:pgSz w:w="11910" w:h="16840"/>
          <w:pgMar w:header="884" w:footer="980" w:top="1080" w:bottom="1160" w:left="1580" w:right="1360"/>
        </w:sectPr>
      </w:pPr>
    </w:p>
    <w:p>
      <w:pPr>
        <w:spacing w:line="240" w:lineRule="auto" w:before="10"/>
        <w:rPr>
          <w:rFonts w:ascii="宋体" w:hAnsi="宋体" w:cs="宋体" w:eastAsia="宋体" w:hint="default"/>
          <w:sz w:val="3"/>
          <w:szCs w:val="3"/>
        </w:rPr>
      </w:pPr>
    </w:p>
    <w:p>
      <w:pPr>
        <w:spacing w:line="20" w:lineRule="exact"/>
        <w:ind w:left="64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73" w:lineRule="auto" w:before="0"/>
        <w:ind w:left="3357" w:right="2835" w:firstLine="0"/>
        <w:jc w:val="center"/>
        <w:rPr>
          <w:rFonts w:ascii="宋体" w:hAnsi="宋体" w:cs="宋体" w:eastAsia="宋体" w:hint="default"/>
          <w:sz w:val="21"/>
          <w:szCs w:val="21"/>
        </w:rPr>
      </w:pPr>
      <w:r>
        <w:rPr>
          <w:rFonts w:ascii="宋体" w:hAnsi="宋体" w:cs="宋体" w:eastAsia="宋体" w:hint="default"/>
          <w:b/>
          <w:bCs/>
          <w:spacing w:val="-1"/>
          <w:sz w:val="21"/>
          <w:szCs w:val="21"/>
        </w:rPr>
        <w:t>上海汉得信息技术股份有限公司</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b/>
          <w:bCs/>
          <w:sz w:val="21"/>
          <w:szCs w:val="21"/>
        </w:rPr>
        <w:t>现金流量表</w:t>
      </w:r>
      <w:r>
        <w:rPr>
          <w:rFonts w:ascii="宋体" w:hAnsi="宋体" w:cs="宋体" w:eastAsia="宋体" w:hint="default"/>
          <w:sz w:val="21"/>
          <w:szCs w:val="21"/>
        </w:rPr>
      </w:r>
    </w:p>
    <w:p>
      <w:pPr>
        <w:spacing w:before="8"/>
        <w:ind w:left="3354" w:right="2835" w:firstLine="0"/>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spacing w:before="21"/>
        <w:ind w:left="2811" w:right="2288"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tbl>
      <w:tblPr>
        <w:tblW w:w="0" w:type="auto"/>
        <w:jc w:val="left"/>
        <w:tblInd w:w="106" w:type="dxa"/>
        <w:tblLayout w:type="fixed"/>
        <w:tblCellMar>
          <w:top w:w="0" w:type="dxa"/>
          <w:left w:w="0" w:type="dxa"/>
          <w:bottom w:w="0" w:type="dxa"/>
          <w:right w:w="0" w:type="dxa"/>
        </w:tblCellMar>
        <w:tblLook w:val="01E0"/>
      </w:tblPr>
      <w:tblGrid>
        <w:gridCol w:w="5103"/>
        <w:gridCol w:w="1844"/>
        <w:gridCol w:w="1815"/>
      </w:tblGrid>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4"/>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55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542"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1"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444,344,381.73</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341,769,194.24</w:t>
            </w: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171,453.46</w:t>
            </w: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27,482,354.07</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17,664,311.57</w:t>
            </w: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471,826,735.80</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359,604,959.27</w:t>
            </w:r>
          </w:p>
        </w:tc>
      </w:tr>
      <w:tr>
        <w:trPr>
          <w:trHeight w:val="295"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175,827,879.25</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135,022,729.27</w:t>
            </w: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186,439,950.08</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8"/>
                <w:szCs w:val="18"/>
              </w:rPr>
            </w:pPr>
            <w:r>
              <w:rPr>
                <w:rFonts w:ascii="Times New Roman"/>
                <w:spacing w:val="-1"/>
                <w:sz w:val="18"/>
              </w:rPr>
              <w:t>135,116,727.08</w:t>
            </w: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31,919,497.39</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24,802,910.72</w:t>
            </w: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42,487,031.55</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27,795,680.51</w:t>
            </w: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436,674,358.27</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322,738,047.58</w:t>
            </w: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1"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35,152,377.53</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36,866,911.69</w:t>
            </w: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1"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296,174.07</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153,406.85</w:t>
            </w: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296,174.07</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153,406.85</w:t>
            </w: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14,980,249.83</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6,154,313.05</w:t>
            </w: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81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15,980,249.83</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6,154,313.05</w:t>
            </w: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1"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-15,684,075.76</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-6,000,906.20</w:t>
            </w: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1"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771,878,094.68</w:t>
            </w:r>
          </w:p>
        </w:tc>
        <w:tc>
          <w:tcPr>
            <w:tcW w:w="181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771,878,094.68</w:t>
            </w:r>
          </w:p>
        </w:tc>
        <w:tc>
          <w:tcPr>
            <w:tcW w:w="181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34,717,344.60</w:t>
            </w:r>
          </w:p>
        </w:tc>
        <w:tc>
          <w:tcPr>
            <w:tcW w:w="181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631,050.00</w:t>
            </w:r>
          </w:p>
        </w:tc>
        <w:tc>
          <w:tcPr>
            <w:tcW w:w="181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35,348,394.60</w:t>
            </w:r>
          </w:p>
        </w:tc>
        <w:tc>
          <w:tcPr>
            <w:tcW w:w="181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736,529,700.08</w:t>
            </w:r>
          </w:p>
        </w:tc>
        <w:tc>
          <w:tcPr>
            <w:tcW w:w="181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1"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-110,724.72</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1,290,797.36</w:t>
            </w: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1"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755,887,277.13</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32,156,802.85</w:t>
            </w: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170,292,450.72</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138,135,647.87</w:t>
            </w: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1"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926,179,727.85</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170,292,450.72</w:t>
            </w:r>
          </w:p>
        </w:tc>
      </w:tr>
    </w:tbl>
    <w:p>
      <w:pPr>
        <w:spacing w:line="240" w:lineRule="auto" w:before="2"/>
        <w:rPr>
          <w:rFonts w:ascii="宋体" w:hAnsi="宋体" w:cs="宋体" w:eastAsia="宋体" w:hint="default"/>
          <w:b/>
          <w:bCs/>
          <w:sz w:val="11"/>
          <w:szCs w:val="11"/>
        </w:rPr>
      </w:pPr>
    </w:p>
    <w:p>
      <w:pPr>
        <w:spacing w:before="44"/>
        <w:ind w:left="678" w:right="132"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3923" w:val="left" w:leader="none"/>
          <w:tab w:pos="7074" w:val="left" w:leader="none"/>
        </w:tabs>
        <w:spacing w:before="91"/>
        <w:ind w:left="678" w:right="132"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r>
      <w:r>
        <w:rPr>
          <w:rFonts w:ascii="宋体" w:hAnsi="宋体" w:cs="宋体" w:eastAsia="宋体" w:hint="default"/>
          <w:spacing w:val="-1"/>
          <w:sz w:val="18"/>
          <w:szCs w:val="18"/>
        </w:rPr>
        <w:t>主管会计工作负责人：</w:t>
        <w:tab/>
        <w:t>会计机构负责人：</w:t>
      </w:r>
    </w:p>
    <w:p>
      <w:pPr>
        <w:spacing w:after="0"/>
        <w:jc w:val="left"/>
        <w:rPr>
          <w:rFonts w:ascii="宋体" w:hAnsi="宋体" w:cs="宋体" w:eastAsia="宋体" w:hint="default"/>
          <w:sz w:val="18"/>
          <w:szCs w:val="18"/>
        </w:rPr>
        <w:sectPr>
          <w:pgSz w:w="11910" w:h="16840"/>
          <w:pgMar w:header="884" w:footer="980" w:top="1080" w:bottom="1160" w:left="1120" w:right="1640"/>
        </w:sectPr>
      </w:pPr>
    </w:p>
    <w:p>
      <w:pPr>
        <w:spacing w:line="240" w:lineRule="auto" w:before="10"/>
        <w:rPr>
          <w:rFonts w:ascii="宋体" w:hAnsi="宋体" w:cs="宋体" w:eastAsia="宋体" w:hint="default"/>
          <w:sz w:val="3"/>
          <w:szCs w:val="3"/>
        </w:rPr>
      </w:pPr>
    </w:p>
    <w:p>
      <w:pPr>
        <w:spacing w:line="20" w:lineRule="exact"/>
        <w:ind w:left="5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73" w:lineRule="auto" w:before="0"/>
        <w:ind w:left="2670" w:right="2288" w:firstLine="0"/>
        <w:jc w:val="center"/>
        <w:rPr>
          <w:rFonts w:ascii="宋体" w:hAnsi="宋体" w:cs="宋体" w:eastAsia="宋体" w:hint="default"/>
          <w:sz w:val="21"/>
          <w:szCs w:val="21"/>
        </w:rPr>
      </w:pPr>
      <w:r>
        <w:rPr>
          <w:rFonts w:ascii="宋体" w:hAnsi="宋体" w:cs="宋体" w:eastAsia="宋体" w:hint="default"/>
          <w:b/>
          <w:bCs/>
          <w:spacing w:val="-1"/>
          <w:sz w:val="21"/>
          <w:szCs w:val="21"/>
        </w:rPr>
        <w:t>上海汉得信息技术股份有限公司</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before="8"/>
        <w:ind w:left="2667" w:right="2288" w:firstLine="0"/>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spacing w:before="21"/>
        <w:ind w:left="2671" w:right="2288"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tbl>
      <w:tblPr>
        <w:tblW w:w="0" w:type="auto"/>
        <w:jc w:val="left"/>
        <w:tblInd w:w="106" w:type="dxa"/>
        <w:tblLayout w:type="fixed"/>
        <w:tblCellMar>
          <w:top w:w="0" w:type="dxa"/>
          <w:left w:w="0" w:type="dxa"/>
          <w:bottom w:w="0" w:type="dxa"/>
          <w:right w:w="0" w:type="dxa"/>
        </w:tblCellMar>
        <w:tblLook w:val="01E0"/>
      </w:tblPr>
      <w:tblGrid>
        <w:gridCol w:w="4256"/>
        <w:gridCol w:w="991"/>
        <w:gridCol w:w="1702"/>
        <w:gridCol w:w="1673"/>
      </w:tblGrid>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right="0"/>
              <w:jc w:val="center"/>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3"/>
                <w:sz w:val="15"/>
                <w:szCs w:val="15"/>
              </w:rPr>
              <w:t> </w:t>
            </w:r>
            <w:r>
              <w:rPr>
                <w:rFonts w:ascii="宋体" w:hAnsi="宋体" w:cs="宋体" w:eastAsia="宋体" w:hint="default"/>
                <w:sz w:val="15"/>
                <w:szCs w:val="15"/>
              </w:rPr>
              <w:t>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264" w:right="0"/>
              <w:jc w:val="left"/>
              <w:rPr>
                <w:rFonts w:ascii="宋体" w:hAnsi="宋体" w:cs="宋体" w:eastAsia="宋体" w:hint="default"/>
                <w:sz w:val="15"/>
                <w:szCs w:val="15"/>
              </w:rPr>
            </w:pPr>
            <w:r>
              <w:rPr>
                <w:rFonts w:ascii="宋体" w:hAnsi="宋体" w:cs="宋体" w:eastAsia="宋体" w:hint="default"/>
                <w:sz w:val="15"/>
                <w:szCs w:val="15"/>
              </w:rPr>
              <w:t>附注五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545" w:right="0"/>
              <w:jc w:val="left"/>
              <w:rPr>
                <w:rFonts w:ascii="宋体" w:hAnsi="宋体" w:cs="宋体" w:eastAsia="宋体" w:hint="default"/>
                <w:sz w:val="15"/>
                <w:szCs w:val="15"/>
              </w:rPr>
            </w:pPr>
            <w:r>
              <w:rPr>
                <w:rFonts w:ascii="宋体" w:hAnsi="宋体" w:cs="宋体" w:eastAsia="宋体" w:hint="default"/>
                <w:sz w:val="15"/>
                <w:szCs w:val="15"/>
              </w:rPr>
              <w:t>本期金额</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530" w:right="0"/>
              <w:jc w:val="left"/>
              <w:rPr>
                <w:rFonts w:ascii="宋体" w:hAnsi="宋体" w:cs="宋体" w:eastAsia="宋体" w:hint="default"/>
                <w:sz w:val="15"/>
                <w:szCs w:val="15"/>
              </w:rPr>
            </w:pPr>
            <w:r>
              <w:rPr>
                <w:rFonts w:ascii="宋体" w:hAnsi="宋体" w:cs="宋体" w:eastAsia="宋体" w:hint="default"/>
                <w:sz w:val="15"/>
                <w:szCs w:val="15"/>
              </w:rPr>
              <w:t>上期金额</w:t>
            </w: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一、经营活动产生的现金流量</w:t>
            </w:r>
            <w:r>
              <w:rPr>
                <w:rFonts w:ascii="宋体" w:hAnsi="宋体" w:cs="宋体" w:eastAsia="宋体" w:hint="default"/>
                <w:sz w:val="15"/>
                <w:szCs w:val="15"/>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销售商品、提供劳务收到的现金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Times New Roman" w:hAnsi="Times New Roman" w:cs="Times New Roman" w:eastAsia="Times New Roman" w:hint="default"/>
                <w:sz w:val="15"/>
                <w:szCs w:val="15"/>
              </w:rPr>
            </w:pPr>
            <w:r>
              <w:rPr>
                <w:rFonts w:ascii="Times New Roman"/>
                <w:spacing w:val="-1"/>
                <w:sz w:val="15"/>
              </w:rPr>
              <w:t>467,997,487.38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5"/>
                <w:szCs w:val="15"/>
              </w:rPr>
            </w:pPr>
            <w:r>
              <w:rPr>
                <w:rFonts w:ascii="Times New Roman"/>
                <w:spacing w:val="-1"/>
                <w:sz w:val="15"/>
              </w:rPr>
              <w:t>346,154,527.43</w:t>
            </w: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客户存款和同业存放款项净增加额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向中央银行借款净增加额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7"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405" w:right="0"/>
              <w:jc w:val="left"/>
              <w:rPr>
                <w:rFonts w:ascii="宋体" w:hAnsi="宋体" w:cs="宋体" w:eastAsia="宋体" w:hint="default"/>
                <w:sz w:val="15"/>
                <w:szCs w:val="15"/>
              </w:rPr>
            </w:pPr>
            <w:r>
              <w:rPr>
                <w:rFonts w:ascii="宋体" w:hAnsi="宋体" w:cs="宋体" w:eastAsia="宋体" w:hint="default"/>
                <w:sz w:val="15"/>
                <w:szCs w:val="15"/>
              </w:rPr>
              <w:t>向其他金融机构拆入资金净增加额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收到原保险合同保费取得的现金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收到再保险业务现金净额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保户储金及投资款净增加额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处置交易性金融资产净增加额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收取利息、手续费及佣金的现金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7"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405" w:right="0"/>
              <w:jc w:val="left"/>
              <w:rPr>
                <w:rFonts w:ascii="宋体" w:hAnsi="宋体" w:cs="宋体" w:eastAsia="宋体" w:hint="default"/>
                <w:sz w:val="15"/>
                <w:szCs w:val="15"/>
              </w:rPr>
            </w:pPr>
            <w:r>
              <w:rPr>
                <w:rFonts w:ascii="宋体" w:hAnsi="宋体" w:cs="宋体" w:eastAsia="宋体" w:hint="default"/>
                <w:sz w:val="15"/>
                <w:szCs w:val="15"/>
              </w:rPr>
              <w:t>拆入资金净增加额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回购业务资金净增加额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收到的税费返还</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Times New Roman" w:hAnsi="Times New Roman" w:cs="Times New Roman" w:eastAsia="Times New Roman" w:hint="default"/>
                <w:sz w:val="15"/>
                <w:szCs w:val="15"/>
              </w:rPr>
            </w:pPr>
            <w:r>
              <w:rPr>
                <w:rFonts w:ascii="Times New Roman"/>
                <w:spacing w:val="-1"/>
                <w:sz w:val="15"/>
              </w:rPr>
              <w:t>4,652.70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Times New Roman" w:hAnsi="Times New Roman" w:cs="Times New Roman" w:eastAsia="Times New Roman" w:hint="default"/>
                <w:sz w:val="15"/>
                <w:szCs w:val="15"/>
              </w:rPr>
            </w:pPr>
            <w:r>
              <w:rPr>
                <w:rFonts w:ascii="Times New Roman"/>
                <w:spacing w:val="-1"/>
                <w:sz w:val="15"/>
              </w:rPr>
              <w:t>200,919.19</w:t>
            </w: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收到其他与经营活动有关的现金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216"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三十五</w:t>
            </w:r>
            <w:r>
              <w:rPr>
                <w:rFonts w:ascii="Times New Roman" w:hAnsi="Times New Roman" w:cs="Times New Roman" w:eastAsia="Times New Roman" w:hint="default"/>
                <w:sz w:val="15"/>
                <w:szCs w:val="15"/>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Times New Roman" w:hAnsi="Times New Roman" w:cs="Times New Roman" w:eastAsia="Times New Roman" w:hint="default"/>
                <w:sz w:val="15"/>
                <w:szCs w:val="15"/>
              </w:rPr>
            </w:pPr>
            <w:r>
              <w:rPr>
                <w:rFonts w:ascii="Times New Roman"/>
                <w:spacing w:val="-1"/>
                <w:sz w:val="15"/>
              </w:rPr>
              <w:t>30,032,044.14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5"/>
                <w:szCs w:val="15"/>
              </w:rPr>
            </w:pPr>
            <w:r>
              <w:rPr>
                <w:rFonts w:ascii="Times New Roman"/>
                <w:spacing w:val="-1"/>
                <w:sz w:val="15"/>
              </w:rPr>
              <w:t>17,668,065.99</w:t>
            </w:r>
          </w:p>
        </w:tc>
      </w:tr>
      <w:tr>
        <w:trPr>
          <w:trHeight w:val="195"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left="103" w:right="0"/>
              <w:jc w:val="left"/>
              <w:rPr>
                <w:rFonts w:ascii="宋体" w:hAnsi="宋体" w:cs="宋体" w:eastAsia="宋体" w:hint="default"/>
                <w:sz w:val="15"/>
                <w:szCs w:val="15"/>
              </w:rPr>
            </w:pPr>
            <w:r>
              <w:rPr>
                <w:rFonts w:ascii="宋体" w:hAnsi="宋体" w:cs="宋体" w:eastAsia="宋体" w:hint="default"/>
                <w:sz w:val="15"/>
                <w:szCs w:val="15"/>
              </w:rPr>
              <w:t>经营活动现金流入小计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5"/>
                <w:szCs w:val="15"/>
              </w:rPr>
            </w:pPr>
            <w:r>
              <w:rPr>
                <w:rFonts w:ascii="Times New Roman"/>
                <w:spacing w:val="-1"/>
                <w:sz w:val="15"/>
              </w:rPr>
              <w:t>498,034,184.22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5"/>
                <w:szCs w:val="15"/>
              </w:rPr>
            </w:pPr>
            <w:r>
              <w:rPr>
                <w:rFonts w:ascii="Times New Roman"/>
                <w:spacing w:val="-1"/>
                <w:sz w:val="15"/>
              </w:rPr>
              <w:t>364,023,512.61</w:t>
            </w:r>
          </w:p>
        </w:tc>
      </w:tr>
      <w:tr>
        <w:trPr>
          <w:trHeight w:val="197"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405" w:right="0"/>
              <w:jc w:val="left"/>
              <w:rPr>
                <w:rFonts w:ascii="宋体" w:hAnsi="宋体" w:cs="宋体" w:eastAsia="宋体" w:hint="default"/>
                <w:sz w:val="15"/>
                <w:szCs w:val="15"/>
              </w:rPr>
            </w:pPr>
            <w:r>
              <w:rPr>
                <w:rFonts w:ascii="宋体" w:hAnsi="宋体" w:cs="宋体" w:eastAsia="宋体" w:hint="default"/>
                <w:sz w:val="15"/>
                <w:szCs w:val="15"/>
              </w:rPr>
              <w:t>购买商品、接受劳务支付的现金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Times New Roman" w:hAnsi="Times New Roman" w:cs="Times New Roman" w:eastAsia="Times New Roman" w:hint="default"/>
                <w:sz w:val="15"/>
                <w:szCs w:val="15"/>
              </w:rPr>
            </w:pPr>
            <w:r>
              <w:rPr>
                <w:rFonts w:ascii="Times New Roman"/>
                <w:spacing w:val="-1"/>
                <w:sz w:val="15"/>
              </w:rPr>
              <w:t>177,432,927.70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5"/>
                <w:szCs w:val="15"/>
              </w:rPr>
            </w:pPr>
            <w:r>
              <w:rPr>
                <w:rFonts w:ascii="Times New Roman"/>
                <w:spacing w:val="-1"/>
                <w:sz w:val="15"/>
              </w:rPr>
              <w:t>136,281,461.08</w:t>
            </w: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客户贷款及垫款净增加额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存放中央银行和同业款项净增加额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支付原保险合同赔付款项的现金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支付利息、手续费及佣金的现金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支付保单红利的现金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7"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支付给职工以及为职工支付的现金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Times New Roman" w:hAnsi="Times New Roman" w:cs="Times New Roman" w:eastAsia="Times New Roman" w:hint="default"/>
                <w:sz w:val="15"/>
                <w:szCs w:val="15"/>
              </w:rPr>
            </w:pPr>
            <w:r>
              <w:rPr>
                <w:rFonts w:ascii="Times New Roman"/>
                <w:spacing w:val="-1"/>
                <w:sz w:val="15"/>
              </w:rPr>
              <w:t>195,854,602.70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5"/>
                <w:szCs w:val="15"/>
              </w:rPr>
            </w:pPr>
            <w:r>
              <w:rPr>
                <w:rFonts w:ascii="Times New Roman"/>
                <w:spacing w:val="-1"/>
                <w:sz w:val="15"/>
              </w:rPr>
              <w:t>138,763,354.70</w:t>
            </w: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支付的各项税费</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Times New Roman" w:hAnsi="Times New Roman" w:cs="Times New Roman" w:eastAsia="Times New Roman" w:hint="default"/>
                <w:sz w:val="15"/>
                <w:szCs w:val="15"/>
              </w:rPr>
            </w:pPr>
            <w:r>
              <w:rPr>
                <w:rFonts w:ascii="Times New Roman"/>
                <w:spacing w:val="-1"/>
                <w:sz w:val="15"/>
              </w:rPr>
              <w:t>32,415,825.03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Times New Roman" w:hAnsi="Times New Roman" w:cs="Times New Roman" w:eastAsia="Times New Roman" w:hint="default"/>
                <w:sz w:val="15"/>
                <w:szCs w:val="15"/>
              </w:rPr>
            </w:pPr>
            <w:r>
              <w:rPr>
                <w:rFonts w:ascii="Times New Roman"/>
                <w:spacing w:val="-1"/>
                <w:sz w:val="15"/>
              </w:rPr>
              <w:t>24,417,493.52</w:t>
            </w: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支付其他与经营活动有关的现金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216"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三十五</w:t>
            </w:r>
            <w:r>
              <w:rPr>
                <w:rFonts w:ascii="Times New Roman" w:hAnsi="Times New Roman" w:cs="Times New Roman" w:eastAsia="Times New Roman" w:hint="default"/>
                <w:sz w:val="15"/>
                <w:szCs w:val="15"/>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Times New Roman" w:hAnsi="Times New Roman" w:cs="Times New Roman" w:eastAsia="Times New Roman" w:hint="default"/>
                <w:sz w:val="15"/>
                <w:szCs w:val="15"/>
              </w:rPr>
            </w:pPr>
            <w:r>
              <w:rPr>
                <w:rFonts w:ascii="Times New Roman"/>
                <w:spacing w:val="-1"/>
                <w:sz w:val="15"/>
              </w:rPr>
              <w:t>47,778,734.44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Times New Roman" w:hAnsi="Times New Roman" w:cs="Times New Roman" w:eastAsia="Times New Roman" w:hint="default"/>
                <w:sz w:val="15"/>
                <w:szCs w:val="15"/>
              </w:rPr>
            </w:pPr>
            <w:r>
              <w:rPr>
                <w:rFonts w:ascii="Times New Roman"/>
                <w:spacing w:val="-1"/>
                <w:sz w:val="15"/>
              </w:rPr>
              <w:t>30,531,496.90</w:t>
            </w: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sz w:val="15"/>
                <w:szCs w:val="15"/>
              </w:rPr>
              <w:t>经营活动现金流出小计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Times New Roman" w:hAnsi="Times New Roman" w:cs="Times New Roman" w:eastAsia="Times New Roman" w:hint="default"/>
                <w:sz w:val="15"/>
                <w:szCs w:val="15"/>
              </w:rPr>
            </w:pPr>
            <w:r>
              <w:rPr>
                <w:rFonts w:ascii="Times New Roman"/>
                <w:spacing w:val="-1"/>
                <w:sz w:val="15"/>
              </w:rPr>
              <w:t>453,482,089.87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Times New Roman" w:hAnsi="Times New Roman" w:cs="Times New Roman" w:eastAsia="Times New Roman" w:hint="default"/>
                <w:sz w:val="15"/>
                <w:szCs w:val="15"/>
              </w:rPr>
            </w:pPr>
            <w:r>
              <w:rPr>
                <w:rFonts w:ascii="Times New Roman"/>
                <w:spacing w:val="-1"/>
                <w:sz w:val="15"/>
              </w:rPr>
              <w:t>329,993,806.20</w:t>
            </w:r>
            <w:r>
              <w:rPr>
                <w:rFonts w:ascii="Times New Roman"/>
                <w:sz w:val="15"/>
              </w:rPr>
            </w: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经营活动产生的现金流量净额</w:t>
            </w:r>
            <w:r>
              <w:rPr>
                <w:rFonts w:ascii="宋体" w:hAnsi="宋体" w:cs="宋体" w:eastAsia="宋体" w:hint="default"/>
                <w:sz w:val="15"/>
                <w:szCs w:val="15"/>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Times New Roman" w:hAnsi="Times New Roman" w:cs="Times New Roman" w:eastAsia="Times New Roman" w:hint="default"/>
                <w:sz w:val="15"/>
                <w:szCs w:val="15"/>
              </w:rPr>
            </w:pPr>
            <w:r>
              <w:rPr>
                <w:rFonts w:ascii="Times New Roman"/>
                <w:spacing w:val="-1"/>
                <w:sz w:val="15"/>
              </w:rPr>
              <w:t>44,552,094.35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5"/>
                <w:szCs w:val="15"/>
              </w:rPr>
            </w:pPr>
            <w:r>
              <w:rPr>
                <w:rFonts w:ascii="Times New Roman"/>
                <w:spacing w:val="-1"/>
                <w:sz w:val="15"/>
              </w:rPr>
              <w:t>34,029,706.41</w:t>
            </w: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二、投资活动产生的现金流量</w:t>
            </w:r>
            <w:r>
              <w:rPr>
                <w:rFonts w:ascii="宋体" w:hAnsi="宋体" w:cs="宋体" w:eastAsia="宋体" w:hint="default"/>
                <w:sz w:val="15"/>
                <w:szCs w:val="15"/>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7"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405" w:right="0"/>
              <w:jc w:val="left"/>
              <w:rPr>
                <w:rFonts w:ascii="宋体" w:hAnsi="宋体" w:cs="宋体" w:eastAsia="宋体" w:hint="default"/>
                <w:sz w:val="15"/>
                <w:szCs w:val="15"/>
              </w:rPr>
            </w:pPr>
            <w:r>
              <w:rPr>
                <w:rFonts w:ascii="宋体" w:hAnsi="宋体" w:cs="宋体" w:eastAsia="宋体" w:hint="default"/>
                <w:sz w:val="15"/>
                <w:szCs w:val="15"/>
              </w:rPr>
              <w:t>收回投资收到的现金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取得投资收益所收到的现金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pacing w:val="-3"/>
                <w:sz w:val="15"/>
                <w:szCs w:val="15"/>
              </w:rPr>
              <w:t>处置固定资产、无形资产和其他长期资产收回的现金净额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Times New Roman" w:hAnsi="Times New Roman" w:cs="Times New Roman" w:eastAsia="Times New Roman" w:hint="default"/>
                <w:sz w:val="15"/>
                <w:szCs w:val="15"/>
              </w:rPr>
            </w:pPr>
            <w:r>
              <w:rPr>
                <w:rFonts w:ascii="Times New Roman"/>
                <w:spacing w:val="-1"/>
                <w:sz w:val="15"/>
              </w:rPr>
              <w:t>296,174.07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Times New Roman" w:hAnsi="Times New Roman" w:cs="Times New Roman" w:eastAsia="Times New Roman" w:hint="default"/>
                <w:sz w:val="15"/>
                <w:szCs w:val="15"/>
              </w:rPr>
            </w:pPr>
            <w:r>
              <w:rPr>
                <w:rFonts w:ascii="Times New Roman"/>
                <w:spacing w:val="-1"/>
                <w:sz w:val="15"/>
              </w:rPr>
              <w:t>153,406.85</w:t>
            </w: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处置子公司及其他营业单位收到的现金净额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收到其他与投资活动有关的现金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sz w:val="15"/>
                <w:szCs w:val="15"/>
              </w:rPr>
              <w:t>投资活动现金流入小计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Times New Roman" w:hAnsi="Times New Roman" w:cs="Times New Roman" w:eastAsia="Times New Roman" w:hint="default"/>
                <w:sz w:val="15"/>
                <w:szCs w:val="15"/>
              </w:rPr>
            </w:pPr>
            <w:r>
              <w:rPr>
                <w:rFonts w:ascii="Times New Roman"/>
                <w:spacing w:val="-1"/>
                <w:sz w:val="15"/>
              </w:rPr>
              <w:t>296,174.07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5"/>
                <w:szCs w:val="15"/>
              </w:rPr>
            </w:pPr>
            <w:r>
              <w:rPr>
                <w:rFonts w:ascii="Times New Roman"/>
                <w:spacing w:val="-1"/>
                <w:sz w:val="15"/>
              </w:rPr>
              <w:t>153,406.85</w:t>
            </w:r>
          </w:p>
        </w:tc>
      </w:tr>
      <w:tr>
        <w:trPr>
          <w:trHeight w:val="197"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405" w:right="0"/>
              <w:jc w:val="left"/>
              <w:rPr>
                <w:rFonts w:ascii="宋体" w:hAnsi="宋体" w:cs="宋体" w:eastAsia="宋体" w:hint="default"/>
                <w:sz w:val="15"/>
                <w:szCs w:val="15"/>
              </w:rPr>
            </w:pPr>
            <w:r>
              <w:rPr>
                <w:rFonts w:ascii="宋体" w:hAnsi="宋体" w:cs="宋体" w:eastAsia="宋体" w:hint="default"/>
                <w:sz w:val="15"/>
                <w:szCs w:val="15"/>
              </w:rPr>
              <w:t>购建固定资产、无形资产和其他长期资产支付的现金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5"/>
                <w:szCs w:val="15"/>
              </w:rPr>
            </w:pPr>
            <w:r>
              <w:rPr>
                <w:rFonts w:ascii="Times New Roman"/>
                <w:spacing w:val="-1"/>
                <w:sz w:val="15"/>
              </w:rPr>
              <w:t>15,149,299.79</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5"/>
                <w:szCs w:val="15"/>
              </w:rPr>
            </w:pPr>
            <w:r>
              <w:rPr>
                <w:rFonts w:ascii="Times New Roman"/>
                <w:spacing w:val="-1"/>
                <w:sz w:val="15"/>
              </w:rPr>
              <w:t>6,154,313.05</w:t>
            </w: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投资支付的现金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Times New Roman" w:hAnsi="Times New Roman" w:cs="Times New Roman" w:eastAsia="Times New Roman" w:hint="default"/>
                <w:sz w:val="15"/>
                <w:szCs w:val="15"/>
              </w:rPr>
            </w:pPr>
            <w:r>
              <w:rPr>
                <w:rFonts w:ascii="Times New Roman"/>
                <w:spacing w:val="-1"/>
                <w:sz w:val="15"/>
              </w:rPr>
              <w:t>1,000,000.00</w:t>
            </w: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质押贷款净增加额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取得子公司及其他营业单位支付的现金净额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支付其他与投资活动有关的现金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sz w:val="15"/>
                <w:szCs w:val="15"/>
              </w:rPr>
              <w:t>投资活动现金流出小计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Times New Roman" w:hAnsi="Times New Roman" w:cs="Times New Roman" w:eastAsia="Times New Roman" w:hint="default"/>
                <w:sz w:val="15"/>
                <w:szCs w:val="15"/>
              </w:rPr>
            </w:pPr>
            <w:r>
              <w:rPr>
                <w:rFonts w:ascii="Times New Roman"/>
                <w:spacing w:val="-1"/>
                <w:sz w:val="15"/>
              </w:rPr>
              <w:t>16,149,299.79</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5"/>
                <w:szCs w:val="15"/>
              </w:rPr>
            </w:pPr>
            <w:r>
              <w:rPr>
                <w:rFonts w:ascii="Times New Roman"/>
                <w:spacing w:val="-1"/>
                <w:sz w:val="15"/>
              </w:rPr>
              <w:t>6,154,313.05</w:t>
            </w:r>
          </w:p>
        </w:tc>
      </w:tr>
      <w:tr>
        <w:trPr>
          <w:trHeight w:val="197"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投资活动产生的现金流量净额</w:t>
            </w:r>
            <w:r>
              <w:rPr>
                <w:rFonts w:ascii="宋体" w:hAnsi="宋体" w:cs="宋体" w:eastAsia="宋体" w:hint="default"/>
                <w:sz w:val="15"/>
                <w:szCs w:val="15"/>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Times New Roman" w:hAnsi="Times New Roman" w:cs="Times New Roman" w:eastAsia="Times New Roman" w:hint="default"/>
                <w:sz w:val="15"/>
                <w:szCs w:val="15"/>
              </w:rPr>
            </w:pPr>
            <w:r>
              <w:rPr>
                <w:rFonts w:ascii="Times New Roman"/>
                <w:spacing w:val="-1"/>
                <w:sz w:val="15"/>
              </w:rPr>
              <w:t>-15,853,125.72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5"/>
                <w:szCs w:val="15"/>
              </w:rPr>
            </w:pPr>
            <w:r>
              <w:rPr>
                <w:rFonts w:ascii="Times New Roman"/>
                <w:spacing w:val="-1"/>
                <w:sz w:val="15"/>
              </w:rPr>
              <w:t>-6,000,906.20</w:t>
            </w: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三、筹资活动产生的现金流量</w:t>
            </w:r>
            <w:r>
              <w:rPr>
                <w:rFonts w:ascii="宋体" w:hAnsi="宋体" w:cs="宋体" w:eastAsia="宋体" w:hint="default"/>
                <w:sz w:val="15"/>
                <w:szCs w:val="15"/>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吸收投资收到的现金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Times New Roman" w:hAnsi="Times New Roman" w:cs="Times New Roman" w:eastAsia="Times New Roman" w:hint="default"/>
                <w:sz w:val="15"/>
                <w:szCs w:val="15"/>
              </w:rPr>
            </w:pPr>
            <w:r>
              <w:rPr>
                <w:rFonts w:ascii="Times New Roman"/>
                <w:spacing w:val="-1"/>
                <w:sz w:val="15"/>
              </w:rPr>
              <w:t>771,878,094.68</w:t>
            </w: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其中：子公司吸收少数股东投资收到的现金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取得借款收到的现金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发行债券收到的现金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7"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405" w:right="0"/>
              <w:jc w:val="left"/>
              <w:rPr>
                <w:rFonts w:ascii="宋体" w:hAnsi="宋体" w:cs="宋体" w:eastAsia="宋体" w:hint="default"/>
                <w:sz w:val="15"/>
                <w:szCs w:val="15"/>
              </w:rPr>
            </w:pPr>
            <w:r>
              <w:rPr>
                <w:rFonts w:ascii="宋体" w:hAnsi="宋体" w:cs="宋体" w:eastAsia="宋体" w:hint="default"/>
                <w:sz w:val="15"/>
                <w:szCs w:val="15"/>
              </w:rPr>
              <w:t>收到其他与筹资活动有关的现金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sz w:val="15"/>
                <w:szCs w:val="15"/>
              </w:rPr>
              <w:t>筹资活动现金流入小计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Times New Roman" w:hAnsi="Times New Roman" w:cs="Times New Roman" w:eastAsia="Times New Roman" w:hint="default"/>
                <w:sz w:val="15"/>
                <w:szCs w:val="15"/>
              </w:rPr>
            </w:pPr>
            <w:r>
              <w:rPr>
                <w:rFonts w:ascii="Times New Roman"/>
                <w:spacing w:val="-1"/>
                <w:sz w:val="15"/>
              </w:rPr>
              <w:t>771,878,094.68</w:t>
            </w: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偿还债务支付的现金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分配股利、利润或偿付利息支付的现金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Times New Roman" w:hAnsi="Times New Roman" w:cs="Times New Roman" w:eastAsia="Times New Roman" w:hint="default"/>
                <w:sz w:val="15"/>
                <w:szCs w:val="15"/>
              </w:rPr>
            </w:pPr>
            <w:r>
              <w:rPr>
                <w:rFonts w:ascii="Times New Roman"/>
                <w:spacing w:val="-1"/>
                <w:sz w:val="15"/>
              </w:rPr>
              <w:t>34,717,344.60</w:t>
            </w: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其中：子公司支付给少数股东的股利、利润</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支付其他与筹资活动有关的现金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216"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三十五</w:t>
            </w:r>
            <w:r>
              <w:rPr>
                <w:rFonts w:ascii="Times New Roman" w:hAnsi="Times New Roman" w:cs="Times New Roman" w:eastAsia="Times New Roman" w:hint="default"/>
                <w:sz w:val="15"/>
                <w:szCs w:val="15"/>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Times New Roman" w:hAnsi="Times New Roman" w:cs="Times New Roman" w:eastAsia="Times New Roman" w:hint="default"/>
                <w:sz w:val="15"/>
                <w:szCs w:val="15"/>
              </w:rPr>
            </w:pPr>
            <w:r>
              <w:rPr>
                <w:rFonts w:ascii="Times New Roman"/>
                <w:spacing w:val="-1"/>
                <w:sz w:val="15"/>
              </w:rPr>
              <w:t>631,050.00</w:t>
            </w: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7"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03" w:right="0"/>
              <w:jc w:val="left"/>
              <w:rPr>
                <w:rFonts w:ascii="宋体" w:hAnsi="宋体" w:cs="宋体" w:eastAsia="宋体" w:hint="default"/>
                <w:sz w:val="15"/>
                <w:szCs w:val="15"/>
              </w:rPr>
            </w:pPr>
            <w:r>
              <w:rPr>
                <w:rFonts w:ascii="宋体" w:hAnsi="宋体" w:cs="宋体" w:eastAsia="宋体" w:hint="default"/>
                <w:sz w:val="15"/>
                <w:szCs w:val="15"/>
              </w:rPr>
              <w:t>筹资活动现金流出小计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Times New Roman" w:hAnsi="Times New Roman" w:cs="Times New Roman" w:eastAsia="Times New Roman" w:hint="default"/>
                <w:sz w:val="15"/>
                <w:szCs w:val="15"/>
              </w:rPr>
            </w:pPr>
            <w:r>
              <w:rPr>
                <w:rFonts w:ascii="Times New Roman"/>
                <w:spacing w:val="-1"/>
                <w:sz w:val="15"/>
              </w:rPr>
              <w:t>35,348,394.60</w:t>
            </w: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5"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筹资活动产生的现金流量净额</w:t>
            </w:r>
            <w:r>
              <w:rPr>
                <w:rFonts w:ascii="宋体" w:hAnsi="宋体" w:cs="宋体" w:eastAsia="宋体" w:hint="default"/>
                <w:sz w:val="15"/>
                <w:szCs w:val="15"/>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Times New Roman" w:hAnsi="Times New Roman" w:cs="Times New Roman" w:eastAsia="Times New Roman" w:hint="default"/>
                <w:sz w:val="15"/>
                <w:szCs w:val="15"/>
              </w:rPr>
            </w:pPr>
            <w:r>
              <w:rPr>
                <w:rFonts w:ascii="Times New Roman"/>
                <w:spacing w:val="-1"/>
                <w:sz w:val="15"/>
              </w:rPr>
              <w:t>736,529,700.08</w:t>
            </w: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四、汇率变动对现金及现金等价物的影响</w:t>
            </w:r>
            <w:r>
              <w:rPr>
                <w:rFonts w:ascii="宋体" w:hAnsi="宋体" w:cs="宋体" w:eastAsia="宋体" w:hint="default"/>
                <w:sz w:val="15"/>
                <w:szCs w:val="15"/>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Times New Roman" w:hAnsi="Times New Roman" w:cs="Times New Roman" w:eastAsia="Times New Roman" w:hint="default"/>
                <w:sz w:val="15"/>
                <w:szCs w:val="15"/>
              </w:rPr>
            </w:pPr>
            <w:r>
              <w:rPr>
                <w:rFonts w:ascii="Times New Roman"/>
                <w:spacing w:val="-1"/>
                <w:sz w:val="15"/>
              </w:rPr>
              <w:t>-107,810.61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Times New Roman" w:hAnsi="Times New Roman" w:cs="Times New Roman" w:eastAsia="Times New Roman" w:hint="default"/>
                <w:sz w:val="15"/>
                <w:szCs w:val="15"/>
              </w:rPr>
            </w:pPr>
            <w:r>
              <w:rPr>
                <w:rFonts w:ascii="Times New Roman"/>
                <w:spacing w:val="-1"/>
                <w:sz w:val="15"/>
              </w:rPr>
              <w:t>1,237,148.93</w:t>
            </w: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五、现金及现金等价物净增加额</w:t>
            </w:r>
            <w:r>
              <w:rPr>
                <w:rFonts w:ascii="宋体" w:hAnsi="宋体" w:cs="宋体" w:eastAsia="宋体" w:hint="default"/>
                <w:sz w:val="15"/>
                <w:szCs w:val="15"/>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Times New Roman" w:hAnsi="Times New Roman" w:cs="Times New Roman" w:eastAsia="Times New Roman" w:hint="default"/>
                <w:sz w:val="15"/>
                <w:szCs w:val="15"/>
              </w:rPr>
            </w:pPr>
            <w:r>
              <w:rPr>
                <w:rFonts w:ascii="Times New Roman"/>
                <w:spacing w:val="-1"/>
                <w:sz w:val="15"/>
              </w:rPr>
              <w:t>765,120,858.10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Times New Roman" w:hAnsi="Times New Roman" w:cs="Times New Roman" w:eastAsia="Times New Roman" w:hint="default"/>
                <w:sz w:val="15"/>
                <w:szCs w:val="15"/>
              </w:rPr>
            </w:pPr>
            <w:r>
              <w:rPr>
                <w:rFonts w:ascii="Times New Roman"/>
                <w:spacing w:val="-1"/>
                <w:sz w:val="15"/>
              </w:rPr>
              <w:t>29,265,949.14</w:t>
            </w: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加：期初现金及现金等价物余额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Times New Roman" w:hAnsi="Times New Roman" w:cs="Times New Roman" w:eastAsia="Times New Roman" w:hint="default"/>
                <w:sz w:val="15"/>
                <w:szCs w:val="15"/>
              </w:rPr>
            </w:pPr>
            <w:r>
              <w:rPr>
                <w:rFonts w:ascii="Times New Roman"/>
                <w:spacing w:val="-1"/>
                <w:sz w:val="15"/>
              </w:rPr>
              <w:t>171,545,154.07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5"/>
                <w:szCs w:val="15"/>
              </w:rPr>
            </w:pPr>
            <w:r>
              <w:rPr>
                <w:rFonts w:ascii="Times New Roman"/>
                <w:spacing w:val="-1"/>
                <w:sz w:val="15"/>
              </w:rPr>
              <w:t>142,279,204.93</w:t>
            </w:r>
          </w:p>
        </w:tc>
      </w:tr>
      <w:tr>
        <w:trPr>
          <w:trHeight w:val="197"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六、期末现金及现金等价物余额</w:t>
            </w:r>
            <w:r>
              <w:rPr>
                <w:rFonts w:ascii="宋体" w:hAnsi="宋体" w:cs="宋体" w:eastAsia="宋体" w:hint="default"/>
                <w:sz w:val="15"/>
                <w:szCs w:val="15"/>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Times New Roman" w:hAnsi="Times New Roman" w:cs="Times New Roman" w:eastAsia="Times New Roman" w:hint="default"/>
                <w:sz w:val="15"/>
                <w:szCs w:val="15"/>
              </w:rPr>
            </w:pPr>
            <w:r>
              <w:rPr>
                <w:rFonts w:ascii="Times New Roman"/>
                <w:spacing w:val="-1"/>
                <w:sz w:val="15"/>
              </w:rPr>
              <w:t>936,666,012.17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5"/>
                <w:szCs w:val="15"/>
              </w:rPr>
            </w:pPr>
            <w:r>
              <w:rPr>
                <w:rFonts w:ascii="Times New Roman"/>
                <w:spacing w:val="-1"/>
                <w:sz w:val="15"/>
              </w:rPr>
              <w:t>171,545,154.07</w:t>
            </w:r>
          </w:p>
        </w:tc>
      </w:tr>
    </w:tbl>
    <w:p>
      <w:pPr>
        <w:spacing w:line="240" w:lineRule="auto" w:before="1"/>
        <w:rPr>
          <w:rFonts w:ascii="宋体" w:hAnsi="宋体" w:cs="宋体" w:eastAsia="宋体" w:hint="default"/>
          <w:b/>
          <w:bCs/>
          <w:sz w:val="21"/>
          <w:szCs w:val="21"/>
        </w:rPr>
      </w:pPr>
    </w:p>
    <w:p>
      <w:pPr>
        <w:spacing w:before="44"/>
        <w:ind w:left="538"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10"/>
        <w:rPr>
          <w:rFonts w:ascii="宋体" w:hAnsi="宋体" w:cs="宋体" w:eastAsia="宋体" w:hint="default"/>
          <w:sz w:val="21"/>
          <w:szCs w:val="21"/>
        </w:rPr>
      </w:pPr>
    </w:p>
    <w:p>
      <w:pPr>
        <w:tabs>
          <w:tab w:pos="3783" w:val="left" w:leader="none"/>
          <w:tab w:pos="6934" w:val="left" w:leader="none"/>
        </w:tabs>
        <w:spacing w:before="0"/>
        <w:ind w:left="538"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r>
      <w:r>
        <w:rPr>
          <w:rFonts w:ascii="宋体" w:hAnsi="宋体" w:cs="宋体" w:eastAsia="宋体" w:hint="default"/>
          <w:spacing w:val="-1"/>
          <w:sz w:val="18"/>
          <w:szCs w:val="18"/>
        </w:rPr>
        <w:t>主管会计工作负责人：</w:t>
        <w:tab/>
        <w:t>会计机构负责人：</w:t>
      </w:r>
    </w:p>
    <w:p>
      <w:pPr>
        <w:spacing w:after="0"/>
        <w:jc w:val="left"/>
        <w:rPr>
          <w:rFonts w:ascii="宋体" w:hAnsi="宋体" w:cs="宋体" w:eastAsia="宋体" w:hint="default"/>
          <w:sz w:val="18"/>
          <w:szCs w:val="18"/>
        </w:rPr>
        <w:sectPr>
          <w:pgSz w:w="11910" w:h="16840"/>
          <w:pgMar w:header="884" w:footer="980" w:top="1080" w:bottom="1160" w:left="1260" w:right="1640"/>
        </w:sectPr>
      </w:pPr>
    </w:p>
    <w:p>
      <w:pPr>
        <w:spacing w:line="240" w:lineRule="auto" w:before="10"/>
        <w:rPr>
          <w:rFonts w:ascii="宋体" w:hAnsi="宋体" w:cs="宋体" w:eastAsia="宋体" w:hint="default"/>
          <w:sz w:val="3"/>
          <w:szCs w:val="3"/>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73" w:lineRule="auto" w:before="0"/>
        <w:ind w:left="5177" w:right="5153" w:firstLine="0"/>
        <w:jc w:val="center"/>
        <w:rPr>
          <w:rFonts w:ascii="宋体" w:hAnsi="宋体" w:cs="宋体" w:eastAsia="宋体" w:hint="default"/>
          <w:sz w:val="21"/>
          <w:szCs w:val="21"/>
        </w:rPr>
      </w:pPr>
      <w:r>
        <w:rPr>
          <w:rFonts w:ascii="宋体" w:hAnsi="宋体" w:cs="宋体" w:eastAsia="宋体" w:hint="default"/>
          <w:b/>
          <w:bCs/>
          <w:spacing w:val="-1"/>
          <w:sz w:val="21"/>
          <w:szCs w:val="21"/>
        </w:rPr>
        <w:t>上海汉得信息技术股份有限公司</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b/>
          <w:bCs/>
          <w:sz w:val="21"/>
          <w:szCs w:val="21"/>
        </w:rPr>
        <w:t>所有者权益变动表</w:t>
      </w:r>
      <w:r>
        <w:rPr>
          <w:rFonts w:ascii="宋体" w:hAnsi="宋体" w:cs="宋体" w:eastAsia="宋体" w:hint="default"/>
          <w:sz w:val="21"/>
          <w:szCs w:val="21"/>
        </w:rPr>
      </w:r>
    </w:p>
    <w:p>
      <w:pPr>
        <w:spacing w:before="7"/>
        <w:ind w:left="5177" w:right="5155" w:firstLine="0"/>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spacing w:before="74"/>
        <w:ind w:left="5177" w:right="5155"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5"/>
        <w:rPr>
          <w:rFonts w:ascii="宋体" w:hAnsi="宋体" w:cs="宋体" w:eastAsia="宋体" w:hint="default"/>
          <w:b/>
          <w:bCs/>
          <w:sz w:val="10"/>
          <w:szCs w:val="10"/>
        </w:rPr>
      </w:pPr>
    </w:p>
    <w:tbl>
      <w:tblPr>
        <w:tblW w:w="0" w:type="auto"/>
        <w:jc w:val="left"/>
        <w:tblInd w:w="107" w:type="dxa"/>
        <w:tblLayout w:type="fixed"/>
        <w:tblCellMar>
          <w:top w:w="0" w:type="dxa"/>
          <w:left w:w="0" w:type="dxa"/>
          <w:bottom w:w="0" w:type="dxa"/>
          <w:right w:w="0" w:type="dxa"/>
        </w:tblCellMar>
        <w:tblLook w:val="01E0"/>
      </w:tblPr>
      <w:tblGrid>
        <w:gridCol w:w="3529"/>
        <w:gridCol w:w="1452"/>
        <w:gridCol w:w="1428"/>
        <w:gridCol w:w="900"/>
        <w:gridCol w:w="1260"/>
        <w:gridCol w:w="1261"/>
        <w:gridCol w:w="1260"/>
        <w:gridCol w:w="1440"/>
        <w:gridCol w:w="1620"/>
      </w:tblGrid>
      <w:tr>
        <w:trPr>
          <w:trHeight w:val="238" w:hRule="exact"/>
        </w:trPr>
        <w:tc>
          <w:tcPr>
            <w:tcW w:w="3529" w:type="dxa"/>
            <w:vMerge w:val="restart"/>
            <w:tcBorders>
              <w:top w:val="single" w:sz="4" w:space="0" w:color="000000"/>
              <w:left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0621" w:type="dxa"/>
            <w:gridSpan w:val="8"/>
            <w:tcBorders>
              <w:top w:val="single" w:sz="4" w:space="0" w:color="000000"/>
              <w:left w:val="single" w:sz="4" w:space="0" w:color="000000"/>
              <w:bottom w:val="single" w:sz="4" w:space="0" w:color="000000"/>
              <w:right w:val="single" w:sz="4" w:space="0" w:color="000000"/>
            </w:tcBorders>
          </w:tcPr>
          <w:p>
            <w:pPr>
              <w:pStyle w:val="TableParagraph"/>
              <w:spacing w:line="177" w:lineRule="exact"/>
              <w:ind w:right="0"/>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238" w:hRule="exact"/>
        </w:trPr>
        <w:tc>
          <w:tcPr>
            <w:tcW w:w="3529" w:type="dxa"/>
            <w:vMerge/>
            <w:tcBorders>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42"/>
              <w:jc w:val="right"/>
              <w:rPr>
                <w:rFonts w:ascii="Times New Roman" w:hAnsi="Times New Roman" w:cs="Times New Roman" w:eastAsia="Times New Roman" w:hint="default"/>
                <w:sz w:val="15"/>
                <w:szCs w:val="15"/>
              </w:rPr>
            </w:pPr>
            <w:r>
              <w:rPr>
                <w:rFonts w:ascii="宋体" w:hAnsi="宋体" w:cs="宋体" w:eastAsia="宋体" w:hint="default"/>
                <w:spacing w:val="-1"/>
                <w:sz w:val="15"/>
                <w:szCs w:val="15"/>
              </w:rPr>
              <w:t>实收资本</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或股本</w:t>
            </w:r>
            <w:r>
              <w:rPr>
                <w:rFonts w:ascii="Times New Roman" w:hAnsi="Times New Roman" w:cs="Times New Roman" w:eastAsia="Times New Roman" w:hint="default"/>
                <w:spacing w:val="-1"/>
                <w:sz w:val="15"/>
                <w:szCs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7"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2" w:right="0"/>
              <w:jc w:val="center"/>
              <w:rPr>
                <w:rFonts w:ascii="宋体" w:hAnsi="宋体" w:cs="宋体" w:eastAsia="宋体" w:hint="default"/>
                <w:sz w:val="15"/>
                <w:szCs w:val="15"/>
              </w:rPr>
            </w:pPr>
            <w:r>
              <w:rPr>
                <w:rFonts w:ascii="宋体" w:hAnsi="宋体" w:cs="宋体" w:eastAsia="宋体" w:hint="default"/>
                <w:w w:val="100"/>
                <w:sz w:val="15"/>
                <w:szCs w:val="15"/>
              </w:rPr>
              <w:t>减</w:t>
            </w:r>
            <w:r>
              <w:rPr>
                <w:rFonts w:ascii="宋体" w:hAnsi="宋体" w:cs="宋体" w:eastAsia="宋体" w:hint="default"/>
                <w:spacing w:val="-68"/>
                <w:w w:val="100"/>
                <w:sz w:val="15"/>
                <w:szCs w:val="15"/>
              </w:rPr>
              <w:t>：</w:t>
            </w:r>
            <w:r>
              <w:rPr>
                <w:rFonts w:ascii="宋体" w:hAnsi="宋体" w:cs="宋体" w:eastAsia="宋体" w:hint="default"/>
                <w:w w:val="100"/>
                <w:sz w:val="15"/>
                <w:szCs w:val="15"/>
              </w:rPr>
              <w:t>库</w:t>
            </w:r>
            <w:r>
              <w:rPr>
                <w:rFonts w:ascii="宋体" w:hAnsi="宋体" w:cs="宋体" w:eastAsia="宋体" w:hint="default"/>
                <w:spacing w:val="-3"/>
                <w:w w:val="100"/>
                <w:sz w:val="15"/>
                <w:szCs w:val="15"/>
              </w:rPr>
              <w:t>存</w:t>
            </w:r>
            <w:r>
              <w:rPr>
                <w:rFonts w:ascii="宋体" w:hAnsi="宋体" w:cs="宋体" w:eastAsia="宋体" w:hint="default"/>
                <w:w w:val="100"/>
                <w:sz w:val="15"/>
                <w:szCs w:val="15"/>
              </w:rPr>
              <w:t>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323"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32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75"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338"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278"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38"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85,724,482.00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55,076,131.59</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6,373,797.57</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75,975,571.97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223,149,983.13</w:t>
            </w:r>
          </w:p>
        </w:tc>
      </w:tr>
      <w:tr>
        <w:trPr>
          <w:trHeight w:val="235"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254"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554"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55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5"/>
                <w:szCs w:val="15"/>
              </w:rPr>
            </w:pPr>
            <w:r>
              <w:rPr>
                <w:rFonts w:ascii="Times New Roman"/>
                <w:spacing w:val="-1"/>
                <w:sz w:val="15"/>
              </w:rPr>
              <w:t>85,724,482.00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5"/>
                <w:szCs w:val="15"/>
              </w:rPr>
            </w:pPr>
            <w:r>
              <w:rPr>
                <w:rFonts w:ascii="Times New Roman"/>
                <w:spacing w:val="-1"/>
                <w:sz w:val="15"/>
              </w:rPr>
              <w:t>55,076,131.59</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5"/>
                <w:szCs w:val="15"/>
              </w:rPr>
            </w:pPr>
            <w:r>
              <w:rPr>
                <w:rFonts w:ascii="Times New Roman"/>
                <w:spacing w:val="-1"/>
                <w:sz w:val="15"/>
              </w:rPr>
              <w:t>6,373,797.57</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5"/>
                <w:szCs w:val="15"/>
              </w:rPr>
            </w:pPr>
            <w:r>
              <w:rPr>
                <w:rFonts w:ascii="Times New Roman"/>
                <w:spacing w:val="-1"/>
                <w:sz w:val="15"/>
              </w:rPr>
              <w:t>75,975,571.97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5"/>
                <w:szCs w:val="15"/>
              </w:rPr>
            </w:pPr>
            <w:r>
              <w:rPr>
                <w:rFonts w:ascii="Times New Roman"/>
                <w:spacing w:val="-1"/>
                <w:sz w:val="15"/>
              </w:rPr>
              <w:t>223,149,983.13</w:t>
            </w:r>
          </w:p>
        </w:tc>
      </w:tr>
      <w:tr>
        <w:trPr>
          <w:trHeight w:val="235"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82,283,292.00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5"/>
                <w:szCs w:val="15"/>
              </w:rPr>
            </w:pPr>
            <w:r>
              <w:rPr>
                <w:rFonts w:ascii="Times New Roman"/>
                <w:spacing w:val="-1"/>
                <w:sz w:val="15"/>
              </w:rPr>
              <w:t>692,896,928.89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4" w:right="0"/>
              <w:jc w:val="center"/>
              <w:rPr>
                <w:rFonts w:ascii="Times New Roman" w:hAnsi="Times New Roman" w:cs="Times New Roman" w:eastAsia="Times New Roman" w:hint="default"/>
                <w:sz w:val="15"/>
                <w:szCs w:val="15"/>
              </w:rPr>
            </w:pPr>
            <w:r>
              <w:rPr>
                <w:rFonts w:ascii="Times New Roman"/>
                <w:sz w:val="15"/>
              </w:rPr>
              <w:t>65,000.00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5"/>
                <w:szCs w:val="15"/>
              </w:rPr>
            </w:pPr>
            <w:r>
              <w:rPr>
                <w:rFonts w:ascii="Times New Roman"/>
                <w:spacing w:val="-1"/>
                <w:sz w:val="15"/>
              </w:rPr>
              <w:t>9,386,614.09</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5"/>
                <w:szCs w:val="15"/>
              </w:rPr>
            </w:pPr>
            <w:r>
              <w:rPr>
                <w:rFonts w:ascii="Times New Roman"/>
                <w:spacing w:val="-1"/>
                <w:sz w:val="15"/>
              </w:rPr>
              <w:t>49,762,182.17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834,264,017.15</w:t>
            </w:r>
          </w:p>
        </w:tc>
      </w:tr>
      <w:tr>
        <w:trPr>
          <w:trHeight w:val="238"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93,866,140.86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93,866,140.86</w:t>
            </w:r>
          </w:p>
        </w:tc>
      </w:tr>
      <w:tr>
        <w:trPr>
          <w:trHeight w:val="238"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80"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93,866,140.86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93,866,140.86</w:t>
            </w:r>
          </w:p>
        </w:tc>
      </w:tr>
      <w:tr>
        <w:trPr>
          <w:trHeight w:val="235"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35,993,500.00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5"/>
                <w:szCs w:val="15"/>
              </w:rPr>
            </w:pPr>
            <w:r>
              <w:rPr>
                <w:rFonts w:ascii="Times New Roman"/>
                <w:spacing w:val="-1"/>
                <w:sz w:val="15"/>
              </w:rPr>
              <w:t>739,186,720.89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4" w:right="0"/>
              <w:jc w:val="center"/>
              <w:rPr>
                <w:rFonts w:ascii="Times New Roman" w:hAnsi="Times New Roman" w:cs="Times New Roman" w:eastAsia="Times New Roman" w:hint="default"/>
                <w:sz w:val="15"/>
                <w:szCs w:val="15"/>
              </w:rPr>
            </w:pPr>
            <w:r>
              <w:rPr>
                <w:rFonts w:ascii="Times New Roman"/>
                <w:sz w:val="15"/>
              </w:rPr>
              <w:t>65,000.00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2"/>
                <w:sz w:val="15"/>
              </w:rPr>
              <w:t>775,115,220.89</w:t>
            </w:r>
          </w:p>
        </w:tc>
      </w:tr>
      <w:tr>
        <w:trPr>
          <w:trHeight w:val="238"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35,993,500.00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735,884,594.68</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771,878,094.68</w:t>
            </w:r>
          </w:p>
        </w:tc>
      </w:tr>
      <w:tr>
        <w:trPr>
          <w:trHeight w:val="238"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3,868,176.21</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3,868,176.21</w:t>
            </w:r>
          </w:p>
        </w:tc>
      </w:tr>
      <w:tr>
        <w:trPr>
          <w:trHeight w:val="238"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-566,050.00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4" w:right="0"/>
              <w:jc w:val="center"/>
              <w:rPr>
                <w:rFonts w:ascii="Times New Roman" w:hAnsi="Times New Roman" w:cs="Times New Roman" w:eastAsia="Times New Roman" w:hint="default"/>
                <w:sz w:val="15"/>
                <w:szCs w:val="15"/>
              </w:rPr>
            </w:pPr>
            <w:r>
              <w:rPr>
                <w:rFonts w:ascii="Times New Roman"/>
                <w:sz w:val="15"/>
              </w:rPr>
              <w:t>65,000.00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-631,050.00</w:t>
            </w:r>
          </w:p>
        </w:tc>
      </w:tr>
      <w:tr>
        <w:trPr>
          <w:trHeight w:val="235"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5"/>
                <w:szCs w:val="15"/>
              </w:rPr>
            </w:pPr>
            <w:r>
              <w:rPr>
                <w:rFonts w:ascii="Times New Roman"/>
                <w:spacing w:val="-1"/>
                <w:sz w:val="15"/>
              </w:rPr>
              <w:t>9,386,614.09</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5"/>
                <w:szCs w:val="15"/>
              </w:rPr>
            </w:pPr>
            <w:r>
              <w:rPr>
                <w:rFonts w:ascii="Times New Roman"/>
                <w:spacing w:val="-1"/>
                <w:sz w:val="15"/>
              </w:rPr>
              <w:t>-44,103,958.69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-34,717,344.60</w:t>
            </w:r>
          </w:p>
        </w:tc>
      </w:tr>
      <w:tr>
        <w:trPr>
          <w:trHeight w:val="238"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9,386,614.09</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-9,386,614.09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-34,717,344.60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-34,717,344.60</w:t>
            </w:r>
          </w:p>
        </w:tc>
      </w:tr>
      <w:tr>
        <w:trPr>
          <w:trHeight w:val="235"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46,289,792.00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-46,289,792.00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46,289,792.00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-46,289,792.00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168,007,774.00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747,973,060.48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4" w:right="0"/>
              <w:jc w:val="center"/>
              <w:rPr>
                <w:rFonts w:ascii="Times New Roman" w:hAnsi="Times New Roman" w:cs="Times New Roman" w:eastAsia="Times New Roman" w:hint="default"/>
                <w:sz w:val="15"/>
                <w:szCs w:val="15"/>
              </w:rPr>
            </w:pPr>
            <w:r>
              <w:rPr>
                <w:rFonts w:ascii="Times New Roman"/>
                <w:sz w:val="15"/>
              </w:rPr>
              <w:t>65,000.00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2"/>
                <w:sz w:val="15"/>
              </w:rPr>
              <w:t>15,760,411.66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125,737,754.14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1,057,414,000.28</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spacing w:before="44"/>
        <w:ind w:left="220"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8"/>
        <w:rPr>
          <w:rFonts w:ascii="宋体" w:hAnsi="宋体" w:cs="宋体" w:eastAsia="宋体" w:hint="default"/>
          <w:sz w:val="12"/>
          <w:szCs w:val="12"/>
        </w:rPr>
      </w:pPr>
    </w:p>
    <w:p>
      <w:pPr>
        <w:tabs>
          <w:tab w:pos="4992" w:val="left" w:leader="none"/>
          <w:tab w:pos="9226" w:val="left" w:leader="none"/>
        </w:tabs>
        <w:spacing w:before="0"/>
        <w:ind w:left="220"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t>主管会计工作负责人：</w:t>
        <w:tab/>
        <w:t>会计机构负责人：</w:t>
      </w:r>
    </w:p>
    <w:p>
      <w:pPr>
        <w:spacing w:after="0"/>
        <w:jc w:val="left"/>
        <w:rPr>
          <w:rFonts w:ascii="宋体" w:hAnsi="宋体" w:cs="宋体" w:eastAsia="宋体" w:hint="default"/>
          <w:sz w:val="18"/>
          <w:szCs w:val="18"/>
        </w:rPr>
        <w:sectPr>
          <w:headerReference w:type="default" r:id="rId14"/>
          <w:footerReference w:type="default" r:id="rId15"/>
          <w:pgSz w:w="16840" w:h="11910" w:orient="landscape"/>
          <w:pgMar w:header="579" w:footer="980" w:top="780" w:bottom="1160" w:left="1220" w:right="1240"/>
          <w:pgNumType w:start="78"/>
        </w:sectPr>
      </w:pPr>
    </w:p>
    <w:p>
      <w:pPr>
        <w:spacing w:line="240" w:lineRule="auto" w:before="10"/>
        <w:rPr>
          <w:rFonts w:ascii="宋体" w:hAnsi="宋体" w:cs="宋体" w:eastAsia="宋体" w:hint="default"/>
          <w:sz w:val="3"/>
          <w:szCs w:val="3"/>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73" w:lineRule="auto" w:before="0"/>
        <w:ind w:left="5177" w:right="5153" w:firstLine="0"/>
        <w:jc w:val="center"/>
        <w:rPr>
          <w:rFonts w:ascii="宋体" w:hAnsi="宋体" w:cs="宋体" w:eastAsia="宋体" w:hint="default"/>
          <w:sz w:val="21"/>
          <w:szCs w:val="21"/>
        </w:rPr>
      </w:pPr>
      <w:r>
        <w:rPr>
          <w:rFonts w:ascii="宋体" w:hAnsi="宋体" w:cs="宋体" w:eastAsia="宋体" w:hint="default"/>
          <w:b/>
          <w:bCs/>
          <w:spacing w:val="-1"/>
          <w:sz w:val="21"/>
          <w:szCs w:val="21"/>
        </w:rPr>
        <w:t>上海汉得信息技术股份有限公司</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b/>
          <w:bCs/>
          <w:sz w:val="21"/>
          <w:szCs w:val="21"/>
        </w:rPr>
        <w:t>所有者权益变动表（续）</w:t>
      </w:r>
      <w:r>
        <w:rPr>
          <w:rFonts w:ascii="宋体" w:hAnsi="宋体" w:cs="宋体" w:eastAsia="宋体" w:hint="default"/>
          <w:sz w:val="21"/>
          <w:szCs w:val="21"/>
        </w:rPr>
      </w:r>
    </w:p>
    <w:p>
      <w:pPr>
        <w:spacing w:before="7"/>
        <w:ind w:left="5177" w:right="5155" w:firstLine="0"/>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spacing w:before="21"/>
        <w:ind w:left="5177" w:right="5155"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07" w:type="dxa"/>
        <w:tblLayout w:type="fixed"/>
        <w:tblCellMar>
          <w:top w:w="0" w:type="dxa"/>
          <w:left w:w="0" w:type="dxa"/>
          <w:bottom w:w="0" w:type="dxa"/>
          <w:right w:w="0" w:type="dxa"/>
        </w:tblCellMar>
        <w:tblLook w:val="01E0"/>
      </w:tblPr>
      <w:tblGrid>
        <w:gridCol w:w="3529"/>
        <w:gridCol w:w="1452"/>
        <w:gridCol w:w="1428"/>
        <w:gridCol w:w="900"/>
        <w:gridCol w:w="1260"/>
        <w:gridCol w:w="1261"/>
        <w:gridCol w:w="1260"/>
        <w:gridCol w:w="1440"/>
        <w:gridCol w:w="1620"/>
      </w:tblGrid>
      <w:tr>
        <w:trPr>
          <w:trHeight w:val="322" w:hRule="exact"/>
        </w:trPr>
        <w:tc>
          <w:tcPr>
            <w:tcW w:w="352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062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322" w:hRule="exact"/>
        </w:trPr>
        <w:tc>
          <w:tcPr>
            <w:tcW w:w="3529" w:type="dxa"/>
            <w:vMerge/>
            <w:tcBorders>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实收资本</w:t>
            </w:r>
            <w:r>
              <w:rPr>
                <w:rFonts w:ascii="Times New Roman" w:hAnsi="Times New Roman" w:cs="Times New Roman" w:eastAsia="Times New Roman" w:hint="default"/>
                <w:sz w:val="15"/>
                <w:szCs w:val="15"/>
              </w:rPr>
              <w:t>(</w:t>
            </w:r>
            <w:r>
              <w:rPr>
                <w:rFonts w:ascii="宋体" w:hAnsi="宋体" w:cs="宋体" w:eastAsia="宋体" w:hint="default"/>
                <w:sz w:val="15"/>
                <w:szCs w:val="15"/>
              </w:rPr>
              <w:t>或股本</w:t>
            </w:r>
            <w:r>
              <w:rPr>
                <w:rFonts w:ascii="Times New Roman" w:hAnsi="Times New Roman" w:cs="Times New Roman" w:eastAsia="Times New Roman" w:hint="default"/>
                <w:sz w:val="15"/>
                <w:szCs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资本公积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w w:val="100"/>
                <w:sz w:val="15"/>
                <w:szCs w:val="15"/>
              </w:rPr>
              <w:t>减</w:t>
            </w:r>
            <w:r>
              <w:rPr>
                <w:rFonts w:ascii="宋体" w:hAnsi="宋体" w:cs="宋体" w:eastAsia="宋体" w:hint="default"/>
                <w:spacing w:val="-68"/>
                <w:w w:val="100"/>
                <w:sz w:val="15"/>
                <w:szCs w:val="15"/>
              </w:rPr>
              <w:t>：</w:t>
            </w:r>
            <w:r>
              <w:rPr>
                <w:rFonts w:ascii="宋体" w:hAnsi="宋体" w:cs="宋体" w:eastAsia="宋体" w:hint="default"/>
                <w:w w:val="100"/>
                <w:sz w:val="15"/>
                <w:szCs w:val="15"/>
              </w:rPr>
              <w:t>库</w:t>
            </w:r>
            <w:r>
              <w:rPr>
                <w:rFonts w:ascii="宋体" w:hAnsi="宋体" w:cs="宋体" w:eastAsia="宋体" w:hint="default"/>
                <w:spacing w:val="-3"/>
                <w:w w:val="100"/>
                <w:sz w:val="15"/>
                <w:szCs w:val="15"/>
              </w:rPr>
              <w:t>存</w:t>
            </w:r>
            <w:r>
              <w:rPr>
                <w:rFonts w:ascii="宋体" w:hAnsi="宋体" w:cs="宋体" w:eastAsia="宋体" w:hint="default"/>
                <w:w w:val="100"/>
                <w:sz w:val="15"/>
                <w:szCs w:val="15"/>
              </w:rPr>
              <w:t>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23"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盈余公积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75"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未分配利润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76"/>
              <w:jc w:val="right"/>
              <w:rPr>
                <w:rFonts w:ascii="宋体" w:hAnsi="宋体" w:cs="宋体" w:eastAsia="宋体" w:hint="default"/>
                <w:sz w:val="15"/>
                <w:szCs w:val="15"/>
              </w:rPr>
            </w:pPr>
            <w:r>
              <w:rPr>
                <w:rFonts w:ascii="宋体" w:hAnsi="宋体" w:cs="宋体" w:eastAsia="宋体" w:hint="default"/>
                <w:spacing w:val="-1"/>
                <w:sz w:val="15"/>
                <w:szCs w:val="15"/>
              </w:rPr>
              <w:t>所有者权益合计</w:t>
            </w:r>
          </w:p>
        </w:tc>
      </w:tr>
      <w:tr>
        <w:trPr>
          <w:trHeight w:val="322"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159"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17,795,387.00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9,087,878.45</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132,084,922.50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333"/>
              <w:jc w:val="right"/>
              <w:rPr>
                <w:rFonts w:ascii="Times New Roman" w:hAnsi="Times New Roman" w:cs="Times New Roman" w:eastAsia="Times New Roman" w:hint="default"/>
                <w:sz w:val="15"/>
                <w:szCs w:val="15"/>
              </w:rPr>
            </w:pPr>
            <w:r>
              <w:rPr>
                <w:rFonts w:ascii="Times New Roman"/>
                <w:spacing w:val="-1"/>
                <w:sz w:val="15"/>
              </w:rPr>
              <w:t>158,968,187.95</w:t>
            </w:r>
          </w:p>
        </w:tc>
      </w:tr>
      <w:tr>
        <w:trPr>
          <w:trHeight w:val="322"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3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53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51"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159"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17,795,387.00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9,087,878.45</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132,084,922.50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333"/>
              <w:jc w:val="right"/>
              <w:rPr>
                <w:rFonts w:ascii="Times New Roman" w:hAnsi="Times New Roman" w:cs="Times New Roman" w:eastAsia="Times New Roman" w:hint="default"/>
                <w:sz w:val="15"/>
                <w:szCs w:val="15"/>
              </w:rPr>
            </w:pPr>
            <w:r>
              <w:rPr>
                <w:rFonts w:ascii="Times New Roman"/>
                <w:spacing w:val="-1"/>
                <w:sz w:val="15"/>
              </w:rPr>
              <w:t>158,968,187.95</w:t>
            </w:r>
          </w:p>
        </w:tc>
      </w:tr>
      <w:tr>
        <w:trPr>
          <w:trHeight w:val="322"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67,929,095.00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55,076,131.59</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-2,714,080.88</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-56,109,350.53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371"/>
              <w:jc w:val="right"/>
              <w:rPr>
                <w:rFonts w:ascii="Times New Roman" w:hAnsi="Times New Roman" w:cs="Times New Roman" w:eastAsia="Times New Roman" w:hint="default"/>
                <w:sz w:val="15"/>
                <w:szCs w:val="15"/>
              </w:rPr>
            </w:pPr>
            <w:r>
              <w:rPr>
                <w:rFonts w:ascii="Times New Roman"/>
                <w:spacing w:val="-1"/>
                <w:sz w:val="15"/>
              </w:rPr>
              <w:t>64,181,795.18</w:t>
            </w:r>
          </w:p>
        </w:tc>
      </w:tr>
      <w:tr>
        <w:trPr>
          <w:trHeight w:val="322"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（一）净利润</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63,737,975.68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371"/>
              <w:jc w:val="right"/>
              <w:rPr>
                <w:rFonts w:ascii="Times New Roman" w:hAnsi="Times New Roman" w:cs="Times New Roman" w:eastAsia="Times New Roman" w:hint="default"/>
                <w:sz w:val="15"/>
                <w:szCs w:val="15"/>
              </w:rPr>
            </w:pPr>
            <w:r>
              <w:rPr>
                <w:rFonts w:ascii="Times New Roman"/>
                <w:spacing w:val="-1"/>
                <w:sz w:val="15"/>
              </w:rPr>
              <w:t>63,737,975.68</w:t>
            </w:r>
          </w:p>
        </w:tc>
      </w:tr>
      <w:tr>
        <w:trPr>
          <w:trHeight w:val="322"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82"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7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63,737,975.68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371"/>
              <w:jc w:val="right"/>
              <w:rPr>
                <w:rFonts w:ascii="Times New Roman" w:hAnsi="Times New Roman" w:cs="Times New Roman" w:eastAsia="Times New Roman" w:hint="default"/>
                <w:sz w:val="15"/>
                <w:szCs w:val="15"/>
              </w:rPr>
            </w:pPr>
            <w:r>
              <w:rPr>
                <w:rFonts w:ascii="Times New Roman"/>
                <w:spacing w:val="-1"/>
                <w:sz w:val="15"/>
              </w:rPr>
              <w:t>63,737,975.68</w:t>
            </w:r>
          </w:p>
        </w:tc>
      </w:tr>
      <w:tr>
        <w:trPr>
          <w:trHeight w:val="324"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82"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443,819.50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68" w:right="0"/>
              <w:jc w:val="left"/>
              <w:rPr>
                <w:rFonts w:ascii="Times New Roman" w:hAnsi="Times New Roman" w:cs="Times New Roman" w:eastAsia="Times New Roman" w:hint="default"/>
                <w:sz w:val="15"/>
                <w:szCs w:val="15"/>
              </w:rPr>
            </w:pPr>
            <w:r>
              <w:rPr>
                <w:rFonts w:ascii="Times New Roman"/>
                <w:sz w:val="15"/>
              </w:rPr>
              <w:t>443,819.50</w:t>
            </w:r>
          </w:p>
        </w:tc>
      </w:tr>
      <w:tr>
        <w:trPr>
          <w:trHeight w:val="322"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15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3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8"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443,819.50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68" w:right="0"/>
              <w:jc w:val="left"/>
              <w:rPr>
                <w:rFonts w:ascii="Times New Roman" w:hAnsi="Times New Roman" w:cs="Times New Roman" w:eastAsia="Times New Roman" w:hint="default"/>
                <w:sz w:val="15"/>
                <w:szCs w:val="15"/>
              </w:rPr>
            </w:pPr>
            <w:r>
              <w:rPr>
                <w:rFonts w:ascii="Times New Roman"/>
                <w:sz w:val="15"/>
              </w:rPr>
              <w:t>443,819.50</w:t>
            </w:r>
          </w:p>
        </w:tc>
      </w:tr>
      <w:tr>
        <w:trPr>
          <w:trHeight w:val="322"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15"/>
                <w:szCs w:val="15"/>
              </w:rPr>
            </w:pPr>
            <w:r>
              <w:rPr>
                <w:rFonts w:ascii="宋体" w:hAnsi="宋体" w:cs="宋体" w:eastAsia="宋体" w:hint="default"/>
                <w:sz w:val="15"/>
                <w:szCs w:val="15"/>
              </w:rPr>
              <w:t>（四）利润分配</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67,929,095.00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45,544,433.64</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6,373,797.57</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-119,847,326.21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3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6,373,797.57</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-6,373,797.57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8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8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67,929,095.00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45,544,433.64</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-113,473,528.64</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8"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59"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9,087,878.45</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-9,087,878.45</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9,087,878.45</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-9,087,878.45</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8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8"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15"/>
                <w:szCs w:val="15"/>
              </w:rPr>
            </w:pPr>
            <w:r>
              <w:rPr>
                <w:rFonts w:ascii="宋体" w:hAnsi="宋体" w:cs="宋体" w:eastAsia="宋体" w:hint="default"/>
                <w:sz w:val="15"/>
                <w:szCs w:val="15"/>
              </w:rPr>
              <w:t>（六）专项储备</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579" w:footer="980" w:top="780" w:bottom="1160" w:left="1220" w:right="1240"/>
        </w:sectPr>
      </w:pPr>
    </w:p>
    <w:p>
      <w:pPr>
        <w:spacing w:line="240" w:lineRule="auto" w:before="5"/>
        <w:rPr>
          <w:rFonts w:ascii="宋体" w:hAnsi="宋体" w:cs="宋体" w:eastAsia="宋体" w:hint="default"/>
          <w:b/>
          <w:bCs/>
          <w:sz w:val="3"/>
          <w:szCs w:val="3"/>
        </w:rPr>
      </w:pPr>
    </w:p>
    <w:tbl>
      <w:tblPr>
        <w:tblW w:w="0" w:type="auto"/>
        <w:jc w:val="left"/>
        <w:tblInd w:w="107" w:type="dxa"/>
        <w:tblLayout w:type="fixed"/>
        <w:tblCellMar>
          <w:top w:w="0" w:type="dxa"/>
          <w:left w:w="0" w:type="dxa"/>
          <w:bottom w:w="0" w:type="dxa"/>
          <w:right w:w="0" w:type="dxa"/>
        </w:tblCellMar>
        <w:tblLook w:val="01E0"/>
      </w:tblPr>
      <w:tblGrid>
        <w:gridCol w:w="3529"/>
        <w:gridCol w:w="1452"/>
        <w:gridCol w:w="1428"/>
        <w:gridCol w:w="900"/>
        <w:gridCol w:w="1260"/>
        <w:gridCol w:w="1261"/>
        <w:gridCol w:w="1260"/>
        <w:gridCol w:w="1440"/>
        <w:gridCol w:w="1620"/>
      </w:tblGrid>
      <w:tr>
        <w:trPr>
          <w:trHeight w:val="334" w:hRule="exact"/>
        </w:trPr>
        <w:tc>
          <w:tcPr>
            <w:tcW w:w="352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452" w:type="dxa"/>
            <w:tcBorders>
              <w:top w:val="single" w:sz="10" w:space="0" w:color="000000"/>
              <w:left w:val="single" w:sz="4" w:space="0" w:color="000000"/>
              <w:bottom w:val="single" w:sz="4" w:space="0" w:color="000000"/>
              <w:right w:val="single" w:sz="4" w:space="0" w:color="000000"/>
            </w:tcBorders>
          </w:tcPr>
          <w:p>
            <w:pPr/>
          </w:p>
        </w:tc>
        <w:tc>
          <w:tcPr>
            <w:tcW w:w="1428" w:type="dxa"/>
            <w:tcBorders>
              <w:top w:val="single" w:sz="10" w:space="0" w:color="000000"/>
              <w:left w:val="single" w:sz="4" w:space="0" w:color="000000"/>
              <w:bottom w:val="single" w:sz="4" w:space="0" w:color="000000"/>
              <w:right w:val="single" w:sz="4" w:space="0" w:color="000000"/>
            </w:tcBorders>
          </w:tcPr>
          <w:p>
            <w:pPr/>
          </w:p>
        </w:tc>
        <w:tc>
          <w:tcPr>
            <w:tcW w:w="900" w:type="dxa"/>
            <w:tcBorders>
              <w:top w:val="single" w:sz="10" w:space="0" w:color="000000"/>
              <w:left w:val="single" w:sz="4" w:space="0" w:color="000000"/>
              <w:bottom w:val="single" w:sz="4" w:space="0" w:color="000000"/>
              <w:right w:val="single" w:sz="4" w:space="0" w:color="000000"/>
            </w:tcBorders>
          </w:tcPr>
          <w:p>
            <w:pPr/>
          </w:p>
        </w:tc>
        <w:tc>
          <w:tcPr>
            <w:tcW w:w="1260" w:type="dxa"/>
            <w:tcBorders>
              <w:top w:val="single" w:sz="10" w:space="0" w:color="000000"/>
              <w:left w:val="single" w:sz="4" w:space="0" w:color="000000"/>
              <w:bottom w:val="single" w:sz="4" w:space="0" w:color="000000"/>
              <w:right w:val="single" w:sz="4" w:space="0" w:color="000000"/>
            </w:tcBorders>
          </w:tcPr>
          <w:p>
            <w:pPr/>
          </w:p>
        </w:tc>
        <w:tc>
          <w:tcPr>
            <w:tcW w:w="1261" w:type="dxa"/>
            <w:tcBorders>
              <w:top w:val="single" w:sz="10" w:space="0" w:color="000000"/>
              <w:left w:val="single" w:sz="4" w:space="0" w:color="000000"/>
              <w:bottom w:val="single" w:sz="4" w:space="0" w:color="000000"/>
              <w:right w:val="single" w:sz="4" w:space="0" w:color="000000"/>
            </w:tcBorders>
          </w:tcPr>
          <w:p>
            <w:pPr/>
          </w:p>
        </w:tc>
        <w:tc>
          <w:tcPr>
            <w:tcW w:w="1260" w:type="dxa"/>
            <w:tcBorders>
              <w:top w:val="single" w:sz="10" w:space="0" w:color="000000"/>
              <w:left w:val="single" w:sz="4" w:space="0" w:color="000000"/>
              <w:bottom w:val="single" w:sz="4" w:space="0" w:color="000000"/>
              <w:right w:val="single" w:sz="4" w:space="0" w:color="000000"/>
            </w:tcBorders>
          </w:tcPr>
          <w:p>
            <w:pPr/>
          </w:p>
        </w:tc>
        <w:tc>
          <w:tcPr>
            <w:tcW w:w="1440" w:type="dxa"/>
            <w:tcBorders>
              <w:top w:val="single" w:sz="10" w:space="0" w:color="000000"/>
              <w:left w:val="single" w:sz="4" w:space="0" w:color="000000"/>
              <w:bottom w:val="single" w:sz="4" w:space="0" w:color="000000"/>
              <w:right w:val="single" w:sz="4" w:space="0" w:color="000000"/>
            </w:tcBorders>
          </w:tcPr>
          <w:p>
            <w:pPr/>
          </w:p>
        </w:tc>
        <w:tc>
          <w:tcPr>
            <w:tcW w:w="1620" w:type="dxa"/>
            <w:tcBorders>
              <w:top w:val="single" w:sz="10" w:space="0" w:color="000000"/>
              <w:left w:val="single" w:sz="4" w:space="0" w:color="000000"/>
              <w:bottom w:val="single" w:sz="4" w:space="0" w:color="000000"/>
              <w:right w:val="single" w:sz="4" w:space="0" w:color="000000"/>
            </w:tcBorders>
          </w:tcPr>
          <w:p>
            <w:pPr/>
          </w:p>
        </w:tc>
      </w:tr>
      <w:tr>
        <w:trPr>
          <w:trHeight w:val="322"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（七）其他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15"/>
                <w:szCs w:val="15"/>
              </w:rPr>
            </w:pPr>
            <w:r>
              <w:rPr>
                <w:rFonts w:ascii="宋体" w:hAnsi="宋体" w:cs="宋体" w:eastAsia="宋体" w:hint="default"/>
                <w:sz w:val="15"/>
                <w:szCs w:val="15"/>
              </w:rPr>
              <w:t>四、本期期末余额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90" w:right="0"/>
              <w:jc w:val="left"/>
              <w:rPr>
                <w:rFonts w:ascii="Times New Roman" w:hAnsi="Times New Roman" w:cs="Times New Roman" w:eastAsia="Times New Roman" w:hint="default"/>
                <w:sz w:val="15"/>
                <w:szCs w:val="15"/>
              </w:rPr>
            </w:pPr>
            <w:r>
              <w:rPr>
                <w:rFonts w:ascii="Times New Roman"/>
                <w:sz w:val="15"/>
              </w:rPr>
              <w:t>85,724,482.00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78" w:right="0"/>
              <w:jc w:val="left"/>
              <w:rPr>
                <w:rFonts w:ascii="Times New Roman" w:hAnsi="Times New Roman" w:cs="Times New Roman" w:eastAsia="Times New Roman" w:hint="default"/>
                <w:sz w:val="15"/>
                <w:szCs w:val="15"/>
              </w:rPr>
            </w:pPr>
            <w:r>
              <w:rPr>
                <w:rFonts w:ascii="Times New Roman"/>
                <w:sz w:val="15"/>
              </w:rPr>
              <w:t>55,076,131.59</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0" w:right="0"/>
              <w:jc w:val="left"/>
              <w:rPr>
                <w:rFonts w:ascii="Times New Roman" w:hAnsi="Times New Roman" w:cs="Times New Roman" w:eastAsia="Times New Roman" w:hint="default"/>
                <w:sz w:val="15"/>
                <w:szCs w:val="15"/>
              </w:rPr>
            </w:pPr>
            <w:r>
              <w:rPr>
                <w:rFonts w:ascii="Times New Roman"/>
                <w:sz w:val="15"/>
              </w:rPr>
              <w:t>6,373,797.57</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83" w:right="0"/>
              <w:jc w:val="left"/>
              <w:rPr>
                <w:rFonts w:ascii="Times New Roman" w:hAnsi="Times New Roman" w:cs="Times New Roman" w:eastAsia="Times New Roman" w:hint="default"/>
                <w:sz w:val="15"/>
                <w:szCs w:val="15"/>
              </w:rPr>
            </w:pPr>
            <w:r>
              <w:rPr>
                <w:rFonts w:ascii="Times New Roman"/>
                <w:sz w:val="15"/>
              </w:rPr>
              <w:t>75,975,571.97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36" w:right="0"/>
              <w:jc w:val="left"/>
              <w:rPr>
                <w:rFonts w:ascii="Times New Roman" w:hAnsi="Times New Roman" w:cs="Times New Roman" w:eastAsia="Times New Roman" w:hint="default"/>
                <w:sz w:val="15"/>
                <w:szCs w:val="15"/>
              </w:rPr>
            </w:pPr>
            <w:r>
              <w:rPr>
                <w:rFonts w:ascii="Times New Roman"/>
                <w:sz w:val="15"/>
              </w:rPr>
              <w:t>223,149,983.13</w:t>
            </w:r>
          </w:p>
        </w:tc>
      </w:tr>
    </w:tbl>
    <w:p>
      <w:pPr>
        <w:spacing w:line="240" w:lineRule="auto" w:before="5"/>
        <w:rPr>
          <w:rFonts w:ascii="宋体" w:hAnsi="宋体" w:cs="宋体" w:eastAsia="宋体" w:hint="default"/>
          <w:b/>
          <w:bCs/>
          <w:sz w:val="26"/>
          <w:szCs w:val="26"/>
        </w:rPr>
      </w:pPr>
    </w:p>
    <w:p>
      <w:pPr>
        <w:spacing w:before="44"/>
        <w:ind w:left="220"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13"/>
        <w:rPr>
          <w:rFonts w:ascii="宋体" w:hAnsi="宋体" w:cs="宋体" w:eastAsia="宋体" w:hint="default"/>
          <w:sz w:val="19"/>
          <w:szCs w:val="19"/>
        </w:rPr>
      </w:pPr>
    </w:p>
    <w:p>
      <w:pPr>
        <w:tabs>
          <w:tab w:pos="4992" w:val="left" w:leader="none"/>
          <w:tab w:pos="9226" w:val="left" w:leader="none"/>
        </w:tabs>
        <w:spacing w:before="0"/>
        <w:ind w:left="220"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t>主管会计工作负责人：</w:t>
        <w:tab/>
        <w:t>会计机构负责人：</w:t>
      </w:r>
    </w:p>
    <w:p>
      <w:pPr>
        <w:spacing w:after="0"/>
        <w:jc w:val="left"/>
        <w:rPr>
          <w:rFonts w:ascii="宋体" w:hAnsi="宋体" w:cs="宋体" w:eastAsia="宋体" w:hint="default"/>
          <w:sz w:val="18"/>
          <w:szCs w:val="18"/>
        </w:rPr>
        <w:sectPr>
          <w:pgSz w:w="16840" w:h="11910" w:orient="landscape"/>
          <w:pgMar w:header="579" w:footer="980" w:top="780" w:bottom="1160" w:left="1220" w:right="1240"/>
        </w:sectPr>
      </w:pPr>
    </w:p>
    <w:p>
      <w:pPr>
        <w:spacing w:line="240" w:lineRule="auto" w:before="10"/>
        <w:rPr>
          <w:rFonts w:ascii="宋体" w:hAnsi="宋体" w:cs="宋体" w:eastAsia="宋体" w:hint="default"/>
          <w:sz w:val="3"/>
          <w:szCs w:val="3"/>
        </w:rPr>
      </w:pPr>
    </w:p>
    <w:p>
      <w:pPr>
        <w:spacing w:line="20" w:lineRule="exact"/>
        <w:ind w:left="62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73" w:lineRule="auto" w:before="0"/>
        <w:ind w:left="5617" w:right="5913" w:firstLine="0"/>
        <w:jc w:val="center"/>
        <w:rPr>
          <w:rFonts w:ascii="宋体" w:hAnsi="宋体" w:cs="宋体" w:eastAsia="宋体" w:hint="default"/>
          <w:sz w:val="21"/>
          <w:szCs w:val="21"/>
        </w:rPr>
      </w:pPr>
      <w:r>
        <w:rPr>
          <w:rFonts w:ascii="宋体" w:hAnsi="宋体" w:cs="宋体" w:eastAsia="宋体" w:hint="default"/>
          <w:b/>
          <w:bCs/>
          <w:spacing w:val="-1"/>
          <w:sz w:val="21"/>
          <w:szCs w:val="21"/>
        </w:rPr>
        <w:t>上海汉得信息技术股份有限公司</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before="7"/>
        <w:ind w:left="5618" w:right="5913" w:firstLine="0"/>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spacing w:before="21"/>
        <w:ind w:left="5618" w:right="5913"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3060"/>
        <w:gridCol w:w="1371"/>
        <w:gridCol w:w="1363"/>
        <w:gridCol w:w="900"/>
        <w:gridCol w:w="886"/>
        <w:gridCol w:w="1366"/>
        <w:gridCol w:w="1169"/>
        <w:gridCol w:w="1440"/>
        <w:gridCol w:w="1080"/>
        <w:gridCol w:w="1296"/>
        <w:gridCol w:w="1421"/>
      </w:tblGrid>
      <w:tr>
        <w:trPr>
          <w:trHeight w:val="322" w:hRule="exact"/>
        </w:trPr>
        <w:tc>
          <w:tcPr>
            <w:tcW w:w="30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229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322" w:hRule="exact"/>
        </w:trPr>
        <w:tc>
          <w:tcPr>
            <w:tcW w:w="3060" w:type="dxa"/>
            <w:vMerge/>
            <w:tcBorders>
              <w:left w:val="single" w:sz="4" w:space="0" w:color="000000"/>
              <w:right w:val="single" w:sz="4" w:space="0" w:color="000000"/>
            </w:tcBorders>
          </w:tcPr>
          <w:p>
            <w:pPr/>
          </w:p>
        </w:tc>
        <w:tc>
          <w:tcPr>
            <w:tcW w:w="957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634" w:hRule="exact"/>
        </w:trPr>
        <w:tc>
          <w:tcPr>
            <w:tcW w:w="3060" w:type="dxa"/>
            <w:vMerge/>
            <w:tcBorders>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实收资本</w:t>
            </w:r>
            <w:r>
              <w:rPr>
                <w:rFonts w:ascii="Times New Roman" w:hAnsi="Times New Roman" w:cs="Times New Roman" w:eastAsia="Times New Roman" w:hint="default"/>
                <w:sz w:val="15"/>
                <w:szCs w:val="15"/>
              </w:rPr>
              <w:t>(</w:t>
            </w:r>
            <w:r>
              <w:rPr>
                <w:rFonts w:ascii="宋体" w:hAnsi="宋体" w:cs="宋体" w:eastAsia="宋体" w:hint="default"/>
                <w:sz w:val="15"/>
                <w:szCs w:val="15"/>
              </w:rPr>
              <w:t>或股本</w:t>
            </w:r>
            <w:r>
              <w:rPr>
                <w:rFonts w:ascii="Times New Roman" w:hAnsi="Times New Roman" w:cs="Times New Roman" w:eastAsia="Times New Roman" w:hint="default"/>
                <w:sz w:val="15"/>
                <w:szCs w:val="15"/>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376"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w w:val="100"/>
                <w:sz w:val="15"/>
                <w:szCs w:val="15"/>
              </w:rPr>
              <w:t>减</w:t>
            </w:r>
            <w:r>
              <w:rPr>
                <w:rFonts w:ascii="宋体" w:hAnsi="宋体" w:cs="宋体" w:eastAsia="宋体" w:hint="default"/>
                <w:spacing w:val="-68"/>
                <w:w w:val="100"/>
                <w:sz w:val="15"/>
                <w:szCs w:val="15"/>
              </w:rPr>
              <w:t>：</w:t>
            </w:r>
            <w:r>
              <w:rPr>
                <w:rFonts w:ascii="宋体" w:hAnsi="宋体" w:cs="宋体" w:eastAsia="宋体" w:hint="default"/>
                <w:w w:val="100"/>
                <w:sz w:val="15"/>
                <w:szCs w:val="15"/>
              </w:rPr>
              <w:t>库</w:t>
            </w:r>
            <w:r>
              <w:rPr>
                <w:rFonts w:ascii="宋体" w:hAnsi="宋体" w:cs="宋体" w:eastAsia="宋体" w:hint="default"/>
                <w:spacing w:val="-3"/>
                <w:w w:val="100"/>
                <w:sz w:val="15"/>
                <w:szCs w:val="15"/>
              </w:rPr>
              <w:t>存</w:t>
            </w:r>
            <w:r>
              <w:rPr>
                <w:rFonts w:ascii="宋体" w:hAnsi="宋体" w:cs="宋体" w:eastAsia="宋体" w:hint="default"/>
                <w:w w:val="100"/>
                <w:sz w:val="15"/>
                <w:szCs w:val="15"/>
              </w:rPr>
              <w:t>股</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137"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盈余公积</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129"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338"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309" w:right="156" w:hanging="152"/>
              <w:jc w:val="left"/>
              <w:rPr>
                <w:rFonts w:ascii="宋体" w:hAnsi="宋体" w:cs="宋体" w:eastAsia="宋体" w:hint="default"/>
                <w:sz w:val="15"/>
                <w:szCs w:val="15"/>
              </w:rPr>
            </w:pPr>
            <w:r>
              <w:rPr>
                <w:rFonts w:ascii="宋体" w:hAnsi="宋体" w:cs="宋体" w:eastAsia="宋体" w:hint="default"/>
                <w:sz w:val="15"/>
                <w:szCs w:val="15"/>
              </w:rPr>
              <w:t>外币报表折</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算差额</w:t>
            </w:r>
          </w:p>
        </w:tc>
        <w:tc>
          <w:tcPr>
            <w:tcW w:w="1296" w:type="dxa"/>
            <w:vMerge/>
            <w:tcBorders>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24"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85,724,482.00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42"/>
              <w:jc w:val="right"/>
              <w:rPr>
                <w:rFonts w:ascii="Times New Roman" w:hAnsi="Times New Roman" w:cs="Times New Roman" w:eastAsia="Times New Roman" w:hint="default"/>
                <w:sz w:val="15"/>
                <w:szCs w:val="15"/>
              </w:rPr>
            </w:pPr>
            <w:r>
              <w:rPr>
                <w:rFonts w:ascii="Times New Roman"/>
                <w:spacing w:val="-1"/>
                <w:sz w:val="15"/>
              </w:rPr>
              <w:t>58,268,553.57</w:t>
            </w:r>
          </w:p>
        </w:tc>
        <w:tc>
          <w:tcPr>
            <w:tcW w:w="9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5"/>
                <w:szCs w:val="15"/>
              </w:rPr>
            </w:pPr>
            <w:r>
              <w:rPr>
                <w:rFonts w:ascii="Times New Roman"/>
                <w:sz w:val="15"/>
              </w:rPr>
              <w:t>6,373,797.57</w:t>
            </w:r>
          </w:p>
        </w:tc>
        <w:tc>
          <w:tcPr>
            <w:tcW w:w="11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83" w:right="0"/>
              <w:jc w:val="left"/>
              <w:rPr>
                <w:rFonts w:ascii="Times New Roman" w:hAnsi="Times New Roman" w:cs="Times New Roman" w:eastAsia="Times New Roman" w:hint="default"/>
                <w:sz w:val="15"/>
                <w:szCs w:val="15"/>
              </w:rPr>
            </w:pPr>
            <w:r>
              <w:rPr>
                <w:rFonts w:ascii="Times New Roman"/>
                <w:sz w:val="15"/>
              </w:rPr>
              <w:t>72,003,041.22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-110,156.38</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5"/>
                <w:szCs w:val="15"/>
              </w:rPr>
            </w:pPr>
            <w:r>
              <w:rPr>
                <w:rFonts w:ascii="Times New Roman"/>
                <w:sz w:val="15"/>
              </w:rPr>
              <w:t>222,259,717.98</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1"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30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54"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24"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85,724,482.00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42"/>
              <w:jc w:val="right"/>
              <w:rPr>
                <w:rFonts w:ascii="Times New Roman" w:hAnsi="Times New Roman" w:cs="Times New Roman" w:eastAsia="Times New Roman" w:hint="default"/>
                <w:sz w:val="15"/>
                <w:szCs w:val="15"/>
              </w:rPr>
            </w:pPr>
            <w:r>
              <w:rPr>
                <w:rFonts w:ascii="Times New Roman"/>
                <w:spacing w:val="-1"/>
                <w:sz w:val="15"/>
              </w:rPr>
              <w:t>58,268,553.57</w:t>
            </w:r>
          </w:p>
        </w:tc>
        <w:tc>
          <w:tcPr>
            <w:tcW w:w="9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5"/>
                <w:szCs w:val="15"/>
              </w:rPr>
            </w:pPr>
            <w:r>
              <w:rPr>
                <w:rFonts w:ascii="Times New Roman"/>
                <w:sz w:val="15"/>
              </w:rPr>
              <w:t>6,373,797.57</w:t>
            </w:r>
          </w:p>
        </w:tc>
        <w:tc>
          <w:tcPr>
            <w:tcW w:w="11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83" w:right="0"/>
              <w:jc w:val="left"/>
              <w:rPr>
                <w:rFonts w:ascii="Times New Roman" w:hAnsi="Times New Roman" w:cs="Times New Roman" w:eastAsia="Times New Roman" w:hint="default"/>
                <w:sz w:val="15"/>
                <w:szCs w:val="15"/>
              </w:rPr>
            </w:pPr>
            <w:r>
              <w:rPr>
                <w:rFonts w:ascii="Times New Roman"/>
                <w:sz w:val="15"/>
              </w:rPr>
              <w:t>72,003,041.22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-110,156.38</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5"/>
                <w:szCs w:val="15"/>
              </w:rPr>
            </w:pPr>
            <w:r>
              <w:rPr>
                <w:rFonts w:ascii="Times New Roman"/>
                <w:sz w:val="15"/>
              </w:rPr>
              <w:t>222,259,717.98</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82,283,292.00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5"/>
              <w:jc w:val="right"/>
              <w:rPr>
                <w:rFonts w:ascii="Times New Roman" w:hAnsi="Times New Roman" w:cs="Times New Roman" w:eastAsia="Times New Roman" w:hint="default"/>
                <w:sz w:val="15"/>
                <w:szCs w:val="15"/>
              </w:rPr>
            </w:pPr>
            <w:r>
              <w:rPr>
                <w:rFonts w:ascii="Times New Roman"/>
                <w:spacing w:val="-1"/>
                <w:sz w:val="15"/>
              </w:rPr>
              <w:t>692,896,928.89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43" w:right="0"/>
              <w:jc w:val="left"/>
              <w:rPr>
                <w:rFonts w:ascii="Times New Roman" w:hAnsi="Times New Roman" w:cs="Times New Roman" w:eastAsia="Times New Roman" w:hint="default"/>
                <w:sz w:val="15"/>
                <w:szCs w:val="15"/>
              </w:rPr>
            </w:pPr>
            <w:r>
              <w:rPr>
                <w:rFonts w:ascii="Times New Roman"/>
                <w:sz w:val="15"/>
              </w:rPr>
              <w:t>65,000.00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5"/>
                <w:szCs w:val="15"/>
              </w:rPr>
            </w:pPr>
            <w:r>
              <w:rPr>
                <w:rFonts w:ascii="Times New Roman"/>
                <w:sz w:val="15"/>
              </w:rPr>
              <w:t>9,386,614.09</w:t>
            </w:r>
          </w:p>
        </w:tc>
        <w:tc>
          <w:tcPr>
            <w:tcW w:w="11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83" w:right="0"/>
              <w:jc w:val="left"/>
              <w:rPr>
                <w:rFonts w:ascii="Times New Roman" w:hAnsi="Times New Roman" w:cs="Times New Roman" w:eastAsia="Times New Roman" w:hint="default"/>
                <w:sz w:val="15"/>
                <w:szCs w:val="15"/>
              </w:rPr>
            </w:pPr>
            <w:r>
              <w:rPr>
                <w:rFonts w:ascii="Times New Roman"/>
                <w:sz w:val="15"/>
              </w:rPr>
              <w:t>49,666,493.77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2,914.11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5"/>
                <w:szCs w:val="15"/>
              </w:rPr>
            </w:pPr>
            <w:r>
              <w:rPr>
                <w:rFonts w:ascii="Times New Roman"/>
                <w:sz w:val="15"/>
              </w:rPr>
              <w:t>834,171,242.86</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15"/>
                <w:szCs w:val="15"/>
              </w:rPr>
            </w:pPr>
            <w:r>
              <w:rPr>
                <w:rFonts w:ascii="宋体" w:hAnsi="宋体" w:cs="宋体" w:eastAsia="宋体" w:hint="default"/>
                <w:sz w:val="15"/>
                <w:szCs w:val="15"/>
              </w:rPr>
              <w:t>（一）净利润</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83" w:right="0"/>
              <w:jc w:val="left"/>
              <w:rPr>
                <w:rFonts w:ascii="Times New Roman" w:hAnsi="Times New Roman" w:cs="Times New Roman" w:eastAsia="Times New Roman" w:hint="default"/>
                <w:sz w:val="15"/>
                <w:szCs w:val="15"/>
              </w:rPr>
            </w:pPr>
            <w:r>
              <w:rPr>
                <w:rFonts w:ascii="Times New Roman"/>
                <w:sz w:val="15"/>
              </w:rPr>
              <w:t>93,770,452.46</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5"/>
                <w:szCs w:val="15"/>
              </w:rPr>
            </w:pPr>
            <w:r>
              <w:rPr>
                <w:rFonts w:ascii="Times New Roman"/>
                <w:sz w:val="15"/>
              </w:rPr>
              <w:t>93,770,452.46</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50"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2,914.11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5"/>
                <w:szCs w:val="15"/>
              </w:rPr>
            </w:pPr>
            <w:r>
              <w:rPr>
                <w:rFonts w:ascii="Times New Roman"/>
                <w:sz w:val="15"/>
              </w:rPr>
              <w:t>2,914.11</w:t>
            </w:r>
          </w:p>
        </w:tc>
      </w:tr>
      <w:tr>
        <w:trPr>
          <w:trHeight w:val="32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39"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83" w:right="0"/>
              <w:jc w:val="left"/>
              <w:rPr>
                <w:rFonts w:ascii="Times New Roman" w:hAnsi="Times New Roman" w:cs="Times New Roman" w:eastAsia="Times New Roman" w:hint="default"/>
                <w:sz w:val="15"/>
                <w:szCs w:val="15"/>
              </w:rPr>
            </w:pPr>
            <w:r>
              <w:rPr>
                <w:rFonts w:ascii="Times New Roman"/>
                <w:sz w:val="15"/>
              </w:rPr>
              <w:t>93,770,452.46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2,914.11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5"/>
                <w:szCs w:val="15"/>
              </w:rPr>
            </w:pPr>
            <w:r>
              <w:rPr>
                <w:rFonts w:ascii="Times New Roman"/>
                <w:sz w:val="15"/>
              </w:rPr>
              <w:t>93,773,366.57</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49"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Times New Roman" w:hAnsi="Times New Roman" w:cs="Times New Roman" w:eastAsia="Times New Roman" w:hint="default"/>
                <w:sz w:val="15"/>
                <w:szCs w:val="15"/>
              </w:rPr>
            </w:pPr>
            <w:r>
              <w:rPr>
                <w:rFonts w:ascii="Times New Roman"/>
                <w:sz w:val="15"/>
              </w:rPr>
              <w:t>35,993,500.00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5"/>
              <w:jc w:val="right"/>
              <w:rPr>
                <w:rFonts w:ascii="Times New Roman" w:hAnsi="Times New Roman" w:cs="Times New Roman" w:eastAsia="Times New Roman" w:hint="default"/>
                <w:sz w:val="15"/>
                <w:szCs w:val="15"/>
              </w:rPr>
            </w:pPr>
            <w:r>
              <w:rPr>
                <w:rFonts w:ascii="Times New Roman"/>
                <w:spacing w:val="-1"/>
                <w:sz w:val="15"/>
              </w:rPr>
              <w:t>739,186,720.89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43" w:right="0"/>
              <w:jc w:val="left"/>
              <w:rPr>
                <w:rFonts w:ascii="Times New Roman" w:hAnsi="Times New Roman" w:cs="Times New Roman" w:eastAsia="Times New Roman" w:hint="default"/>
                <w:sz w:val="15"/>
                <w:szCs w:val="15"/>
              </w:rPr>
            </w:pPr>
            <w:r>
              <w:rPr>
                <w:rFonts w:ascii="Times New Roman"/>
                <w:sz w:val="15"/>
              </w:rPr>
              <w:t>65,000.00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Times New Roman" w:hAnsi="Times New Roman" w:cs="Times New Roman" w:eastAsia="Times New Roman" w:hint="default"/>
                <w:sz w:val="15"/>
                <w:szCs w:val="15"/>
              </w:rPr>
            </w:pPr>
            <w:r>
              <w:rPr>
                <w:rFonts w:ascii="Times New Roman"/>
                <w:sz w:val="15"/>
              </w:rPr>
              <w:t>775,115,220.89</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2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35,993,500.00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5"/>
              <w:jc w:val="right"/>
              <w:rPr>
                <w:rFonts w:ascii="Times New Roman" w:hAnsi="Times New Roman" w:cs="Times New Roman" w:eastAsia="Times New Roman" w:hint="default"/>
                <w:sz w:val="15"/>
                <w:szCs w:val="15"/>
              </w:rPr>
            </w:pPr>
            <w:r>
              <w:rPr>
                <w:rFonts w:ascii="Times New Roman"/>
                <w:spacing w:val="-1"/>
                <w:sz w:val="15"/>
              </w:rPr>
              <w:t>735,884,594.68</w:t>
            </w:r>
          </w:p>
        </w:tc>
        <w:tc>
          <w:tcPr>
            <w:tcW w:w="9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5"/>
                <w:szCs w:val="15"/>
              </w:rPr>
            </w:pPr>
            <w:r>
              <w:rPr>
                <w:rFonts w:ascii="Times New Roman"/>
                <w:sz w:val="15"/>
              </w:rPr>
              <w:t>771,878,094.68</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80"/>
              <w:jc w:val="right"/>
              <w:rPr>
                <w:rFonts w:ascii="Times New Roman" w:hAnsi="Times New Roman" w:cs="Times New Roman" w:eastAsia="Times New Roman" w:hint="default"/>
                <w:sz w:val="15"/>
                <w:szCs w:val="15"/>
              </w:rPr>
            </w:pPr>
            <w:r>
              <w:rPr>
                <w:rFonts w:ascii="Times New Roman"/>
                <w:spacing w:val="-1"/>
                <w:sz w:val="15"/>
              </w:rPr>
              <w:t>3,868,176.21</w:t>
            </w:r>
          </w:p>
        </w:tc>
        <w:tc>
          <w:tcPr>
            <w:tcW w:w="9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
              <w:jc w:val="center"/>
              <w:rPr>
                <w:rFonts w:ascii="Times New Roman" w:hAnsi="Times New Roman" w:cs="Times New Roman" w:eastAsia="Times New Roman" w:hint="default"/>
                <w:sz w:val="15"/>
                <w:szCs w:val="15"/>
              </w:rPr>
            </w:pPr>
            <w:r>
              <w:rPr>
                <w:rFonts w:ascii="Times New Roman"/>
                <w:sz w:val="15"/>
              </w:rPr>
              <w:t>3,868,176.21</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7"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311"/>
              <w:jc w:val="right"/>
              <w:rPr>
                <w:rFonts w:ascii="Times New Roman" w:hAnsi="Times New Roman" w:cs="Times New Roman" w:eastAsia="Times New Roman" w:hint="default"/>
                <w:sz w:val="15"/>
                <w:szCs w:val="15"/>
              </w:rPr>
            </w:pPr>
            <w:r>
              <w:rPr>
                <w:rFonts w:ascii="Times New Roman"/>
                <w:spacing w:val="-1"/>
                <w:sz w:val="15"/>
              </w:rPr>
              <w:t>-566,050.00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43" w:right="0"/>
              <w:jc w:val="left"/>
              <w:rPr>
                <w:rFonts w:ascii="Times New Roman" w:hAnsi="Times New Roman" w:cs="Times New Roman" w:eastAsia="Times New Roman" w:hint="default"/>
                <w:sz w:val="15"/>
                <w:szCs w:val="15"/>
              </w:rPr>
            </w:pPr>
            <w:r>
              <w:rPr>
                <w:rFonts w:ascii="Times New Roman"/>
                <w:sz w:val="15"/>
              </w:rPr>
              <w:t>65,000.00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
              <w:jc w:val="center"/>
              <w:rPr>
                <w:rFonts w:ascii="Times New Roman" w:hAnsi="Times New Roman" w:cs="Times New Roman" w:eastAsia="Times New Roman" w:hint="default"/>
                <w:sz w:val="15"/>
                <w:szCs w:val="15"/>
              </w:rPr>
            </w:pPr>
            <w:r>
              <w:rPr>
                <w:rFonts w:ascii="Times New Roman"/>
                <w:sz w:val="15"/>
              </w:rPr>
              <w:t>-631,050.00</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98"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5"/>
                <w:szCs w:val="15"/>
              </w:rPr>
            </w:pPr>
            <w:r>
              <w:rPr>
                <w:rFonts w:ascii="Times New Roman"/>
                <w:sz w:val="15"/>
              </w:rPr>
              <w:t>9,386,614.09</w:t>
            </w:r>
          </w:p>
        </w:tc>
        <w:tc>
          <w:tcPr>
            <w:tcW w:w="11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59" w:right="0"/>
              <w:jc w:val="left"/>
              <w:rPr>
                <w:rFonts w:ascii="Times New Roman" w:hAnsi="Times New Roman" w:cs="Times New Roman" w:eastAsia="Times New Roman" w:hint="default"/>
                <w:sz w:val="15"/>
                <w:szCs w:val="15"/>
              </w:rPr>
            </w:pPr>
            <w:r>
              <w:rPr>
                <w:rFonts w:ascii="Times New Roman"/>
                <w:sz w:val="15"/>
              </w:rPr>
              <w:t>-44,103,958.69</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
              <w:jc w:val="center"/>
              <w:rPr>
                <w:rFonts w:ascii="Times New Roman" w:hAnsi="Times New Roman" w:cs="Times New Roman" w:eastAsia="Times New Roman" w:hint="default"/>
                <w:sz w:val="15"/>
                <w:szCs w:val="15"/>
              </w:rPr>
            </w:pPr>
            <w:r>
              <w:rPr>
                <w:rFonts w:ascii="Times New Roman"/>
                <w:sz w:val="15"/>
              </w:rPr>
              <w:t>-34,717,344.60</w:t>
            </w:r>
          </w:p>
        </w:tc>
      </w:tr>
      <w:tr>
        <w:trPr>
          <w:trHeight w:val="32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0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5"/>
                <w:szCs w:val="15"/>
              </w:rPr>
            </w:pPr>
            <w:r>
              <w:rPr>
                <w:rFonts w:ascii="Times New Roman"/>
                <w:sz w:val="15"/>
              </w:rPr>
              <w:t>9,386,614.09</w:t>
            </w:r>
          </w:p>
        </w:tc>
        <w:tc>
          <w:tcPr>
            <w:tcW w:w="11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95" w:right="0"/>
              <w:jc w:val="left"/>
              <w:rPr>
                <w:rFonts w:ascii="Times New Roman" w:hAnsi="Times New Roman" w:cs="Times New Roman" w:eastAsia="Times New Roman" w:hint="default"/>
                <w:sz w:val="15"/>
                <w:szCs w:val="15"/>
              </w:rPr>
            </w:pPr>
            <w:r>
              <w:rPr>
                <w:rFonts w:ascii="Times New Roman"/>
                <w:sz w:val="15"/>
              </w:rPr>
              <w:t>-9,386,614.09</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5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5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59" w:right="0"/>
              <w:jc w:val="left"/>
              <w:rPr>
                <w:rFonts w:ascii="Times New Roman" w:hAnsi="Times New Roman" w:cs="Times New Roman" w:eastAsia="Times New Roman" w:hint="default"/>
                <w:sz w:val="15"/>
                <w:szCs w:val="15"/>
              </w:rPr>
            </w:pPr>
            <w:r>
              <w:rPr>
                <w:rFonts w:ascii="Times New Roman"/>
                <w:sz w:val="15"/>
              </w:rPr>
              <w:t>-34,717,344.60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
              <w:jc w:val="center"/>
              <w:rPr>
                <w:rFonts w:ascii="Times New Roman" w:hAnsi="Times New Roman" w:cs="Times New Roman" w:eastAsia="Times New Roman" w:hint="default"/>
                <w:sz w:val="15"/>
                <w:szCs w:val="15"/>
              </w:rPr>
            </w:pPr>
            <w:r>
              <w:rPr>
                <w:rFonts w:ascii="Times New Roman"/>
                <w:sz w:val="15"/>
              </w:rPr>
              <w:t>-34,717,344.60</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7"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24"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46,289,792.00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8"/>
              <w:jc w:val="right"/>
              <w:rPr>
                <w:rFonts w:ascii="Times New Roman" w:hAnsi="Times New Roman" w:cs="Times New Roman" w:eastAsia="Times New Roman" w:hint="default"/>
                <w:sz w:val="15"/>
                <w:szCs w:val="15"/>
              </w:rPr>
            </w:pPr>
            <w:r>
              <w:rPr>
                <w:rFonts w:ascii="Times New Roman"/>
                <w:spacing w:val="-1"/>
                <w:sz w:val="15"/>
              </w:rPr>
              <w:t>-46,289,792.00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7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46,289,792.00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8"/>
              <w:jc w:val="right"/>
              <w:rPr>
                <w:rFonts w:ascii="Times New Roman" w:hAnsi="Times New Roman" w:cs="Times New Roman" w:eastAsia="Times New Roman" w:hint="default"/>
                <w:sz w:val="15"/>
                <w:szCs w:val="15"/>
              </w:rPr>
            </w:pPr>
            <w:r>
              <w:rPr>
                <w:rFonts w:ascii="Times New Roman"/>
                <w:spacing w:val="-1"/>
                <w:sz w:val="15"/>
              </w:rPr>
              <w:t>-46,289,792.00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7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5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579" w:footer="980" w:top="780" w:bottom="1160" w:left="780" w:right="480"/>
        </w:sectPr>
      </w:pPr>
    </w:p>
    <w:p>
      <w:pPr>
        <w:spacing w:line="240" w:lineRule="auto" w:before="5"/>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3060"/>
        <w:gridCol w:w="1371"/>
        <w:gridCol w:w="1363"/>
        <w:gridCol w:w="900"/>
        <w:gridCol w:w="886"/>
        <w:gridCol w:w="1366"/>
        <w:gridCol w:w="1169"/>
        <w:gridCol w:w="1440"/>
        <w:gridCol w:w="1080"/>
        <w:gridCol w:w="1296"/>
        <w:gridCol w:w="1421"/>
      </w:tblGrid>
      <w:tr>
        <w:trPr>
          <w:trHeight w:val="334" w:hRule="exact"/>
        </w:trPr>
        <w:tc>
          <w:tcPr>
            <w:tcW w:w="30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8"/>
              <w:ind w:left="77"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71" w:type="dxa"/>
            <w:tcBorders>
              <w:top w:val="single" w:sz="10" w:space="0" w:color="000000"/>
              <w:left w:val="single" w:sz="4" w:space="0" w:color="000000"/>
              <w:bottom w:val="single" w:sz="4" w:space="0" w:color="000000"/>
              <w:right w:val="single" w:sz="4" w:space="0" w:color="000000"/>
            </w:tcBorders>
          </w:tcPr>
          <w:p>
            <w:pPr/>
          </w:p>
        </w:tc>
        <w:tc>
          <w:tcPr>
            <w:tcW w:w="1363" w:type="dxa"/>
            <w:tcBorders>
              <w:top w:val="single" w:sz="10" w:space="0" w:color="000000"/>
              <w:left w:val="single" w:sz="4" w:space="0" w:color="000000"/>
              <w:bottom w:val="single" w:sz="4" w:space="0" w:color="000000"/>
              <w:right w:val="single" w:sz="4" w:space="0" w:color="000000"/>
            </w:tcBorders>
          </w:tcPr>
          <w:p>
            <w:pPr/>
          </w:p>
        </w:tc>
        <w:tc>
          <w:tcPr>
            <w:tcW w:w="900" w:type="dxa"/>
            <w:tcBorders>
              <w:top w:val="single" w:sz="10" w:space="0" w:color="000000"/>
              <w:left w:val="single" w:sz="4" w:space="0" w:color="000000"/>
              <w:bottom w:val="single" w:sz="4" w:space="0" w:color="000000"/>
              <w:right w:val="single" w:sz="4" w:space="0" w:color="000000"/>
            </w:tcBorders>
          </w:tcPr>
          <w:p>
            <w:pPr/>
          </w:p>
        </w:tc>
        <w:tc>
          <w:tcPr>
            <w:tcW w:w="886" w:type="dxa"/>
            <w:tcBorders>
              <w:top w:val="single" w:sz="10" w:space="0" w:color="000000"/>
              <w:left w:val="single" w:sz="4" w:space="0" w:color="000000"/>
              <w:bottom w:val="single" w:sz="4" w:space="0" w:color="000000"/>
              <w:right w:val="single" w:sz="4" w:space="0" w:color="000000"/>
            </w:tcBorders>
          </w:tcPr>
          <w:p>
            <w:pPr/>
          </w:p>
        </w:tc>
        <w:tc>
          <w:tcPr>
            <w:tcW w:w="1366" w:type="dxa"/>
            <w:tcBorders>
              <w:top w:val="single" w:sz="10" w:space="0" w:color="000000"/>
              <w:left w:val="single" w:sz="4" w:space="0" w:color="000000"/>
              <w:bottom w:val="single" w:sz="4" w:space="0" w:color="000000"/>
              <w:right w:val="single" w:sz="4" w:space="0" w:color="000000"/>
            </w:tcBorders>
          </w:tcPr>
          <w:p>
            <w:pPr/>
          </w:p>
        </w:tc>
        <w:tc>
          <w:tcPr>
            <w:tcW w:w="1169" w:type="dxa"/>
            <w:tcBorders>
              <w:top w:val="single" w:sz="10" w:space="0" w:color="000000"/>
              <w:left w:val="single" w:sz="4" w:space="0" w:color="000000"/>
              <w:bottom w:val="single" w:sz="4" w:space="0" w:color="000000"/>
              <w:right w:val="single" w:sz="4" w:space="0" w:color="000000"/>
            </w:tcBorders>
          </w:tcPr>
          <w:p>
            <w:pPr/>
          </w:p>
        </w:tc>
        <w:tc>
          <w:tcPr>
            <w:tcW w:w="1440" w:type="dxa"/>
            <w:tcBorders>
              <w:top w:val="single" w:sz="10" w:space="0" w:color="000000"/>
              <w:left w:val="single" w:sz="4" w:space="0" w:color="000000"/>
              <w:bottom w:val="single" w:sz="4" w:space="0" w:color="000000"/>
              <w:right w:val="single" w:sz="4" w:space="0" w:color="000000"/>
            </w:tcBorders>
          </w:tcPr>
          <w:p>
            <w:pPr/>
          </w:p>
        </w:tc>
        <w:tc>
          <w:tcPr>
            <w:tcW w:w="1080" w:type="dxa"/>
            <w:tcBorders>
              <w:top w:val="single" w:sz="10" w:space="0" w:color="000000"/>
              <w:left w:val="single" w:sz="4" w:space="0" w:color="000000"/>
              <w:bottom w:val="single" w:sz="4" w:space="0" w:color="000000"/>
              <w:right w:val="single" w:sz="4" w:space="0" w:color="000000"/>
            </w:tcBorders>
          </w:tcPr>
          <w:p>
            <w:pPr/>
          </w:p>
        </w:tc>
        <w:tc>
          <w:tcPr>
            <w:tcW w:w="1296" w:type="dxa"/>
            <w:tcBorders>
              <w:top w:val="single" w:sz="10" w:space="0" w:color="000000"/>
              <w:left w:val="single" w:sz="4" w:space="0" w:color="000000"/>
              <w:bottom w:val="single" w:sz="4" w:space="0" w:color="000000"/>
              <w:right w:val="single" w:sz="4" w:space="0" w:color="000000"/>
            </w:tcBorders>
          </w:tcPr>
          <w:p>
            <w:pPr/>
          </w:p>
        </w:tc>
        <w:tc>
          <w:tcPr>
            <w:tcW w:w="1421" w:type="dxa"/>
            <w:tcBorders>
              <w:top w:val="single" w:sz="10" w:space="0" w:color="000000"/>
              <w:left w:val="single" w:sz="4" w:space="0" w:color="000000"/>
              <w:bottom w:val="single" w:sz="4" w:space="0" w:color="000000"/>
              <w:right w:val="single" w:sz="4" w:space="0" w:color="000000"/>
            </w:tcBorders>
          </w:tcPr>
          <w:p>
            <w:pP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（六）专项储备</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15"/>
                <w:szCs w:val="15"/>
              </w:rPr>
            </w:pPr>
            <w:r>
              <w:rPr>
                <w:rFonts w:ascii="宋体" w:hAnsi="宋体" w:cs="宋体" w:eastAsia="宋体" w:hint="default"/>
                <w:sz w:val="15"/>
                <w:szCs w:val="15"/>
              </w:rPr>
              <w:t>（七）其他</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5"/>
                <w:szCs w:val="15"/>
              </w:rPr>
            </w:pPr>
            <w:r>
              <w:rPr>
                <w:rFonts w:ascii="宋体" w:hAnsi="宋体" w:cs="宋体" w:eastAsia="宋体" w:hint="default"/>
                <w:sz w:val="15"/>
                <w:szCs w:val="15"/>
              </w:rPr>
              <w:t>四、本期期末余额</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11" w:right="0"/>
              <w:jc w:val="left"/>
              <w:rPr>
                <w:rFonts w:ascii="Times New Roman" w:hAnsi="Times New Roman" w:cs="Times New Roman" w:eastAsia="Times New Roman" w:hint="default"/>
                <w:sz w:val="15"/>
                <w:szCs w:val="15"/>
              </w:rPr>
            </w:pPr>
            <w:r>
              <w:rPr>
                <w:rFonts w:ascii="Times New Roman"/>
                <w:sz w:val="15"/>
              </w:rPr>
              <w:t>168,007,774.00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08" w:right="0"/>
              <w:jc w:val="left"/>
              <w:rPr>
                <w:rFonts w:ascii="Times New Roman" w:hAnsi="Times New Roman" w:cs="Times New Roman" w:eastAsia="Times New Roman" w:hint="default"/>
                <w:sz w:val="15"/>
                <w:szCs w:val="15"/>
              </w:rPr>
            </w:pPr>
            <w:r>
              <w:rPr>
                <w:rFonts w:ascii="Times New Roman"/>
                <w:sz w:val="15"/>
              </w:rPr>
              <w:t>751,165,482.46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43" w:right="0"/>
              <w:jc w:val="left"/>
              <w:rPr>
                <w:rFonts w:ascii="Times New Roman" w:hAnsi="Times New Roman" w:cs="Times New Roman" w:eastAsia="Times New Roman" w:hint="default"/>
                <w:sz w:val="15"/>
                <w:szCs w:val="15"/>
              </w:rPr>
            </w:pPr>
            <w:r>
              <w:rPr>
                <w:rFonts w:ascii="Times New Roman"/>
                <w:sz w:val="15"/>
              </w:rPr>
              <w:t>65,000.00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9" w:right="0"/>
              <w:jc w:val="left"/>
              <w:rPr>
                <w:rFonts w:ascii="Times New Roman" w:hAnsi="Times New Roman" w:cs="Times New Roman" w:eastAsia="Times New Roman" w:hint="default"/>
                <w:sz w:val="15"/>
                <w:szCs w:val="15"/>
              </w:rPr>
            </w:pPr>
            <w:r>
              <w:rPr>
                <w:rFonts w:ascii="Times New Roman"/>
                <w:sz w:val="15"/>
              </w:rPr>
              <w:t>15,760,411.66</w:t>
            </w:r>
          </w:p>
        </w:tc>
        <w:tc>
          <w:tcPr>
            <w:tcW w:w="11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4" w:right="0"/>
              <w:jc w:val="left"/>
              <w:rPr>
                <w:rFonts w:ascii="Times New Roman" w:hAnsi="Times New Roman" w:cs="Times New Roman" w:eastAsia="Times New Roman" w:hint="default"/>
                <w:sz w:val="15"/>
                <w:szCs w:val="15"/>
              </w:rPr>
            </w:pPr>
            <w:r>
              <w:rPr>
                <w:rFonts w:ascii="Times New Roman"/>
                <w:sz w:val="15"/>
              </w:rPr>
              <w:t>121,669,534.99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72" w:right="0"/>
              <w:jc w:val="left"/>
              <w:rPr>
                <w:rFonts w:ascii="Times New Roman" w:hAnsi="Times New Roman" w:cs="Times New Roman" w:eastAsia="Times New Roman" w:hint="default"/>
                <w:sz w:val="15"/>
                <w:szCs w:val="15"/>
              </w:rPr>
            </w:pPr>
            <w:r>
              <w:rPr>
                <w:rFonts w:ascii="Times New Roman"/>
                <w:sz w:val="15"/>
              </w:rPr>
              <w:t>-107,242.27</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77" w:right="0"/>
              <w:jc w:val="left"/>
              <w:rPr>
                <w:rFonts w:ascii="Times New Roman" w:hAnsi="Times New Roman" w:cs="Times New Roman" w:eastAsia="Times New Roman" w:hint="default"/>
                <w:sz w:val="15"/>
                <w:szCs w:val="15"/>
              </w:rPr>
            </w:pPr>
            <w:r>
              <w:rPr>
                <w:rFonts w:ascii="Times New Roman"/>
                <w:sz w:val="15"/>
              </w:rPr>
              <w:t>1,056,430,960.84</w:t>
            </w:r>
          </w:p>
        </w:tc>
      </w:tr>
    </w:tbl>
    <w:p>
      <w:pPr>
        <w:spacing w:line="240" w:lineRule="auto" w:before="0"/>
        <w:rPr>
          <w:rFonts w:ascii="宋体" w:hAnsi="宋体" w:cs="宋体" w:eastAsia="宋体" w:hint="default"/>
          <w:b/>
          <w:bCs/>
          <w:sz w:val="24"/>
          <w:szCs w:val="24"/>
        </w:rPr>
      </w:pPr>
    </w:p>
    <w:p>
      <w:pPr>
        <w:spacing w:before="44"/>
        <w:ind w:left="660"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5432" w:val="left" w:leader="none"/>
          <w:tab w:pos="9666" w:val="left" w:leader="none"/>
        </w:tabs>
        <w:spacing w:before="107"/>
        <w:ind w:left="660"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t>主管会计工作负责人：</w:t>
        <w:tab/>
        <w:t>会计机构负责人：</w:t>
      </w:r>
    </w:p>
    <w:p>
      <w:pPr>
        <w:spacing w:after="0"/>
        <w:jc w:val="left"/>
        <w:rPr>
          <w:rFonts w:ascii="宋体" w:hAnsi="宋体" w:cs="宋体" w:eastAsia="宋体" w:hint="default"/>
          <w:sz w:val="18"/>
          <w:szCs w:val="18"/>
        </w:rPr>
        <w:sectPr>
          <w:pgSz w:w="16840" w:h="11910" w:orient="landscape"/>
          <w:pgMar w:header="579" w:footer="980" w:top="780" w:bottom="1160" w:left="780" w:right="480"/>
        </w:sectPr>
      </w:pPr>
    </w:p>
    <w:p>
      <w:pPr>
        <w:spacing w:line="240" w:lineRule="auto" w:before="10"/>
        <w:rPr>
          <w:rFonts w:ascii="宋体" w:hAnsi="宋体" w:cs="宋体" w:eastAsia="宋体" w:hint="default"/>
          <w:sz w:val="3"/>
          <w:szCs w:val="3"/>
        </w:rPr>
      </w:pPr>
    </w:p>
    <w:p>
      <w:pPr>
        <w:spacing w:line="20" w:lineRule="exact"/>
        <w:ind w:left="6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73" w:lineRule="auto" w:before="0"/>
        <w:ind w:left="6144" w:right="6359" w:firstLine="0"/>
        <w:jc w:val="center"/>
        <w:rPr>
          <w:rFonts w:ascii="宋体" w:hAnsi="宋体" w:cs="宋体" w:eastAsia="宋体" w:hint="default"/>
          <w:sz w:val="21"/>
          <w:szCs w:val="21"/>
        </w:rPr>
      </w:pPr>
      <w:r>
        <w:rPr>
          <w:rFonts w:ascii="宋体" w:hAnsi="宋体" w:cs="宋体" w:eastAsia="宋体" w:hint="default"/>
          <w:b/>
          <w:bCs/>
          <w:spacing w:val="-1"/>
          <w:sz w:val="21"/>
          <w:szCs w:val="21"/>
        </w:rPr>
        <w:t>上海汉得信息技术股份有限公司</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b/>
          <w:bCs/>
          <w:sz w:val="21"/>
          <w:szCs w:val="21"/>
        </w:rPr>
        <w:t>合并所有者权益变动表（续）</w:t>
      </w:r>
      <w:r>
        <w:rPr>
          <w:rFonts w:ascii="宋体" w:hAnsi="宋体" w:cs="宋体" w:eastAsia="宋体" w:hint="default"/>
          <w:b/>
          <w:bCs/>
          <w:w w:val="100"/>
          <w:sz w:val="21"/>
          <w:szCs w:val="21"/>
        </w:rPr>
        <w:t> </w:t>
      </w: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spacing w:before="41"/>
        <w:ind w:left="5598" w:right="5813"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0"/>
        <w:rPr>
          <w:rFonts w:ascii="宋体" w:hAnsi="宋体" w:cs="宋体" w:eastAsia="宋体" w:hint="default"/>
          <w:b/>
          <w:bCs/>
          <w:sz w:val="8"/>
          <w:szCs w:val="8"/>
        </w:rPr>
      </w:pPr>
    </w:p>
    <w:tbl>
      <w:tblPr>
        <w:tblW w:w="0" w:type="auto"/>
        <w:jc w:val="left"/>
        <w:tblInd w:w="104" w:type="dxa"/>
        <w:tblLayout w:type="fixed"/>
        <w:tblCellMar>
          <w:top w:w="0" w:type="dxa"/>
          <w:left w:w="0" w:type="dxa"/>
          <w:bottom w:w="0" w:type="dxa"/>
          <w:right w:w="0" w:type="dxa"/>
        </w:tblCellMar>
        <w:tblLook w:val="01E0"/>
      </w:tblPr>
      <w:tblGrid>
        <w:gridCol w:w="3029"/>
        <w:gridCol w:w="1381"/>
        <w:gridCol w:w="1258"/>
        <w:gridCol w:w="943"/>
        <w:gridCol w:w="845"/>
        <w:gridCol w:w="1255"/>
        <w:gridCol w:w="1157"/>
        <w:gridCol w:w="1471"/>
        <w:gridCol w:w="1051"/>
        <w:gridCol w:w="1258"/>
        <w:gridCol w:w="1579"/>
      </w:tblGrid>
      <w:tr>
        <w:trPr>
          <w:trHeight w:val="238" w:hRule="exact"/>
        </w:trPr>
        <w:tc>
          <w:tcPr>
            <w:tcW w:w="302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21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177" w:lineRule="exact"/>
              <w:ind w:right="0"/>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238" w:hRule="exact"/>
        </w:trPr>
        <w:tc>
          <w:tcPr>
            <w:tcW w:w="3029" w:type="dxa"/>
            <w:vMerge/>
            <w:tcBorders>
              <w:left w:val="single" w:sz="4" w:space="0" w:color="000000"/>
              <w:right w:val="single" w:sz="4" w:space="0" w:color="000000"/>
            </w:tcBorders>
          </w:tcPr>
          <w:p>
            <w:pPr/>
          </w:p>
        </w:tc>
        <w:tc>
          <w:tcPr>
            <w:tcW w:w="9362" w:type="dxa"/>
            <w:gridSpan w:val="8"/>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2"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5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left="172"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22" w:hRule="exact"/>
        </w:trPr>
        <w:tc>
          <w:tcPr>
            <w:tcW w:w="3029" w:type="dxa"/>
            <w:vMerge/>
            <w:tcBorders>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6"/>
              <w:jc w:val="right"/>
              <w:rPr>
                <w:rFonts w:ascii="Times New Roman" w:hAnsi="Times New Roman" w:cs="Times New Roman" w:eastAsia="Times New Roman" w:hint="default"/>
                <w:sz w:val="15"/>
                <w:szCs w:val="15"/>
              </w:rPr>
            </w:pPr>
            <w:r>
              <w:rPr>
                <w:rFonts w:ascii="宋体" w:hAnsi="宋体" w:cs="宋体" w:eastAsia="宋体" w:hint="default"/>
                <w:spacing w:val="-1"/>
                <w:sz w:val="15"/>
                <w:szCs w:val="15"/>
              </w:rPr>
              <w:t>实收资本</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或股本</w:t>
            </w:r>
            <w:r>
              <w:rPr>
                <w:rFonts w:ascii="Times New Roman" w:hAnsi="Times New Roman" w:cs="Times New Roman" w:eastAsia="Times New Roman" w:hint="default"/>
                <w:spacing w:val="-1"/>
                <w:sz w:val="15"/>
                <w:szCs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2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pacing w:val="-6"/>
                <w:sz w:val="15"/>
                <w:szCs w:val="15"/>
              </w:rPr>
              <w:t>减：库存股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17"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2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5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121" w:lineRule="exact"/>
              <w:ind w:right="0"/>
              <w:jc w:val="center"/>
              <w:rPr>
                <w:rFonts w:ascii="宋体" w:hAnsi="宋体" w:cs="宋体" w:eastAsia="宋体" w:hint="default"/>
                <w:sz w:val="15"/>
                <w:szCs w:val="15"/>
              </w:rPr>
            </w:pPr>
            <w:r>
              <w:rPr>
                <w:rFonts w:ascii="宋体" w:hAnsi="宋体" w:cs="宋体" w:eastAsia="宋体" w:hint="default"/>
                <w:sz w:val="15"/>
                <w:szCs w:val="15"/>
              </w:rPr>
              <w:t>外币报表折</w:t>
            </w:r>
          </w:p>
          <w:p>
            <w:pPr>
              <w:pStyle w:val="TableParagraph"/>
              <w:spacing w:line="176" w:lineRule="exact"/>
              <w:ind w:left="2" w:right="0"/>
              <w:jc w:val="center"/>
              <w:rPr>
                <w:rFonts w:ascii="宋体" w:hAnsi="宋体" w:cs="宋体" w:eastAsia="宋体" w:hint="default"/>
                <w:sz w:val="15"/>
                <w:szCs w:val="15"/>
              </w:rPr>
            </w:pPr>
            <w:r>
              <w:rPr>
                <w:rFonts w:ascii="宋体" w:hAnsi="宋体" w:cs="宋体" w:eastAsia="宋体" w:hint="default"/>
                <w:sz w:val="15"/>
                <w:szCs w:val="15"/>
              </w:rPr>
              <w:t>算差额</w:t>
            </w:r>
          </w:p>
        </w:tc>
        <w:tc>
          <w:tcPr>
            <w:tcW w:w="1258" w:type="dxa"/>
            <w:vMerge/>
            <w:tcBorders>
              <w:left w:val="single" w:sz="4" w:space="0" w:color="000000"/>
              <w:bottom w:val="single" w:sz="4" w:space="0" w:color="000000"/>
              <w:right w:val="single" w:sz="4" w:space="0" w:color="000000"/>
            </w:tcBorders>
          </w:tcPr>
          <w:p>
            <w:pPr/>
          </w:p>
        </w:tc>
        <w:tc>
          <w:tcPr>
            <w:tcW w:w="1579" w:type="dxa"/>
            <w:vMerge/>
            <w:tcBorders>
              <w:left w:val="single" w:sz="4" w:space="0" w:color="000000"/>
              <w:bottom w:val="single" w:sz="4" w:space="0" w:color="000000"/>
              <w:right w:val="single" w:sz="4" w:space="0" w:color="000000"/>
            </w:tcBorders>
          </w:tcPr>
          <w:p>
            <w:pPr/>
          </w:p>
        </w:tc>
      </w:tr>
      <w:tr>
        <w:trPr>
          <w:trHeight w:val="235"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5"/>
                <w:szCs w:val="15"/>
              </w:rPr>
            </w:pPr>
            <w:r>
              <w:rPr>
                <w:rFonts w:ascii="Times New Roman"/>
                <w:spacing w:val="-1"/>
                <w:sz w:val="15"/>
              </w:rPr>
              <w:t>17,795,387.00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3,192,421.98</w:t>
            </w:r>
          </w:p>
        </w:tc>
        <w:tc>
          <w:tcPr>
            <w:tcW w:w="9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9,087,878.45</w:t>
            </w:r>
          </w:p>
        </w:tc>
        <w:tc>
          <w:tcPr>
            <w:tcW w:w="115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128,571,419.79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-56,507.95</w:t>
            </w:r>
          </w:p>
        </w:tc>
        <w:tc>
          <w:tcPr>
            <w:tcW w:w="125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158,590,599.27</w:t>
            </w:r>
          </w:p>
        </w:tc>
      </w:tr>
      <w:tr>
        <w:trPr>
          <w:trHeight w:val="238"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54"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8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554"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8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ind w:left="55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8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5"/>
                <w:szCs w:val="15"/>
              </w:rPr>
            </w:pPr>
            <w:r>
              <w:rPr>
                <w:rFonts w:ascii="Times New Roman"/>
                <w:spacing w:val="-1"/>
                <w:sz w:val="15"/>
              </w:rPr>
              <w:t>17,795,387.00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3,192,421.98</w:t>
            </w:r>
          </w:p>
        </w:tc>
        <w:tc>
          <w:tcPr>
            <w:tcW w:w="9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9,087,878.45</w:t>
            </w:r>
          </w:p>
        </w:tc>
        <w:tc>
          <w:tcPr>
            <w:tcW w:w="115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128,571,419.79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-56,507.95</w:t>
            </w:r>
          </w:p>
        </w:tc>
        <w:tc>
          <w:tcPr>
            <w:tcW w:w="125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158,590,599.27</w:t>
            </w:r>
          </w:p>
        </w:tc>
      </w:tr>
      <w:tr>
        <w:trPr>
          <w:trHeight w:val="235"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5"/>
                <w:szCs w:val="15"/>
              </w:rPr>
            </w:pPr>
            <w:r>
              <w:rPr>
                <w:rFonts w:ascii="Times New Roman"/>
                <w:spacing w:val="-1"/>
                <w:sz w:val="15"/>
              </w:rPr>
              <w:t>67,929,095.00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55,076,131.59</w:t>
            </w:r>
          </w:p>
        </w:tc>
        <w:tc>
          <w:tcPr>
            <w:tcW w:w="9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-2,714,080.88</w:t>
            </w:r>
          </w:p>
        </w:tc>
        <w:tc>
          <w:tcPr>
            <w:tcW w:w="115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-56,568,378.57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-53,648.43</w:t>
            </w:r>
          </w:p>
        </w:tc>
        <w:tc>
          <w:tcPr>
            <w:tcW w:w="125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2"/>
                <w:sz w:val="15"/>
              </w:rPr>
              <w:t>63,669,118.71</w:t>
            </w:r>
          </w:p>
        </w:tc>
      </w:tr>
      <w:tr>
        <w:trPr>
          <w:trHeight w:val="238"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38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63,278,947.64</w:t>
            </w:r>
          </w:p>
        </w:tc>
        <w:tc>
          <w:tcPr>
            <w:tcW w:w="105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63,278,947.64</w:t>
            </w:r>
          </w:p>
        </w:tc>
      </w:tr>
      <w:tr>
        <w:trPr>
          <w:trHeight w:val="238"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38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-53,648.43</w:t>
            </w:r>
          </w:p>
        </w:tc>
        <w:tc>
          <w:tcPr>
            <w:tcW w:w="125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-53,648.43</w:t>
            </w:r>
            <w:r>
              <w:rPr>
                <w:rFonts w:ascii="Times New Roman"/>
                <w:sz w:val="15"/>
              </w:rPr>
            </w:r>
          </w:p>
        </w:tc>
      </w:tr>
      <w:tr>
        <w:trPr>
          <w:trHeight w:val="238"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80"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8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63,278,947.64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-53,648.43</w:t>
            </w:r>
          </w:p>
        </w:tc>
        <w:tc>
          <w:tcPr>
            <w:tcW w:w="125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63,225,299.21</w:t>
            </w:r>
          </w:p>
        </w:tc>
      </w:tr>
      <w:tr>
        <w:trPr>
          <w:trHeight w:val="235"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38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443,819.50</w:t>
            </w:r>
          </w:p>
        </w:tc>
        <w:tc>
          <w:tcPr>
            <w:tcW w:w="9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443,819.50</w:t>
            </w:r>
          </w:p>
        </w:tc>
      </w:tr>
      <w:tr>
        <w:trPr>
          <w:trHeight w:val="238"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38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38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38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443,819.50</w:t>
            </w:r>
          </w:p>
        </w:tc>
        <w:tc>
          <w:tcPr>
            <w:tcW w:w="9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443,819.50</w:t>
            </w:r>
          </w:p>
        </w:tc>
      </w:tr>
      <w:tr>
        <w:trPr>
          <w:trHeight w:val="235"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67,929,095.00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45,544,433.64</w:t>
            </w:r>
          </w:p>
        </w:tc>
        <w:tc>
          <w:tcPr>
            <w:tcW w:w="9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6,373,797.57</w:t>
            </w:r>
          </w:p>
        </w:tc>
        <w:tc>
          <w:tcPr>
            <w:tcW w:w="115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2"/>
                <w:sz w:val="15"/>
              </w:rPr>
              <w:t>-119,847,326.21</w:t>
            </w:r>
          </w:p>
        </w:tc>
        <w:tc>
          <w:tcPr>
            <w:tcW w:w="105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38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5"/>
                <w:szCs w:val="15"/>
              </w:rPr>
            </w:pPr>
            <w:r>
              <w:rPr>
                <w:rFonts w:ascii="Times New Roman"/>
                <w:spacing w:val="-1"/>
                <w:sz w:val="15"/>
              </w:rPr>
              <w:t>6,373,797.57</w:t>
            </w:r>
          </w:p>
        </w:tc>
        <w:tc>
          <w:tcPr>
            <w:tcW w:w="115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5"/>
                <w:szCs w:val="15"/>
              </w:rPr>
            </w:pPr>
            <w:r>
              <w:rPr>
                <w:rFonts w:ascii="Times New Roman"/>
                <w:spacing w:val="-1"/>
                <w:sz w:val="15"/>
              </w:rPr>
              <w:t>-6,373,797.57</w:t>
            </w:r>
          </w:p>
        </w:tc>
        <w:tc>
          <w:tcPr>
            <w:tcW w:w="105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38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5"/>
                <w:szCs w:val="15"/>
              </w:rPr>
            </w:pPr>
            <w:r>
              <w:rPr>
                <w:rFonts w:ascii="Times New Roman"/>
                <w:spacing w:val="-1"/>
                <w:sz w:val="15"/>
              </w:rPr>
              <w:t>67,929,095.00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45,544,433.64</w:t>
            </w:r>
          </w:p>
        </w:tc>
        <w:tc>
          <w:tcPr>
            <w:tcW w:w="9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2"/>
                <w:sz w:val="15"/>
              </w:rPr>
              <w:t>-113,473,528.64</w:t>
            </w:r>
          </w:p>
        </w:tc>
        <w:tc>
          <w:tcPr>
            <w:tcW w:w="105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8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38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9,087,878.45</w:t>
            </w:r>
          </w:p>
        </w:tc>
        <w:tc>
          <w:tcPr>
            <w:tcW w:w="9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-9,087,878.45</w:t>
            </w:r>
          </w:p>
        </w:tc>
        <w:tc>
          <w:tcPr>
            <w:tcW w:w="115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38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38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9,087,878.45</w:t>
            </w:r>
          </w:p>
        </w:tc>
        <w:tc>
          <w:tcPr>
            <w:tcW w:w="9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-9,087,878.45</w:t>
            </w:r>
          </w:p>
        </w:tc>
        <w:tc>
          <w:tcPr>
            <w:tcW w:w="115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38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8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38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38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38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38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85,724,482.00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58,268,553.57</w:t>
            </w:r>
          </w:p>
        </w:tc>
        <w:tc>
          <w:tcPr>
            <w:tcW w:w="9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6,373,797.57</w:t>
            </w:r>
          </w:p>
        </w:tc>
        <w:tc>
          <w:tcPr>
            <w:tcW w:w="115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72,003,041.22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2"/>
                <w:sz w:val="15"/>
              </w:rPr>
              <w:t>-110,156.38</w:t>
            </w:r>
          </w:p>
        </w:tc>
        <w:tc>
          <w:tcPr>
            <w:tcW w:w="125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222,259,717.98</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spacing w:before="44"/>
        <w:ind w:left="640"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after="0"/>
        <w:jc w:val="left"/>
        <w:rPr>
          <w:rFonts w:ascii="宋体" w:hAnsi="宋体" w:cs="宋体" w:eastAsia="宋体" w:hint="default"/>
          <w:sz w:val="18"/>
          <w:szCs w:val="18"/>
        </w:rPr>
        <w:sectPr>
          <w:pgSz w:w="16840" w:h="11910" w:orient="landscape"/>
          <w:pgMar w:header="579" w:footer="980" w:top="780" w:bottom="1160" w:left="800" w:right="580"/>
        </w:sectPr>
      </w:pPr>
    </w:p>
    <w:p>
      <w:pPr>
        <w:spacing w:line="240" w:lineRule="auto" w:before="10"/>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tabs>
          <w:tab w:pos="4912" w:val="left" w:leader="none"/>
          <w:tab w:pos="9146" w:val="left" w:leader="none"/>
        </w:tabs>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t>主管会计工作负责人：</w:t>
        <w:tab/>
        <w:t>会计机构负责人：</w:t>
      </w:r>
    </w:p>
    <w:p>
      <w:pPr>
        <w:spacing w:after="0"/>
        <w:jc w:val="left"/>
        <w:rPr>
          <w:rFonts w:ascii="宋体" w:hAnsi="宋体" w:cs="宋体" w:eastAsia="宋体" w:hint="default"/>
          <w:sz w:val="18"/>
          <w:szCs w:val="18"/>
        </w:rPr>
        <w:sectPr>
          <w:pgSz w:w="16840" w:h="11910" w:orient="landscape"/>
          <w:pgMar w:header="579" w:footer="980" w:top="780" w:bottom="1160" w:left="13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2"/>
        <w:spacing w:line="357" w:lineRule="auto"/>
        <w:ind w:left="2322" w:right="2105"/>
        <w:jc w:val="left"/>
        <w:rPr>
          <w:rFonts w:ascii="宋体" w:hAnsi="宋体" w:cs="宋体" w:eastAsia="宋体" w:hint="default"/>
          <w:b w:val="0"/>
          <w:bCs w:val="0"/>
        </w:rPr>
      </w:pPr>
      <w:r>
        <w:rPr>
          <w:rFonts w:ascii="宋体" w:hAnsi="宋体" w:cs="宋体" w:eastAsia="宋体" w:hint="default"/>
        </w:rPr>
        <w:t>上海汉得信息技术股份有限公司</w:t>
      </w:r>
      <w:r>
        <w:rPr>
          <w:rFonts w:ascii="宋体" w:hAnsi="宋体" w:cs="宋体" w:eastAsia="宋体" w:hint="default"/>
          <w:w w:val="99"/>
        </w:rPr>
        <w:t> </w:t>
      </w:r>
      <w:r>
        <w:rPr>
          <w:rFonts w:ascii="宋体" w:hAnsi="宋体" w:cs="宋体" w:eastAsia="宋体" w:hint="default"/>
        </w:rPr>
        <w:t>二</w:t>
      </w:r>
      <w:r>
        <w:rPr>
          <w:rFonts w:ascii="宋体" w:hAnsi="宋体" w:cs="宋体" w:eastAsia="宋体" w:hint="default"/>
          <w:spacing w:val="-79"/>
        </w:rPr>
        <w:t> </w:t>
      </w:r>
      <w:r>
        <w:rPr/>
        <w:t>O</w:t>
      </w:r>
      <w:r>
        <w:rPr>
          <w:spacing w:val="-4"/>
        </w:rPr>
        <w:t> </w:t>
      </w:r>
      <w:r>
        <w:rPr>
          <w:rFonts w:ascii="宋体" w:hAnsi="宋体" w:cs="宋体" w:eastAsia="宋体" w:hint="default"/>
        </w:rPr>
        <w:t>一一年度财务报表附注</w:t>
      </w:r>
      <w:r>
        <w:rPr>
          <w:rFonts w:ascii="宋体" w:hAnsi="宋体" w:cs="宋体" w:eastAsia="宋体" w:hint="default"/>
          <w:b w:val="0"/>
          <w:bCs w:val="0"/>
        </w:rPr>
      </w:r>
    </w:p>
    <w:p>
      <w:pPr>
        <w:spacing w:line="240" w:lineRule="auto" w:before="0"/>
        <w:rPr>
          <w:rFonts w:ascii="宋体" w:hAnsi="宋体" w:cs="宋体" w:eastAsia="宋体" w:hint="default"/>
          <w:b/>
          <w:bCs/>
          <w:sz w:val="24"/>
          <w:szCs w:val="24"/>
        </w:rPr>
      </w:pPr>
    </w:p>
    <w:p>
      <w:pPr>
        <w:pStyle w:val="Heading5"/>
        <w:spacing w:line="240" w:lineRule="auto"/>
        <w:ind w:right="138"/>
        <w:jc w:val="left"/>
        <w:rPr>
          <w:b w:val="0"/>
          <w:bCs w:val="0"/>
        </w:rPr>
      </w:pPr>
      <w:r>
        <w:rPr/>
        <w:t>一、公司基本情况</w:t>
      </w:r>
      <w:r>
        <w:rPr>
          <w:b w:val="0"/>
          <w:bCs w:val="0"/>
        </w:rPr>
      </w:r>
    </w:p>
    <w:p>
      <w:pPr>
        <w:spacing w:line="340" w:lineRule="auto" w:before="131"/>
        <w:ind w:left="858" w:right="214" w:firstLine="0"/>
        <w:jc w:val="both"/>
        <w:rPr>
          <w:rFonts w:ascii="宋体" w:hAnsi="宋体" w:cs="宋体" w:eastAsia="宋体" w:hint="default"/>
          <w:sz w:val="21"/>
          <w:szCs w:val="21"/>
        </w:rPr>
      </w:pPr>
      <w:r>
        <w:rPr>
          <w:rFonts w:ascii="宋体" w:hAnsi="宋体" w:cs="宋体" w:eastAsia="宋体" w:hint="default"/>
          <w:sz w:val="21"/>
          <w:szCs w:val="21"/>
        </w:rPr>
        <w:t>上海汉得信息技术股份有限公司（以下简称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公司</w:t>
      </w:r>
      <w:r>
        <w:rPr>
          <w:rFonts w:ascii="Times New Roman" w:hAnsi="Times New Roman" w:cs="Times New Roman" w:eastAsia="Times New Roman" w:hint="default"/>
          <w:sz w:val="21"/>
          <w:szCs w:val="21"/>
        </w:rPr>
        <w:t>”</w:t>
      </w:r>
      <w:r>
        <w:rPr>
          <w:rFonts w:ascii="宋体" w:hAnsi="宋体" w:cs="宋体" w:eastAsia="宋体" w:hint="default"/>
          <w:sz w:val="21"/>
          <w:szCs w:val="21"/>
        </w:rPr>
        <w:t>或</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）前身是上海全富汉</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sz w:val="21"/>
          <w:szCs w:val="21"/>
        </w:rPr>
        <w:t>得软件技术有限公司，系于</w:t>
      </w:r>
      <w:r>
        <w:rPr>
          <w:rFonts w:ascii="宋体" w:hAnsi="宋体" w:cs="宋体" w:eastAsia="宋体" w:hint="default"/>
          <w:spacing w:val="-46"/>
          <w:sz w:val="21"/>
          <w:szCs w:val="21"/>
        </w:rPr>
        <w:t> </w:t>
      </w:r>
      <w:r>
        <w:rPr>
          <w:rFonts w:ascii="宋体" w:hAnsi="宋体" w:cs="宋体" w:eastAsia="宋体" w:hint="default"/>
          <w:sz w:val="21"/>
          <w:szCs w:val="21"/>
        </w:rPr>
        <w:t>2002</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46"/>
          <w:sz w:val="21"/>
          <w:szCs w:val="21"/>
        </w:rPr>
        <w:t> </w:t>
      </w:r>
      <w:r>
        <w:rPr>
          <w:rFonts w:ascii="宋体" w:hAnsi="宋体" w:cs="宋体" w:eastAsia="宋体" w:hint="default"/>
          <w:spacing w:val="-3"/>
          <w:sz w:val="21"/>
          <w:szCs w:val="21"/>
        </w:rPr>
        <w:t>月经上海市人民政府批准，由</w:t>
      </w:r>
      <w:r>
        <w:rPr>
          <w:rFonts w:ascii="宋体" w:hAnsi="宋体" w:cs="宋体" w:eastAsia="宋体" w:hint="default"/>
          <w:spacing w:val="-46"/>
          <w:sz w:val="21"/>
          <w:szCs w:val="21"/>
        </w:rPr>
        <w:t> </w:t>
      </w:r>
      <w:r>
        <w:rPr>
          <w:rFonts w:ascii="宋体" w:hAnsi="宋体" w:cs="宋体" w:eastAsia="宋体" w:hint="default"/>
          <w:sz w:val="21"/>
          <w:szCs w:val="21"/>
        </w:rPr>
        <w:t>SINO-TWINWOOD</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PTE.,LTD</w:t>
      </w:r>
      <w:r>
        <w:rPr>
          <w:rFonts w:ascii="宋体" w:hAnsi="宋体" w:cs="宋体" w:eastAsia="宋体" w:hint="default"/>
          <w:spacing w:val="-38"/>
          <w:sz w:val="21"/>
          <w:szCs w:val="21"/>
        </w:rPr>
        <w:t> </w:t>
      </w:r>
      <w:r>
        <w:rPr>
          <w:rFonts w:ascii="宋体" w:hAnsi="宋体" w:cs="宋体" w:eastAsia="宋体" w:hint="default"/>
          <w:spacing w:val="-3"/>
          <w:sz w:val="21"/>
          <w:szCs w:val="21"/>
        </w:rPr>
        <w:t>投资设立的有限公司，注册资本为</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215</w:t>
      </w:r>
      <w:r>
        <w:rPr>
          <w:rFonts w:ascii="Times New Roman" w:hAnsi="Times New Roman" w:cs="Times New Roman" w:eastAsia="Times New Roman" w:hint="default"/>
          <w:spacing w:val="15"/>
          <w:sz w:val="21"/>
          <w:szCs w:val="21"/>
        </w:rPr>
        <w:t> </w:t>
      </w:r>
      <w:r>
        <w:rPr>
          <w:rFonts w:ascii="宋体" w:hAnsi="宋体" w:cs="宋体" w:eastAsia="宋体" w:hint="default"/>
          <w:spacing w:val="-3"/>
          <w:sz w:val="21"/>
          <w:szCs w:val="21"/>
        </w:rPr>
        <w:t>万美元。中华人民共和国外商投资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
          <w:sz w:val="21"/>
          <w:szCs w:val="21"/>
        </w:rPr>
        <w:t>企业批准证书的批准号为商外资沪青独资字</w:t>
      </w:r>
      <w:r>
        <w:rPr>
          <w:rFonts w:ascii="宋体" w:hAnsi="宋体" w:cs="宋体" w:eastAsia="宋体" w:hint="default"/>
          <w:spacing w:val="-1"/>
          <w:sz w:val="21"/>
          <w:szCs w:val="21"/>
        </w:rPr>
        <w:t>[2002]1793</w:t>
      </w:r>
      <w:r>
        <w:rPr>
          <w:rFonts w:ascii="宋体" w:hAnsi="宋体" w:cs="宋体" w:eastAsia="宋体" w:hint="default"/>
          <w:spacing w:val="-1"/>
          <w:sz w:val="21"/>
          <w:szCs w:val="21"/>
        </w:rPr>
        <w:t>。公司的企业法人营业执照</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6"/>
          <w:w w:val="100"/>
          <w:sz w:val="21"/>
          <w:szCs w:val="21"/>
        </w:rPr>
        <w:t>注册号：</w:t>
      </w:r>
      <w:r>
        <w:rPr>
          <w:rFonts w:ascii="宋体" w:hAnsi="宋体" w:cs="宋体" w:eastAsia="宋体" w:hint="default"/>
          <w:spacing w:val="-6"/>
          <w:w w:val="100"/>
          <w:sz w:val="21"/>
          <w:szCs w:val="21"/>
        </w:rPr>
        <w:t>310000400308460</w:t>
      </w:r>
      <w:r>
        <w:rPr>
          <w:rFonts w:ascii="宋体" w:hAnsi="宋体" w:cs="宋体" w:eastAsia="宋体" w:hint="default"/>
          <w:spacing w:val="-6"/>
          <w:w w:val="100"/>
          <w:sz w:val="21"/>
          <w:szCs w:val="21"/>
        </w:rPr>
        <w:t>（青浦）。</w:t>
      </w:r>
    </w:p>
    <w:p>
      <w:pPr>
        <w:spacing w:line="240" w:lineRule="auto" w:before="0"/>
        <w:rPr>
          <w:rFonts w:ascii="宋体" w:hAnsi="宋体" w:cs="宋体" w:eastAsia="宋体" w:hint="default"/>
          <w:sz w:val="20"/>
          <w:szCs w:val="20"/>
        </w:rPr>
      </w:pPr>
    </w:p>
    <w:p>
      <w:pPr>
        <w:spacing w:line="331" w:lineRule="auto" w:before="174"/>
        <w:ind w:left="858" w:right="175" w:hanging="8"/>
        <w:jc w:val="both"/>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年投资方</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SINO-TWINWOOD</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PTE.,</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pacing w:val="-8"/>
          <w:sz w:val="21"/>
          <w:szCs w:val="21"/>
        </w:rPr>
        <w:t>LTD</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更名为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Hand</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Enterprise</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Solutions</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Pte.</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Ltd</w:t>
      </w:r>
      <w:r>
        <w:rPr>
          <w:rFonts w:ascii="宋体" w:hAnsi="宋体" w:cs="宋体" w:eastAsia="宋体" w:hint="default"/>
          <w:sz w:val="21"/>
          <w:szCs w:val="21"/>
        </w:rPr>
        <w:t>。</w:t>
      </w:r>
    </w:p>
    <w:p>
      <w:pPr>
        <w:spacing w:line="328" w:lineRule="auto" w:before="21"/>
        <w:ind w:left="858" w:right="211" w:hanging="8"/>
        <w:jc w:val="both"/>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月，本公司由上海全富汉得软件技术有限公司更名为上海汉得信息技术有</w:t>
      </w:r>
      <w:r>
        <w:rPr>
          <w:rFonts w:ascii="宋体" w:hAnsi="宋体" w:cs="宋体" w:eastAsia="宋体" w:hint="default"/>
          <w:w w:val="100"/>
          <w:sz w:val="21"/>
          <w:szCs w:val="21"/>
        </w:rPr>
        <w:t> </w:t>
      </w:r>
      <w:r>
        <w:rPr>
          <w:rFonts w:ascii="宋体" w:hAnsi="宋体" w:cs="宋体" w:eastAsia="宋体" w:hint="default"/>
          <w:sz w:val="21"/>
          <w:szCs w:val="21"/>
        </w:rPr>
        <w:t>限公司。</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line="331" w:lineRule="auto" w:before="0"/>
        <w:ind w:left="850" w:right="109"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Hand Enterprise</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Solutions</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Pte., </w:t>
      </w:r>
      <w:r>
        <w:rPr>
          <w:rFonts w:ascii="Times New Roman" w:hAnsi="Times New Roman" w:cs="Times New Roman" w:eastAsia="Times New Roman" w:hint="default"/>
          <w:spacing w:val="-3"/>
          <w:sz w:val="21"/>
          <w:szCs w:val="21"/>
        </w:rPr>
        <w:t>Ltd</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将其持有的本公司</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股权分</w:t>
      </w:r>
      <w:r>
        <w:rPr>
          <w:rFonts w:ascii="宋体" w:hAnsi="宋体" w:cs="宋体" w:eastAsia="宋体" w:hint="default"/>
          <w:w w:val="100"/>
          <w:sz w:val="21"/>
          <w:szCs w:val="21"/>
        </w:rPr>
        <w:t> </w:t>
      </w:r>
      <w:r>
        <w:rPr>
          <w:rFonts w:ascii="宋体" w:hAnsi="宋体" w:cs="宋体" w:eastAsia="宋体" w:hint="default"/>
          <w:sz w:val="21"/>
          <w:szCs w:val="21"/>
        </w:rPr>
        <w:t>别转让给上海迪宣投资管理有限公司、</w:t>
      </w:r>
      <w:r>
        <w:rPr>
          <w:rFonts w:ascii="Times New Roman" w:hAnsi="Times New Roman" w:cs="Times New Roman" w:eastAsia="Times New Roman" w:hint="default"/>
          <w:sz w:val="21"/>
          <w:szCs w:val="21"/>
        </w:rPr>
        <w:t>Inspire East Investments Limited</w:t>
      </w:r>
      <w:r>
        <w:rPr>
          <w:rFonts w:ascii="宋体" w:hAnsi="宋体" w:cs="宋体" w:eastAsia="宋体" w:hint="default"/>
          <w:sz w:val="21"/>
          <w:szCs w:val="21"/>
        </w:rPr>
        <w:t>、</w:t>
      </w:r>
      <w:r>
        <w:rPr>
          <w:rFonts w:ascii="Times New Roman" w:hAnsi="Times New Roman" w:cs="Times New Roman" w:eastAsia="Times New Roman" w:hint="default"/>
          <w:sz w:val="21"/>
          <w:szCs w:val="21"/>
        </w:rPr>
        <w:t>The</w:t>
      </w:r>
      <w:r>
        <w:rPr>
          <w:rFonts w:ascii="Times New Roman" w:hAnsi="Times New Roman" w:cs="Times New Roman" w:eastAsia="Times New Roman" w:hint="default"/>
          <w:spacing w:val="-22"/>
          <w:sz w:val="21"/>
          <w:szCs w:val="21"/>
        </w:rPr>
        <w:t> </w:t>
      </w:r>
      <w:r>
        <w:rPr>
          <w:rFonts w:ascii="Times New Roman" w:hAnsi="Times New Roman" w:cs="Times New Roman" w:eastAsia="Times New Roman" w:hint="default"/>
          <w:sz w:val="21"/>
          <w:szCs w:val="21"/>
        </w:rPr>
        <w:t>China</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Fund,Inc.</w:t>
      </w:r>
      <w:r>
        <w:rPr>
          <w:rFonts w:ascii="宋体" w:hAnsi="宋体" w:cs="宋体" w:eastAsia="宋体" w:hint="default"/>
          <w:sz w:val="21"/>
          <w:szCs w:val="21"/>
        </w:rPr>
        <w:t>、上海得帆投资管理有限公司、上海得竞投资管理有限公司、上海得拓投</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资管理有限公司和上海得逸投资管理有限公司。转让完成后，上海迪宣投资管理有</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限公司持有本公司</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50.569%</w:t>
      </w:r>
      <w:r>
        <w:rPr>
          <w:rFonts w:ascii="宋体" w:hAnsi="宋体" w:cs="宋体" w:eastAsia="宋体" w:hint="default"/>
          <w:sz w:val="21"/>
          <w:szCs w:val="21"/>
        </w:rPr>
        <w:t>的股权，计</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108.72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万美元；</w:t>
      </w:r>
      <w:r>
        <w:rPr>
          <w:rFonts w:ascii="宋体" w:hAnsi="宋体" w:cs="宋体" w:eastAsia="宋体" w:hint="default"/>
          <w:spacing w:val="14"/>
          <w:sz w:val="21"/>
          <w:szCs w:val="21"/>
        </w:rPr>
        <w:t> </w:t>
      </w:r>
      <w:r>
        <w:rPr>
          <w:rFonts w:ascii="Times New Roman" w:hAnsi="Times New Roman" w:cs="Times New Roman" w:eastAsia="Times New Roman" w:hint="default"/>
          <w:sz w:val="21"/>
          <w:szCs w:val="21"/>
        </w:rPr>
        <w:t>Inspire</w:t>
      </w:r>
      <w:r>
        <w:rPr>
          <w:rFonts w:ascii="Times New Roman" w:hAnsi="Times New Roman" w:cs="Times New Roman" w:eastAsia="Times New Roman" w:hint="default"/>
          <w:spacing w:val="9"/>
          <w:sz w:val="21"/>
          <w:szCs w:val="21"/>
        </w:rPr>
        <w:t> </w:t>
      </w:r>
      <w:r>
        <w:rPr>
          <w:rFonts w:ascii="Times New Roman" w:hAnsi="Times New Roman" w:cs="Times New Roman" w:eastAsia="Times New Roman" w:hint="default"/>
          <w:sz w:val="21"/>
          <w:szCs w:val="21"/>
        </w:rPr>
        <w:t>East</w:t>
      </w:r>
      <w:r>
        <w:rPr>
          <w:rFonts w:ascii="Times New Roman" w:hAnsi="Times New Roman" w:cs="Times New Roman" w:eastAsia="Times New Roman" w:hint="default"/>
          <w:spacing w:val="8"/>
          <w:sz w:val="21"/>
          <w:szCs w:val="21"/>
        </w:rPr>
        <w:t> </w:t>
      </w:r>
      <w:r>
        <w:rPr>
          <w:rFonts w:ascii="Times New Roman" w:hAnsi="Times New Roman" w:cs="Times New Roman" w:eastAsia="Times New Roman" w:hint="default"/>
          <w:sz w:val="21"/>
          <w:szCs w:val="21"/>
        </w:rPr>
        <w:t>Investments</w:t>
      </w:r>
      <w:r>
        <w:rPr>
          <w:rFonts w:ascii="Times New Roman" w:hAnsi="Times New Roman" w:cs="Times New Roman" w:eastAsia="Times New Roman" w:hint="default"/>
          <w:spacing w:val="-48"/>
          <w:sz w:val="21"/>
          <w:szCs w:val="21"/>
        </w:rPr>
        <w:t> </w:t>
      </w:r>
      <w:r>
        <w:rPr>
          <w:rFonts w:ascii="Times New Roman" w:hAnsi="Times New Roman" w:cs="Times New Roman" w:eastAsia="Times New Roman" w:hint="default"/>
          <w:spacing w:val="-48"/>
          <w:sz w:val="21"/>
          <w:szCs w:val="21"/>
        </w:rPr>
      </w:r>
      <w:r>
        <w:rPr>
          <w:rFonts w:ascii="Times New Roman" w:hAnsi="Times New Roman" w:cs="Times New Roman" w:eastAsia="Times New Roman" w:hint="default"/>
          <w:sz w:val="21"/>
          <w:szCs w:val="21"/>
        </w:rPr>
        <w:t>Limited</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持有本公司</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9.364%</w:t>
      </w:r>
      <w:r>
        <w:rPr>
          <w:rFonts w:ascii="宋体" w:hAnsi="宋体" w:cs="宋体" w:eastAsia="宋体" w:hint="default"/>
          <w:spacing w:val="-3"/>
          <w:sz w:val="21"/>
          <w:szCs w:val="21"/>
        </w:rPr>
        <w:t>的股权，计</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20.135 </w:t>
      </w:r>
      <w:r>
        <w:rPr>
          <w:rFonts w:ascii="宋体" w:hAnsi="宋体" w:cs="宋体" w:eastAsia="宋体" w:hint="default"/>
          <w:spacing w:val="-3"/>
          <w:sz w:val="21"/>
          <w:szCs w:val="21"/>
        </w:rPr>
        <w:t>万美元；</w:t>
      </w:r>
      <w:r>
        <w:rPr>
          <w:rFonts w:ascii="Times New Roman" w:hAnsi="Times New Roman" w:cs="Times New Roman" w:eastAsia="Times New Roman" w:hint="default"/>
          <w:spacing w:val="-3"/>
          <w:sz w:val="21"/>
          <w:szCs w:val="21"/>
        </w:rPr>
        <w:t>The</w:t>
      </w:r>
      <w:r>
        <w:rPr>
          <w:rFonts w:ascii="Times New Roman" w:hAnsi="Times New Roman" w:cs="Times New Roman" w:eastAsia="Times New Roman" w:hint="default"/>
          <w:sz w:val="21"/>
          <w:szCs w:val="21"/>
        </w:rPr>
        <w:t> China</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Fund,Inc.</w:t>
      </w:r>
      <w:r>
        <w:rPr>
          <w:rFonts w:ascii="宋体" w:hAnsi="宋体" w:cs="宋体" w:eastAsia="宋体" w:hint="default"/>
          <w:sz w:val="21"/>
          <w:szCs w:val="21"/>
        </w:rPr>
        <w:t>持有本公</w:t>
      </w:r>
      <w:r>
        <w:rPr>
          <w:rFonts w:ascii="宋体" w:hAnsi="宋体" w:cs="宋体" w:eastAsia="宋体" w:hint="default"/>
          <w:spacing w:val="-99"/>
          <w:sz w:val="21"/>
          <w:szCs w:val="21"/>
        </w:rPr>
        <w:t> </w:t>
      </w:r>
      <w:r>
        <w:rPr>
          <w:rFonts w:ascii="宋体" w:hAnsi="宋体" w:cs="宋体" w:eastAsia="宋体" w:hint="default"/>
          <w:w w:val="100"/>
          <w:sz w:val="21"/>
          <w:szCs w:val="21"/>
        </w:rPr>
        <w:t>司</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9"/>
          <w:w w:val="100"/>
          <w:sz w:val="21"/>
          <w:szCs w:val="21"/>
        </w:rPr>
        <w:t>9.364%</w:t>
      </w:r>
      <w:r>
        <w:rPr>
          <w:rFonts w:ascii="宋体" w:hAnsi="宋体" w:cs="宋体" w:eastAsia="宋体" w:hint="default"/>
          <w:spacing w:val="-9"/>
          <w:w w:val="100"/>
          <w:sz w:val="21"/>
          <w:szCs w:val="21"/>
        </w:rPr>
        <w:t>的股权，计</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1"/>
          <w:w w:val="100"/>
          <w:sz w:val="21"/>
          <w:szCs w:val="21"/>
        </w:rPr>
        <w:t>20.135</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6"/>
          <w:w w:val="100"/>
          <w:sz w:val="21"/>
          <w:szCs w:val="21"/>
        </w:rPr>
        <w:t>万美元；上海得帆投资管理有限公司持有本公司</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1"/>
          <w:w w:val="100"/>
          <w:sz w:val="21"/>
          <w:szCs w:val="21"/>
        </w:rPr>
        <w:t>7.594%</w:t>
      </w:r>
      <w:r>
        <w:rPr>
          <w:rFonts w:ascii="Times New Roman" w:hAnsi="Times New Roman" w:cs="Times New Roman" w:eastAsia="Times New Roman" w:hint="default"/>
          <w:spacing w:val="-46"/>
          <w:w w:val="100"/>
          <w:sz w:val="21"/>
          <w:szCs w:val="21"/>
        </w:rPr>
        <w:t> </w:t>
      </w:r>
      <w:r>
        <w:rPr>
          <w:rFonts w:ascii="Times New Roman" w:hAnsi="Times New Roman" w:cs="Times New Roman" w:eastAsia="Times New Roman" w:hint="default"/>
          <w:spacing w:val="-46"/>
          <w:w w:val="100"/>
          <w:sz w:val="21"/>
          <w:szCs w:val="21"/>
        </w:rPr>
      </w:r>
      <w:r>
        <w:rPr>
          <w:rFonts w:ascii="宋体" w:hAnsi="宋体" w:cs="宋体" w:eastAsia="宋体" w:hint="default"/>
          <w:sz w:val="21"/>
          <w:szCs w:val="21"/>
        </w:rPr>
        <w:t>的股权，计</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16.33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万美元；上海得竞投资管理有限公司持有本公司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5.232%</w:t>
      </w:r>
      <w:r>
        <w:rPr>
          <w:rFonts w:ascii="宋体" w:hAnsi="宋体" w:cs="宋体" w:eastAsia="宋体" w:hint="default"/>
          <w:sz w:val="21"/>
          <w:szCs w:val="21"/>
        </w:rPr>
        <w:t>的股权，</w:t>
      </w:r>
      <w:r>
        <w:rPr>
          <w:rFonts w:ascii="宋体" w:hAnsi="宋体" w:cs="宋体" w:eastAsia="宋体" w:hint="default"/>
          <w:w w:val="100"/>
          <w:sz w:val="21"/>
          <w:szCs w:val="21"/>
        </w:rPr>
        <w:t> </w:t>
      </w:r>
      <w:r>
        <w:rPr>
          <w:rFonts w:ascii="宋体" w:hAnsi="宋体" w:cs="宋体" w:eastAsia="宋体" w:hint="default"/>
          <w:sz w:val="21"/>
          <w:szCs w:val="21"/>
        </w:rPr>
        <w:t>计 </w:t>
      </w:r>
      <w:r>
        <w:rPr>
          <w:rFonts w:ascii="Times New Roman" w:hAnsi="Times New Roman" w:cs="Times New Roman" w:eastAsia="Times New Roman" w:hint="default"/>
          <w:sz w:val="21"/>
          <w:szCs w:val="21"/>
        </w:rPr>
        <w:t>11.25 </w:t>
      </w:r>
      <w:r>
        <w:rPr>
          <w:rFonts w:ascii="宋体" w:hAnsi="宋体" w:cs="宋体" w:eastAsia="宋体" w:hint="default"/>
          <w:sz w:val="21"/>
          <w:szCs w:val="21"/>
        </w:rPr>
        <w:t>万美元；上海得拓投资管理有限公司持有本公司 </w:t>
      </w:r>
      <w:r>
        <w:rPr>
          <w:rFonts w:ascii="Times New Roman" w:hAnsi="Times New Roman" w:cs="Times New Roman" w:eastAsia="Times New Roman" w:hint="default"/>
          <w:sz w:val="21"/>
          <w:szCs w:val="21"/>
        </w:rPr>
        <w:t>5.745%</w:t>
      </w:r>
      <w:r>
        <w:rPr>
          <w:rFonts w:ascii="宋体" w:hAnsi="宋体" w:cs="宋体" w:eastAsia="宋体" w:hint="default"/>
          <w:sz w:val="21"/>
          <w:szCs w:val="21"/>
        </w:rPr>
        <w:t>的股权，计</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12.35</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万美元；上海得逸投资管理有限公司持有本公司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12.132%</w:t>
      </w:r>
      <w:r>
        <w:rPr>
          <w:rFonts w:ascii="宋体" w:hAnsi="宋体" w:cs="宋体" w:eastAsia="宋体" w:hint="default"/>
          <w:sz w:val="21"/>
          <w:szCs w:val="21"/>
        </w:rPr>
        <w:t>的股权，计</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26.08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万美元。</w:t>
      </w:r>
    </w:p>
    <w:p>
      <w:pPr>
        <w:spacing w:line="240" w:lineRule="auto" w:before="1"/>
        <w:rPr>
          <w:rFonts w:ascii="宋体" w:hAnsi="宋体" w:cs="宋体" w:eastAsia="宋体" w:hint="default"/>
          <w:sz w:val="32"/>
          <w:szCs w:val="32"/>
        </w:rPr>
      </w:pPr>
    </w:p>
    <w:p>
      <w:pPr>
        <w:spacing w:before="0"/>
        <w:ind w:left="850"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pacing w:val="-6"/>
          <w:sz w:val="21"/>
          <w:szCs w:val="21"/>
        </w:rPr>
        <w:t>日，本公司董事会作出决议，同意本公司整体变更为股份有限公司。</w:t>
      </w:r>
    </w:p>
    <w:p>
      <w:pPr>
        <w:spacing w:before="110"/>
        <w:ind w:left="858" w:right="0" w:firstLine="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5"/>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w:t>
      </w:r>
      <w:r>
        <w:rPr>
          <w:rFonts w:ascii="宋体" w:hAnsi="宋体" w:cs="宋体" w:eastAsia="宋体" w:hint="default"/>
          <w:spacing w:val="-3"/>
          <w:w w:val="100"/>
          <w:sz w:val="21"/>
          <w:szCs w:val="21"/>
        </w:rPr>
        <w:t>本公</w:t>
      </w:r>
      <w:r>
        <w:rPr>
          <w:rFonts w:ascii="宋体" w:hAnsi="宋体" w:cs="宋体" w:eastAsia="宋体" w:hint="default"/>
          <w:w w:val="100"/>
          <w:sz w:val="21"/>
          <w:szCs w:val="21"/>
        </w:rPr>
        <w:t>司的</w:t>
      </w:r>
      <w:r>
        <w:rPr>
          <w:rFonts w:ascii="宋体" w:hAnsi="宋体" w:cs="宋体" w:eastAsia="宋体" w:hint="default"/>
          <w:spacing w:val="-3"/>
          <w:w w:val="100"/>
          <w:sz w:val="21"/>
          <w:szCs w:val="21"/>
        </w:rPr>
        <w:t>全</w:t>
      </w:r>
      <w:r>
        <w:rPr>
          <w:rFonts w:ascii="宋体" w:hAnsi="宋体" w:cs="宋体" w:eastAsia="宋体" w:hint="default"/>
          <w:w w:val="100"/>
          <w:sz w:val="21"/>
          <w:szCs w:val="21"/>
        </w:rPr>
        <w:t>体</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签</w:t>
      </w:r>
      <w:r>
        <w:rPr>
          <w:rFonts w:ascii="宋体" w:hAnsi="宋体" w:cs="宋体" w:eastAsia="宋体" w:hint="default"/>
          <w:w w:val="100"/>
          <w:sz w:val="21"/>
          <w:szCs w:val="21"/>
        </w:rPr>
        <w:t>订</w:t>
      </w:r>
      <w:r>
        <w:rPr>
          <w:rFonts w:ascii="宋体" w:hAnsi="宋体" w:cs="宋体" w:eastAsia="宋体" w:hint="default"/>
          <w:spacing w:val="-3"/>
          <w:w w:val="100"/>
          <w:sz w:val="21"/>
          <w:szCs w:val="21"/>
        </w:rPr>
        <w:t>了</w:t>
      </w:r>
      <w:r>
        <w:rPr>
          <w:rFonts w:ascii="宋体" w:hAnsi="宋体" w:cs="宋体" w:eastAsia="宋体" w:hint="default"/>
          <w:w w:val="100"/>
          <w:sz w:val="21"/>
          <w:szCs w:val="21"/>
        </w:rPr>
        <w:t>《</w:t>
      </w:r>
      <w:r>
        <w:rPr>
          <w:rFonts w:ascii="宋体" w:hAnsi="宋体" w:cs="宋体" w:eastAsia="宋体" w:hint="default"/>
          <w:spacing w:val="-3"/>
          <w:w w:val="100"/>
          <w:sz w:val="21"/>
          <w:szCs w:val="21"/>
        </w:rPr>
        <w:t>发</w:t>
      </w:r>
      <w:r>
        <w:rPr>
          <w:rFonts w:ascii="宋体" w:hAnsi="宋体" w:cs="宋体" w:eastAsia="宋体" w:hint="default"/>
          <w:w w:val="100"/>
          <w:sz w:val="21"/>
          <w:szCs w:val="21"/>
        </w:rPr>
        <w:t>起人</w:t>
      </w:r>
      <w:r>
        <w:rPr>
          <w:rFonts w:ascii="宋体" w:hAnsi="宋体" w:cs="宋体" w:eastAsia="宋体" w:hint="default"/>
          <w:spacing w:val="-3"/>
          <w:w w:val="100"/>
          <w:sz w:val="21"/>
          <w:szCs w:val="21"/>
        </w:rPr>
        <w:t>协</w:t>
      </w:r>
      <w:r>
        <w:rPr>
          <w:rFonts w:ascii="宋体" w:hAnsi="宋体" w:cs="宋体" w:eastAsia="宋体" w:hint="default"/>
          <w:w w:val="100"/>
          <w:sz w:val="21"/>
          <w:szCs w:val="21"/>
        </w:rPr>
        <w:t>议</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上</w:t>
      </w:r>
      <w:r>
        <w:rPr>
          <w:rFonts w:ascii="宋体" w:hAnsi="宋体" w:cs="宋体" w:eastAsia="宋体" w:hint="default"/>
          <w:w w:val="100"/>
          <w:sz w:val="21"/>
          <w:szCs w:val="21"/>
        </w:rPr>
        <w:t>海</w:t>
      </w:r>
      <w:r>
        <w:rPr>
          <w:rFonts w:ascii="宋体" w:hAnsi="宋体" w:cs="宋体" w:eastAsia="宋体" w:hint="default"/>
          <w:spacing w:val="-3"/>
          <w:w w:val="100"/>
          <w:sz w:val="21"/>
          <w:szCs w:val="21"/>
        </w:rPr>
        <w:t>商</w:t>
      </w:r>
      <w:r>
        <w:rPr>
          <w:rFonts w:ascii="宋体" w:hAnsi="宋体" w:cs="宋体" w:eastAsia="宋体" w:hint="default"/>
          <w:w w:val="100"/>
          <w:sz w:val="21"/>
          <w:szCs w:val="21"/>
        </w:rPr>
        <w:t>务</w:t>
      </w:r>
      <w:r>
        <w:rPr>
          <w:rFonts w:ascii="宋体" w:hAnsi="宋体" w:cs="宋体" w:eastAsia="宋体" w:hint="default"/>
          <w:spacing w:val="-3"/>
          <w:w w:val="100"/>
          <w:sz w:val="21"/>
          <w:szCs w:val="21"/>
        </w:rPr>
        <w:t>委</w:t>
      </w:r>
      <w:r>
        <w:rPr>
          <w:rFonts w:ascii="宋体" w:hAnsi="宋体" w:cs="宋体" w:eastAsia="宋体" w:hint="default"/>
          <w:w w:val="100"/>
          <w:sz w:val="21"/>
          <w:szCs w:val="21"/>
        </w:rPr>
        <w:t>于</w:t>
      </w:r>
      <w:r>
        <w:rPr>
          <w:rFonts w:ascii="宋体" w:hAnsi="宋体" w:cs="宋体" w:eastAsia="宋体" w:hint="default"/>
          <w:spacing w:val="-48"/>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p>
    <w:p>
      <w:pPr>
        <w:spacing w:line="336" w:lineRule="auto" w:before="107"/>
        <w:ind w:left="858" w:right="211"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日以沪商外资批</w:t>
      </w:r>
      <w:r>
        <w:rPr>
          <w:rFonts w:ascii="Times New Roman" w:hAnsi="Times New Roman" w:cs="Times New Roman" w:eastAsia="Times New Roman" w:hint="default"/>
          <w:sz w:val="21"/>
          <w:szCs w:val="21"/>
        </w:rPr>
        <w:t>[2010]28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号《市商务委关于同意上海汉得信息技术有限公</w:t>
      </w:r>
      <w:r>
        <w:rPr>
          <w:rFonts w:ascii="宋体" w:hAnsi="宋体" w:cs="宋体" w:eastAsia="宋体" w:hint="default"/>
          <w:w w:val="100"/>
          <w:sz w:val="21"/>
          <w:szCs w:val="21"/>
        </w:rPr>
        <w:t> </w:t>
      </w:r>
      <w:r>
        <w:rPr>
          <w:rFonts w:ascii="宋体" w:hAnsi="宋体" w:cs="宋体" w:eastAsia="宋体" w:hint="default"/>
          <w:spacing w:val="-1"/>
          <w:sz w:val="21"/>
          <w:szCs w:val="21"/>
        </w:rPr>
        <w:t>司变更为外商投资股份有限公司的批复》批准本公司整体变更为股份有限公司，上</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海市人民政府于</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日颁发商外资沪股份字</w:t>
      </w:r>
      <w:r>
        <w:rPr>
          <w:rFonts w:ascii="Times New Roman" w:hAnsi="Times New Roman" w:cs="Times New Roman" w:eastAsia="Times New Roman" w:hint="default"/>
          <w:sz w:val="21"/>
          <w:szCs w:val="21"/>
        </w:rPr>
        <w:t>[2002]1793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号《中华人民共</w:t>
      </w:r>
      <w:r>
        <w:rPr>
          <w:rFonts w:ascii="宋体" w:hAnsi="宋体" w:cs="宋体" w:eastAsia="宋体" w:hint="default"/>
          <w:w w:val="100"/>
          <w:sz w:val="21"/>
          <w:szCs w:val="21"/>
        </w:rPr>
        <w:t> </w:t>
      </w:r>
      <w:r>
        <w:rPr>
          <w:rFonts w:ascii="宋体" w:hAnsi="宋体" w:cs="宋体" w:eastAsia="宋体" w:hint="default"/>
          <w:spacing w:val="-7"/>
          <w:w w:val="100"/>
          <w:sz w:val="21"/>
          <w:szCs w:val="21"/>
        </w:rPr>
        <w:t>和国外商投资企业批准证书》。根据董事会决议及发起人协议，本公司各股东以其所</w:t>
      </w:r>
    </w:p>
    <w:p>
      <w:pPr>
        <w:spacing w:after="0" w:line="336" w:lineRule="auto"/>
        <w:jc w:val="both"/>
        <w:rPr>
          <w:rFonts w:ascii="宋体" w:hAnsi="宋体" w:cs="宋体" w:eastAsia="宋体" w:hint="default"/>
          <w:sz w:val="21"/>
          <w:szCs w:val="21"/>
        </w:rPr>
        <w:sectPr>
          <w:headerReference w:type="default" r:id="rId16"/>
          <w:footerReference w:type="default" r:id="rId17"/>
          <w:pgSz w:w="11910" w:h="16840"/>
          <w:pgMar w:header="884" w:footer="980" w:top="1140" w:bottom="1160" w:left="1660" w:right="1580"/>
          <w:pgNumType w:start="85"/>
        </w:sectPr>
      </w:pPr>
    </w:p>
    <w:p>
      <w:pPr>
        <w:spacing w:line="240" w:lineRule="auto" w:before="11"/>
        <w:rPr>
          <w:rFonts w:ascii="宋体" w:hAnsi="宋体" w:cs="宋体" w:eastAsia="宋体" w:hint="default"/>
          <w:sz w:val="25"/>
          <w:szCs w:val="25"/>
        </w:rPr>
      </w:pPr>
    </w:p>
    <w:p>
      <w:pPr>
        <w:spacing w:before="36"/>
        <w:ind w:left="850" w:right="0" w:firstLine="7"/>
        <w:jc w:val="both"/>
        <w:rPr>
          <w:rFonts w:ascii="Times New Roman" w:hAnsi="Times New Roman" w:cs="Times New Roman" w:eastAsia="Times New Roman" w:hint="default"/>
          <w:sz w:val="21"/>
          <w:szCs w:val="21"/>
        </w:rPr>
      </w:pPr>
      <w:r>
        <w:rPr>
          <w:rFonts w:ascii="宋体" w:hAnsi="宋体" w:cs="宋体" w:eastAsia="宋体" w:hint="default"/>
          <w:sz w:val="21"/>
          <w:szCs w:val="21"/>
        </w:rPr>
        <w:t>拥有的截止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日上海汉得信息技术有限公司的净资产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140,356,794.09</w:t>
      </w:r>
    </w:p>
    <w:p>
      <w:pPr>
        <w:spacing w:line="240" w:lineRule="auto" w:before="0"/>
        <w:rPr>
          <w:rFonts w:ascii="Times New Roman" w:hAnsi="Times New Roman" w:cs="Times New Roman" w:eastAsia="Times New Roman" w:hint="default"/>
          <w:sz w:val="22"/>
          <w:szCs w:val="22"/>
        </w:rPr>
      </w:pPr>
    </w:p>
    <w:p>
      <w:pPr>
        <w:spacing w:line="240" w:lineRule="auto" w:before="3"/>
        <w:rPr>
          <w:rFonts w:ascii="Times New Roman" w:hAnsi="Times New Roman" w:cs="Times New Roman" w:eastAsia="Times New Roman" w:hint="default"/>
          <w:sz w:val="22"/>
          <w:szCs w:val="22"/>
        </w:rPr>
      </w:pPr>
    </w:p>
    <w:p>
      <w:pPr>
        <w:spacing w:before="0"/>
        <w:ind w:left="850" w:right="0" w:firstLine="0"/>
        <w:jc w:val="both"/>
        <w:rPr>
          <w:rFonts w:ascii="Times New Roman" w:hAnsi="Times New Roman" w:cs="Times New Roman" w:eastAsia="Times New Roman" w:hint="default"/>
          <w:sz w:val="21"/>
          <w:szCs w:val="21"/>
        </w:rPr>
      </w:pPr>
      <w:r>
        <w:rPr>
          <w:rFonts w:ascii="宋体" w:hAnsi="宋体" w:cs="宋体" w:eastAsia="宋体" w:hint="default"/>
          <w:spacing w:val="-3"/>
          <w:sz w:val="21"/>
          <w:szCs w:val="21"/>
        </w:rPr>
        <w:t>元按原出资比例认购公司股份，按 </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0.6108 </w:t>
      </w:r>
      <w:r>
        <w:rPr>
          <w:rFonts w:ascii="宋体" w:hAnsi="宋体" w:cs="宋体" w:eastAsia="宋体" w:hint="default"/>
          <w:spacing w:val="-4"/>
          <w:sz w:val="21"/>
          <w:szCs w:val="21"/>
        </w:rPr>
        <w:t>的比例折合股份总额，共计</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8,572.4482</w:t>
      </w:r>
    </w:p>
    <w:p>
      <w:pPr>
        <w:spacing w:before="110"/>
        <w:ind w:left="858" w:right="0" w:firstLine="0"/>
        <w:jc w:val="both"/>
        <w:rPr>
          <w:rFonts w:ascii="宋体" w:hAnsi="宋体" w:cs="宋体" w:eastAsia="宋体" w:hint="default"/>
          <w:sz w:val="21"/>
          <w:szCs w:val="21"/>
        </w:rPr>
      </w:pPr>
      <w:r>
        <w:rPr>
          <w:rFonts w:ascii="宋体" w:hAnsi="宋体" w:cs="宋体" w:eastAsia="宋体" w:hint="default"/>
          <w:spacing w:val="-3"/>
          <w:sz w:val="21"/>
          <w:szCs w:val="21"/>
        </w:rPr>
        <w:t>万股，净资产大于股本部分 </w:t>
      </w:r>
      <w:r>
        <w:rPr>
          <w:rFonts w:ascii="Times New Roman" w:hAnsi="Times New Roman" w:cs="Times New Roman" w:eastAsia="Times New Roman" w:hint="default"/>
          <w:sz w:val="21"/>
          <w:szCs w:val="21"/>
        </w:rPr>
        <w:t>54,632,312.09</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元计入资本公积。立信会计师事务所有限</w:t>
      </w:r>
    </w:p>
    <w:p>
      <w:pPr>
        <w:spacing w:before="110"/>
        <w:ind w:left="858" w:right="0" w:firstLine="0"/>
        <w:jc w:val="both"/>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就</w:t>
      </w:r>
      <w:r>
        <w:rPr>
          <w:rFonts w:ascii="宋体" w:hAnsi="宋体" w:cs="宋体" w:eastAsia="宋体" w:hint="default"/>
          <w:w w:val="100"/>
          <w:sz w:val="21"/>
          <w:szCs w:val="21"/>
        </w:rPr>
        <w:t>此</w:t>
      </w:r>
      <w:r>
        <w:rPr>
          <w:rFonts w:ascii="宋体" w:hAnsi="宋体" w:cs="宋体" w:eastAsia="宋体" w:hint="default"/>
          <w:spacing w:val="-3"/>
          <w:w w:val="100"/>
          <w:sz w:val="21"/>
          <w:szCs w:val="21"/>
        </w:rPr>
        <w:t>次</w:t>
      </w:r>
      <w:r>
        <w:rPr>
          <w:rFonts w:ascii="宋体" w:hAnsi="宋体" w:cs="宋体" w:eastAsia="宋体" w:hint="default"/>
          <w:w w:val="100"/>
          <w:sz w:val="21"/>
          <w:szCs w:val="21"/>
        </w:rPr>
        <w:t>整</w:t>
      </w:r>
      <w:r>
        <w:rPr>
          <w:rFonts w:ascii="宋体" w:hAnsi="宋体" w:cs="宋体" w:eastAsia="宋体" w:hint="default"/>
          <w:spacing w:val="-3"/>
          <w:w w:val="100"/>
          <w:sz w:val="21"/>
          <w:szCs w:val="21"/>
        </w:rPr>
        <w:t>体</w:t>
      </w:r>
      <w:r>
        <w:rPr>
          <w:rFonts w:ascii="宋体" w:hAnsi="宋体" w:cs="宋体" w:eastAsia="宋体" w:hint="default"/>
          <w:w w:val="100"/>
          <w:sz w:val="21"/>
          <w:szCs w:val="21"/>
        </w:rPr>
        <w:t>变</w:t>
      </w:r>
      <w:r>
        <w:rPr>
          <w:rFonts w:ascii="宋体" w:hAnsi="宋体" w:cs="宋体" w:eastAsia="宋体" w:hint="default"/>
          <w:spacing w:val="-3"/>
          <w:w w:val="100"/>
          <w:sz w:val="21"/>
          <w:szCs w:val="21"/>
        </w:rPr>
        <w:t>更</w:t>
      </w:r>
      <w:r>
        <w:rPr>
          <w:rFonts w:ascii="宋体" w:hAnsi="宋体" w:cs="宋体" w:eastAsia="宋体" w:hint="default"/>
          <w:w w:val="100"/>
          <w:sz w:val="21"/>
          <w:szCs w:val="21"/>
        </w:rPr>
        <w:t>出</w:t>
      </w:r>
      <w:r>
        <w:rPr>
          <w:rFonts w:ascii="宋体" w:hAnsi="宋体" w:cs="宋体" w:eastAsia="宋体" w:hint="default"/>
          <w:spacing w:val="-3"/>
          <w:w w:val="100"/>
          <w:sz w:val="21"/>
          <w:szCs w:val="21"/>
        </w:rPr>
        <w:t>具</w:t>
      </w:r>
      <w:r>
        <w:rPr>
          <w:rFonts w:ascii="宋体" w:hAnsi="宋体" w:cs="宋体" w:eastAsia="宋体" w:hint="default"/>
          <w:w w:val="100"/>
          <w:sz w:val="21"/>
          <w:szCs w:val="21"/>
        </w:rPr>
        <w:t>了信</w:t>
      </w:r>
      <w:r>
        <w:rPr>
          <w:rFonts w:ascii="宋体" w:hAnsi="宋体" w:cs="宋体" w:eastAsia="宋体" w:hint="default"/>
          <w:spacing w:val="-3"/>
          <w:w w:val="100"/>
          <w:sz w:val="21"/>
          <w:szCs w:val="21"/>
        </w:rPr>
        <w:t>会</w:t>
      </w:r>
      <w:r>
        <w:rPr>
          <w:rFonts w:ascii="宋体" w:hAnsi="宋体" w:cs="宋体" w:eastAsia="宋体" w:hint="default"/>
          <w:w w:val="100"/>
          <w:sz w:val="21"/>
          <w:szCs w:val="21"/>
        </w:rPr>
        <w:t>师</w:t>
      </w:r>
      <w:r>
        <w:rPr>
          <w:rFonts w:ascii="宋体" w:hAnsi="宋体" w:cs="宋体" w:eastAsia="宋体" w:hint="default"/>
          <w:spacing w:val="-3"/>
          <w:w w:val="100"/>
          <w:sz w:val="21"/>
          <w:szCs w:val="21"/>
        </w:rPr>
        <w:t>报</w:t>
      </w:r>
      <w:r>
        <w:rPr>
          <w:rFonts w:ascii="宋体" w:hAnsi="宋体" w:cs="宋体" w:eastAsia="宋体" w:hint="default"/>
          <w:spacing w:val="-20"/>
          <w:w w:val="100"/>
          <w:sz w:val="21"/>
          <w:szCs w:val="21"/>
        </w:rPr>
        <w:t>字</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201</w:t>
      </w:r>
      <w:r>
        <w:rPr>
          <w:rFonts w:ascii="Times New Roman" w:hAnsi="Times New Roman" w:cs="Times New Roman" w:eastAsia="Times New Roman" w:hint="default"/>
          <w:spacing w:val="-2"/>
          <w:w w:val="100"/>
          <w:sz w:val="21"/>
          <w:szCs w:val="21"/>
        </w:rPr>
        <w:t>0</w:t>
      </w:r>
      <w:r>
        <w:rPr>
          <w:rFonts w:ascii="宋体" w:hAnsi="宋体" w:cs="宋体" w:eastAsia="宋体" w:hint="default"/>
          <w:spacing w:val="-22"/>
          <w:w w:val="100"/>
          <w:sz w:val="21"/>
          <w:szCs w:val="21"/>
        </w:rPr>
        <w:t>）</w:t>
      </w:r>
      <w:r>
        <w:rPr>
          <w:rFonts w:ascii="宋体" w:hAnsi="宋体" w:cs="宋体" w:eastAsia="宋体" w:hint="default"/>
          <w:w w:val="100"/>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0274</w:t>
      </w:r>
      <w:r>
        <w:rPr>
          <w:rFonts w:ascii="Times New Roman" w:hAnsi="Times New Roman" w:cs="Times New Roman" w:eastAsia="Times New Roman" w:hint="default"/>
          <w:spacing w:val="-3"/>
          <w:sz w:val="21"/>
          <w:szCs w:val="21"/>
        </w:rPr>
        <w:t> </w:t>
      </w:r>
      <w:r>
        <w:rPr>
          <w:rFonts w:ascii="宋体" w:hAnsi="宋体" w:cs="宋体" w:eastAsia="宋体" w:hint="default"/>
          <w:spacing w:val="-20"/>
          <w:w w:val="100"/>
          <w:sz w:val="21"/>
          <w:szCs w:val="21"/>
        </w:rPr>
        <w:t>号</w:t>
      </w:r>
      <w:r>
        <w:rPr>
          <w:rFonts w:ascii="宋体" w:hAnsi="宋体" w:cs="宋体" w:eastAsia="宋体" w:hint="default"/>
          <w:spacing w:val="-3"/>
          <w:w w:val="100"/>
          <w:sz w:val="21"/>
          <w:szCs w:val="21"/>
        </w:rPr>
        <w:t>《</w:t>
      </w:r>
      <w:r>
        <w:rPr>
          <w:rFonts w:ascii="宋体" w:hAnsi="宋体" w:cs="宋体" w:eastAsia="宋体" w:hint="default"/>
          <w:w w:val="100"/>
          <w:sz w:val="21"/>
          <w:szCs w:val="21"/>
        </w:rPr>
        <w:t>验</w:t>
      </w:r>
      <w:r>
        <w:rPr>
          <w:rFonts w:ascii="宋体" w:hAnsi="宋体" w:cs="宋体" w:eastAsia="宋体" w:hint="default"/>
          <w:spacing w:val="-3"/>
          <w:w w:val="100"/>
          <w:sz w:val="21"/>
          <w:szCs w:val="21"/>
        </w:rPr>
        <w:t>资</w:t>
      </w:r>
      <w:r>
        <w:rPr>
          <w:rFonts w:ascii="宋体" w:hAnsi="宋体" w:cs="宋体" w:eastAsia="宋体" w:hint="default"/>
          <w:w w:val="100"/>
          <w:sz w:val="21"/>
          <w:szCs w:val="21"/>
        </w:rPr>
        <w:t>报告</w:t>
      </w:r>
      <w:r>
        <w:rPr>
          <w:rFonts w:ascii="宋体" w:hAnsi="宋体" w:cs="宋体" w:eastAsia="宋体" w:hint="default"/>
          <w:spacing w:val="-108"/>
          <w:w w:val="100"/>
          <w:sz w:val="21"/>
          <w:szCs w:val="21"/>
        </w:rPr>
        <w:t>》</w:t>
      </w:r>
      <w:r>
        <w:rPr>
          <w:rFonts w:ascii="宋体" w:hAnsi="宋体" w:cs="宋体" w:eastAsia="宋体" w:hint="default"/>
          <w:spacing w:val="-20"/>
          <w:w w:val="100"/>
          <w:sz w:val="21"/>
          <w:szCs w:val="21"/>
        </w:rPr>
        <w:t>。</w:t>
      </w:r>
      <w:r>
        <w:rPr>
          <w:rFonts w:ascii="宋体" w:hAnsi="宋体" w:cs="宋体" w:eastAsia="宋体" w:hint="default"/>
          <w:spacing w:val="-3"/>
          <w:w w:val="100"/>
          <w:sz w:val="21"/>
          <w:szCs w:val="21"/>
        </w:rPr>
        <w:t>上海</w:t>
      </w:r>
      <w:r>
        <w:rPr>
          <w:rFonts w:ascii="宋体" w:hAnsi="宋体" w:cs="宋体" w:eastAsia="宋体" w:hint="default"/>
          <w:w w:val="100"/>
          <w:sz w:val="21"/>
          <w:szCs w:val="21"/>
        </w:rPr>
        <w:t>市工</w:t>
      </w:r>
    </w:p>
    <w:p>
      <w:pPr>
        <w:spacing w:before="107"/>
        <w:ind w:left="858" w:right="0" w:firstLine="0"/>
        <w:jc w:val="both"/>
        <w:rPr>
          <w:rFonts w:ascii="宋体" w:hAnsi="宋体" w:cs="宋体" w:eastAsia="宋体" w:hint="default"/>
          <w:sz w:val="21"/>
          <w:szCs w:val="21"/>
        </w:rPr>
      </w:pPr>
      <w:r>
        <w:rPr>
          <w:rFonts w:ascii="宋体" w:hAnsi="宋体" w:cs="宋体" w:eastAsia="宋体" w:hint="default"/>
          <w:spacing w:val="14"/>
          <w:w w:val="100"/>
          <w:sz w:val="21"/>
          <w:szCs w:val="21"/>
        </w:rPr>
        <w:t>商行政管</w:t>
      </w:r>
      <w:r>
        <w:rPr>
          <w:rFonts w:ascii="宋体" w:hAnsi="宋体" w:cs="宋体" w:eastAsia="宋体" w:hint="default"/>
          <w:spacing w:val="11"/>
          <w:w w:val="100"/>
          <w:sz w:val="21"/>
          <w:szCs w:val="21"/>
        </w:rPr>
        <w:t>理</w:t>
      </w:r>
      <w:r>
        <w:rPr>
          <w:rFonts w:ascii="宋体" w:hAnsi="宋体" w:cs="宋体" w:eastAsia="宋体" w:hint="default"/>
          <w:spacing w:val="14"/>
          <w:w w:val="100"/>
          <w:sz w:val="21"/>
          <w:szCs w:val="21"/>
        </w:rPr>
        <w:t>局</w:t>
      </w:r>
      <w:r>
        <w:rPr>
          <w:rFonts w:ascii="宋体" w:hAnsi="宋体" w:cs="宋体" w:eastAsia="宋体" w:hint="default"/>
          <w:w w:val="100"/>
          <w:sz w:val="21"/>
          <w:szCs w:val="21"/>
        </w:rPr>
        <w:t>于</w:t>
      </w:r>
      <w:r>
        <w:rPr>
          <w:rFonts w:ascii="宋体" w:hAnsi="宋体" w:cs="宋体" w:eastAsia="宋体" w:hint="default"/>
          <w:spacing w:val="17"/>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2"/>
          <w:sz w:val="21"/>
          <w:szCs w:val="21"/>
        </w:rPr>
        <w:t> </w:t>
      </w:r>
      <w:r>
        <w:rPr>
          <w:rFonts w:ascii="宋体" w:hAnsi="宋体" w:cs="宋体" w:eastAsia="宋体" w:hint="default"/>
          <w:w w:val="100"/>
          <w:sz w:val="21"/>
          <w:szCs w:val="21"/>
        </w:rPr>
        <w:t>年</w:t>
      </w:r>
      <w:r>
        <w:rPr>
          <w:rFonts w:ascii="宋体" w:hAnsi="宋体" w:cs="宋体" w:eastAsia="宋体" w:hint="default"/>
          <w:spacing w:val="15"/>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5"/>
          <w:sz w:val="21"/>
          <w:szCs w:val="21"/>
        </w:rPr>
        <w:t> </w:t>
      </w:r>
      <w:r>
        <w:rPr>
          <w:rFonts w:ascii="宋体" w:hAnsi="宋体" w:cs="宋体" w:eastAsia="宋体" w:hint="default"/>
          <w:w w:val="100"/>
          <w:sz w:val="21"/>
          <w:szCs w:val="21"/>
        </w:rPr>
        <w:t>月</w:t>
      </w:r>
      <w:r>
        <w:rPr>
          <w:rFonts w:ascii="宋体" w:hAnsi="宋体" w:cs="宋体" w:eastAsia="宋体" w:hint="default"/>
          <w:spacing w:val="12"/>
          <w:sz w:val="21"/>
          <w:szCs w:val="21"/>
        </w:rPr>
        <w:t> </w:t>
      </w:r>
      <w:r>
        <w:rPr>
          <w:rFonts w:ascii="Times New Roman" w:hAnsi="Times New Roman" w:cs="Times New Roman" w:eastAsia="Times New Roman" w:hint="default"/>
          <w:w w:val="100"/>
          <w:sz w:val="21"/>
          <w:szCs w:val="21"/>
        </w:rPr>
        <w:t>26</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5"/>
          <w:sz w:val="21"/>
          <w:szCs w:val="21"/>
        </w:rPr>
        <w:t> </w:t>
      </w:r>
      <w:r>
        <w:rPr>
          <w:rFonts w:ascii="宋体" w:hAnsi="宋体" w:cs="宋体" w:eastAsia="宋体" w:hint="default"/>
          <w:spacing w:val="14"/>
          <w:w w:val="100"/>
          <w:sz w:val="21"/>
          <w:szCs w:val="21"/>
        </w:rPr>
        <w:t>日</w:t>
      </w:r>
      <w:r>
        <w:rPr>
          <w:rFonts w:ascii="宋体" w:hAnsi="宋体" w:cs="宋体" w:eastAsia="宋体" w:hint="default"/>
          <w:spacing w:val="11"/>
          <w:w w:val="100"/>
          <w:sz w:val="21"/>
          <w:szCs w:val="21"/>
        </w:rPr>
        <w:t>换</w:t>
      </w:r>
      <w:r>
        <w:rPr>
          <w:rFonts w:ascii="宋体" w:hAnsi="宋体" w:cs="宋体" w:eastAsia="宋体" w:hint="default"/>
          <w:spacing w:val="14"/>
          <w:w w:val="100"/>
          <w:sz w:val="21"/>
          <w:szCs w:val="21"/>
        </w:rPr>
        <w:t>发了</w:t>
      </w:r>
      <w:r>
        <w:rPr>
          <w:rFonts w:ascii="宋体" w:hAnsi="宋体" w:cs="宋体" w:eastAsia="宋体" w:hint="default"/>
          <w:spacing w:val="11"/>
          <w:w w:val="100"/>
          <w:sz w:val="21"/>
          <w:szCs w:val="21"/>
        </w:rPr>
        <w:t>《</w:t>
      </w:r>
      <w:r>
        <w:rPr>
          <w:rFonts w:ascii="宋体" w:hAnsi="宋体" w:cs="宋体" w:eastAsia="宋体" w:hint="default"/>
          <w:spacing w:val="14"/>
          <w:w w:val="100"/>
          <w:sz w:val="21"/>
          <w:szCs w:val="21"/>
        </w:rPr>
        <w:t>企业法人</w:t>
      </w:r>
      <w:r>
        <w:rPr>
          <w:rFonts w:ascii="宋体" w:hAnsi="宋体" w:cs="宋体" w:eastAsia="宋体" w:hint="default"/>
          <w:spacing w:val="11"/>
          <w:w w:val="100"/>
          <w:sz w:val="21"/>
          <w:szCs w:val="21"/>
        </w:rPr>
        <w:t>营</w:t>
      </w:r>
      <w:r>
        <w:rPr>
          <w:rFonts w:ascii="宋体" w:hAnsi="宋体" w:cs="宋体" w:eastAsia="宋体" w:hint="default"/>
          <w:spacing w:val="14"/>
          <w:w w:val="100"/>
          <w:sz w:val="21"/>
          <w:szCs w:val="21"/>
        </w:rPr>
        <w:t>业执照</w:t>
      </w:r>
      <w:r>
        <w:rPr>
          <w:rFonts w:ascii="宋体" w:hAnsi="宋体" w:cs="宋体" w:eastAsia="宋体" w:hint="default"/>
          <w:spacing w:val="-92"/>
          <w:w w:val="100"/>
          <w:sz w:val="21"/>
          <w:szCs w:val="21"/>
        </w:rPr>
        <w:t>》</w:t>
      </w:r>
      <w:r>
        <w:rPr>
          <w:rFonts w:ascii="宋体" w:hAnsi="宋体" w:cs="宋体" w:eastAsia="宋体" w:hint="default"/>
          <w:spacing w:val="11"/>
          <w:w w:val="100"/>
          <w:sz w:val="21"/>
          <w:szCs w:val="21"/>
        </w:rPr>
        <w:t>，注</w:t>
      </w:r>
      <w:r>
        <w:rPr>
          <w:rFonts w:ascii="宋体" w:hAnsi="宋体" w:cs="宋体" w:eastAsia="宋体" w:hint="default"/>
          <w:spacing w:val="14"/>
          <w:w w:val="100"/>
          <w:sz w:val="21"/>
          <w:szCs w:val="21"/>
        </w:rPr>
        <w:t>册号</w:t>
      </w:r>
      <w:r>
        <w:rPr>
          <w:rFonts w:ascii="宋体" w:hAnsi="宋体" w:cs="宋体" w:eastAsia="宋体" w:hint="default"/>
          <w:w w:val="100"/>
          <w:sz w:val="21"/>
          <w:szCs w:val="21"/>
        </w:rPr>
        <w:t>：</w:t>
      </w:r>
    </w:p>
    <w:p>
      <w:pPr>
        <w:spacing w:before="110"/>
        <w:ind w:left="858" w:right="0" w:firstLine="0"/>
        <w:jc w:val="both"/>
        <w:rPr>
          <w:rFonts w:ascii="宋体" w:hAnsi="宋体" w:cs="宋体" w:eastAsia="宋体" w:hint="default"/>
          <w:sz w:val="21"/>
          <w:szCs w:val="21"/>
        </w:rPr>
      </w:pPr>
      <w:r>
        <w:rPr>
          <w:rFonts w:ascii="Times New Roman" w:hAnsi="Times New Roman" w:cs="Times New Roman" w:eastAsia="Times New Roman" w:hint="default"/>
          <w:w w:val="100"/>
          <w:sz w:val="21"/>
          <w:szCs w:val="21"/>
        </w:rPr>
        <w:t>31000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400</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084</w:t>
      </w:r>
      <w:r>
        <w:rPr>
          <w:rFonts w:ascii="Times New Roman" w:hAnsi="Times New Roman" w:cs="Times New Roman" w:eastAsia="Times New Roman" w:hint="default"/>
          <w:spacing w:val="-3"/>
          <w:w w:val="100"/>
          <w:sz w:val="21"/>
          <w:szCs w:val="21"/>
        </w:rPr>
        <w:t>6</w:t>
      </w:r>
      <w:r>
        <w:rPr>
          <w:rFonts w:ascii="Times New Roman" w:hAnsi="Times New Roman" w:cs="Times New Roman" w:eastAsia="Times New Roman" w:hint="default"/>
          <w:w w:val="100"/>
          <w:sz w:val="21"/>
          <w:szCs w:val="21"/>
        </w:rPr>
        <w:t>0</w:t>
      </w:r>
      <w:r>
        <w:rPr>
          <w:rFonts w:ascii="宋体" w:hAnsi="宋体" w:cs="宋体" w:eastAsia="宋体" w:hint="default"/>
          <w:spacing w:val="-3"/>
          <w:w w:val="100"/>
          <w:sz w:val="21"/>
          <w:szCs w:val="21"/>
        </w:rPr>
        <w:t>（</w:t>
      </w:r>
      <w:r>
        <w:rPr>
          <w:rFonts w:ascii="宋体" w:hAnsi="宋体" w:cs="宋体" w:eastAsia="宋体" w:hint="default"/>
          <w:w w:val="100"/>
          <w:sz w:val="21"/>
          <w:szCs w:val="21"/>
        </w:rPr>
        <w:t>市局</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spacing w:line="331" w:lineRule="auto" w:before="0"/>
        <w:ind w:left="858" w:right="201" w:hanging="8"/>
        <w:jc w:val="both"/>
        <w:rPr>
          <w:rFonts w:ascii="宋体" w:hAnsi="宋体" w:cs="宋体" w:eastAsia="宋体" w:hint="default"/>
          <w:sz w:val="21"/>
          <w:szCs w:val="21"/>
        </w:rPr>
      </w:pPr>
      <w:r>
        <w:rPr>
          <w:rFonts w:ascii="宋体" w:hAnsi="宋体" w:cs="宋体" w:eastAsia="宋体" w:hint="default"/>
          <w:sz w:val="21"/>
          <w:szCs w:val="21"/>
        </w:rPr>
        <w:t>经中国证券监督管理委员会证监发行字</w:t>
      </w:r>
      <w:r>
        <w:rPr>
          <w:rFonts w:ascii="Times New Roman" w:hAnsi="Times New Roman" w:cs="Times New Roman" w:eastAsia="Times New Roman" w:hint="default"/>
          <w:color w:val="404040"/>
          <w:sz w:val="21"/>
          <w:szCs w:val="21"/>
        </w:rPr>
        <w:t>[2010]1835</w:t>
      </w:r>
      <w:r>
        <w:rPr>
          <w:rFonts w:ascii="Times New Roman" w:hAnsi="Times New Roman" w:cs="Times New Roman" w:eastAsia="Times New Roman" w:hint="default"/>
          <w:color w:val="404040"/>
          <w:spacing w:val="1"/>
          <w:sz w:val="21"/>
          <w:szCs w:val="21"/>
        </w:rPr>
        <w:t> </w:t>
      </w:r>
      <w:r>
        <w:rPr>
          <w:rFonts w:ascii="宋体" w:hAnsi="宋体" w:cs="宋体" w:eastAsia="宋体" w:hint="default"/>
          <w:color w:val="404040"/>
          <w:spacing w:val="-7"/>
          <w:sz w:val="21"/>
          <w:szCs w:val="21"/>
        </w:rPr>
        <w:t>号</w:t>
      </w:r>
      <w:r>
        <w:rPr>
          <w:rFonts w:ascii="宋体" w:hAnsi="宋体" w:cs="宋体" w:eastAsia="宋体" w:hint="default"/>
          <w:spacing w:val="-7"/>
          <w:sz w:val="21"/>
          <w:szCs w:val="21"/>
        </w:rPr>
        <w:t>文核准，公司于</w:t>
      </w:r>
      <w:r>
        <w:rPr>
          <w:rFonts w:ascii="宋体" w:hAnsi="宋体" w:cs="宋体" w:eastAsia="宋体" w:hint="default"/>
          <w:spacing w:val="-50"/>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月向</w:t>
      </w:r>
      <w:r>
        <w:rPr>
          <w:rFonts w:ascii="宋体" w:hAnsi="宋体" w:cs="宋体" w:eastAsia="宋体" w:hint="default"/>
          <w:w w:val="100"/>
          <w:sz w:val="21"/>
          <w:szCs w:val="21"/>
        </w:rPr>
        <w:t> </w:t>
      </w:r>
      <w:r>
        <w:rPr>
          <w:rFonts w:ascii="宋体" w:hAnsi="宋体" w:cs="宋体" w:eastAsia="宋体" w:hint="default"/>
          <w:sz w:val="21"/>
          <w:szCs w:val="21"/>
        </w:rPr>
        <w:t>社会公开发行人民币普通股（</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w:t>
      </w:r>
      <w:r>
        <w:rPr>
          <w:rFonts w:ascii="Times New Roman" w:hAnsi="Times New Roman" w:cs="Times New Roman" w:eastAsia="Times New Roman" w:hint="default"/>
          <w:color w:val="404040"/>
          <w:sz w:val="21"/>
          <w:szCs w:val="21"/>
        </w:rPr>
        <w:t>3,000</w:t>
      </w:r>
      <w:r>
        <w:rPr>
          <w:rFonts w:ascii="Times New Roman" w:hAnsi="Times New Roman" w:cs="Times New Roman" w:eastAsia="Times New Roman" w:hint="default"/>
          <w:color w:val="404040"/>
          <w:spacing w:val="-8"/>
          <w:sz w:val="21"/>
          <w:szCs w:val="21"/>
        </w:rPr>
        <w:t> </w:t>
      </w:r>
      <w:r>
        <w:rPr>
          <w:rFonts w:ascii="宋体" w:hAnsi="宋体" w:cs="宋体" w:eastAsia="宋体" w:hint="default"/>
          <w:sz w:val="21"/>
          <w:szCs w:val="21"/>
        </w:rPr>
        <w:t>万股，增加注册资本</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万元，增加后</w:t>
      </w:r>
      <w:r>
        <w:rPr>
          <w:rFonts w:ascii="宋体" w:hAnsi="宋体" w:cs="宋体" w:eastAsia="宋体" w:hint="default"/>
          <w:w w:val="100"/>
          <w:sz w:val="21"/>
          <w:szCs w:val="21"/>
        </w:rPr>
        <w:t> </w:t>
      </w:r>
      <w:r>
        <w:rPr>
          <w:rFonts w:ascii="宋体" w:hAnsi="宋体" w:cs="宋体" w:eastAsia="宋体" w:hint="default"/>
          <w:sz w:val="21"/>
          <w:szCs w:val="21"/>
        </w:rPr>
        <w:t>的注册资本为人民币</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11,572.4482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万元。公司于</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日在深圳证券交易所</w:t>
      </w:r>
      <w:r>
        <w:rPr>
          <w:rFonts w:ascii="宋体" w:hAnsi="宋体" w:cs="宋体" w:eastAsia="宋体" w:hint="default"/>
          <w:w w:val="100"/>
          <w:sz w:val="21"/>
          <w:szCs w:val="21"/>
        </w:rPr>
        <w:t> </w:t>
      </w:r>
      <w:r>
        <w:rPr>
          <w:rFonts w:ascii="宋体" w:hAnsi="宋体" w:cs="宋体" w:eastAsia="宋体" w:hint="default"/>
          <w:sz w:val="21"/>
          <w:szCs w:val="21"/>
        </w:rPr>
        <w:t>挂牌上市，深圳证券交易所创业板</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股交易代码：</w:t>
      </w:r>
      <w:r>
        <w:rPr>
          <w:rFonts w:ascii="Times New Roman" w:hAnsi="Times New Roman" w:cs="Times New Roman" w:eastAsia="Times New Roman" w:hint="default"/>
          <w:sz w:val="21"/>
          <w:szCs w:val="21"/>
        </w:rPr>
        <w:t>300170</w:t>
      </w:r>
      <w:r>
        <w:rPr>
          <w:rFonts w:ascii="宋体" w:hAnsi="宋体" w:cs="宋体" w:eastAsia="宋体" w:hint="default"/>
          <w:sz w:val="21"/>
          <w:szCs w:val="21"/>
        </w:rPr>
        <w:t>，</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股简称：汉得信息。</w:t>
      </w:r>
      <w:r>
        <w:rPr>
          <w:rFonts w:ascii="宋体" w:hAnsi="宋体" w:cs="宋体" w:eastAsia="宋体" w:hint="default"/>
          <w:w w:val="100"/>
          <w:sz w:val="21"/>
          <w:szCs w:val="21"/>
        </w:rPr>
        <w:t> </w:t>
      </w:r>
      <w:r>
        <w:rPr>
          <w:rFonts w:ascii="宋体" w:hAnsi="宋体" w:cs="宋体" w:eastAsia="宋体" w:hint="default"/>
          <w:sz w:val="21"/>
          <w:szCs w:val="21"/>
        </w:rPr>
        <w:t>所属行业为电子信息类。</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0"/>
        <w:ind w:left="858" w:right="0" w:firstLine="0"/>
        <w:jc w:val="both"/>
        <w:rPr>
          <w:rFonts w:ascii="Times New Roman" w:hAnsi="Times New Roman" w:cs="Times New Roman" w:eastAsia="Times New Roman" w:hint="default"/>
          <w:sz w:val="21"/>
          <w:szCs w:val="21"/>
        </w:rPr>
      </w:pPr>
      <w:r>
        <w:rPr>
          <w:rFonts w:ascii="宋体" w:hAnsi="宋体" w:cs="宋体" w:eastAsia="宋体" w:hint="default"/>
          <w:sz w:val="21"/>
          <w:szCs w:val="21"/>
        </w:rPr>
        <w:t>根据本公司</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年度股东大会决议，本公司以</w:t>
      </w:r>
      <w:r>
        <w:rPr>
          <w:rFonts w:ascii="宋体" w:hAnsi="宋体" w:cs="宋体" w:eastAsia="宋体" w:hint="default"/>
          <w:spacing w:val="-4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日股本</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11,572.4482</w:t>
      </w:r>
    </w:p>
    <w:p>
      <w:pPr>
        <w:spacing w:before="110"/>
        <w:ind w:left="858" w:right="0" w:firstLine="0"/>
        <w:jc w:val="both"/>
        <w:rPr>
          <w:rFonts w:ascii="宋体" w:hAnsi="宋体" w:cs="宋体" w:eastAsia="宋体" w:hint="default"/>
          <w:sz w:val="21"/>
          <w:szCs w:val="21"/>
        </w:rPr>
      </w:pPr>
      <w:r>
        <w:rPr>
          <w:rFonts w:ascii="宋体" w:hAnsi="宋体" w:cs="宋体" w:eastAsia="宋体" w:hint="default"/>
          <w:spacing w:val="-5"/>
          <w:sz w:val="21"/>
          <w:szCs w:val="21"/>
        </w:rPr>
        <w:t>万股为基数，按每</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股由资本公积金转增</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
          <w:sz w:val="21"/>
          <w:szCs w:val="21"/>
        </w:rPr>
        <w:t> </w:t>
      </w:r>
      <w:r>
        <w:rPr>
          <w:rFonts w:ascii="宋体" w:hAnsi="宋体" w:cs="宋体" w:eastAsia="宋体" w:hint="default"/>
          <w:spacing w:val="-6"/>
          <w:sz w:val="21"/>
          <w:szCs w:val="21"/>
        </w:rPr>
        <w:t>股，共计转增</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46,289,792</w:t>
      </w:r>
      <w:r>
        <w:rPr>
          <w:rFonts w:ascii="Times New Roman" w:hAnsi="Times New Roman" w:cs="Times New Roman" w:eastAsia="Times New Roman" w:hint="default"/>
          <w:spacing w:val="5"/>
          <w:sz w:val="21"/>
          <w:szCs w:val="21"/>
        </w:rPr>
        <w:t> </w:t>
      </w:r>
      <w:r>
        <w:rPr>
          <w:rFonts w:ascii="宋体" w:hAnsi="宋体" w:cs="宋体" w:eastAsia="宋体" w:hint="default"/>
          <w:spacing w:val="-6"/>
          <w:sz w:val="21"/>
          <w:szCs w:val="21"/>
        </w:rPr>
        <w:t>股，转增后股</w:t>
      </w:r>
    </w:p>
    <w:p>
      <w:pPr>
        <w:spacing w:before="110"/>
        <w:ind w:left="858" w:right="0" w:firstLine="0"/>
        <w:jc w:val="both"/>
        <w:rPr>
          <w:rFonts w:ascii="宋体" w:hAnsi="宋体" w:cs="宋体" w:eastAsia="宋体" w:hint="default"/>
          <w:sz w:val="21"/>
          <w:szCs w:val="21"/>
        </w:rPr>
      </w:pPr>
      <w:r>
        <w:rPr>
          <w:rFonts w:ascii="宋体" w:hAnsi="宋体" w:cs="宋体" w:eastAsia="宋体" w:hint="default"/>
          <w:sz w:val="21"/>
          <w:szCs w:val="21"/>
        </w:rPr>
        <w:t>本为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162,014,274.00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spacing w:before="0"/>
        <w:ind w:left="855" w:right="0" w:firstLine="0"/>
        <w:jc w:val="both"/>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年度第一次临时股东大会及</w:t>
      </w:r>
      <w:r>
        <w:rPr>
          <w:rFonts w:ascii="宋体" w:hAnsi="宋体" w:cs="宋体" w:eastAsia="宋体" w:hint="default"/>
          <w:spacing w:val="-4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年度第一届董事会第十七次（临时）</w:t>
      </w:r>
    </w:p>
    <w:p>
      <w:pPr>
        <w:spacing w:before="110"/>
        <w:ind w:left="872" w:right="0" w:firstLine="0"/>
        <w:jc w:val="both"/>
        <w:rPr>
          <w:rFonts w:ascii="宋体" w:hAnsi="宋体" w:cs="宋体" w:eastAsia="宋体" w:hint="default"/>
          <w:sz w:val="21"/>
          <w:szCs w:val="21"/>
        </w:rPr>
      </w:pPr>
      <w:r>
        <w:rPr>
          <w:rFonts w:ascii="宋体" w:hAnsi="宋体" w:cs="宋体" w:eastAsia="宋体" w:hint="default"/>
          <w:sz w:val="21"/>
          <w:szCs w:val="21"/>
        </w:rPr>
        <w:t>会议决议通过，并经中国证券监督委员会审核通过，向本公司</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名激励对象授予</w:t>
      </w:r>
    </w:p>
    <w:p>
      <w:pPr>
        <w:spacing w:line="331" w:lineRule="auto" w:before="108"/>
        <w:ind w:left="872" w:right="211"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5,993,500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股制性股票，并确定授予日为</w:t>
      </w:r>
      <w:r>
        <w:rPr>
          <w:rFonts w:ascii="宋体" w:hAnsi="宋体" w:cs="宋体" w:eastAsia="宋体" w:hint="default"/>
          <w:spacing w:val="-4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日。授予股票来源为向激励</w:t>
      </w:r>
      <w:r>
        <w:rPr>
          <w:rFonts w:ascii="宋体" w:hAnsi="宋体" w:cs="宋体" w:eastAsia="宋体" w:hint="default"/>
          <w:w w:val="100"/>
          <w:sz w:val="21"/>
          <w:szCs w:val="21"/>
        </w:rPr>
        <w:t> </w:t>
      </w:r>
      <w:r>
        <w:rPr>
          <w:rFonts w:ascii="宋体" w:hAnsi="宋体" w:cs="宋体" w:eastAsia="宋体" w:hint="default"/>
          <w:sz w:val="21"/>
          <w:szCs w:val="21"/>
        </w:rPr>
        <w:t>对象定向发行人民币</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7"/>
          <w:sz w:val="21"/>
          <w:szCs w:val="21"/>
        </w:rPr>
        <w:t> </w:t>
      </w:r>
      <w:r>
        <w:rPr>
          <w:rFonts w:ascii="宋体" w:hAnsi="宋体" w:cs="宋体" w:eastAsia="宋体" w:hint="default"/>
          <w:spacing w:val="-3"/>
          <w:sz w:val="21"/>
          <w:szCs w:val="21"/>
        </w:rPr>
        <w:t>股普通股限制性股票。本次定向发行完成后本公司股本总额</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168,007,774.00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1"/>
        <w:rPr>
          <w:rFonts w:ascii="宋体" w:hAnsi="宋体" w:cs="宋体" w:eastAsia="宋体" w:hint="default"/>
          <w:sz w:val="32"/>
          <w:szCs w:val="32"/>
        </w:rPr>
      </w:pPr>
    </w:p>
    <w:p>
      <w:pPr>
        <w:spacing w:before="0"/>
        <w:ind w:left="858" w:right="0" w:firstLine="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日，本公司累计发行股本总额为</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168,007,774.00</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元，公司注册</w:t>
      </w:r>
    </w:p>
    <w:p>
      <w:pPr>
        <w:spacing w:line="340" w:lineRule="auto" w:before="110"/>
        <w:ind w:left="858" w:right="104" w:firstLine="0"/>
        <w:jc w:val="left"/>
        <w:rPr>
          <w:rFonts w:ascii="宋体" w:hAnsi="宋体" w:cs="宋体" w:eastAsia="宋体" w:hint="default"/>
          <w:sz w:val="21"/>
          <w:szCs w:val="21"/>
        </w:rPr>
      </w:pPr>
      <w:r>
        <w:rPr>
          <w:rFonts w:ascii="宋体" w:hAnsi="宋体" w:cs="宋体" w:eastAsia="宋体" w:hint="default"/>
          <w:sz w:val="21"/>
          <w:szCs w:val="21"/>
        </w:rPr>
        <w:t>资本为</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16,800.7774</w:t>
      </w:r>
      <w:r>
        <w:rPr>
          <w:rFonts w:ascii="Times New Roman" w:hAnsi="Times New Roman" w:cs="Times New Roman" w:eastAsia="Times New Roman" w:hint="default"/>
          <w:spacing w:val="11"/>
          <w:sz w:val="21"/>
          <w:szCs w:val="21"/>
        </w:rPr>
        <w:t> </w:t>
      </w:r>
      <w:r>
        <w:rPr>
          <w:rFonts w:ascii="宋体" w:hAnsi="宋体" w:cs="宋体" w:eastAsia="宋体" w:hint="default"/>
          <w:spacing w:val="-5"/>
          <w:sz w:val="21"/>
          <w:szCs w:val="21"/>
        </w:rPr>
        <w:t>万元，经营范围为：研究、开发和生产计算机软件、信息系统和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网络产品，从事信息系统和网络产品，从事信息系统和数据管理系统的安装以及信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息系统的集成，提供技术开发、咨询服务以及与该服务相关的客户支持服务，提供</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9"/>
          <w:w w:val="100"/>
          <w:sz w:val="21"/>
          <w:szCs w:val="21"/>
        </w:rPr>
        <w:t>整体企业信息系统解决方案，销售公司自产产品。（涉及许可经营的凭许可证经营），</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主要产品为自产的 </w:t>
      </w:r>
      <w:r>
        <w:rPr>
          <w:rFonts w:ascii="Times New Roman" w:hAnsi="Times New Roman" w:cs="Times New Roman" w:eastAsia="Times New Roman" w:hint="default"/>
          <w:sz w:val="21"/>
          <w:szCs w:val="21"/>
        </w:rPr>
        <w:t>MAS</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软件、外购软件，提供主要劳务内容为技术开发、咨询服</w:t>
      </w:r>
      <w:r>
        <w:rPr>
          <w:rFonts w:ascii="宋体" w:hAnsi="宋体" w:cs="宋体" w:eastAsia="宋体" w:hint="default"/>
          <w:w w:val="100"/>
          <w:sz w:val="21"/>
          <w:szCs w:val="21"/>
        </w:rPr>
        <w:t> </w:t>
      </w:r>
      <w:r>
        <w:rPr>
          <w:rFonts w:ascii="宋体" w:hAnsi="宋体" w:cs="宋体" w:eastAsia="宋体" w:hint="default"/>
          <w:sz w:val="21"/>
          <w:szCs w:val="21"/>
        </w:rPr>
        <w:t>务、客户支持服务。公司注册地</w:t>
      </w:r>
      <w:r>
        <w:rPr>
          <w:rFonts w:ascii="Times New Roman" w:hAnsi="Times New Roman" w:cs="Times New Roman" w:eastAsia="Times New Roman" w:hint="default"/>
          <w:sz w:val="21"/>
          <w:szCs w:val="21"/>
        </w:rPr>
        <w:t>:</w:t>
      </w:r>
      <w:r>
        <w:rPr>
          <w:rFonts w:ascii="宋体" w:hAnsi="宋体" w:cs="宋体" w:eastAsia="宋体" w:hint="default"/>
          <w:sz w:val="21"/>
          <w:szCs w:val="21"/>
        </w:rPr>
        <w:t>上海市青浦工业园区外青松公路</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5500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号</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303</w:t>
      </w:r>
      <w:r>
        <w:rPr>
          <w:rFonts w:ascii="Times New Roman" w:hAnsi="Times New Roman" w:cs="Times New Roman" w:eastAsia="Times New Roman" w:hint="default"/>
          <w:spacing w:val="19"/>
          <w:sz w:val="21"/>
          <w:szCs w:val="21"/>
        </w:rPr>
        <w:t> </w:t>
      </w:r>
      <w:r>
        <w:rPr>
          <w:rFonts w:ascii="宋体" w:hAnsi="宋体" w:cs="宋体" w:eastAsia="宋体" w:hint="default"/>
          <w:spacing w:val="-3"/>
          <w:sz w:val="21"/>
          <w:szCs w:val="21"/>
        </w:rPr>
        <w:t>室，</w:t>
      </w:r>
      <w:r>
        <w:rPr>
          <w:rFonts w:ascii="宋体" w:hAnsi="宋体" w:cs="宋体" w:eastAsia="宋体" w:hint="default"/>
          <w:spacing w:val="-3"/>
          <w:w w:val="100"/>
          <w:sz w:val="21"/>
          <w:szCs w:val="21"/>
        </w:rPr>
        <w:t> </w:t>
      </w:r>
      <w:r>
        <w:rPr>
          <w:rFonts w:ascii="宋体" w:hAnsi="宋体" w:cs="宋体" w:eastAsia="宋体" w:hint="default"/>
          <w:sz w:val="21"/>
          <w:szCs w:val="21"/>
        </w:rPr>
        <w:t>总部办公地：上海市科苑路 </w:t>
      </w:r>
      <w:r>
        <w:rPr>
          <w:rFonts w:ascii="Times New Roman" w:hAnsi="Times New Roman" w:cs="Times New Roman" w:eastAsia="Times New Roman" w:hint="default"/>
          <w:sz w:val="21"/>
          <w:szCs w:val="21"/>
        </w:rPr>
        <w:t>151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宋体" w:hAnsi="宋体" w:cs="宋体" w:eastAsia="宋体" w:hint="default"/>
          <w:sz w:val="21"/>
          <w:szCs w:val="21"/>
        </w:rPr>
        <w:t>。</w:t>
      </w:r>
    </w:p>
    <w:p>
      <w:pPr>
        <w:spacing w:after="0" w:line="340" w:lineRule="auto"/>
        <w:jc w:val="left"/>
        <w:rPr>
          <w:rFonts w:ascii="宋体" w:hAnsi="宋体" w:cs="宋体" w:eastAsia="宋体" w:hint="default"/>
          <w:sz w:val="21"/>
          <w:szCs w:val="21"/>
        </w:rPr>
        <w:sectPr>
          <w:pgSz w:w="11910" w:h="16840"/>
          <w:pgMar w:header="884" w:footer="980" w:top="1140" w:bottom="116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36"/>
        <w:ind w:left="858" w:right="0" w:firstLine="0"/>
        <w:jc w:val="both"/>
        <w:rPr>
          <w:rFonts w:ascii="宋体" w:hAnsi="宋体" w:cs="宋体" w:eastAsia="宋体" w:hint="default"/>
          <w:sz w:val="21"/>
          <w:szCs w:val="21"/>
        </w:rPr>
      </w:pPr>
      <w:r>
        <w:rPr>
          <w:rFonts w:ascii="宋体" w:hAnsi="宋体" w:cs="宋体" w:eastAsia="宋体" w:hint="default"/>
          <w:sz w:val="21"/>
          <w:szCs w:val="21"/>
        </w:rPr>
        <w:t>公司的基本组织架构为：</w:t>
      </w:r>
    </w:p>
    <w:p>
      <w:pPr>
        <w:spacing w:line="240" w:lineRule="auto" w:before="6"/>
        <w:rPr>
          <w:rFonts w:ascii="宋体" w:hAnsi="宋体" w:cs="宋体" w:eastAsia="宋体" w:hint="default"/>
          <w:sz w:val="2"/>
          <w:szCs w:val="2"/>
        </w:rPr>
      </w:pPr>
    </w:p>
    <w:p>
      <w:pPr>
        <w:spacing w:line="5031" w:lineRule="exact"/>
        <w:ind w:left="706" w:right="0" w:firstLine="0"/>
        <w:rPr>
          <w:rFonts w:ascii="宋体" w:hAnsi="宋体" w:cs="宋体" w:eastAsia="宋体" w:hint="default"/>
          <w:sz w:val="20"/>
          <w:szCs w:val="20"/>
        </w:rPr>
      </w:pPr>
      <w:r>
        <w:rPr>
          <w:rFonts w:ascii="宋体" w:hAnsi="宋体" w:cs="宋体" w:eastAsia="宋体" w:hint="default"/>
          <w:position w:val="-100"/>
          <w:sz w:val="20"/>
          <w:szCs w:val="20"/>
        </w:rPr>
        <w:drawing>
          <wp:inline distT="0" distB="0" distL="0" distR="0">
            <wp:extent cx="5241457" cy="319468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8" cstate="print"/>
                    <a:stretch>
                      <a:fillRect/>
                    </a:stretch>
                  </pic:blipFill>
                  <pic:spPr>
                    <a:xfrm>
                      <a:off x="0" y="0"/>
                      <a:ext cx="5241457" cy="3194685"/>
                    </a:xfrm>
                    <a:prstGeom prst="rect">
                      <a:avLst/>
                    </a:prstGeom>
                  </pic:spPr>
                </pic:pic>
              </a:graphicData>
            </a:graphic>
          </wp:inline>
        </w:drawing>
      </w:r>
      <w:r>
        <w:rPr>
          <w:rFonts w:ascii="宋体" w:hAnsi="宋体" w:cs="宋体" w:eastAsia="宋体" w:hint="default"/>
          <w:position w:val="-100"/>
          <w:sz w:val="20"/>
          <w:szCs w:val="20"/>
        </w:rPr>
      </w:r>
    </w:p>
    <w:p>
      <w:pPr>
        <w:spacing w:line="240" w:lineRule="auto" w:before="5"/>
        <w:rPr>
          <w:rFonts w:ascii="宋体" w:hAnsi="宋体" w:cs="宋体" w:eastAsia="宋体" w:hint="default"/>
          <w:sz w:val="29"/>
          <w:szCs w:val="29"/>
        </w:rPr>
      </w:pPr>
    </w:p>
    <w:p>
      <w:pPr>
        <w:pStyle w:val="Heading5"/>
        <w:spacing w:line="240" w:lineRule="auto"/>
        <w:ind w:right="657"/>
        <w:jc w:val="left"/>
        <w:rPr>
          <w:b w:val="0"/>
          <w:bCs w:val="0"/>
        </w:rPr>
      </w:pPr>
      <w:r>
        <w:rPr/>
        <w:t>二、主要会计政策、会计估计和前期差错</w:t>
      </w:r>
      <w:r>
        <w:rPr>
          <w:b w:val="0"/>
          <w:bCs w:val="0"/>
        </w:rPr>
      </w:r>
    </w:p>
    <w:p>
      <w:pPr>
        <w:tabs>
          <w:tab w:pos="807" w:val="left" w:leader="none"/>
        </w:tabs>
        <w:spacing w:line="345" w:lineRule="auto" w:before="25"/>
        <w:ind w:left="858" w:right="651" w:hanging="71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财务报表的编制基础</w:t>
      </w:r>
      <w:r>
        <w:rPr>
          <w:rFonts w:ascii="宋体" w:hAnsi="宋体" w:cs="宋体" w:eastAsia="宋体" w:hint="default"/>
          <w:b/>
          <w:bCs/>
          <w:w w:val="100"/>
          <w:sz w:val="21"/>
          <w:szCs w:val="21"/>
        </w:rPr>
        <w:t> </w:t>
      </w:r>
      <w:r>
        <w:rPr>
          <w:rFonts w:ascii="宋体" w:hAnsi="宋体" w:cs="宋体" w:eastAsia="宋体" w:hint="default"/>
          <w:sz w:val="21"/>
          <w:szCs w:val="21"/>
        </w:rPr>
        <w:t>公司以持续经营为基础，根据实际发生的交易和事项，按照财政部于 </w:t>
      </w:r>
      <w:r>
        <w:rPr>
          <w:rFonts w:ascii="Times New Roman" w:hAnsi="Times New Roman" w:cs="Times New Roman" w:eastAsia="Times New Roman" w:hint="default"/>
          <w:sz w:val="21"/>
          <w:szCs w:val="21"/>
        </w:rPr>
        <w:t>2006 </w:t>
      </w:r>
      <w:r>
        <w:rPr>
          <w:rFonts w:ascii="宋体" w:hAnsi="宋体" w:cs="宋体" w:eastAsia="宋体" w:hint="default"/>
          <w:sz w:val="21"/>
          <w:szCs w:val="21"/>
        </w:rPr>
        <w:t>年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月</w:t>
      </w:r>
    </w:p>
    <w:p>
      <w:pPr>
        <w:spacing w:line="331" w:lineRule="auto" w:before="5"/>
        <w:ind w:left="858" w:right="647"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15 </w:t>
      </w:r>
      <w:r>
        <w:rPr>
          <w:rFonts w:ascii="宋体" w:hAnsi="宋体" w:cs="宋体" w:eastAsia="宋体" w:hint="default"/>
          <w:sz w:val="21"/>
          <w:szCs w:val="21"/>
        </w:rPr>
        <w:t>日颁布的《企业会计准则</w:t>
      </w:r>
      <w:r>
        <w:rPr>
          <w:rFonts w:ascii="Times New Roman" w:hAnsi="Times New Roman" w:cs="Times New Roman" w:eastAsia="Times New Roman" w:hint="default"/>
          <w:sz w:val="21"/>
          <w:szCs w:val="21"/>
        </w:rPr>
        <w:t>——</w:t>
      </w:r>
      <w:r>
        <w:rPr>
          <w:rFonts w:ascii="宋体" w:hAnsi="宋体" w:cs="宋体" w:eastAsia="宋体" w:hint="default"/>
          <w:sz w:val="21"/>
          <w:szCs w:val="21"/>
        </w:rPr>
        <w:t>基本准则》和 </w:t>
      </w:r>
      <w:r>
        <w:rPr>
          <w:rFonts w:ascii="Times New Roman" w:hAnsi="Times New Roman" w:cs="Times New Roman" w:eastAsia="Times New Roman" w:hint="default"/>
          <w:sz w:val="21"/>
          <w:szCs w:val="21"/>
        </w:rPr>
        <w:t>38</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项具体会计准则、其后颁布的企</w:t>
      </w:r>
      <w:r>
        <w:rPr>
          <w:rFonts w:ascii="宋体" w:hAnsi="宋体" w:cs="宋体" w:eastAsia="宋体" w:hint="default"/>
          <w:w w:val="100"/>
          <w:sz w:val="21"/>
          <w:szCs w:val="21"/>
        </w:rPr>
        <w:t> </w:t>
      </w:r>
      <w:r>
        <w:rPr>
          <w:rFonts w:ascii="宋体" w:hAnsi="宋体" w:cs="宋体" w:eastAsia="宋体" w:hint="default"/>
          <w:spacing w:val="5"/>
          <w:sz w:val="21"/>
          <w:szCs w:val="21"/>
        </w:rPr>
        <w:t>业会计准则应用指南、企业会计准则解释及其他相关规定</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以下合称</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企业会计准</w:t>
      </w:r>
      <w:r>
        <w:rPr>
          <w:rFonts w:ascii="宋体" w:hAnsi="宋体" w:cs="宋体" w:eastAsia="宋体" w:hint="default"/>
          <w:spacing w:val="2"/>
          <w:sz w:val="21"/>
          <w:szCs w:val="21"/>
        </w:rPr>
        <w:t> </w:t>
      </w:r>
      <w:r>
        <w:rPr>
          <w:rFonts w:ascii="宋体" w:hAnsi="宋体" w:cs="宋体" w:eastAsia="宋体" w:hint="default"/>
          <w:sz w:val="21"/>
          <w:szCs w:val="21"/>
        </w:rPr>
        <w:t>则</w:t>
      </w:r>
      <w:r>
        <w:rPr>
          <w:rFonts w:ascii="Times New Roman" w:hAnsi="Times New Roman" w:cs="Times New Roman" w:eastAsia="Times New Roman" w:hint="default"/>
          <w:sz w:val="21"/>
          <w:szCs w:val="21"/>
        </w:rPr>
        <w:t>”)</w:t>
      </w:r>
      <w:r>
        <w:rPr>
          <w:rFonts w:ascii="宋体" w:hAnsi="宋体" w:cs="宋体" w:eastAsia="宋体" w:hint="default"/>
          <w:sz w:val="21"/>
          <w:szCs w:val="21"/>
        </w:rPr>
        <w:t>、以及中国证券监督管理委员会《公开发行证券的公司信息披露编报规则第</w:t>
      </w:r>
      <w:r>
        <w:rPr>
          <w:rFonts w:ascii="宋体" w:hAnsi="宋体" w:cs="宋体" w:eastAsia="宋体" w:hint="default"/>
          <w:spacing w:val="-34"/>
          <w:sz w:val="21"/>
          <w:szCs w:val="21"/>
        </w:rPr>
        <w:t> </w:t>
      </w:r>
      <w:r>
        <w:rPr>
          <w:rFonts w:ascii="Times New Roman" w:hAnsi="Times New Roman" w:cs="Times New Roman" w:eastAsia="Times New Roman" w:hint="default"/>
          <w:spacing w:val="-3"/>
          <w:sz w:val="21"/>
          <w:szCs w:val="21"/>
        </w:rPr>
        <w:t>15</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财务报告的一般规定》</w:t>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0"/>
          <w:sz w:val="21"/>
          <w:szCs w:val="21"/>
        </w:rPr>
        <w:t> </w:t>
      </w:r>
      <w:r>
        <w:rPr>
          <w:rFonts w:ascii="宋体" w:hAnsi="宋体" w:cs="宋体" w:eastAsia="宋体" w:hint="default"/>
          <w:spacing w:val="-2"/>
          <w:sz w:val="21"/>
          <w:szCs w:val="21"/>
        </w:rPr>
        <w:t>年修订</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的披露规定编制财务报表。</w:t>
      </w:r>
    </w:p>
    <w:p>
      <w:pPr>
        <w:spacing w:line="240" w:lineRule="auto" w:before="3"/>
        <w:rPr>
          <w:rFonts w:ascii="宋体" w:hAnsi="宋体" w:cs="宋体" w:eastAsia="宋体" w:hint="default"/>
          <w:sz w:val="24"/>
          <w:szCs w:val="24"/>
        </w:rPr>
      </w:pPr>
    </w:p>
    <w:p>
      <w:pPr>
        <w:tabs>
          <w:tab w:pos="980" w:val="left" w:leader="none"/>
        </w:tabs>
        <w:spacing w:line="345" w:lineRule="auto" w:before="0"/>
        <w:ind w:left="858" w:right="657" w:hanging="71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1"/>
          <w:sz w:val="21"/>
          <w:szCs w:val="21"/>
        </w:rPr>
        <w:t>公司所编制的财务报表符合企业会计准则的要求，真实、完整地反映了报告期公司</w:t>
      </w:r>
      <w:r>
        <w:rPr>
          <w:rFonts w:ascii="宋体" w:hAnsi="宋体" w:cs="宋体" w:eastAsia="宋体" w:hint="default"/>
          <w:w w:val="100"/>
          <w:sz w:val="21"/>
          <w:szCs w:val="21"/>
        </w:rPr>
        <w:t> </w:t>
      </w:r>
      <w:r>
        <w:rPr>
          <w:rFonts w:ascii="宋体" w:hAnsi="宋体" w:cs="宋体" w:eastAsia="宋体" w:hint="default"/>
          <w:sz w:val="21"/>
          <w:szCs w:val="21"/>
        </w:rPr>
        <w:t>的财务状况、经营成果、现金流量等有关信息。</w:t>
      </w:r>
    </w:p>
    <w:p>
      <w:pPr>
        <w:spacing w:line="240" w:lineRule="auto" w:before="2"/>
        <w:rPr>
          <w:rFonts w:ascii="宋体" w:hAnsi="宋体" w:cs="宋体" w:eastAsia="宋体" w:hint="default"/>
          <w:sz w:val="25"/>
          <w:szCs w:val="25"/>
        </w:rPr>
      </w:pPr>
    </w:p>
    <w:p>
      <w:pPr>
        <w:tabs>
          <w:tab w:pos="980" w:val="left" w:leader="none"/>
        </w:tabs>
        <w:spacing w:before="0"/>
        <w:ind w:left="140" w:right="6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会计期间</w:t>
      </w:r>
      <w:r>
        <w:rPr>
          <w:rFonts w:ascii="宋体" w:hAnsi="宋体" w:cs="宋体" w:eastAsia="宋体" w:hint="default"/>
          <w:sz w:val="21"/>
          <w:szCs w:val="21"/>
        </w:rPr>
      </w:r>
    </w:p>
    <w:p>
      <w:pPr>
        <w:spacing w:before="127"/>
        <w:ind w:left="858" w:right="0" w:firstLine="0"/>
        <w:jc w:val="both"/>
        <w:rPr>
          <w:rFonts w:ascii="宋体" w:hAnsi="宋体" w:cs="宋体" w:eastAsia="宋体" w:hint="default"/>
          <w:sz w:val="21"/>
          <w:szCs w:val="21"/>
        </w:rPr>
      </w:pPr>
      <w:r>
        <w:rPr>
          <w:rFonts w:ascii="宋体" w:hAnsi="宋体" w:cs="宋体" w:eastAsia="宋体" w:hint="default"/>
          <w:sz w:val="21"/>
          <w:szCs w:val="21"/>
        </w:rPr>
        <w:t>自公历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日止为一个会计年度。</w:t>
      </w:r>
    </w:p>
    <w:p>
      <w:pPr>
        <w:spacing w:line="240" w:lineRule="auto" w:before="10"/>
        <w:rPr>
          <w:rFonts w:ascii="宋体" w:hAnsi="宋体" w:cs="宋体" w:eastAsia="宋体" w:hint="default"/>
          <w:sz w:val="30"/>
          <w:szCs w:val="30"/>
        </w:rPr>
      </w:pPr>
    </w:p>
    <w:p>
      <w:pPr>
        <w:tabs>
          <w:tab w:pos="980" w:val="left" w:leader="none"/>
        </w:tabs>
        <w:spacing w:line="345" w:lineRule="auto" w:before="0"/>
        <w:ind w:left="858" w:right="5723" w:hanging="71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tab/>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采用人民币为记账本位币。</w:t>
      </w:r>
    </w:p>
    <w:p>
      <w:pPr>
        <w:spacing w:before="33"/>
        <w:ind w:left="858" w:right="0" w:firstLine="0"/>
        <w:jc w:val="both"/>
        <w:rPr>
          <w:rFonts w:ascii="宋体" w:hAnsi="宋体" w:cs="宋体" w:eastAsia="宋体" w:hint="default"/>
          <w:sz w:val="21"/>
          <w:szCs w:val="21"/>
        </w:rPr>
      </w:pPr>
      <w:r>
        <w:rPr>
          <w:rFonts w:ascii="宋体" w:hAnsi="宋体" w:cs="宋体" w:eastAsia="宋体" w:hint="default"/>
          <w:sz w:val="21"/>
          <w:szCs w:val="21"/>
        </w:rPr>
        <w:t>本公司境外子公司汉得日本株式会社以日元作为记账本位币。</w:t>
      </w:r>
    </w:p>
    <w:p>
      <w:pPr>
        <w:tabs>
          <w:tab w:pos="980" w:val="left" w:leader="none"/>
        </w:tabs>
        <w:spacing w:before="18"/>
        <w:ind w:left="140" w:right="6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五</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84" w:footer="980" w:top="1140" w:bottom="1160" w:left="1660" w:right="1140"/>
        </w:sectPr>
      </w:pPr>
    </w:p>
    <w:p>
      <w:pPr>
        <w:spacing w:line="240" w:lineRule="auto" w:before="11"/>
        <w:rPr>
          <w:rFonts w:ascii="宋体" w:hAnsi="宋体" w:cs="宋体" w:eastAsia="宋体" w:hint="default"/>
          <w:b/>
          <w:bCs/>
          <w:sz w:val="25"/>
          <w:szCs w:val="25"/>
        </w:rPr>
      </w:pPr>
    </w:p>
    <w:p>
      <w:pPr>
        <w:tabs>
          <w:tab w:pos="1395" w:val="left" w:leader="none"/>
        </w:tabs>
        <w:spacing w:line="348" w:lineRule="auto" w:before="36"/>
        <w:ind w:left="1400" w:right="108"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同一控制下企业合并</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5"/>
          <w:w w:val="100"/>
          <w:sz w:val="21"/>
          <w:szCs w:val="21"/>
        </w:rPr>
        <w:t>本公司在企业合并中取得的资产和负债，按照合并日在被合并方的账面价值计</w:t>
      </w:r>
      <w:r>
        <w:rPr>
          <w:rFonts w:ascii="宋体" w:hAnsi="宋体" w:cs="宋体" w:eastAsia="宋体" w:hint="default"/>
          <w:w w:val="100"/>
          <w:sz w:val="21"/>
          <w:szCs w:val="21"/>
        </w:rPr>
        <w:t> </w:t>
      </w:r>
      <w:r>
        <w:rPr>
          <w:rFonts w:ascii="宋体" w:hAnsi="宋体" w:cs="宋体" w:eastAsia="宋体" w:hint="default"/>
          <w:spacing w:val="-5"/>
          <w:sz w:val="21"/>
          <w:szCs w:val="21"/>
        </w:rPr>
        <w:t>量。被合并各方采用的会计政策与本公司不一致的，本公司在合并日按照本公</w:t>
      </w:r>
      <w:r>
        <w:rPr>
          <w:rFonts w:ascii="宋体" w:hAnsi="宋体" w:cs="宋体" w:eastAsia="宋体" w:hint="default"/>
          <w:w w:val="100"/>
          <w:sz w:val="21"/>
          <w:szCs w:val="21"/>
        </w:rPr>
        <w:t> </w:t>
      </w:r>
      <w:r>
        <w:rPr>
          <w:rFonts w:ascii="宋体" w:hAnsi="宋体" w:cs="宋体" w:eastAsia="宋体" w:hint="default"/>
          <w:sz w:val="21"/>
          <w:szCs w:val="21"/>
        </w:rPr>
        <w:t>司会计政策进行调整，在此基础上按照调整后的账面价值确认。</w:t>
      </w:r>
      <w:r>
        <w:rPr>
          <w:rFonts w:ascii="宋体" w:hAnsi="宋体" w:cs="宋体" w:eastAsia="宋体" w:hint="default"/>
          <w:w w:val="100"/>
          <w:sz w:val="21"/>
          <w:szCs w:val="21"/>
        </w:rPr>
        <w:t> </w:t>
      </w:r>
      <w:r>
        <w:rPr>
          <w:rFonts w:ascii="宋体" w:hAnsi="宋体" w:cs="宋体" w:eastAsia="宋体" w:hint="default"/>
          <w:spacing w:val="-5"/>
          <w:w w:val="100"/>
          <w:sz w:val="21"/>
          <w:szCs w:val="21"/>
        </w:rPr>
        <w:t>在合并中取得的净资产账面价值与支付的合并对价账面价值（或发行股份面值</w:t>
      </w:r>
      <w:r>
        <w:rPr>
          <w:rFonts w:ascii="宋体" w:hAnsi="宋体" w:cs="宋体" w:eastAsia="宋体" w:hint="default"/>
          <w:w w:val="100"/>
          <w:sz w:val="21"/>
          <w:szCs w:val="21"/>
        </w:rPr>
        <w:t> </w:t>
      </w:r>
      <w:r>
        <w:rPr>
          <w:rFonts w:ascii="宋体" w:hAnsi="宋体" w:cs="宋体" w:eastAsia="宋体" w:hint="default"/>
          <w:spacing w:val="-5"/>
          <w:sz w:val="21"/>
          <w:szCs w:val="21"/>
        </w:rPr>
        <w:t>总额）的差额，调整资本公积中的股本溢价，资本公积中的股本溢价不足冲减</w:t>
      </w:r>
      <w:r>
        <w:rPr>
          <w:rFonts w:ascii="宋体" w:hAnsi="宋体" w:cs="宋体" w:eastAsia="宋体" w:hint="default"/>
          <w:w w:val="100"/>
          <w:sz w:val="21"/>
          <w:szCs w:val="21"/>
        </w:rPr>
        <w:t> </w:t>
      </w:r>
      <w:r>
        <w:rPr>
          <w:rFonts w:ascii="宋体" w:hAnsi="宋体" w:cs="宋体" w:eastAsia="宋体" w:hint="default"/>
          <w:sz w:val="21"/>
          <w:szCs w:val="21"/>
        </w:rPr>
        <w:t>的，调整留存收益。</w:t>
      </w:r>
      <w:r>
        <w:rPr>
          <w:rFonts w:ascii="宋体" w:hAnsi="宋体" w:cs="宋体" w:eastAsia="宋体" w:hint="default"/>
          <w:w w:val="100"/>
          <w:sz w:val="21"/>
          <w:szCs w:val="21"/>
        </w:rPr>
        <w:t> </w:t>
      </w:r>
      <w:r>
        <w:rPr>
          <w:rFonts w:ascii="宋体" w:hAnsi="宋体" w:cs="宋体" w:eastAsia="宋体" w:hint="default"/>
          <w:spacing w:val="-5"/>
          <w:w w:val="100"/>
          <w:sz w:val="21"/>
          <w:szCs w:val="21"/>
        </w:rPr>
        <w:t>本公司为进行企业合并而发生的各项直接相关费用，包括为进行企业合并而支</w:t>
      </w:r>
      <w:r>
        <w:rPr>
          <w:rFonts w:ascii="宋体" w:hAnsi="宋体" w:cs="宋体" w:eastAsia="宋体" w:hint="default"/>
          <w:w w:val="100"/>
          <w:sz w:val="21"/>
          <w:szCs w:val="21"/>
        </w:rPr>
        <w:t> </w:t>
      </w:r>
      <w:r>
        <w:rPr>
          <w:rFonts w:ascii="宋体" w:hAnsi="宋体" w:cs="宋体" w:eastAsia="宋体" w:hint="default"/>
          <w:sz w:val="21"/>
          <w:szCs w:val="21"/>
        </w:rPr>
        <w:t>付的审计费用、评估费用、法律服务费等，于发生时计入当期损益。</w:t>
      </w:r>
      <w:r>
        <w:rPr>
          <w:rFonts w:ascii="宋体" w:hAnsi="宋体" w:cs="宋体" w:eastAsia="宋体" w:hint="default"/>
          <w:w w:val="100"/>
          <w:sz w:val="21"/>
          <w:szCs w:val="21"/>
        </w:rPr>
        <w:t> </w:t>
      </w:r>
      <w:r>
        <w:rPr>
          <w:rFonts w:ascii="宋体" w:hAnsi="宋体" w:cs="宋体" w:eastAsia="宋体" w:hint="default"/>
          <w:spacing w:val="-7"/>
          <w:w w:val="100"/>
          <w:sz w:val="21"/>
          <w:szCs w:val="21"/>
        </w:rPr>
        <w:t>企业合并中发行权益性证券发生的手续费、佣金等，抵减权益性证券溢价收入，</w:t>
      </w:r>
      <w:r>
        <w:rPr>
          <w:rFonts w:ascii="宋体" w:hAnsi="宋体" w:cs="宋体" w:eastAsia="宋体" w:hint="default"/>
          <w:w w:val="100"/>
          <w:sz w:val="21"/>
          <w:szCs w:val="21"/>
        </w:rPr>
        <w:t> </w:t>
      </w:r>
      <w:r>
        <w:rPr>
          <w:rFonts w:ascii="宋体" w:hAnsi="宋体" w:cs="宋体" w:eastAsia="宋体" w:hint="default"/>
          <w:sz w:val="21"/>
          <w:szCs w:val="21"/>
        </w:rPr>
        <w:t>溢价收入不足冲减的，冲减留存收益。</w:t>
      </w:r>
    </w:p>
    <w:p>
      <w:pPr>
        <w:spacing w:line="240" w:lineRule="auto" w:before="0"/>
        <w:rPr>
          <w:rFonts w:ascii="宋体" w:hAnsi="宋体" w:cs="宋体" w:eastAsia="宋体" w:hint="default"/>
          <w:sz w:val="20"/>
          <w:szCs w:val="20"/>
        </w:rPr>
      </w:pPr>
    </w:p>
    <w:p>
      <w:pPr>
        <w:tabs>
          <w:tab w:pos="1395" w:val="left" w:leader="none"/>
        </w:tabs>
        <w:spacing w:line="345" w:lineRule="auto" w:before="158"/>
        <w:ind w:left="1400" w:right="138"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1"/>
          <w:sz w:val="21"/>
          <w:szCs w:val="21"/>
        </w:rPr>
        <w:t>非同一控制下的企业合并</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pacing w:val="-5"/>
          <w:w w:val="100"/>
          <w:sz w:val="21"/>
          <w:szCs w:val="21"/>
        </w:rPr>
        <w:t>本公司在购买日对作为企业合并对价付出的资产、发生或承担的负债按照公允</w:t>
      </w:r>
      <w:r>
        <w:rPr>
          <w:rFonts w:ascii="宋体" w:hAnsi="宋体" w:cs="宋体" w:eastAsia="宋体" w:hint="default"/>
          <w:w w:val="100"/>
          <w:sz w:val="21"/>
          <w:szCs w:val="21"/>
        </w:rPr>
        <w:t> </w:t>
      </w:r>
      <w:r>
        <w:rPr>
          <w:rFonts w:ascii="宋体" w:hAnsi="宋体" w:cs="宋体" w:eastAsia="宋体" w:hint="default"/>
          <w:sz w:val="21"/>
          <w:szCs w:val="21"/>
        </w:rPr>
        <w:t>价值计量。公允价值与其账面价值的差额，计入当期损益。</w:t>
      </w:r>
      <w:r>
        <w:rPr>
          <w:rFonts w:ascii="宋体" w:hAnsi="宋体" w:cs="宋体" w:eastAsia="宋体" w:hint="default"/>
          <w:w w:val="100"/>
          <w:sz w:val="21"/>
          <w:szCs w:val="21"/>
        </w:rPr>
        <w:t> </w:t>
      </w:r>
      <w:r>
        <w:rPr>
          <w:rFonts w:ascii="宋体" w:hAnsi="宋体" w:cs="宋体" w:eastAsia="宋体" w:hint="default"/>
          <w:sz w:val="21"/>
          <w:szCs w:val="21"/>
        </w:rPr>
        <w:t>本公司在购买日对合并成本进行分配，确认所取得的被购买方各项可辨认资</w:t>
      </w:r>
      <w:r>
        <w:rPr>
          <w:rFonts w:ascii="宋体" w:hAnsi="宋体" w:cs="宋体" w:eastAsia="宋体" w:hint="default"/>
          <w:w w:val="100"/>
          <w:sz w:val="21"/>
          <w:szCs w:val="21"/>
        </w:rPr>
        <w:t> </w:t>
      </w:r>
      <w:r>
        <w:rPr>
          <w:rFonts w:ascii="宋体" w:hAnsi="宋体" w:cs="宋体" w:eastAsia="宋体" w:hint="default"/>
          <w:sz w:val="21"/>
          <w:szCs w:val="21"/>
        </w:rPr>
        <w:t>产、负债及或有负债的公允价值。</w:t>
      </w:r>
      <w:r>
        <w:rPr>
          <w:rFonts w:ascii="宋体" w:hAnsi="宋体" w:cs="宋体" w:eastAsia="宋体" w:hint="default"/>
          <w:w w:val="100"/>
          <w:sz w:val="21"/>
          <w:szCs w:val="21"/>
        </w:rPr>
        <w:t> </w:t>
      </w:r>
      <w:r>
        <w:rPr>
          <w:rFonts w:ascii="宋体" w:hAnsi="宋体" w:cs="宋体" w:eastAsia="宋体" w:hint="default"/>
          <w:sz w:val="21"/>
          <w:szCs w:val="21"/>
        </w:rPr>
        <w:t>本公司对合并成本大于合并中取得的被购买方可辨认净资产公允价值份额的</w:t>
      </w:r>
      <w:r>
        <w:rPr>
          <w:rFonts w:ascii="宋体" w:hAnsi="宋体" w:cs="宋体" w:eastAsia="宋体" w:hint="default"/>
          <w:w w:val="100"/>
          <w:sz w:val="21"/>
          <w:szCs w:val="21"/>
        </w:rPr>
        <w:t> </w:t>
      </w:r>
      <w:r>
        <w:rPr>
          <w:rFonts w:ascii="宋体" w:hAnsi="宋体" w:cs="宋体" w:eastAsia="宋体" w:hint="default"/>
          <w:spacing w:val="-5"/>
          <w:sz w:val="21"/>
          <w:szCs w:val="21"/>
        </w:rPr>
        <w:t>差额，确认为商誉；合并成本小于合并中取得的被购买方可辨认净资产公允价</w:t>
      </w:r>
      <w:r>
        <w:rPr>
          <w:rFonts w:ascii="宋体" w:hAnsi="宋体" w:cs="宋体" w:eastAsia="宋体" w:hint="default"/>
          <w:w w:val="100"/>
          <w:sz w:val="21"/>
          <w:szCs w:val="21"/>
        </w:rPr>
        <w:t> </w:t>
      </w:r>
      <w:r>
        <w:rPr>
          <w:rFonts w:ascii="宋体" w:hAnsi="宋体" w:cs="宋体" w:eastAsia="宋体" w:hint="default"/>
          <w:sz w:val="21"/>
          <w:szCs w:val="21"/>
        </w:rPr>
        <w:t>值份额的差额，经复核后，计入当期损益。</w:t>
      </w:r>
      <w:r>
        <w:rPr>
          <w:rFonts w:ascii="宋体" w:hAnsi="宋体" w:cs="宋体" w:eastAsia="宋体" w:hint="default"/>
          <w:w w:val="100"/>
          <w:sz w:val="21"/>
          <w:szCs w:val="21"/>
        </w:rPr>
        <w:t> </w:t>
      </w:r>
      <w:r>
        <w:rPr>
          <w:rFonts w:ascii="宋体" w:hAnsi="宋体" w:cs="宋体" w:eastAsia="宋体" w:hint="default"/>
          <w:spacing w:val="-5"/>
          <w:w w:val="100"/>
          <w:sz w:val="21"/>
          <w:szCs w:val="21"/>
        </w:rPr>
        <w:t>企业合并中取得的被购买方除无形资产外的其他各项资产（不仅限于被购买方</w:t>
      </w:r>
      <w:r>
        <w:rPr>
          <w:rFonts w:ascii="宋体" w:hAnsi="宋体" w:cs="宋体" w:eastAsia="宋体" w:hint="default"/>
          <w:w w:val="100"/>
          <w:sz w:val="21"/>
          <w:szCs w:val="21"/>
        </w:rPr>
        <w:t> </w:t>
      </w:r>
      <w:r>
        <w:rPr>
          <w:rFonts w:ascii="宋体" w:hAnsi="宋体" w:cs="宋体" w:eastAsia="宋体" w:hint="default"/>
          <w:spacing w:val="-5"/>
          <w:w w:val="100"/>
          <w:sz w:val="21"/>
          <w:szCs w:val="21"/>
        </w:rPr>
        <w:t>原已确认的资产），其所带来的经济利益很可能流入本公司且公允价值能够可</w:t>
      </w:r>
      <w:r>
        <w:rPr>
          <w:rFonts w:ascii="宋体" w:hAnsi="宋体" w:cs="宋体" w:eastAsia="宋体" w:hint="default"/>
          <w:w w:val="100"/>
          <w:sz w:val="21"/>
          <w:szCs w:val="21"/>
        </w:rPr>
        <w:t> </w:t>
      </w:r>
      <w:r>
        <w:rPr>
          <w:rFonts w:ascii="宋体" w:hAnsi="宋体" w:cs="宋体" w:eastAsia="宋体" w:hint="default"/>
          <w:spacing w:val="-2"/>
          <w:sz w:val="21"/>
          <w:szCs w:val="21"/>
        </w:rPr>
        <w:t>靠计量的，单独确认并按公允价值计量；公允价值能够可靠计量的无形资产，</w:t>
      </w:r>
      <w:r>
        <w:rPr>
          <w:rFonts w:ascii="宋体" w:hAnsi="宋体" w:cs="宋体" w:eastAsia="宋体" w:hint="default"/>
          <w:w w:val="100"/>
          <w:sz w:val="21"/>
          <w:szCs w:val="21"/>
        </w:rPr>
        <w:t> </w:t>
      </w:r>
      <w:r>
        <w:rPr>
          <w:rFonts w:ascii="宋体" w:hAnsi="宋体" w:cs="宋体" w:eastAsia="宋体" w:hint="default"/>
          <w:spacing w:val="-5"/>
          <w:w w:val="100"/>
          <w:sz w:val="21"/>
          <w:szCs w:val="21"/>
        </w:rPr>
        <w:t>单独确认为无形资产并按公允价值计量；取得的被购买方除或有负债以外的其</w:t>
      </w:r>
      <w:r>
        <w:rPr>
          <w:rFonts w:ascii="宋体" w:hAnsi="宋体" w:cs="宋体" w:eastAsia="宋体" w:hint="default"/>
          <w:w w:val="100"/>
          <w:sz w:val="21"/>
          <w:szCs w:val="21"/>
        </w:rPr>
        <w:t> </w:t>
      </w:r>
      <w:r>
        <w:rPr>
          <w:rFonts w:ascii="宋体" w:hAnsi="宋体" w:cs="宋体" w:eastAsia="宋体" w:hint="default"/>
          <w:spacing w:val="-5"/>
          <w:w w:val="100"/>
          <w:sz w:val="21"/>
          <w:szCs w:val="21"/>
        </w:rPr>
        <w:t>他各项负债，履行有关义务很可能导致经济利益流出本公司且公允价值能够可</w:t>
      </w:r>
      <w:r>
        <w:rPr>
          <w:rFonts w:ascii="宋体" w:hAnsi="宋体" w:cs="宋体" w:eastAsia="宋体" w:hint="default"/>
          <w:w w:val="100"/>
          <w:sz w:val="21"/>
          <w:szCs w:val="21"/>
        </w:rPr>
        <w:t> </w:t>
      </w:r>
      <w:r>
        <w:rPr>
          <w:rFonts w:ascii="宋体" w:hAnsi="宋体" w:cs="宋体" w:eastAsia="宋体" w:hint="default"/>
          <w:spacing w:val="-5"/>
          <w:sz w:val="21"/>
          <w:szCs w:val="21"/>
        </w:rPr>
        <w:t>靠计量的，单独确认并按照公允价值计量；取得的被购买方或有负债，其公允</w:t>
      </w:r>
      <w:r>
        <w:rPr>
          <w:rFonts w:ascii="宋体" w:hAnsi="宋体" w:cs="宋体" w:eastAsia="宋体" w:hint="default"/>
          <w:w w:val="100"/>
          <w:sz w:val="21"/>
          <w:szCs w:val="21"/>
        </w:rPr>
        <w:t> </w:t>
      </w:r>
      <w:r>
        <w:rPr>
          <w:rFonts w:ascii="宋体" w:hAnsi="宋体" w:cs="宋体" w:eastAsia="宋体" w:hint="default"/>
          <w:sz w:val="21"/>
          <w:szCs w:val="21"/>
        </w:rPr>
        <w:t>价值能可靠计量的，单独确认为负债并按照公允价值计量。</w:t>
      </w:r>
    </w:p>
    <w:p>
      <w:pPr>
        <w:spacing w:line="345" w:lineRule="auto" w:before="33"/>
        <w:ind w:left="1400" w:right="203" w:firstLine="0"/>
        <w:jc w:val="left"/>
        <w:rPr>
          <w:rFonts w:ascii="宋体" w:hAnsi="宋体" w:cs="宋体" w:eastAsia="宋体" w:hint="default"/>
          <w:sz w:val="21"/>
          <w:szCs w:val="21"/>
        </w:rPr>
      </w:pPr>
      <w:r>
        <w:rPr>
          <w:rFonts w:ascii="宋体" w:hAnsi="宋体" w:cs="宋体" w:eastAsia="宋体" w:hint="default"/>
          <w:spacing w:val="-5"/>
          <w:w w:val="100"/>
          <w:sz w:val="21"/>
          <w:szCs w:val="21"/>
        </w:rPr>
        <w:t>本公司在企业合并中取得的被购买方的可抵扣暂时性差异，在购买日不符合递</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z w:val="21"/>
          <w:szCs w:val="21"/>
        </w:rPr>
        <w:t>延所得税资产确认条件的，不予以确认。购买日后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个月内，如取得新的或</w:t>
      </w:r>
      <w:r>
        <w:rPr>
          <w:rFonts w:ascii="宋体" w:hAnsi="宋体" w:cs="宋体" w:eastAsia="宋体" w:hint="default"/>
          <w:w w:val="100"/>
          <w:sz w:val="21"/>
          <w:szCs w:val="21"/>
        </w:rPr>
        <w:t> </w:t>
      </w:r>
      <w:r>
        <w:rPr>
          <w:rFonts w:ascii="宋体" w:hAnsi="宋体" w:cs="宋体" w:eastAsia="宋体" w:hint="default"/>
          <w:spacing w:val="-5"/>
          <w:w w:val="100"/>
          <w:sz w:val="21"/>
          <w:szCs w:val="21"/>
        </w:rPr>
        <w:t>进一步的信息表明购买日的相关情况已经存在，预期被购买方在购买日可抵扣</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pacing w:val="-5"/>
          <w:sz w:val="21"/>
          <w:szCs w:val="21"/>
        </w:rPr>
        <w:t>暂时性差异带来的经济利益能够实现的，确认相关的递延所得税资产，同时减</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5"/>
          <w:sz w:val="21"/>
          <w:szCs w:val="21"/>
        </w:rPr>
        <w:t>少商誉，商誉不足冲减的，差额部分确认为当期损益；除上述情况以外，确认</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与企业合并相关的递延所得税资产，计入当期损益。</w:t>
      </w:r>
      <w:r>
        <w:rPr>
          <w:rFonts w:ascii="宋体" w:hAnsi="宋体" w:cs="宋体" w:eastAsia="宋体" w:hint="default"/>
          <w:w w:val="100"/>
          <w:sz w:val="21"/>
          <w:szCs w:val="21"/>
        </w:rPr>
        <w:t> </w:t>
      </w:r>
      <w:r>
        <w:rPr>
          <w:rFonts w:ascii="宋体" w:hAnsi="宋体" w:cs="宋体" w:eastAsia="宋体" w:hint="default"/>
          <w:spacing w:val="-5"/>
          <w:sz w:val="21"/>
          <w:szCs w:val="21"/>
        </w:rPr>
        <w:t>非同一控制下企业合并，购买方为企业合并发生的审计、法律服务、评估咨询</w:t>
      </w:r>
    </w:p>
    <w:p>
      <w:pPr>
        <w:spacing w:after="0" w:line="345" w:lineRule="auto"/>
        <w:jc w:val="left"/>
        <w:rPr>
          <w:rFonts w:ascii="宋体" w:hAnsi="宋体" w:cs="宋体" w:eastAsia="宋体" w:hint="default"/>
          <w:sz w:val="21"/>
          <w:szCs w:val="21"/>
        </w:rPr>
        <w:sectPr>
          <w:pgSz w:w="11910" w:h="16840"/>
          <w:pgMar w:header="884" w:footer="980" w:top="1140" w:bottom="1160" w:left="1660" w:right="1580"/>
        </w:sectPr>
      </w:pPr>
    </w:p>
    <w:p>
      <w:pPr>
        <w:spacing w:line="240" w:lineRule="auto" w:before="11"/>
        <w:rPr>
          <w:rFonts w:ascii="宋体" w:hAnsi="宋体" w:cs="宋体" w:eastAsia="宋体" w:hint="default"/>
          <w:sz w:val="25"/>
          <w:szCs w:val="25"/>
        </w:rPr>
      </w:pPr>
    </w:p>
    <w:p>
      <w:pPr>
        <w:spacing w:line="348" w:lineRule="auto" w:before="36"/>
        <w:ind w:left="1400" w:right="211" w:firstLine="0"/>
        <w:jc w:val="both"/>
        <w:rPr>
          <w:rFonts w:ascii="宋体" w:hAnsi="宋体" w:cs="宋体" w:eastAsia="宋体" w:hint="default"/>
          <w:sz w:val="21"/>
          <w:szCs w:val="21"/>
        </w:rPr>
      </w:pPr>
      <w:r>
        <w:rPr>
          <w:rFonts w:ascii="宋体" w:hAnsi="宋体" w:cs="宋体" w:eastAsia="宋体" w:hint="default"/>
          <w:spacing w:val="-5"/>
          <w:sz w:val="21"/>
          <w:szCs w:val="21"/>
        </w:rPr>
        <w:t>等中介费用以及其他相关管理费用，应当于发生时计入当期损益；购买方作为</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5"/>
          <w:w w:val="100"/>
          <w:sz w:val="21"/>
          <w:szCs w:val="21"/>
        </w:rPr>
        <w:t>合并对价发行的权益性证券或债务性证券的交易费用，应当计入权益性证券或</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z w:val="21"/>
          <w:szCs w:val="21"/>
        </w:rPr>
        <w:t>债务性证券的初始确认金额。</w:t>
      </w:r>
    </w:p>
    <w:p>
      <w:pPr>
        <w:spacing w:line="240" w:lineRule="auto" w:before="3"/>
        <w:rPr>
          <w:rFonts w:ascii="宋体" w:hAnsi="宋体" w:cs="宋体" w:eastAsia="宋体" w:hint="default"/>
          <w:sz w:val="24"/>
          <w:szCs w:val="24"/>
        </w:rPr>
      </w:pPr>
    </w:p>
    <w:p>
      <w:pPr>
        <w:tabs>
          <w:tab w:pos="980" w:val="left" w:leader="none"/>
        </w:tabs>
        <w:spacing w:line="340" w:lineRule="auto" w:before="0"/>
        <w:ind w:left="858" w:right="138" w:hanging="71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六</w:t>
      </w:r>
      <w:r>
        <w:rPr>
          <w:rFonts w:ascii="Times New Roman" w:hAnsi="Times New Roman" w:cs="Times New Roman" w:eastAsia="Times New Roman" w:hint="default"/>
          <w:b/>
          <w:bCs/>
          <w:sz w:val="21"/>
          <w:szCs w:val="21"/>
        </w:rPr>
        <w:t>)</w:t>
        <w:tab/>
        <w:tab/>
      </w:r>
      <w:r>
        <w:rPr>
          <w:rFonts w:ascii="宋体" w:hAnsi="宋体" w:cs="宋体" w:eastAsia="宋体" w:hint="default"/>
          <w:b/>
          <w:bCs/>
          <w:sz w:val="21"/>
          <w:szCs w:val="21"/>
        </w:rPr>
        <w:t>合并财务报表的编制方法</w:t>
      </w:r>
      <w:r>
        <w:rPr>
          <w:rFonts w:ascii="宋体" w:hAnsi="宋体" w:cs="宋体" w:eastAsia="宋体" w:hint="default"/>
          <w:b/>
          <w:bCs/>
          <w:w w:val="100"/>
          <w:sz w:val="21"/>
          <w:szCs w:val="21"/>
        </w:rPr>
        <w:t> </w:t>
      </w:r>
      <w:r>
        <w:rPr>
          <w:rFonts w:ascii="宋体" w:hAnsi="宋体" w:cs="宋体" w:eastAsia="宋体" w:hint="default"/>
          <w:sz w:val="21"/>
          <w:szCs w:val="21"/>
        </w:rPr>
        <w:t>本公司合并财务报表的合并范围以控制为基础确定，所有子公司均纳入合并财务报</w:t>
      </w:r>
      <w:r>
        <w:rPr>
          <w:rFonts w:ascii="宋体" w:hAnsi="宋体" w:cs="宋体" w:eastAsia="宋体" w:hint="default"/>
          <w:w w:val="100"/>
          <w:sz w:val="21"/>
          <w:szCs w:val="21"/>
        </w:rPr>
        <w:t> </w:t>
      </w:r>
      <w:r>
        <w:rPr>
          <w:rFonts w:ascii="宋体" w:hAnsi="宋体" w:cs="宋体" w:eastAsia="宋体" w:hint="default"/>
          <w:sz w:val="21"/>
          <w:szCs w:val="21"/>
        </w:rPr>
        <w:t>表。</w:t>
      </w:r>
      <w:r>
        <w:rPr>
          <w:rFonts w:ascii="宋体" w:hAnsi="宋体" w:cs="宋体" w:eastAsia="宋体" w:hint="default"/>
          <w:w w:val="100"/>
          <w:sz w:val="21"/>
          <w:szCs w:val="21"/>
        </w:rPr>
        <w:t> </w:t>
      </w:r>
      <w:r>
        <w:rPr>
          <w:rFonts w:ascii="宋体" w:hAnsi="宋体" w:cs="宋体" w:eastAsia="宋体" w:hint="default"/>
          <w:sz w:val="21"/>
          <w:szCs w:val="21"/>
        </w:rPr>
        <w:t>所有纳入合并财务报表合并范围的子公司所采用的会计政策、会计期间与本公司一</w:t>
      </w:r>
      <w:r>
        <w:rPr>
          <w:rFonts w:ascii="宋体" w:hAnsi="宋体" w:cs="宋体" w:eastAsia="宋体" w:hint="default"/>
          <w:w w:val="100"/>
          <w:sz w:val="21"/>
          <w:szCs w:val="21"/>
        </w:rPr>
        <w:t> </w:t>
      </w:r>
      <w:r>
        <w:rPr>
          <w:rFonts w:ascii="宋体" w:hAnsi="宋体" w:cs="宋体" w:eastAsia="宋体" w:hint="default"/>
          <w:sz w:val="21"/>
          <w:szCs w:val="21"/>
        </w:rPr>
        <w:t>致，如子公司采用的会计政策、会计期间与本公司不一致的，在编制合并财务报表</w:t>
      </w:r>
      <w:r>
        <w:rPr>
          <w:rFonts w:ascii="宋体" w:hAnsi="宋体" w:cs="宋体" w:eastAsia="宋体" w:hint="default"/>
          <w:w w:val="100"/>
          <w:sz w:val="21"/>
          <w:szCs w:val="21"/>
        </w:rPr>
        <w:t> </w:t>
      </w:r>
      <w:r>
        <w:rPr>
          <w:rFonts w:ascii="宋体" w:hAnsi="宋体" w:cs="宋体" w:eastAsia="宋体" w:hint="default"/>
          <w:sz w:val="21"/>
          <w:szCs w:val="21"/>
        </w:rPr>
        <w:t>时，按本公司的会计政策、会计期间进行必要的调整。对于非同一控制下企业合并</w:t>
      </w:r>
      <w:r>
        <w:rPr>
          <w:rFonts w:ascii="宋体" w:hAnsi="宋体" w:cs="宋体" w:eastAsia="宋体" w:hint="default"/>
          <w:w w:val="100"/>
          <w:sz w:val="21"/>
          <w:szCs w:val="21"/>
        </w:rPr>
        <w:t> </w:t>
      </w:r>
      <w:r>
        <w:rPr>
          <w:rFonts w:ascii="宋体" w:hAnsi="宋体" w:cs="宋体" w:eastAsia="宋体" w:hint="default"/>
          <w:sz w:val="21"/>
          <w:szCs w:val="21"/>
        </w:rPr>
        <w:t>取得的子公司，以购买日可辨认净资产公允价值为基础对其财务报表进行调整。合</w:t>
      </w:r>
      <w:r>
        <w:rPr>
          <w:rFonts w:ascii="宋体" w:hAnsi="宋体" w:cs="宋体" w:eastAsia="宋体" w:hint="default"/>
          <w:w w:val="100"/>
          <w:sz w:val="21"/>
          <w:szCs w:val="21"/>
        </w:rPr>
        <w:t> </w:t>
      </w:r>
      <w:r>
        <w:rPr>
          <w:rFonts w:ascii="宋体" w:hAnsi="宋体" w:cs="宋体" w:eastAsia="宋体" w:hint="default"/>
          <w:sz w:val="21"/>
          <w:szCs w:val="21"/>
        </w:rPr>
        <w:t>并财务报表以本公司及子公司的财务报表为基础，根据其他有关资料，按照权益法</w:t>
      </w:r>
      <w:r>
        <w:rPr>
          <w:rFonts w:ascii="宋体" w:hAnsi="宋体" w:cs="宋体" w:eastAsia="宋体" w:hint="default"/>
          <w:w w:val="100"/>
          <w:sz w:val="21"/>
          <w:szCs w:val="21"/>
        </w:rPr>
        <w:t> </w:t>
      </w:r>
      <w:r>
        <w:rPr>
          <w:rFonts w:ascii="宋体" w:hAnsi="宋体" w:cs="宋体" w:eastAsia="宋体" w:hint="default"/>
          <w:sz w:val="21"/>
          <w:szCs w:val="21"/>
        </w:rPr>
        <w:t>调整对子公司的长期股权投资后，由本公司编制。</w:t>
      </w:r>
      <w:r>
        <w:rPr>
          <w:rFonts w:ascii="宋体" w:hAnsi="宋体" w:cs="宋体" w:eastAsia="宋体" w:hint="default"/>
          <w:w w:val="100"/>
          <w:sz w:val="21"/>
          <w:szCs w:val="21"/>
        </w:rPr>
        <w:t> </w:t>
      </w:r>
      <w:r>
        <w:rPr>
          <w:rFonts w:ascii="宋体" w:hAnsi="宋体" w:cs="宋体" w:eastAsia="宋体" w:hint="default"/>
          <w:sz w:val="21"/>
          <w:szCs w:val="21"/>
        </w:rPr>
        <w:t>合并财务报表时抵销本公司与各子公司、各子公司相互之间发生的内部交易对合并</w:t>
      </w:r>
      <w:r>
        <w:rPr>
          <w:rFonts w:ascii="宋体" w:hAnsi="宋体" w:cs="宋体" w:eastAsia="宋体" w:hint="default"/>
          <w:w w:val="100"/>
          <w:sz w:val="21"/>
          <w:szCs w:val="21"/>
        </w:rPr>
        <w:t> </w:t>
      </w:r>
      <w:r>
        <w:rPr>
          <w:rFonts w:ascii="宋体" w:hAnsi="宋体" w:cs="宋体" w:eastAsia="宋体" w:hint="default"/>
          <w:sz w:val="21"/>
          <w:szCs w:val="21"/>
        </w:rPr>
        <w:t>资产负债表、合并利润表、合并现金流量表、合并所有者权益变动表的影响。</w:t>
      </w:r>
      <w:r>
        <w:rPr>
          <w:rFonts w:ascii="宋体" w:hAnsi="宋体" w:cs="宋体" w:eastAsia="宋体" w:hint="default"/>
          <w:w w:val="100"/>
          <w:sz w:val="21"/>
          <w:szCs w:val="21"/>
        </w:rPr>
        <w:t> </w:t>
      </w:r>
      <w:r>
        <w:rPr>
          <w:rFonts w:ascii="宋体" w:hAnsi="宋体" w:cs="宋体" w:eastAsia="宋体" w:hint="default"/>
          <w:sz w:val="21"/>
          <w:szCs w:val="21"/>
        </w:rPr>
        <w:t>子公司少数股东应占的权益和损益分别在合并资产负债表中所有者权益项目下和合</w:t>
      </w:r>
      <w:r>
        <w:rPr>
          <w:rFonts w:ascii="宋体" w:hAnsi="宋体" w:cs="宋体" w:eastAsia="宋体" w:hint="default"/>
          <w:w w:val="100"/>
          <w:sz w:val="21"/>
          <w:szCs w:val="21"/>
        </w:rPr>
        <w:t> </w:t>
      </w:r>
      <w:r>
        <w:rPr>
          <w:rFonts w:ascii="宋体" w:hAnsi="宋体" w:cs="宋体" w:eastAsia="宋体" w:hint="default"/>
          <w:sz w:val="21"/>
          <w:szCs w:val="21"/>
        </w:rPr>
        <w:t>并利润表中净利润项目下单独列示。子公司少数股东分担的当期亏损超过了少数股</w:t>
      </w:r>
      <w:r>
        <w:rPr>
          <w:rFonts w:ascii="宋体" w:hAnsi="宋体" w:cs="宋体" w:eastAsia="宋体" w:hint="default"/>
          <w:w w:val="100"/>
          <w:sz w:val="21"/>
          <w:szCs w:val="21"/>
        </w:rPr>
        <w:t> </w:t>
      </w:r>
      <w:r>
        <w:rPr>
          <w:rFonts w:ascii="宋体" w:hAnsi="宋体" w:cs="宋体" w:eastAsia="宋体" w:hint="default"/>
          <w:sz w:val="21"/>
          <w:szCs w:val="21"/>
        </w:rPr>
        <w:t>东在该子公司期初所有者权益中所享有份额而形成的余额，冲减少数股东权益。</w:t>
      </w:r>
      <w:r>
        <w:rPr>
          <w:rFonts w:ascii="宋体" w:hAnsi="宋体" w:cs="宋体" w:eastAsia="宋体" w:hint="default"/>
          <w:w w:val="100"/>
          <w:sz w:val="21"/>
          <w:szCs w:val="21"/>
        </w:rPr>
        <w:t> </w:t>
      </w:r>
      <w:r>
        <w:rPr>
          <w:rFonts w:ascii="宋体" w:hAnsi="宋体" w:cs="宋体" w:eastAsia="宋体" w:hint="default"/>
          <w:sz w:val="21"/>
          <w:szCs w:val="21"/>
        </w:rPr>
        <w:t>在报告期内，若因同一控制下企业合并增加子公司的，则调整合并资产负债表的期</w:t>
      </w:r>
      <w:r>
        <w:rPr>
          <w:rFonts w:ascii="宋体" w:hAnsi="宋体" w:cs="宋体" w:eastAsia="宋体" w:hint="default"/>
          <w:w w:val="100"/>
          <w:sz w:val="21"/>
          <w:szCs w:val="21"/>
        </w:rPr>
        <w:t> </w:t>
      </w:r>
      <w:r>
        <w:rPr>
          <w:rFonts w:ascii="宋体" w:hAnsi="宋体" w:cs="宋体" w:eastAsia="宋体" w:hint="default"/>
          <w:sz w:val="21"/>
          <w:szCs w:val="21"/>
        </w:rPr>
        <w:t>初数；将子公司合并当期期初至报告期末的收入、费用、利润纳入合并利润表；将</w:t>
      </w:r>
      <w:r>
        <w:rPr>
          <w:rFonts w:ascii="宋体" w:hAnsi="宋体" w:cs="宋体" w:eastAsia="宋体" w:hint="default"/>
          <w:w w:val="100"/>
          <w:sz w:val="21"/>
          <w:szCs w:val="21"/>
        </w:rPr>
        <w:t> </w:t>
      </w:r>
      <w:r>
        <w:rPr>
          <w:rFonts w:ascii="宋体" w:hAnsi="宋体" w:cs="宋体" w:eastAsia="宋体" w:hint="default"/>
          <w:sz w:val="21"/>
          <w:szCs w:val="21"/>
        </w:rPr>
        <w:t>子公司合并当期期初至报告期末的现金流量纳入合并现金流量表，同时对比较报表</w:t>
      </w:r>
      <w:r>
        <w:rPr>
          <w:rFonts w:ascii="宋体" w:hAnsi="宋体" w:cs="宋体" w:eastAsia="宋体" w:hint="default"/>
          <w:w w:val="100"/>
          <w:sz w:val="21"/>
          <w:szCs w:val="21"/>
        </w:rPr>
        <w:t> </w:t>
      </w:r>
      <w:r>
        <w:rPr>
          <w:rFonts w:ascii="宋体" w:hAnsi="宋体" w:cs="宋体" w:eastAsia="宋体" w:hint="default"/>
          <w:sz w:val="21"/>
          <w:szCs w:val="21"/>
        </w:rPr>
        <w:t>的相关项目进行调整，视同合并后的报告主体在以前期间一直存在。</w:t>
      </w:r>
      <w:r>
        <w:rPr>
          <w:rFonts w:ascii="宋体" w:hAnsi="宋体" w:cs="宋体" w:eastAsia="宋体" w:hint="default"/>
          <w:w w:val="100"/>
          <w:sz w:val="21"/>
          <w:szCs w:val="21"/>
        </w:rPr>
        <w:t> </w:t>
      </w:r>
      <w:r>
        <w:rPr>
          <w:rFonts w:ascii="宋体" w:hAnsi="宋体" w:cs="宋体" w:eastAsia="宋体" w:hint="default"/>
          <w:sz w:val="21"/>
          <w:szCs w:val="21"/>
        </w:rPr>
        <w:t>在报告期内，若因非同一控制下企业合并增加子公司的，则不调整合并资产负债表</w:t>
      </w:r>
      <w:r>
        <w:rPr>
          <w:rFonts w:ascii="宋体" w:hAnsi="宋体" w:cs="宋体" w:eastAsia="宋体" w:hint="default"/>
          <w:w w:val="100"/>
          <w:sz w:val="21"/>
          <w:szCs w:val="21"/>
        </w:rPr>
        <w:t> </w:t>
      </w:r>
      <w:r>
        <w:rPr>
          <w:rFonts w:ascii="宋体" w:hAnsi="宋体" w:cs="宋体" w:eastAsia="宋体" w:hint="default"/>
          <w:sz w:val="21"/>
          <w:szCs w:val="21"/>
        </w:rPr>
        <w:t>期初数；将子公司自购买日至报告期末的收入、费用、利润纳入合并利润表；该子</w:t>
      </w:r>
      <w:r>
        <w:rPr>
          <w:rFonts w:ascii="宋体" w:hAnsi="宋体" w:cs="宋体" w:eastAsia="宋体" w:hint="default"/>
          <w:w w:val="100"/>
          <w:sz w:val="21"/>
          <w:szCs w:val="21"/>
        </w:rPr>
        <w:t> </w:t>
      </w:r>
      <w:r>
        <w:rPr>
          <w:rFonts w:ascii="宋体" w:hAnsi="宋体" w:cs="宋体" w:eastAsia="宋体" w:hint="default"/>
          <w:sz w:val="21"/>
          <w:szCs w:val="21"/>
        </w:rPr>
        <w:t>公司自购买日至报告期末的现金流量纳入合并现金流量表。通过多次交易分步实现</w:t>
      </w:r>
      <w:r>
        <w:rPr>
          <w:rFonts w:ascii="宋体" w:hAnsi="宋体" w:cs="宋体" w:eastAsia="宋体" w:hint="default"/>
          <w:w w:val="100"/>
          <w:sz w:val="21"/>
          <w:szCs w:val="21"/>
        </w:rPr>
        <w:t> </w:t>
      </w:r>
      <w:r>
        <w:rPr>
          <w:rFonts w:ascii="宋体" w:hAnsi="宋体" w:cs="宋体" w:eastAsia="宋体" w:hint="default"/>
          <w:sz w:val="21"/>
          <w:szCs w:val="21"/>
        </w:rPr>
        <w:t>非同一控制下企业合并时，对于购买日之前持有的被购买方的股权，本公司按照该</w:t>
      </w:r>
      <w:r>
        <w:rPr>
          <w:rFonts w:ascii="宋体" w:hAnsi="宋体" w:cs="宋体" w:eastAsia="宋体" w:hint="default"/>
          <w:w w:val="100"/>
          <w:sz w:val="21"/>
          <w:szCs w:val="21"/>
        </w:rPr>
        <w:t> </w:t>
      </w:r>
      <w:r>
        <w:rPr>
          <w:rFonts w:ascii="宋体" w:hAnsi="宋体" w:cs="宋体" w:eastAsia="宋体" w:hint="default"/>
          <w:sz w:val="21"/>
          <w:szCs w:val="21"/>
        </w:rPr>
        <w:t>股权在购买日的公允价值进行重新计量，公允价值与其账面价值的差额计入当期投</w:t>
      </w:r>
      <w:r>
        <w:rPr>
          <w:rFonts w:ascii="宋体" w:hAnsi="宋体" w:cs="宋体" w:eastAsia="宋体" w:hint="default"/>
          <w:w w:val="100"/>
          <w:sz w:val="21"/>
          <w:szCs w:val="21"/>
        </w:rPr>
        <w:t> </w:t>
      </w:r>
      <w:r>
        <w:rPr>
          <w:rFonts w:ascii="宋体" w:hAnsi="宋体" w:cs="宋体" w:eastAsia="宋体" w:hint="default"/>
          <w:sz w:val="21"/>
          <w:szCs w:val="21"/>
        </w:rPr>
        <w:t>资收益。购买日之前持有的被购买方的股权涉及其他综合收益的，与其相关的其他</w:t>
      </w:r>
      <w:r>
        <w:rPr>
          <w:rFonts w:ascii="宋体" w:hAnsi="宋体" w:cs="宋体" w:eastAsia="宋体" w:hint="default"/>
          <w:w w:val="100"/>
          <w:sz w:val="21"/>
          <w:szCs w:val="21"/>
        </w:rPr>
        <w:t> </w:t>
      </w:r>
      <w:r>
        <w:rPr>
          <w:rFonts w:ascii="宋体" w:hAnsi="宋体" w:cs="宋体" w:eastAsia="宋体" w:hint="default"/>
          <w:sz w:val="21"/>
          <w:szCs w:val="21"/>
        </w:rPr>
        <w:t>综合收益转为购买日所属当期投资收益。</w:t>
      </w:r>
      <w:r>
        <w:rPr>
          <w:rFonts w:ascii="宋体" w:hAnsi="宋体" w:cs="宋体" w:eastAsia="宋体" w:hint="default"/>
          <w:w w:val="100"/>
          <w:sz w:val="21"/>
          <w:szCs w:val="21"/>
        </w:rPr>
        <w:t> </w:t>
      </w:r>
      <w:r>
        <w:rPr>
          <w:rFonts w:ascii="宋体" w:hAnsi="宋体" w:cs="宋体" w:eastAsia="宋体" w:hint="default"/>
          <w:sz w:val="21"/>
          <w:szCs w:val="21"/>
        </w:rPr>
        <w:t>在报告期内，本公司处置子公司，则该子公司期初至处置日的收入、费用、利润纳</w:t>
      </w:r>
      <w:r>
        <w:rPr>
          <w:rFonts w:ascii="宋体" w:hAnsi="宋体" w:cs="宋体" w:eastAsia="宋体" w:hint="default"/>
          <w:w w:val="100"/>
          <w:sz w:val="21"/>
          <w:szCs w:val="21"/>
        </w:rPr>
        <w:t> </w:t>
      </w:r>
      <w:r>
        <w:rPr>
          <w:rFonts w:ascii="宋体" w:hAnsi="宋体" w:cs="宋体" w:eastAsia="宋体" w:hint="default"/>
          <w:sz w:val="21"/>
          <w:szCs w:val="21"/>
        </w:rPr>
        <w:t>入合并利润表；该子公司期初至处置日的现金流量纳入合并现金流量表。因处置部</w:t>
      </w:r>
      <w:r>
        <w:rPr>
          <w:rFonts w:ascii="宋体" w:hAnsi="宋体" w:cs="宋体" w:eastAsia="宋体" w:hint="default"/>
          <w:w w:val="100"/>
          <w:sz w:val="21"/>
          <w:szCs w:val="21"/>
        </w:rPr>
        <w:t> </w:t>
      </w:r>
      <w:r>
        <w:rPr>
          <w:rFonts w:ascii="宋体" w:hAnsi="宋体" w:cs="宋体" w:eastAsia="宋体" w:hint="default"/>
          <w:spacing w:val="-4"/>
          <w:sz w:val="21"/>
          <w:szCs w:val="21"/>
        </w:rPr>
        <w:t>分股权投资或其他原因丧失了对原有子公司控制权时，对于处置后的剩余股权投资，</w:t>
      </w:r>
      <w:r>
        <w:rPr>
          <w:rFonts w:ascii="宋体" w:hAnsi="宋体" w:cs="宋体" w:eastAsia="宋体" w:hint="default"/>
          <w:w w:val="100"/>
          <w:sz w:val="21"/>
          <w:szCs w:val="21"/>
        </w:rPr>
        <w:t> </w:t>
      </w:r>
      <w:r>
        <w:rPr>
          <w:rFonts w:ascii="宋体" w:hAnsi="宋体" w:cs="宋体" w:eastAsia="宋体" w:hint="default"/>
          <w:sz w:val="21"/>
          <w:szCs w:val="21"/>
        </w:rPr>
        <w:t>本公司按照其在丧失控制权日的公允价值进行重新计量。处置股权取得的对价与剩</w:t>
      </w:r>
      <w:r>
        <w:rPr>
          <w:rFonts w:ascii="宋体" w:hAnsi="宋体" w:cs="宋体" w:eastAsia="宋体" w:hint="default"/>
          <w:w w:val="100"/>
          <w:sz w:val="21"/>
          <w:szCs w:val="21"/>
        </w:rPr>
        <w:t> </w:t>
      </w:r>
      <w:r>
        <w:rPr>
          <w:rFonts w:ascii="宋体" w:hAnsi="宋体" w:cs="宋体" w:eastAsia="宋体" w:hint="default"/>
          <w:sz w:val="21"/>
          <w:szCs w:val="21"/>
        </w:rPr>
        <w:t>余股权公允价值之和，减去按原持股比例计算应享有原有子公司自购买日开始持续</w:t>
      </w:r>
    </w:p>
    <w:p>
      <w:pPr>
        <w:spacing w:after="0" w:line="340" w:lineRule="auto"/>
        <w:jc w:val="left"/>
        <w:rPr>
          <w:rFonts w:ascii="宋体" w:hAnsi="宋体" w:cs="宋体" w:eastAsia="宋体" w:hint="default"/>
          <w:sz w:val="21"/>
          <w:szCs w:val="21"/>
        </w:rPr>
        <w:sectPr>
          <w:pgSz w:w="11910" w:h="16840"/>
          <w:pgMar w:header="884" w:footer="980" w:top="1140" w:bottom="1160" w:left="1660" w:right="1580"/>
        </w:sectPr>
      </w:pPr>
    </w:p>
    <w:p>
      <w:pPr>
        <w:spacing w:line="240" w:lineRule="auto" w:before="1"/>
        <w:rPr>
          <w:rFonts w:ascii="宋体" w:hAnsi="宋体" w:cs="宋体" w:eastAsia="宋体" w:hint="default"/>
          <w:sz w:val="25"/>
          <w:szCs w:val="25"/>
        </w:rPr>
      </w:pPr>
    </w:p>
    <w:p>
      <w:pPr>
        <w:spacing w:line="340" w:lineRule="auto" w:before="36"/>
        <w:ind w:left="858" w:right="138" w:firstLine="0"/>
        <w:jc w:val="left"/>
        <w:rPr>
          <w:rFonts w:ascii="宋体" w:hAnsi="宋体" w:cs="宋体" w:eastAsia="宋体" w:hint="default"/>
          <w:sz w:val="21"/>
          <w:szCs w:val="21"/>
        </w:rPr>
      </w:pPr>
      <w:r>
        <w:rPr>
          <w:rFonts w:ascii="宋体" w:hAnsi="宋体" w:cs="宋体" w:eastAsia="宋体" w:hint="default"/>
          <w:spacing w:val="-1"/>
          <w:sz w:val="21"/>
          <w:szCs w:val="21"/>
        </w:rPr>
        <w:t>计算的净资产的份额之间的差额，计入丧失控制权当期的投资收益。与原有子公司</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股权投资相关的其他综合收益，在丧失控制权时转为当期投资收益。</w:t>
      </w:r>
      <w:r>
        <w:rPr>
          <w:rFonts w:ascii="宋体" w:hAnsi="宋体" w:cs="宋体" w:eastAsia="宋体" w:hint="default"/>
          <w:w w:val="100"/>
          <w:sz w:val="21"/>
          <w:szCs w:val="21"/>
        </w:rPr>
        <w:t> </w:t>
      </w:r>
      <w:r>
        <w:rPr>
          <w:rFonts w:ascii="宋体" w:hAnsi="宋体" w:cs="宋体" w:eastAsia="宋体" w:hint="default"/>
          <w:spacing w:val="-1"/>
          <w:sz w:val="21"/>
          <w:szCs w:val="21"/>
        </w:rPr>
        <w:t>本公司因购买少数股权新取得的长期股权投资与按照新增持股比例计算应享有子公</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1"/>
          <w:sz w:val="21"/>
          <w:szCs w:val="21"/>
        </w:rPr>
        <w:t>司的可辨认净资产份额之间的差额，以及在不丧失控制权的情况下因部分处置对子</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1"/>
          <w:sz w:val="21"/>
          <w:szCs w:val="21"/>
        </w:rPr>
        <w:t>公司的股权投资而取得的处置价款与处置长期股权投资相对应享有子公司净资产份</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1"/>
          <w:sz w:val="21"/>
          <w:szCs w:val="21"/>
        </w:rPr>
        <w:t>额的差额，均调整合并资产负债表中的资本公积中的股本溢价，资本公积中的股本</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溢价不足冲减的，调整留存收益。</w:t>
      </w:r>
    </w:p>
    <w:p>
      <w:pPr>
        <w:spacing w:line="240" w:lineRule="auto" w:before="7"/>
        <w:rPr>
          <w:rFonts w:ascii="宋体" w:hAnsi="宋体" w:cs="宋体" w:eastAsia="宋体" w:hint="default"/>
          <w:sz w:val="24"/>
          <w:szCs w:val="24"/>
        </w:rPr>
      </w:pPr>
    </w:p>
    <w:p>
      <w:pPr>
        <w:tabs>
          <w:tab w:pos="980" w:val="left" w:leader="none"/>
        </w:tabs>
        <w:spacing w:line="338" w:lineRule="auto" w:before="0"/>
        <w:ind w:left="858" w:right="138" w:hanging="71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七</w:t>
      </w:r>
      <w:r>
        <w:rPr>
          <w:rFonts w:ascii="Times New Roman" w:hAnsi="Times New Roman" w:cs="Times New Roman" w:eastAsia="Times New Roman" w:hint="default"/>
          <w:b/>
          <w:bCs/>
          <w:sz w:val="21"/>
          <w:szCs w:val="21"/>
        </w:rPr>
        <w:t>)</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4"/>
          <w:sz w:val="21"/>
          <w:szCs w:val="21"/>
        </w:rPr>
        <w:t>在编制现金流量表时，将本公司库存现金以及可以随时用于支付的存款确认为现金。</w:t>
      </w:r>
      <w:r>
        <w:rPr>
          <w:rFonts w:ascii="宋体" w:hAnsi="宋体" w:cs="宋体" w:eastAsia="宋体" w:hint="default"/>
          <w:w w:val="100"/>
          <w:sz w:val="21"/>
          <w:szCs w:val="21"/>
        </w:rPr>
        <w:t> </w:t>
      </w:r>
      <w:r>
        <w:rPr>
          <w:rFonts w:ascii="宋体" w:hAnsi="宋体" w:cs="宋体" w:eastAsia="宋体" w:hint="default"/>
          <w:spacing w:val="-5"/>
          <w:w w:val="100"/>
          <w:sz w:val="21"/>
          <w:szCs w:val="21"/>
        </w:rPr>
        <w:t>将同时具备期限短（从购买日起三个月内到期）、流动性强、易于转换为已知现金、</w:t>
      </w:r>
      <w:r>
        <w:rPr>
          <w:rFonts w:ascii="宋体" w:hAnsi="宋体" w:cs="宋体" w:eastAsia="宋体" w:hint="default"/>
          <w:w w:val="100"/>
          <w:sz w:val="21"/>
          <w:szCs w:val="21"/>
        </w:rPr>
        <w:t> </w:t>
      </w:r>
      <w:r>
        <w:rPr>
          <w:rFonts w:ascii="宋体" w:hAnsi="宋体" w:cs="宋体" w:eastAsia="宋体" w:hint="default"/>
          <w:sz w:val="21"/>
          <w:szCs w:val="21"/>
        </w:rPr>
        <w:t>价值变动风险很小四个条件的投资，确定为现金等价物。</w:t>
      </w:r>
    </w:p>
    <w:p>
      <w:pPr>
        <w:spacing w:line="240" w:lineRule="auto" w:before="9"/>
        <w:rPr>
          <w:rFonts w:ascii="宋体" w:hAnsi="宋体" w:cs="宋体" w:eastAsia="宋体" w:hint="default"/>
          <w:sz w:val="24"/>
          <w:szCs w:val="24"/>
        </w:rPr>
      </w:pPr>
    </w:p>
    <w:p>
      <w:pPr>
        <w:tabs>
          <w:tab w:pos="980" w:val="left" w:leader="none"/>
        </w:tabs>
        <w:spacing w:before="0"/>
        <w:ind w:left="140" w:right="13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八</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tabs>
          <w:tab w:pos="1395" w:val="left" w:leader="none"/>
        </w:tabs>
        <w:spacing w:before="127"/>
        <w:ind w:left="858" w:right="13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外币业务</w:t>
      </w:r>
      <w:r>
        <w:rPr>
          <w:rFonts w:ascii="宋体" w:hAnsi="宋体" w:cs="宋体" w:eastAsia="宋体" w:hint="default"/>
          <w:sz w:val="21"/>
          <w:szCs w:val="21"/>
        </w:rPr>
      </w:r>
    </w:p>
    <w:p>
      <w:pPr>
        <w:spacing w:line="348" w:lineRule="auto" w:before="110"/>
        <w:ind w:left="1400" w:right="138" w:firstLine="0"/>
        <w:jc w:val="left"/>
        <w:rPr>
          <w:rFonts w:ascii="宋体" w:hAnsi="宋体" w:cs="宋体" w:eastAsia="宋体" w:hint="default"/>
          <w:sz w:val="21"/>
          <w:szCs w:val="21"/>
        </w:rPr>
      </w:pPr>
      <w:r>
        <w:rPr>
          <w:rFonts w:ascii="宋体" w:hAnsi="宋体" w:cs="宋体" w:eastAsia="宋体" w:hint="default"/>
          <w:sz w:val="21"/>
          <w:szCs w:val="21"/>
        </w:rPr>
        <w:t>外币业务采用交易发生日的即期汇率作为折算汇率将外币金额折合成人民币 记账。</w:t>
      </w:r>
      <w:r>
        <w:rPr>
          <w:rFonts w:ascii="宋体" w:hAnsi="宋体" w:cs="宋体" w:eastAsia="宋体" w:hint="default"/>
          <w:spacing w:val="-102"/>
          <w:sz w:val="21"/>
          <w:szCs w:val="21"/>
        </w:rPr>
        <w:t> </w:t>
      </w:r>
      <w:r>
        <w:rPr>
          <w:rFonts w:ascii="宋体" w:hAnsi="宋体" w:cs="宋体" w:eastAsia="宋体" w:hint="default"/>
          <w:spacing w:val="-5"/>
          <w:sz w:val="21"/>
          <w:szCs w:val="21"/>
        </w:rPr>
        <w:t>外币货币性项目余额按资产负债表日即期汇率折算，由此产生的汇兑差额，除</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属于与购建符合资本化条件的资产相关的外币专门借款产生的汇兑差额按照</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5"/>
          <w:sz w:val="21"/>
          <w:szCs w:val="21"/>
        </w:rPr>
        <w:t>借款费用资本化的原则处理外，均计入当期损益。以历史成本计量的外币非货</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5"/>
          <w:sz w:val="21"/>
          <w:szCs w:val="21"/>
        </w:rPr>
        <w:t>币性项目，仍采用交易发生日的即期汇率折算，不改变其记账本位币金额。以</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5"/>
          <w:sz w:val="21"/>
          <w:szCs w:val="21"/>
        </w:rPr>
        <w:t>公允价值计量的外币非货币性项目，采用公允价值确定日的即期汇率折算，由</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此产生的汇兑差额计入当期损益或资本公积。</w:t>
      </w:r>
    </w:p>
    <w:p>
      <w:pPr>
        <w:spacing w:line="240" w:lineRule="auto" w:before="0"/>
        <w:rPr>
          <w:rFonts w:ascii="宋体" w:hAnsi="宋体" w:cs="宋体" w:eastAsia="宋体" w:hint="default"/>
          <w:sz w:val="20"/>
          <w:szCs w:val="20"/>
        </w:rPr>
      </w:pPr>
    </w:p>
    <w:p>
      <w:pPr>
        <w:tabs>
          <w:tab w:pos="1395" w:val="left" w:leader="none"/>
        </w:tabs>
        <w:spacing w:line="345" w:lineRule="auto" w:before="170"/>
        <w:ind w:left="1400" w:right="138"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外币财务报表的折算</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5"/>
          <w:sz w:val="21"/>
          <w:szCs w:val="21"/>
        </w:rPr>
        <w:t>资产负债表中的资产和负债项目，采用资产负债表日的即期汇率折算；所有者</w:t>
      </w:r>
      <w:r>
        <w:rPr>
          <w:rFonts w:ascii="宋体" w:hAnsi="宋体" w:cs="宋体" w:eastAsia="宋体" w:hint="default"/>
          <w:w w:val="100"/>
          <w:sz w:val="21"/>
          <w:szCs w:val="21"/>
        </w:rPr>
        <w:t> </w:t>
      </w:r>
      <w:r>
        <w:rPr>
          <w:rFonts w:ascii="宋体" w:hAnsi="宋体" w:cs="宋体" w:eastAsia="宋体" w:hint="default"/>
          <w:spacing w:val="-4"/>
          <w:sz w:val="21"/>
          <w:szCs w:val="21"/>
        </w:rPr>
        <w:t>权益项目除</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未分配利润</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项目外，其他项目采用发生时的即期汇率折算。利润</w:t>
      </w:r>
      <w:r>
        <w:rPr>
          <w:rFonts w:ascii="宋体" w:hAnsi="宋体" w:cs="宋体" w:eastAsia="宋体" w:hint="default"/>
          <w:w w:val="100"/>
          <w:sz w:val="21"/>
          <w:szCs w:val="21"/>
        </w:rPr>
        <w:t> </w:t>
      </w:r>
      <w:r>
        <w:rPr>
          <w:rFonts w:ascii="宋体" w:hAnsi="宋体" w:cs="宋体" w:eastAsia="宋体" w:hint="default"/>
          <w:spacing w:val="-5"/>
          <w:sz w:val="21"/>
          <w:szCs w:val="21"/>
        </w:rPr>
        <w:t>表中的收入和费用项目，采用交易发生日期初期末平均汇率折算。按照上述折</w:t>
      </w:r>
      <w:r>
        <w:rPr>
          <w:rFonts w:ascii="宋体" w:hAnsi="宋体" w:cs="宋体" w:eastAsia="宋体" w:hint="default"/>
          <w:w w:val="100"/>
          <w:sz w:val="21"/>
          <w:szCs w:val="21"/>
        </w:rPr>
        <w:t> </w:t>
      </w:r>
      <w:r>
        <w:rPr>
          <w:rFonts w:ascii="宋体" w:hAnsi="宋体" w:cs="宋体" w:eastAsia="宋体" w:hint="default"/>
          <w:spacing w:val="-2"/>
          <w:sz w:val="21"/>
          <w:szCs w:val="21"/>
        </w:rPr>
        <w:t>算产生的外币财务报表折算差额，在资产负债表所有者权益项目下单独列示。</w:t>
      </w:r>
      <w:r>
        <w:rPr>
          <w:rFonts w:ascii="宋体" w:hAnsi="宋体" w:cs="宋体" w:eastAsia="宋体" w:hint="default"/>
          <w:w w:val="100"/>
          <w:sz w:val="21"/>
          <w:szCs w:val="21"/>
        </w:rPr>
        <w:t> </w:t>
      </w:r>
      <w:r>
        <w:rPr>
          <w:rFonts w:ascii="宋体" w:hAnsi="宋体" w:cs="宋体" w:eastAsia="宋体" w:hint="default"/>
          <w:spacing w:val="-5"/>
          <w:sz w:val="21"/>
          <w:szCs w:val="21"/>
        </w:rPr>
        <w:t>处置境外经营时，将资产负债表中所有者权益项目下列示的、与该境外经营相</w:t>
      </w:r>
      <w:r>
        <w:rPr>
          <w:rFonts w:ascii="宋体" w:hAnsi="宋体" w:cs="宋体" w:eastAsia="宋体" w:hint="default"/>
          <w:w w:val="100"/>
          <w:sz w:val="21"/>
          <w:szCs w:val="21"/>
        </w:rPr>
        <w:t> </w:t>
      </w:r>
      <w:r>
        <w:rPr>
          <w:rFonts w:ascii="宋体" w:hAnsi="宋体" w:cs="宋体" w:eastAsia="宋体" w:hint="default"/>
          <w:spacing w:val="-5"/>
          <w:sz w:val="21"/>
          <w:szCs w:val="21"/>
        </w:rPr>
        <w:t>关的外币财务报表折算差额，自所有者权益项目转入处置当期损益；部分处置</w:t>
      </w:r>
      <w:r>
        <w:rPr>
          <w:rFonts w:ascii="宋体" w:hAnsi="宋体" w:cs="宋体" w:eastAsia="宋体" w:hint="default"/>
          <w:w w:val="100"/>
          <w:sz w:val="21"/>
          <w:szCs w:val="21"/>
        </w:rPr>
        <w:t> </w:t>
      </w:r>
      <w:r>
        <w:rPr>
          <w:rFonts w:ascii="宋体" w:hAnsi="宋体" w:cs="宋体" w:eastAsia="宋体" w:hint="default"/>
          <w:spacing w:val="-5"/>
          <w:sz w:val="21"/>
          <w:szCs w:val="21"/>
        </w:rPr>
        <w:t>境外经营的，按处置的比例计算处置部分的外币财务报表折算差额，转入处置</w:t>
      </w:r>
      <w:r>
        <w:rPr>
          <w:rFonts w:ascii="宋体" w:hAnsi="宋体" w:cs="宋体" w:eastAsia="宋体" w:hint="default"/>
          <w:w w:val="100"/>
          <w:sz w:val="21"/>
          <w:szCs w:val="21"/>
        </w:rPr>
        <w:t> </w:t>
      </w:r>
      <w:r>
        <w:rPr>
          <w:rFonts w:ascii="宋体" w:hAnsi="宋体" w:cs="宋体" w:eastAsia="宋体" w:hint="default"/>
          <w:sz w:val="21"/>
          <w:szCs w:val="21"/>
        </w:rPr>
        <w:t>当期损益。</w:t>
      </w:r>
    </w:p>
    <w:p>
      <w:pPr>
        <w:spacing w:line="240" w:lineRule="auto" w:before="12"/>
        <w:rPr>
          <w:rFonts w:ascii="宋体" w:hAnsi="宋体" w:cs="宋体" w:eastAsia="宋体" w:hint="default"/>
          <w:sz w:val="24"/>
          <w:szCs w:val="24"/>
        </w:rPr>
      </w:pPr>
    </w:p>
    <w:p>
      <w:pPr>
        <w:tabs>
          <w:tab w:pos="980" w:val="left" w:leader="none"/>
        </w:tabs>
        <w:spacing w:before="0"/>
        <w:ind w:left="140" w:right="13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九</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金融工具</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84" w:footer="980" w:top="1140" w:bottom="1160" w:left="1660" w:right="1580"/>
        </w:sectPr>
      </w:pPr>
    </w:p>
    <w:p>
      <w:pPr>
        <w:spacing w:line="240" w:lineRule="auto" w:before="11"/>
        <w:rPr>
          <w:rFonts w:ascii="宋体" w:hAnsi="宋体" w:cs="宋体" w:eastAsia="宋体" w:hint="default"/>
          <w:b/>
          <w:bCs/>
          <w:sz w:val="25"/>
          <w:szCs w:val="25"/>
        </w:rPr>
      </w:pPr>
    </w:p>
    <w:p>
      <w:pPr>
        <w:spacing w:before="36"/>
        <w:ind w:left="858" w:right="138" w:firstLine="0"/>
        <w:jc w:val="left"/>
        <w:rPr>
          <w:rFonts w:ascii="宋体" w:hAnsi="宋体" w:cs="宋体" w:eastAsia="宋体" w:hint="default"/>
          <w:sz w:val="21"/>
          <w:szCs w:val="21"/>
        </w:rPr>
      </w:pPr>
      <w:r>
        <w:rPr>
          <w:rFonts w:ascii="宋体" w:hAnsi="宋体" w:cs="宋体" w:eastAsia="宋体" w:hint="default"/>
          <w:sz w:val="21"/>
          <w:szCs w:val="21"/>
        </w:rPr>
        <w:t>金融工具包括金融资产、金融负债和权益工具。</w:t>
      </w:r>
    </w:p>
    <w:p>
      <w:pPr>
        <w:tabs>
          <w:tab w:pos="1395" w:val="left" w:leader="none"/>
        </w:tabs>
        <w:spacing w:line="343" w:lineRule="auto" w:before="126"/>
        <w:ind w:left="1400" w:right="138"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金融工具的分类</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5"/>
          <w:sz w:val="21"/>
          <w:szCs w:val="21"/>
        </w:rPr>
        <w:t>管理层按照取得持有金融资产和承担金融负债的目的，将其划分为：以公允价</w:t>
      </w:r>
      <w:r>
        <w:rPr>
          <w:rFonts w:ascii="宋体" w:hAnsi="宋体" w:cs="宋体" w:eastAsia="宋体" w:hint="default"/>
          <w:w w:val="100"/>
          <w:sz w:val="21"/>
          <w:szCs w:val="21"/>
        </w:rPr>
        <w:t> </w:t>
      </w:r>
      <w:r>
        <w:rPr>
          <w:rFonts w:ascii="宋体" w:hAnsi="宋体" w:cs="宋体" w:eastAsia="宋体" w:hint="default"/>
          <w:spacing w:val="-5"/>
          <w:w w:val="100"/>
          <w:sz w:val="21"/>
          <w:szCs w:val="21"/>
        </w:rPr>
        <w:t>值计量且其变动计入当期损益的金融资产或金融负债，包括交易性金融资产或</w:t>
      </w:r>
      <w:r>
        <w:rPr>
          <w:rFonts w:ascii="宋体" w:hAnsi="宋体" w:cs="宋体" w:eastAsia="宋体" w:hint="default"/>
          <w:w w:val="100"/>
          <w:sz w:val="21"/>
          <w:szCs w:val="21"/>
        </w:rPr>
        <w:t> </w:t>
      </w:r>
      <w:r>
        <w:rPr>
          <w:rFonts w:ascii="宋体" w:hAnsi="宋体" w:cs="宋体" w:eastAsia="宋体" w:hint="default"/>
          <w:sz w:val="21"/>
          <w:szCs w:val="21"/>
        </w:rPr>
        <w:t>金融负债和直接指定为以公允价值计量且其变动计入当期损益的金融资产或</w:t>
      </w:r>
      <w:r>
        <w:rPr>
          <w:rFonts w:ascii="宋体" w:hAnsi="宋体" w:cs="宋体" w:eastAsia="宋体" w:hint="default"/>
          <w:w w:val="100"/>
          <w:sz w:val="21"/>
          <w:szCs w:val="21"/>
        </w:rPr>
        <w:t> </w:t>
      </w:r>
      <w:r>
        <w:rPr>
          <w:rFonts w:ascii="宋体" w:hAnsi="宋体" w:cs="宋体" w:eastAsia="宋体" w:hint="default"/>
          <w:spacing w:val="-8"/>
          <w:sz w:val="21"/>
          <w:szCs w:val="21"/>
        </w:rPr>
        <w:t>金融负债；持有至到期投资；应收款项；可供出售金融资产；其他金融负债等。</w:t>
      </w:r>
    </w:p>
    <w:p>
      <w:pPr>
        <w:spacing w:line="240" w:lineRule="auto" w:before="0"/>
        <w:rPr>
          <w:rFonts w:ascii="宋体" w:hAnsi="宋体" w:cs="宋体" w:eastAsia="宋体" w:hint="default"/>
          <w:sz w:val="20"/>
          <w:szCs w:val="20"/>
        </w:rPr>
      </w:pPr>
    </w:p>
    <w:p>
      <w:pPr>
        <w:tabs>
          <w:tab w:pos="1395" w:val="left" w:leader="none"/>
        </w:tabs>
        <w:spacing w:before="165"/>
        <w:ind w:left="858" w:right="13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1"/>
          <w:sz w:val="21"/>
          <w:szCs w:val="21"/>
        </w:rPr>
        <w:t>金融工具的确认依据和计量方法</w:t>
      </w:r>
      <w:r>
        <w:rPr>
          <w:rFonts w:ascii="宋体" w:hAnsi="宋体" w:cs="宋体" w:eastAsia="宋体" w:hint="default"/>
          <w:spacing w:val="-1"/>
          <w:sz w:val="21"/>
          <w:szCs w:val="21"/>
        </w:rPr>
      </w:r>
    </w:p>
    <w:p>
      <w:pPr>
        <w:spacing w:line="338" w:lineRule="auto" w:before="98"/>
        <w:ind w:left="1400" w:right="13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）以公允价值计量且其变动计入当期损益的金融资产（金融负债）</w:t>
      </w:r>
      <w:r>
        <w:rPr>
          <w:rFonts w:ascii="宋体" w:hAnsi="宋体" w:cs="宋体" w:eastAsia="宋体" w:hint="default"/>
          <w:w w:val="100"/>
          <w:sz w:val="21"/>
          <w:szCs w:val="21"/>
        </w:rPr>
        <w:t> </w:t>
      </w:r>
      <w:r>
        <w:rPr>
          <w:rFonts w:ascii="宋体" w:hAnsi="宋体" w:cs="宋体" w:eastAsia="宋体" w:hint="default"/>
          <w:spacing w:val="-5"/>
          <w:w w:val="100"/>
          <w:sz w:val="21"/>
          <w:szCs w:val="21"/>
        </w:rPr>
        <w:t>取得时以公允价值（扣除已宣告但尚未发放的现金股利或已到付息期但尚未领</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z w:val="21"/>
          <w:szCs w:val="21"/>
        </w:rPr>
        <w:t>取的债券利息）作为初始确认金额，相关的交易费用计入当期损益。</w:t>
      </w:r>
      <w:r>
        <w:rPr>
          <w:rFonts w:ascii="宋体" w:hAnsi="宋体" w:cs="宋体" w:eastAsia="宋体" w:hint="default"/>
          <w:w w:val="100"/>
          <w:sz w:val="21"/>
          <w:szCs w:val="21"/>
        </w:rPr>
        <w:t> </w:t>
      </w:r>
      <w:r>
        <w:rPr>
          <w:rFonts w:ascii="宋体" w:hAnsi="宋体" w:cs="宋体" w:eastAsia="宋体" w:hint="default"/>
          <w:spacing w:val="-5"/>
          <w:w w:val="100"/>
          <w:sz w:val="21"/>
          <w:szCs w:val="21"/>
        </w:rPr>
        <w:t>持有期间将取得的利息或现金股利确认为投资收益，期末将公允价值变动计入</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z w:val="21"/>
          <w:szCs w:val="21"/>
        </w:rPr>
        <w:t>当期损益。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处置时，其公允价值与初始入账金额之间的差额确认为投资收益，同时调整公</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允价值变动损益。</w:t>
      </w:r>
    </w:p>
    <w:p>
      <w:pPr>
        <w:spacing w:line="240" w:lineRule="auto" w:before="0"/>
        <w:rPr>
          <w:rFonts w:ascii="宋体" w:hAnsi="宋体" w:cs="宋体" w:eastAsia="宋体" w:hint="default"/>
          <w:sz w:val="20"/>
          <w:szCs w:val="20"/>
        </w:rPr>
      </w:pPr>
    </w:p>
    <w:p>
      <w:pPr>
        <w:spacing w:line="338" w:lineRule="auto" w:before="157"/>
        <w:ind w:left="1400" w:right="13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）持有至到期投资</w:t>
      </w:r>
      <w:r>
        <w:rPr>
          <w:rFonts w:ascii="宋体" w:hAnsi="宋体" w:cs="宋体" w:eastAsia="宋体" w:hint="default"/>
          <w:w w:val="100"/>
          <w:sz w:val="21"/>
          <w:szCs w:val="21"/>
        </w:rPr>
        <w:t> </w:t>
      </w:r>
      <w:r>
        <w:rPr>
          <w:rFonts w:ascii="宋体" w:hAnsi="宋体" w:cs="宋体" w:eastAsia="宋体" w:hint="default"/>
          <w:spacing w:val="-5"/>
          <w:sz w:val="21"/>
          <w:szCs w:val="21"/>
        </w:rPr>
        <w:t>取得时按公允价值（扣除已到付息期但尚未领取的债券利息）和相关交易费用</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之和作为初始确认金额。</w:t>
      </w:r>
      <w:r>
        <w:rPr>
          <w:rFonts w:ascii="宋体" w:hAnsi="宋体" w:cs="宋体" w:eastAsia="宋体" w:hint="default"/>
          <w:w w:val="100"/>
          <w:sz w:val="21"/>
          <w:szCs w:val="21"/>
        </w:rPr>
        <w:t> </w:t>
      </w:r>
      <w:r>
        <w:rPr>
          <w:rFonts w:ascii="宋体" w:hAnsi="宋体" w:cs="宋体" w:eastAsia="宋体" w:hint="default"/>
          <w:spacing w:val="-5"/>
          <w:sz w:val="21"/>
          <w:szCs w:val="21"/>
        </w:rPr>
        <w:t>持有期间按照摊余成本和实际利率（如实际利率与票面利率差别较小的，按票</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5"/>
          <w:sz w:val="21"/>
          <w:szCs w:val="21"/>
        </w:rPr>
        <w:t>面利率）计算确认利息收入，计入投资收益。实际利率在取得时确定，在该预</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期存续期间或适用的更短期间内保持不变。</w:t>
      </w:r>
      <w:r>
        <w:rPr>
          <w:rFonts w:ascii="宋体" w:hAnsi="宋体" w:cs="宋体" w:eastAsia="宋体" w:hint="default"/>
          <w:w w:val="100"/>
          <w:sz w:val="21"/>
          <w:szCs w:val="21"/>
        </w:rPr>
        <w:t> </w:t>
      </w:r>
      <w:r>
        <w:rPr>
          <w:rFonts w:ascii="宋体" w:hAnsi="宋体" w:cs="宋体" w:eastAsia="宋体" w:hint="default"/>
          <w:sz w:val="21"/>
          <w:szCs w:val="21"/>
        </w:rPr>
        <w:t>处置时，将所取得价款与该投资账面价值之间的差额计入投资收益。</w:t>
      </w:r>
    </w:p>
    <w:p>
      <w:pPr>
        <w:spacing w:line="240" w:lineRule="auto" w:before="0"/>
        <w:rPr>
          <w:rFonts w:ascii="宋体" w:hAnsi="宋体" w:cs="宋体" w:eastAsia="宋体" w:hint="default"/>
          <w:sz w:val="20"/>
          <w:szCs w:val="20"/>
        </w:rPr>
      </w:pPr>
    </w:p>
    <w:p>
      <w:pPr>
        <w:spacing w:line="338" w:lineRule="auto" w:before="157"/>
        <w:ind w:left="1400" w:right="13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）应收款项</w:t>
      </w:r>
      <w:r>
        <w:rPr>
          <w:rFonts w:ascii="宋体" w:hAnsi="宋体" w:cs="宋体" w:eastAsia="宋体" w:hint="default"/>
          <w:w w:val="100"/>
          <w:sz w:val="21"/>
          <w:szCs w:val="21"/>
        </w:rPr>
        <w:t> </w:t>
      </w:r>
      <w:r>
        <w:rPr>
          <w:rFonts w:ascii="宋体" w:hAnsi="宋体" w:cs="宋体" w:eastAsia="宋体" w:hint="default"/>
          <w:spacing w:val="-5"/>
          <w:w w:val="100"/>
          <w:sz w:val="21"/>
          <w:szCs w:val="21"/>
        </w:rPr>
        <w:t>公司对外销售商品或提供劳务形成的应收债权，以及公司持有的其他企业的不</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pacing w:val="-5"/>
          <w:sz w:val="21"/>
          <w:szCs w:val="21"/>
        </w:rPr>
        <w:t>包括在活跃市场上有报价的债务工具的债权，包括应收账款、其他应收款、应</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5"/>
          <w:sz w:val="21"/>
          <w:szCs w:val="21"/>
        </w:rPr>
        <w:t>收票据、预付账款、长期应收款等，以向购货方应收的合同或协议价款作为初</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始确认金额；具有融资性质的，按其现值进行初始确认。</w:t>
      </w:r>
      <w:r>
        <w:rPr>
          <w:rFonts w:ascii="宋体" w:hAnsi="宋体" w:cs="宋体" w:eastAsia="宋体" w:hint="default"/>
          <w:w w:val="100"/>
          <w:sz w:val="21"/>
          <w:szCs w:val="21"/>
        </w:rPr>
        <w:t> </w:t>
      </w:r>
      <w:r>
        <w:rPr>
          <w:rFonts w:ascii="宋体" w:hAnsi="宋体" w:cs="宋体" w:eastAsia="宋体" w:hint="default"/>
          <w:sz w:val="21"/>
          <w:szCs w:val="21"/>
        </w:rPr>
        <w:t>收回或处置时，将取得的价款与该应收款项账面价值之间的差额计入当期损 </w:t>
      </w:r>
      <w:r>
        <w:rPr>
          <w:rFonts w:ascii="宋体" w:hAnsi="宋体" w:cs="宋体" w:eastAsia="宋体" w:hint="default"/>
          <w:sz w:val="21"/>
          <w:szCs w:val="21"/>
        </w:rPr>
        <w:t>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2"/>
        <w:ind w:left="1400" w:right="13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）可供出售金融资产</w:t>
      </w:r>
    </w:p>
    <w:p>
      <w:pPr>
        <w:spacing w:after="0"/>
        <w:jc w:val="left"/>
        <w:rPr>
          <w:rFonts w:ascii="宋体" w:hAnsi="宋体" w:cs="宋体" w:eastAsia="宋体" w:hint="default"/>
          <w:sz w:val="21"/>
          <w:szCs w:val="21"/>
        </w:rPr>
        <w:sectPr>
          <w:pgSz w:w="11910" w:h="16840"/>
          <w:pgMar w:header="884" w:footer="980" w:top="1140" w:bottom="1160" w:left="1660" w:right="1580"/>
        </w:sectPr>
      </w:pPr>
    </w:p>
    <w:p>
      <w:pPr>
        <w:spacing w:line="240" w:lineRule="auto" w:before="1"/>
        <w:rPr>
          <w:rFonts w:ascii="宋体" w:hAnsi="宋体" w:cs="宋体" w:eastAsia="宋体" w:hint="default"/>
          <w:sz w:val="25"/>
          <w:szCs w:val="25"/>
        </w:rPr>
      </w:pPr>
    </w:p>
    <w:p>
      <w:pPr>
        <w:spacing w:line="340" w:lineRule="auto" w:before="36"/>
        <w:ind w:left="1400" w:right="182" w:firstLine="0"/>
        <w:jc w:val="left"/>
        <w:rPr>
          <w:rFonts w:ascii="宋体" w:hAnsi="宋体" w:cs="宋体" w:eastAsia="宋体" w:hint="default"/>
          <w:sz w:val="21"/>
          <w:szCs w:val="21"/>
        </w:rPr>
      </w:pPr>
      <w:r>
        <w:rPr>
          <w:rFonts w:ascii="宋体" w:hAnsi="宋体" w:cs="宋体" w:eastAsia="宋体" w:hint="default"/>
          <w:spacing w:val="-5"/>
          <w:w w:val="100"/>
          <w:sz w:val="21"/>
          <w:szCs w:val="21"/>
        </w:rPr>
        <w:t>取得时按公允价值（扣除已宣告但尚未发放的现金股利或已到付息期但尚未领</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z w:val="21"/>
          <w:szCs w:val="21"/>
        </w:rPr>
        <w:t>取的债券利息）和相关交易费用之和作为初始确认金额。</w:t>
      </w:r>
      <w:r>
        <w:rPr>
          <w:rFonts w:ascii="宋体" w:hAnsi="宋体" w:cs="宋体" w:eastAsia="宋体" w:hint="default"/>
          <w:w w:val="100"/>
          <w:sz w:val="21"/>
          <w:szCs w:val="21"/>
        </w:rPr>
        <w:t> </w:t>
      </w:r>
      <w:r>
        <w:rPr>
          <w:rFonts w:ascii="宋体" w:hAnsi="宋体" w:cs="宋体" w:eastAsia="宋体" w:hint="default"/>
          <w:spacing w:val="-5"/>
          <w:w w:val="100"/>
          <w:sz w:val="21"/>
          <w:szCs w:val="21"/>
        </w:rPr>
        <w:t>持有期间将取得的利息或现金股利确认为投资收益。期末以公允价值计量且将</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pacing w:val="-7"/>
          <w:w w:val="100"/>
          <w:sz w:val="21"/>
          <w:szCs w:val="21"/>
        </w:rPr>
        <w:t>公允价值变动计入资本公积（其他资本公积）。</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5"/>
          <w:sz w:val="21"/>
          <w:szCs w:val="21"/>
        </w:rPr>
        <w:t>处置时，将取得的价款与该金融资产账面价值之间的差额，计入投资损益；同</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时，将原直接计入所有者权益的公允价值变动累计额对应处置部分的金额转 </w:t>
      </w:r>
      <w:r>
        <w:rPr>
          <w:rFonts w:ascii="宋体" w:hAnsi="宋体" w:cs="宋体" w:eastAsia="宋体" w:hint="default"/>
          <w:sz w:val="21"/>
          <w:szCs w:val="21"/>
        </w:rPr>
        <w:t>出，计入投资损益。</w:t>
      </w:r>
    </w:p>
    <w:p>
      <w:pPr>
        <w:spacing w:line="240" w:lineRule="auto" w:before="0"/>
        <w:rPr>
          <w:rFonts w:ascii="宋体" w:hAnsi="宋体" w:cs="宋体" w:eastAsia="宋体" w:hint="default"/>
          <w:sz w:val="20"/>
          <w:szCs w:val="20"/>
        </w:rPr>
      </w:pPr>
    </w:p>
    <w:p>
      <w:pPr>
        <w:spacing w:line="331" w:lineRule="auto" w:before="155"/>
        <w:ind w:left="1400" w:right="1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）其他金融负债</w:t>
      </w:r>
      <w:r>
        <w:rPr>
          <w:rFonts w:ascii="宋体" w:hAnsi="宋体" w:cs="宋体" w:eastAsia="宋体" w:hint="default"/>
          <w:w w:val="100"/>
          <w:sz w:val="21"/>
          <w:szCs w:val="21"/>
        </w:rPr>
        <w:t> </w:t>
      </w:r>
      <w:r>
        <w:rPr>
          <w:rFonts w:ascii="宋体" w:hAnsi="宋体" w:cs="宋体" w:eastAsia="宋体" w:hint="default"/>
          <w:spacing w:val="-5"/>
          <w:w w:val="100"/>
          <w:sz w:val="21"/>
          <w:szCs w:val="21"/>
        </w:rPr>
        <w:t>按其公允价值和相关交易费用之和作为初始确认金额。采用摊余成本进行后续</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z w:val="21"/>
          <w:szCs w:val="21"/>
        </w:rPr>
        <w:t>计量。</w:t>
      </w:r>
    </w:p>
    <w:p>
      <w:pPr>
        <w:spacing w:line="240" w:lineRule="auto" w:before="0"/>
        <w:rPr>
          <w:rFonts w:ascii="宋体" w:hAnsi="宋体" w:cs="宋体" w:eastAsia="宋体" w:hint="default"/>
          <w:sz w:val="20"/>
          <w:szCs w:val="20"/>
        </w:rPr>
      </w:pPr>
    </w:p>
    <w:p>
      <w:pPr>
        <w:tabs>
          <w:tab w:pos="1395" w:val="left" w:leader="none"/>
        </w:tabs>
        <w:spacing w:line="338" w:lineRule="auto" w:before="163"/>
        <w:ind w:left="1400" w:right="191"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r>
      <w:r>
        <w:rPr>
          <w:rFonts w:ascii="宋体" w:hAnsi="宋体" w:cs="宋体" w:eastAsia="宋体" w:hint="default"/>
          <w:b/>
          <w:bCs/>
          <w:spacing w:val="-1"/>
          <w:sz w:val="21"/>
          <w:szCs w:val="21"/>
        </w:rPr>
        <w:t>金融资产转移的确认依据和计量方法</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pacing w:val="-5"/>
          <w:w w:val="100"/>
          <w:sz w:val="21"/>
          <w:szCs w:val="21"/>
        </w:rPr>
        <w:t>公司发生金融资产转移时，如已将金融资产所有权上几乎所有的风险和报酬转</w:t>
      </w:r>
      <w:r>
        <w:rPr>
          <w:rFonts w:ascii="宋体" w:hAnsi="宋体" w:cs="宋体" w:eastAsia="宋体" w:hint="default"/>
          <w:w w:val="100"/>
          <w:sz w:val="21"/>
          <w:szCs w:val="21"/>
        </w:rPr>
        <w:t> </w:t>
      </w:r>
      <w:r>
        <w:rPr>
          <w:rFonts w:ascii="宋体" w:hAnsi="宋体" w:cs="宋体" w:eastAsia="宋体" w:hint="default"/>
          <w:spacing w:val="-5"/>
          <w:sz w:val="21"/>
          <w:szCs w:val="21"/>
        </w:rPr>
        <w:t>移给转入方，则终止确认该金融资产；如保留了金融资产所有权上几乎所有的</w:t>
      </w:r>
      <w:r>
        <w:rPr>
          <w:rFonts w:ascii="宋体" w:hAnsi="宋体" w:cs="宋体" w:eastAsia="宋体" w:hint="default"/>
          <w:w w:val="100"/>
          <w:sz w:val="21"/>
          <w:szCs w:val="21"/>
        </w:rPr>
        <w:t> </w:t>
      </w:r>
      <w:r>
        <w:rPr>
          <w:rFonts w:ascii="宋体" w:hAnsi="宋体" w:cs="宋体" w:eastAsia="宋体" w:hint="default"/>
          <w:sz w:val="21"/>
          <w:szCs w:val="21"/>
        </w:rPr>
        <w:t>风险和报酬的，则不终止确认该金融资产。</w:t>
      </w:r>
      <w:r>
        <w:rPr>
          <w:rFonts w:ascii="宋体" w:hAnsi="宋体" w:cs="宋体" w:eastAsia="宋体" w:hint="default"/>
          <w:w w:val="100"/>
          <w:sz w:val="21"/>
          <w:szCs w:val="21"/>
        </w:rPr>
        <w:t> </w:t>
      </w:r>
      <w:r>
        <w:rPr>
          <w:rFonts w:ascii="宋体" w:hAnsi="宋体" w:cs="宋体" w:eastAsia="宋体" w:hint="default"/>
          <w:spacing w:val="-5"/>
          <w:w w:val="100"/>
          <w:sz w:val="21"/>
          <w:szCs w:val="21"/>
        </w:rPr>
        <w:t>在判断金融资产转移是否满足上述金融资产终止确认条件时，采用实质重于形</w:t>
      </w:r>
      <w:r>
        <w:rPr>
          <w:rFonts w:ascii="宋体" w:hAnsi="宋体" w:cs="宋体" w:eastAsia="宋体" w:hint="default"/>
          <w:w w:val="100"/>
          <w:sz w:val="21"/>
          <w:szCs w:val="21"/>
        </w:rPr>
        <w:t> </w:t>
      </w:r>
      <w:r>
        <w:rPr>
          <w:rFonts w:ascii="宋体" w:hAnsi="宋体" w:cs="宋体" w:eastAsia="宋体" w:hint="default"/>
          <w:spacing w:val="-5"/>
          <w:sz w:val="21"/>
          <w:szCs w:val="21"/>
        </w:rPr>
        <w:t>式的原则。公司将金融资产转移区分为金融资产整体转移和部分转移。金融资</w:t>
      </w:r>
      <w:r>
        <w:rPr>
          <w:rFonts w:ascii="宋体" w:hAnsi="宋体" w:cs="宋体" w:eastAsia="宋体" w:hint="default"/>
          <w:w w:val="100"/>
          <w:sz w:val="21"/>
          <w:szCs w:val="21"/>
        </w:rPr>
        <w:t> </w:t>
      </w:r>
      <w:r>
        <w:rPr>
          <w:rFonts w:ascii="宋体" w:hAnsi="宋体" w:cs="宋体" w:eastAsia="宋体" w:hint="default"/>
          <w:sz w:val="21"/>
          <w:szCs w:val="21"/>
        </w:rPr>
        <w:t>产整体转移满足终止确认条件的，将下列两项金额的差额计入当期损益：</w:t>
      </w:r>
    </w:p>
    <w:p>
      <w:pPr>
        <w:spacing w:before="30"/>
        <w:ind w:left="1400" w:right="1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）所转移金融资产的账面价值；</w:t>
      </w:r>
    </w:p>
    <w:p>
      <w:pPr>
        <w:spacing w:before="98"/>
        <w:ind w:left="1400" w:right="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）因转移而收到的对价，与原直接计入所有者权益的公允价值变动累计额</w:t>
      </w:r>
    </w:p>
    <w:p>
      <w:pPr>
        <w:spacing w:line="340" w:lineRule="auto" w:before="100"/>
        <w:ind w:left="1400" w:right="87" w:firstLine="0"/>
        <w:jc w:val="left"/>
        <w:rPr>
          <w:rFonts w:ascii="宋体" w:hAnsi="宋体" w:cs="宋体" w:eastAsia="宋体" w:hint="default"/>
          <w:sz w:val="21"/>
          <w:szCs w:val="21"/>
        </w:rPr>
      </w:pPr>
      <w:r>
        <w:rPr>
          <w:rFonts w:ascii="宋体" w:hAnsi="宋体" w:cs="宋体" w:eastAsia="宋体" w:hint="default"/>
          <w:sz w:val="21"/>
          <w:szCs w:val="21"/>
        </w:rPr>
        <w:t>（涉及转移的金融资产为可供出售金融资产的情形）之和。</w:t>
      </w:r>
      <w:r>
        <w:rPr>
          <w:rFonts w:ascii="宋体" w:hAnsi="宋体" w:cs="宋体" w:eastAsia="宋体" w:hint="default"/>
          <w:w w:val="100"/>
          <w:sz w:val="21"/>
          <w:szCs w:val="21"/>
        </w:rPr>
        <w:t> </w:t>
      </w:r>
      <w:r>
        <w:rPr>
          <w:rFonts w:ascii="宋体" w:hAnsi="宋体" w:cs="宋体" w:eastAsia="宋体" w:hint="default"/>
          <w:spacing w:val="-2"/>
          <w:sz w:val="21"/>
          <w:szCs w:val="21"/>
        </w:rPr>
        <w:t>金融资产部分转移满足终止确认条件的，将所转移金融资产整体的账面价值，</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在终止确认部分和未终止确认部分之间，按照各自的相对公允价值进行分摊，</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并将下列两项金额的差额计入当期损益：</w:t>
      </w:r>
    </w:p>
    <w:p>
      <w:pPr>
        <w:spacing w:before="18"/>
        <w:ind w:left="1400" w:right="1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）终止确认部分的账面价值；</w:t>
      </w:r>
    </w:p>
    <w:p>
      <w:pPr>
        <w:spacing w:line="326" w:lineRule="auto" w:before="88"/>
        <w:ind w:left="1400" w:right="182"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）终止确认部分的对价，与原直接计入所有者权益的公允价值变动累计额</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中对应终止确认部分的金额（涉及转移的金融资产为可供出售金融资产的情 </w:t>
      </w:r>
      <w:r>
        <w:rPr>
          <w:rFonts w:ascii="宋体" w:hAnsi="宋体" w:cs="宋体" w:eastAsia="宋体" w:hint="default"/>
          <w:sz w:val="21"/>
          <w:szCs w:val="21"/>
        </w:rPr>
        <w:t>形）之和。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金融资产转移不满足终止确认条件的，继续确认该金融资产，所收到的对价确</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认为一项金融负债。</w:t>
      </w:r>
    </w:p>
    <w:p>
      <w:pPr>
        <w:spacing w:after="0" w:line="326" w:lineRule="auto"/>
        <w:jc w:val="left"/>
        <w:rPr>
          <w:rFonts w:ascii="宋体" w:hAnsi="宋体" w:cs="宋体" w:eastAsia="宋体" w:hint="default"/>
          <w:sz w:val="21"/>
          <w:szCs w:val="21"/>
        </w:rPr>
        <w:sectPr>
          <w:pgSz w:w="11910" w:h="16840"/>
          <w:pgMar w:header="884" w:footer="980" w:top="1140" w:bottom="1160" w:left="1660" w:right="1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1395" w:val="left" w:leader="none"/>
        </w:tabs>
        <w:spacing w:line="328" w:lineRule="auto" w:before="0"/>
        <w:ind w:left="1400" w:right="98"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tab/>
      </w:r>
      <w:r>
        <w:rPr>
          <w:rFonts w:ascii="宋体" w:hAnsi="宋体" w:cs="宋体" w:eastAsia="宋体" w:hint="default"/>
          <w:b/>
          <w:bCs/>
          <w:spacing w:val="-1"/>
          <w:sz w:val="21"/>
          <w:szCs w:val="21"/>
        </w:rPr>
        <w:t>金融负债终止确认条件</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pacing w:val="-5"/>
          <w:w w:val="100"/>
          <w:sz w:val="21"/>
          <w:szCs w:val="21"/>
        </w:rPr>
        <w:t>金融负债的现时义务全部或部分已经解除的，则终止确认该金融负债或其一部</w:t>
      </w:r>
      <w:r>
        <w:rPr>
          <w:rFonts w:ascii="宋体" w:hAnsi="宋体" w:cs="宋体" w:eastAsia="宋体" w:hint="default"/>
          <w:w w:val="100"/>
          <w:sz w:val="21"/>
          <w:szCs w:val="21"/>
        </w:rPr>
        <w:t> </w:t>
      </w:r>
      <w:r>
        <w:rPr>
          <w:rFonts w:ascii="宋体" w:hAnsi="宋体" w:cs="宋体" w:eastAsia="宋体" w:hint="default"/>
          <w:spacing w:val="-2"/>
          <w:sz w:val="21"/>
          <w:szCs w:val="21"/>
        </w:rPr>
        <w:t>分；本公司若与债权人签定协议，以承担新金融负债方式替换现存金融负债，</w:t>
      </w:r>
      <w:r>
        <w:rPr>
          <w:rFonts w:ascii="宋体" w:hAnsi="宋体" w:cs="宋体" w:eastAsia="宋体" w:hint="default"/>
          <w:w w:val="100"/>
          <w:sz w:val="21"/>
          <w:szCs w:val="21"/>
        </w:rPr>
        <w:t> </w:t>
      </w:r>
      <w:r>
        <w:rPr>
          <w:rFonts w:ascii="宋体" w:hAnsi="宋体" w:cs="宋体" w:eastAsia="宋体" w:hint="default"/>
          <w:spacing w:val="-5"/>
          <w:w w:val="100"/>
          <w:sz w:val="21"/>
          <w:szCs w:val="21"/>
        </w:rPr>
        <w:t>且新金融负债与现存金融负债的合同条款实质上不同的，则终止确认现存金融</w:t>
      </w:r>
      <w:r>
        <w:rPr>
          <w:rFonts w:ascii="宋体" w:hAnsi="宋体" w:cs="宋体" w:eastAsia="宋体" w:hint="default"/>
          <w:w w:val="100"/>
          <w:sz w:val="21"/>
          <w:szCs w:val="21"/>
        </w:rPr>
        <w:t> </w:t>
      </w:r>
      <w:r>
        <w:rPr>
          <w:rFonts w:ascii="宋体" w:hAnsi="宋体" w:cs="宋体" w:eastAsia="宋体" w:hint="default"/>
          <w:sz w:val="21"/>
          <w:szCs w:val="21"/>
        </w:rPr>
        <w:t>负债，并同时确认新金融负债。</w:t>
      </w:r>
      <w:r>
        <w:rPr>
          <w:rFonts w:ascii="宋体" w:hAnsi="宋体" w:cs="宋体" w:eastAsia="宋体" w:hint="default"/>
          <w:w w:val="100"/>
          <w:sz w:val="21"/>
          <w:szCs w:val="21"/>
        </w:rPr>
        <w:t> </w:t>
      </w:r>
      <w:r>
        <w:rPr>
          <w:rFonts w:ascii="宋体" w:hAnsi="宋体" w:cs="宋体" w:eastAsia="宋体" w:hint="default"/>
          <w:spacing w:val="-5"/>
          <w:w w:val="100"/>
          <w:sz w:val="21"/>
          <w:szCs w:val="21"/>
        </w:rPr>
        <w:t>对现存金融负债全部或部分合同条款作出实质性修改的，则终止确认现存金融</w:t>
      </w:r>
      <w:r>
        <w:rPr>
          <w:rFonts w:ascii="宋体" w:hAnsi="宋体" w:cs="宋体" w:eastAsia="宋体" w:hint="default"/>
          <w:w w:val="100"/>
          <w:sz w:val="21"/>
          <w:szCs w:val="21"/>
        </w:rPr>
        <w:t> </w:t>
      </w:r>
      <w:r>
        <w:rPr>
          <w:rFonts w:ascii="宋体" w:hAnsi="宋体" w:cs="宋体" w:eastAsia="宋体" w:hint="default"/>
          <w:sz w:val="21"/>
          <w:szCs w:val="21"/>
        </w:rPr>
        <w:t>负债或其一部分，同时将修改条款后的金融负债确认为一项新金融负债。</w:t>
      </w:r>
      <w:r>
        <w:rPr>
          <w:rFonts w:ascii="宋体" w:hAnsi="宋体" w:cs="宋体" w:eastAsia="宋体" w:hint="default"/>
          <w:w w:val="100"/>
          <w:sz w:val="21"/>
          <w:szCs w:val="21"/>
        </w:rPr>
        <w:t> </w:t>
      </w:r>
      <w:r>
        <w:rPr>
          <w:rFonts w:ascii="宋体" w:hAnsi="宋体" w:cs="宋体" w:eastAsia="宋体" w:hint="default"/>
          <w:sz w:val="21"/>
          <w:szCs w:val="21"/>
        </w:rPr>
        <w:t>金融负债全部或部分终止确认时，终止确认的金融负债账面价值与支付对价</w:t>
      </w:r>
    </w:p>
    <w:p>
      <w:pPr>
        <w:spacing w:line="331" w:lineRule="auto" w:before="26"/>
        <w:ind w:left="1400" w:right="87" w:firstLine="0"/>
        <w:jc w:val="left"/>
        <w:rPr>
          <w:rFonts w:ascii="宋体" w:hAnsi="宋体" w:cs="宋体" w:eastAsia="宋体" w:hint="default"/>
          <w:sz w:val="21"/>
          <w:szCs w:val="21"/>
        </w:rPr>
      </w:pPr>
      <w:r>
        <w:rPr>
          <w:rFonts w:ascii="宋体" w:hAnsi="宋体" w:cs="宋体" w:eastAsia="宋体" w:hint="default"/>
          <w:spacing w:val="-2"/>
          <w:sz w:val="21"/>
          <w:szCs w:val="21"/>
        </w:rPr>
        <w:t>（包括转出的非现金资产或承担的新金融负债）之间的差额，计入当期损益。</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w w:val="100"/>
          <w:sz w:val="21"/>
          <w:szCs w:val="21"/>
        </w:rPr>
        <w:t>本公司若回购部分金融负债的，在回购日按照继续确认部分与终止确认部分的</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pacing w:val="-5"/>
          <w:sz w:val="21"/>
          <w:szCs w:val="21"/>
        </w:rPr>
        <w:t>相对公允价值，将该金融负债整体的账面价值进行分配。分配给终止确认部分</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5"/>
          <w:sz w:val="21"/>
          <w:szCs w:val="21"/>
        </w:rPr>
        <w:t>的账面价值与支付的对价（包括转出的非现金资产或承担的新金融负债）之间</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的差额，计入当期损益。</w:t>
      </w:r>
    </w:p>
    <w:p>
      <w:pPr>
        <w:spacing w:line="240" w:lineRule="auto" w:before="0"/>
        <w:rPr>
          <w:rFonts w:ascii="宋体" w:hAnsi="宋体" w:cs="宋体" w:eastAsia="宋体" w:hint="default"/>
          <w:sz w:val="20"/>
          <w:szCs w:val="20"/>
        </w:rPr>
      </w:pPr>
    </w:p>
    <w:p>
      <w:pPr>
        <w:tabs>
          <w:tab w:pos="1395" w:val="left" w:leader="none"/>
        </w:tabs>
        <w:spacing w:line="312" w:lineRule="auto" w:before="144"/>
        <w:ind w:left="1400" w:right="517"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tab/>
      </w:r>
      <w:r>
        <w:rPr>
          <w:rFonts w:ascii="宋体" w:hAnsi="宋体" w:cs="宋体" w:eastAsia="宋体" w:hint="default"/>
          <w:b/>
          <w:bCs/>
          <w:spacing w:val="-1"/>
          <w:sz w:val="21"/>
          <w:szCs w:val="21"/>
        </w:rPr>
        <w:t>金融资产和金融负债公允价值的确定方法</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pacing w:val="-2"/>
          <w:sz w:val="21"/>
          <w:szCs w:val="21"/>
        </w:rPr>
        <w:t>本公司采用公允价值计量的金融资产和金融负债全部活跃市场中的报价。</w:t>
      </w:r>
    </w:p>
    <w:p>
      <w:pPr>
        <w:spacing w:line="240" w:lineRule="auto" w:before="0"/>
        <w:rPr>
          <w:rFonts w:ascii="宋体" w:hAnsi="宋体" w:cs="宋体" w:eastAsia="宋体" w:hint="default"/>
          <w:sz w:val="20"/>
          <w:szCs w:val="20"/>
        </w:rPr>
      </w:pPr>
    </w:p>
    <w:p>
      <w:pPr>
        <w:tabs>
          <w:tab w:pos="1395" w:val="left" w:leader="none"/>
        </w:tabs>
        <w:spacing w:line="326" w:lineRule="auto" w:before="161"/>
        <w:ind w:left="1400" w:right="191"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tab/>
      </w:r>
      <w:r>
        <w:rPr>
          <w:rFonts w:ascii="宋体" w:hAnsi="宋体" w:cs="宋体" w:eastAsia="宋体" w:hint="default"/>
          <w:b/>
          <w:bCs/>
          <w:spacing w:val="-1"/>
          <w:sz w:val="21"/>
          <w:szCs w:val="21"/>
        </w:rPr>
        <w:t>金融资产（不含应收款项）减值准备计提</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pacing w:val="-5"/>
          <w:w w:val="100"/>
          <w:sz w:val="21"/>
          <w:szCs w:val="21"/>
        </w:rPr>
        <w:t>除以公允价值计量且其变动计入当期损益的金融资产外，本公司于资产负债表</w:t>
      </w:r>
      <w:r>
        <w:rPr>
          <w:rFonts w:ascii="宋体" w:hAnsi="宋体" w:cs="宋体" w:eastAsia="宋体" w:hint="default"/>
          <w:w w:val="100"/>
          <w:sz w:val="21"/>
          <w:szCs w:val="21"/>
        </w:rPr>
        <w:t> </w:t>
      </w:r>
      <w:r>
        <w:rPr>
          <w:rFonts w:ascii="宋体" w:hAnsi="宋体" w:cs="宋体" w:eastAsia="宋体" w:hint="default"/>
          <w:spacing w:val="-5"/>
          <w:w w:val="100"/>
          <w:sz w:val="21"/>
          <w:szCs w:val="21"/>
        </w:rPr>
        <w:t>日对金融资产的账面价值进行检查，如果有客观证据表明某项金融资产发生减</w:t>
      </w:r>
      <w:r>
        <w:rPr>
          <w:rFonts w:ascii="宋体" w:hAnsi="宋体" w:cs="宋体" w:eastAsia="宋体" w:hint="default"/>
          <w:w w:val="100"/>
          <w:sz w:val="21"/>
          <w:szCs w:val="21"/>
        </w:rPr>
        <w:t> </w:t>
      </w:r>
      <w:r>
        <w:rPr>
          <w:rFonts w:ascii="宋体" w:hAnsi="宋体" w:cs="宋体" w:eastAsia="宋体" w:hint="default"/>
          <w:sz w:val="21"/>
          <w:szCs w:val="21"/>
        </w:rPr>
        <w:t>值的，计提减值准备。</w:t>
      </w:r>
    </w:p>
    <w:p>
      <w:pPr>
        <w:spacing w:line="312" w:lineRule="auto" w:before="9"/>
        <w:ind w:left="1400" w:right="1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）可供出售金融资产的减值准备：</w:t>
      </w:r>
      <w:r>
        <w:rPr>
          <w:rFonts w:ascii="宋体" w:hAnsi="宋体" w:cs="宋体" w:eastAsia="宋体" w:hint="default"/>
          <w:w w:val="100"/>
          <w:sz w:val="21"/>
          <w:szCs w:val="21"/>
        </w:rPr>
        <w:t> </w:t>
      </w:r>
      <w:r>
        <w:rPr>
          <w:rFonts w:ascii="宋体" w:hAnsi="宋体" w:cs="宋体" w:eastAsia="宋体" w:hint="default"/>
          <w:spacing w:val="-5"/>
          <w:w w:val="100"/>
          <w:sz w:val="21"/>
          <w:szCs w:val="21"/>
        </w:rPr>
        <w:t>期末如果可供出售金融资产的公允价值发生较大幅度下降，或在综合考虑各种</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pacing w:val="-5"/>
          <w:sz w:val="21"/>
          <w:szCs w:val="21"/>
        </w:rPr>
        <w:t>相关因素后，预期这种下降趋势属于非暂时性的，就认定其已发生减值，将原</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直接计入所有者权益的公允价值下降形成的累计损失一并转出，确认减值损</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失。</w:t>
      </w:r>
      <w:r>
        <w:rPr>
          <w:rFonts w:ascii="宋体" w:hAnsi="宋体" w:cs="宋体" w:eastAsia="宋体" w:hint="default"/>
          <w:spacing w:val="-103"/>
          <w:sz w:val="21"/>
          <w:szCs w:val="21"/>
        </w:rPr>
        <w:t> </w:t>
      </w:r>
      <w:r>
        <w:rPr>
          <w:rFonts w:ascii="宋体" w:hAnsi="宋体" w:cs="宋体" w:eastAsia="宋体" w:hint="default"/>
          <w:spacing w:val="-5"/>
          <w:w w:val="100"/>
          <w:sz w:val="21"/>
          <w:szCs w:val="21"/>
        </w:rPr>
        <w:t>对于已确认减值损失的可供出售债务工具，在随后的会计期间公允价值已上升</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pacing w:val="-5"/>
          <w:w w:val="100"/>
          <w:sz w:val="21"/>
          <w:szCs w:val="21"/>
        </w:rPr>
        <w:t>且客观上与确认原减值损失确认后发生的事项有关的，原确认的减值损失予以</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z w:val="21"/>
          <w:szCs w:val="21"/>
        </w:rPr>
        <w:t>转回，计入当期损益。</w:t>
      </w:r>
      <w:r>
        <w:rPr>
          <w:rFonts w:ascii="宋体" w:hAnsi="宋体" w:cs="宋体" w:eastAsia="宋体" w:hint="default"/>
          <w:w w:val="100"/>
          <w:sz w:val="21"/>
          <w:szCs w:val="21"/>
        </w:rPr>
        <w:t> </w:t>
      </w:r>
      <w:r>
        <w:rPr>
          <w:rFonts w:ascii="宋体" w:hAnsi="宋体" w:cs="宋体" w:eastAsia="宋体" w:hint="default"/>
          <w:sz w:val="21"/>
          <w:szCs w:val="21"/>
        </w:rPr>
        <w:t>可供出售权益工具投资发生的减值损失，不得通过损益转回。</w:t>
      </w:r>
    </w:p>
    <w:p>
      <w:pPr>
        <w:spacing w:line="297" w:lineRule="auto" w:before="22"/>
        <w:ind w:left="1400" w:right="1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）持有至到期投资的减值准备：</w:t>
      </w:r>
      <w:r>
        <w:rPr>
          <w:rFonts w:ascii="宋体" w:hAnsi="宋体" w:cs="宋体" w:eastAsia="宋体" w:hint="default"/>
          <w:w w:val="100"/>
          <w:sz w:val="21"/>
          <w:szCs w:val="21"/>
        </w:rPr>
        <w:t> </w:t>
      </w:r>
      <w:r>
        <w:rPr>
          <w:rFonts w:ascii="宋体" w:hAnsi="宋体" w:cs="宋体" w:eastAsia="宋体" w:hint="default"/>
          <w:spacing w:val="-2"/>
          <w:sz w:val="21"/>
          <w:szCs w:val="21"/>
        </w:rPr>
        <w:t>持有至到期投资减值损失的计量比照应收款项减值损失计量方法处理。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tabs>
          <w:tab w:pos="980" w:val="left" w:leader="none"/>
        </w:tabs>
        <w:spacing w:before="0"/>
        <w:ind w:left="140" w:right="1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应收款项坏账准备</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84" w:footer="980" w:top="1140" w:bottom="1160" w:left="1660" w:right="1600"/>
        </w:sectPr>
      </w:pPr>
    </w:p>
    <w:p>
      <w:pPr>
        <w:spacing w:line="240" w:lineRule="auto" w:before="11"/>
        <w:rPr>
          <w:rFonts w:ascii="宋体" w:hAnsi="宋体" w:cs="宋体" w:eastAsia="宋体" w:hint="default"/>
          <w:b/>
          <w:bCs/>
          <w:sz w:val="22"/>
          <w:szCs w:val="22"/>
        </w:rPr>
      </w:pPr>
    </w:p>
    <w:p>
      <w:pPr>
        <w:tabs>
          <w:tab w:pos="1395" w:val="left" w:leader="none"/>
        </w:tabs>
        <w:spacing w:line="297" w:lineRule="auto" w:before="36"/>
        <w:ind w:left="1400" w:right="517"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r>
      <w:r>
        <w:rPr>
          <w:rFonts w:ascii="宋体" w:hAnsi="宋体" w:cs="宋体" w:eastAsia="宋体" w:hint="default"/>
          <w:b/>
          <w:bCs/>
          <w:spacing w:val="-1"/>
          <w:sz w:val="21"/>
          <w:szCs w:val="21"/>
        </w:rPr>
        <w:t>单项金额重大的应收款项坏账准备计提：</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z w:val="21"/>
          <w:szCs w:val="21"/>
        </w:rPr>
        <w:t>单项金额重大的判断依据或金额标准：</w:t>
      </w:r>
    </w:p>
    <w:p>
      <w:pPr>
        <w:spacing w:line="338" w:lineRule="auto" w:before="73"/>
        <w:ind w:left="1400" w:right="182" w:firstLine="0"/>
        <w:jc w:val="left"/>
        <w:rPr>
          <w:rFonts w:ascii="宋体" w:hAnsi="宋体" w:cs="宋体" w:eastAsia="宋体" w:hint="default"/>
          <w:sz w:val="21"/>
          <w:szCs w:val="21"/>
        </w:rPr>
      </w:pPr>
      <w:r>
        <w:rPr>
          <w:rFonts w:ascii="宋体" w:hAnsi="宋体" w:cs="宋体" w:eastAsia="宋体" w:hint="default"/>
          <w:sz w:val="21"/>
          <w:szCs w:val="21"/>
        </w:rPr>
        <w:t>单项金额重大的具体标准为：应收款项余额前三名且金额在</w:t>
      </w:r>
      <w:r>
        <w:rPr>
          <w:rFonts w:ascii="宋体" w:hAnsi="宋体" w:cs="宋体" w:eastAsia="宋体" w:hint="default"/>
          <w:spacing w:val="-54"/>
          <w:sz w:val="21"/>
          <w:szCs w:val="21"/>
        </w:rPr>
        <w:t> </w:t>
      </w:r>
      <w:r>
        <w:rPr>
          <w:rFonts w:ascii="宋体" w:hAnsi="宋体" w:cs="宋体" w:eastAsia="宋体" w:hint="default"/>
          <w:sz w:val="21"/>
          <w:szCs w:val="21"/>
        </w:rPr>
        <w:t>300</w:t>
      </w:r>
      <w:r>
        <w:rPr>
          <w:rFonts w:ascii="宋体" w:hAnsi="宋体" w:cs="宋体" w:eastAsia="宋体" w:hint="default"/>
          <w:spacing w:val="-54"/>
          <w:sz w:val="21"/>
          <w:szCs w:val="21"/>
        </w:rPr>
        <w:t> </w:t>
      </w:r>
      <w:r>
        <w:rPr>
          <w:rFonts w:ascii="宋体" w:hAnsi="宋体" w:cs="宋体" w:eastAsia="宋体" w:hint="default"/>
          <w:sz w:val="21"/>
          <w:szCs w:val="21"/>
        </w:rPr>
        <w:t>万元以上。</w:t>
      </w:r>
      <w:r>
        <w:rPr>
          <w:rFonts w:ascii="宋体" w:hAnsi="宋体" w:cs="宋体" w:eastAsia="宋体" w:hint="default"/>
          <w:w w:val="100"/>
          <w:sz w:val="21"/>
          <w:szCs w:val="21"/>
        </w:rPr>
        <w:t> </w:t>
      </w:r>
      <w:r>
        <w:rPr>
          <w:rFonts w:ascii="宋体" w:hAnsi="宋体" w:cs="宋体" w:eastAsia="宋体" w:hint="default"/>
          <w:sz w:val="21"/>
          <w:szCs w:val="21"/>
        </w:rPr>
        <w:t>单项金额重大应收款项坏账准备的计提方法：</w:t>
      </w:r>
      <w:r>
        <w:rPr>
          <w:rFonts w:ascii="宋体" w:hAnsi="宋体" w:cs="宋体" w:eastAsia="宋体" w:hint="default"/>
          <w:w w:val="100"/>
          <w:sz w:val="21"/>
          <w:szCs w:val="21"/>
        </w:rPr>
        <w:t> </w:t>
      </w:r>
      <w:r>
        <w:rPr>
          <w:rFonts w:ascii="宋体" w:hAnsi="宋体" w:cs="宋体" w:eastAsia="宋体" w:hint="default"/>
          <w:spacing w:val="-5"/>
          <w:w w:val="100"/>
          <w:sz w:val="21"/>
          <w:szCs w:val="21"/>
        </w:rPr>
        <w:t>单独进行减值测试，按预计未来现金流量现值低于其账面价值的差额计提坏账</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z w:val="21"/>
          <w:szCs w:val="21"/>
        </w:rPr>
        <w:t>准备，计入当期损益。</w:t>
      </w:r>
    </w:p>
    <w:p>
      <w:pPr>
        <w:spacing w:line="240" w:lineRule="auto" w:before="8"/>
        <w:rPr>
          <w:rFonts w:ascii="宋体" w:hAnsi="宋体" w:cs="宋体" w:eastAsia="宋体" w:hint="default"/>
          <w:sz w:val="27"/>
          <w:szCs w:val="27"/>
        </w:rPr>
      </w:pPr>
    </w:p>
    <w:p>
      <w:pPr>
        <w:tabs>
          <w:tab w:pos="1395" w:val="left" w:leader="none"/>
        </w:tabs>
        <w:spacing w:before="0"/>
        <w:ind w:left="858" w:right="1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1"/>
          <w:sz w:val="21"/>
          <w:szCs w:val="21"/>
        </w:rPr>
        <w:t>按组合计提坏账准备应收款项：</w:t>
      </w:r>
      <w:r>
        <w:rPr>
          <w:rFonts w:ascii="宋体" w:hAnsi="宋体" w:cs="宋体" w:eastAsia="宋体" w:hint="default"/>
          <w:spacing w:val="-1"/>
          <w:sz w:val="21"/>
          <w:szCs w:val="21"/>
        </w:rPr>
      </w:r>
    </w:p>
    <w:tbl>
      <w:tblPr>
        <w:tblW w:w="0" w:type="auto"/>
        <w:jc w:val="left"/>
        <w:tblInd w:w="1402" w:type="dxa"/>
        <w:tblLayout w:type="fixed"/>
        <w:tblCellMar>
          <w:top w:w="0" w:type="dxa"/>
          <w:left w:w="0" w:type="dxa"/>
          <w:bottom w:w="0" w:type="dxa"/>
          <w:right w:w="0" w:type="dxa"/>
        </w:tblCellMar>
        <w:tblLook w:val="01E0"/>
      </w:tblPr>
      <w:tblGrid>
        <w:gridCol w:w="1873"/>
        <w:gridCol w:w="5231"/>
      </w:tblGrid>
      <w:tr>
        <w:trPr>
          <w:trHeight w:val="394" w:hRule="exact"/>
        </w:trPr>
        <w:tc>
          <w:tcPr>
            <w:tcW w:w="1873" w:type="dxa"/>
            <w:tcBorders>
              <w:top w:val="single" w:sz="12" w:space="0" w:color="000000"/>
              <w:left w:val="nil" w:sz="6" w:space="0" w:color="auto"/>
              <w:bottom w:val="dotted" w:sz="4" w:space="0" w:color="000000"/>
              <w:right w:val="nil" w:sz="6" w:space="0" w:color="auto"/>
            </w:tcBorders>
          </w:tcPr>
          <w:p>
            <w:pPr/>
          </w:p>
        </w:tc>
        <w:tc>
          <w:tcPr>
            <w:tcW w:w="5231" w:type="dxa"/>
            <w:tcBorders>
              <w:top w:val="single" w:sz="12" w:space="0" w:color="000000"/>
              <w:left w:val="nil" w:sz="6" w:space="0" w:color="auto"/>
              <w:bottom w:val="dotted" w:sz="4" w:space="0" w:color="000000"/>
              <w:right w:val="nil" w:sz="6" w:space="0" w:color="auto"/>
            </w:tcBorders>
          </w:tcPr>
          <w:p>
            <w:pPr>
              <w:pStyle w:val="TableParagraph"/>
              <w:spacing w:line="240" w:lineRule="auto" w:before="21"/>
              <w:ind w:left="957"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1885" w:hRule="exact"/>
        </w:trPr>
        <w:tc>
          <w:tcPr>
            <w:tcW w:w="1873"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94"/>
              <w:ind w:left="13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p>
        </w:tc>
        <w:tc>
          <w:tcPr>
            <w:tcW w:w="5231" w:type="dxa"/>
            <w:tcBorders>
              <w:top w:val="dotted" w:sz="4" w:space="0" w:color="000000"/>
              <w:left w:val="dotted" w:sz="4" w:space="0" w:color="000000"/>
              <w:bottom w:val="dotted" w:sz="4" w:space="0" w:color="000000"/>
              <w:right w:val="nil" w:sz="6" w:space="0" w:color="auto"/>
            </w:tcBorders>
          </w:tcPr>
          <w:p>
            <w:pPr>
              <w:pStyle w:val="TableParagraph"/>
              <w:spacing w:line="326" w:lineRule="auto" w:before="21"/>
              <w:ind w:left="115" w:right="103"/>
              <w:jc w:val="both"/>
              <w:rPr>
                <w:rFonts w:ascii="宋体" w:hAnsi="宋体" w:cs="宋体" w:eastAsia="宋体" w:hint="default"/>
                <w:sz w:val="21"/>
                <w:szCs w:val="21"/>
              </w:rPr>
            </w:pPr>
            <w:r>
              <w:rPr>
                <w:rFonts w:ascii="宋体" w:hAnsi="宋体" w:cs="宋体" w:eastAsia="宋体" w:hint="default"/>
                <w:spacing w:val="-4"/>
                <w:sz w:val="21"/>
                <w:szCs w:val="21"/>
              </w:rPr>
              <w:t>除已单独计提减值准备的应收账款、其他应收款外，公</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3"/>
                <w:sz w:val="21"/>
                <w:szCs w:val="21"/>
              </w:rPr>
              <w:t>司根据以前年度与之相同或相类似的、按账龄段划分的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
                <w:sz w:val="21"/>
                <w:szCs w:val="21"/>
              </w:rPr>
              <w:t>具有类似信用风险特征的应收款项组合的实际损失率</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4"/>
                <w:sz w:val="21"/>
                <w:szCs w:val="21"/>
              </w:rPr>
              <w:t>为基础，结合现时情况分析法确定坏账准备计提的比</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例。</w:t>
            </w:r>
          </w:p>
        </w:tc>
      </w:tr>
      <w:tr>
        <w:trPr>
          <w:trHeight w:val="384" w:hRule="exact"/>
        </w:trPr>
        <w:tc>
          <w:tcPr>
            <w:tcW w:w="7103" w:type="dxa"/>
            <w:gridSpan w:val="2"/>
            <w:tcBorders>
              <w:top w:val="dotted" w:sz="4" w:space="0" w:color="000000"/>
              <w:left w:val="nil" w:sz="6" w:space="0" w:color="auto"/>
              <w:bottom w:val="dotted" w:sz="4" w:space="0" w:color="000000"/>
              <w:right w:val="nil" w:sz="6" w:space="0" w:color="auto"/>
            </w:tcBorders>
          </w:tcPr>
          <w:p>
            <w:pPr>
              <w:pStyle w:val="TableParagraph"/>
              <w:spacing w:line="240" w:lineRule="auto" w:before="18"/>
              <w:ind w:left="136"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394" w:hRule="exact"/>
        </w:trPr>
        <w:tc>
          <w:tcPr>
            <w:tcW w:w="187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8"/>
              <w:ind w:left="13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p>
        </w:tc>
        <w:tc>
          <w:tcPr>
            <w:tcW w:w="523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spacing w:before="0"/>
        <w:ind w:left="1400" w:right="182" w:firstLine="0"/>
        <w:jc w:val="left"/>
        <w:rPr>
          <w:rFonts w:ascii="宋体" w:hAnsi="宋体" w:cs="宋体" w:eastAsia="宋体" w:hint="default"/>
          <w:sz w:val="21"/>
          <w:szCs w:val="21"/>
        </w:rPr>
      </w:pPr>
      <w:r>
        <w:rPr>
          <w:rFonts w:ascii="宋体" w:hAnsi="宋体" w:cs="宋体" w:eastAsia="宋体" w:hint="default"/>
          <w:sz w:val="21"/>
          <w:szCs w:val="21"/>
        </w:rPr>
        <w:t>组合中，采用账龄分析法计提坏账准备的：</w:t>
      </w:r>
    </w:p>
    <w:p>
      <w:pPr>
        <w:spacing w:line="240" w:lineRule="auto" w:before="7"/>
        <w:rPr>
          <w:rFonts w:ascii="宋体" w:hAnsi="宋体" w:cs="宋体" w:eastAsia="宋体" w:hint="default"/>
          <w:sz w:val="2"/>
          <w:szCs w:val="2"/>
        </w:rPr>
      </w:pPr>
    </w:p>
    <w:tbl>
      <w:tblPr>
        <w:tblW w:w="0" w:type="auto"/>
        <w:jc w:val="left"/>
        <w:tblInd w:w="1388" w:type="dxa"/>
        <w:tblLayout w:type="fixed"/>
        <w:tblCellMar>
          <w:top w:w="0" w:type="dxa"/>
          <w:left w:w="0" w:type="dxa"/>
          <w:bottom w:w="0" w:type="dxa"/>
          <w:right w:w="0" w:type="dxa"/>
        </w:tblCellMar>
        <w:tblLook w:val="01E0"/>
      </w:tblPr>
      <w:tblGrid>
        <w:gridCol w:w="2139"/>
        <w:gridCol w:w="2508"/>
        <w:gridCol w:w="2456"/>
      </w:tblGrid>
      <w:tr>
        <w:trPr>
          <w:trHeight w:val="420" w:hRule="exact"/>
        </w:trPr>
        <w:tc>
          <w:tcPr>
            <w:tcW w:w="21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3"/>
              <w:ind w:left="2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5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5"/>
              <w:ind w:left="252"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45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3"/>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384" w:hRule="exact"/>
        </w:trPr>
        <w:tc>
          <w:tcPr>
            <w:tcW w:w="21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5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w w:val="100"/>
                <w:sz w:val="21"/>
              </w:rPr>
              <w:t>5</w:t>
            </w:r>
          </w:p>
        </w:tc>
        <w:tc>
          <w:tcPr>
            <w:tcW w:w="24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w w:val="100"/>
                <w:sz w:val="21"/>
              </w:rPr>
              <w:t>5</w:t>
            </w:r>
          </w:p>
        </w:tc>
      </w:tr>
      <w:tr>
        <w:trPr>
          <w:trHeight w:val="387" w:hRule="exact"/>
        </w:trPr>
        <w:tc>
          <w:tcPr>
            <w:tcW w:w="21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1"/>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5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left="103" w:right="0"/>
              <w:jc w:val="left"/>
              <w:rPr>
                <w:rFonts w:ascii="Times New Roman" w:hAnsi="Times New Roman" w:cs="Times New Roman" w:eastAsia="Times New Roman" w:hint="default"/>
                <w:sz w:val="21"/>
                <w:szCs w:val="21"/>
              </w:rPr>
            </w:pPr>
            <w:r>
              <w:rPr>
                <w:rFonts w:ascii="Times New Roman"/>
                <w:sz w:val="21"/>
              </w:rPr>
              <w:t>50</w:t>
            </w:r>
          </w:p>
        </w:tc>
        <w:tc>
          <w:tcPr>
            <w:tcW w:w="24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8"/>
              <w:ind w:left="103" w:right="0"/>
              <w:jc w:val="left"/>
              <w:rPr>
                <w:rFonts w:ascii="Times New Roman" w:hAnsi="Times New Roman" w:cs="Times New Roman" w:eastAsia="Times New Roman" w:hint="default"/>
                <w:sz w:val="21"/>
                <w:szCs w:val="21"/>
              </w:rPr>
            </w:pPr>
            <w:r>
              <w:rPr>
                <w:rFonts w:ascii="Times New Roman"/>
                <w:sz w:val="21"/>
              </w:rPr>
              <w:t>50</w:t>
            </w:r>
          </w:p>
        </w:tc>
      </w:tr>
      <w:tr>
        <w:trPr>
          <w:trHeight w:val="384" w:hRule="exact"/>
        </w:trPr>
        <w:tc>
          <w:tcPr>
            <w:tcW w:w="21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5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sz w:val="21"/>
              </w:rPr>
              <w:t>100</w:t>
            </w:r>
          </w:p>
        </w:tc>
        <w:tc>
          <w:tcPr>
            <w:tcW w:w="24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sz w:val="21"/>
              </w:rPr>
              <w:t>100</w:t>
            </w:r>
          </w:p>
        </w:tc>
      </w:tr>
      <w:tr>
        <w:trPr>
          <w:trHeight w:val="394" w:hRule="exact"/>
        </w:trPr>
        <w:tc>
          <w:tcPr>
            <w:tcW w:w="21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5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sz w:val="21"/>
              </w:rPr>
              <w:t>100</w:t>
            </w:r>
          </w:p>
        </w:tc>
        <w:tc>
          <w:tcPr>
            <w:tcW w:w="245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sz w:val="21"/>
              </w:rPr>
              <w:t>100</w:t>
            </w:r>
          </w:p>
        </w:tc>
      </w:tr>
    </w:tbl>
    <w:p>
      <w:pPr>
        <w:spacing w:line="240" w:lineRule="auto" w:before="2"/>
        <w:rPr>
          <w:rFonts w:ascii="宋体" w:hAnsi="宋体" w:cs="宋体" w:eastAsia="宋体" w:hint="default"/>
          <w:sz w:val="28"/>
          <w:szCs w:val="28"/>
        </w:rPr>
      </w:pPr>
    </w:p>
    <w:p>
      <w:pPr>
        <w:tabs>
          <w:tab w:pos="1395" w:val="left" w:leader="none"/>
        </w:tabs>
        <w:spacing w:line="343" w:lineRule="auto" w:before="36"/>
        <w:ind w:left="1400" w:right="207"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r>
      <w:r>
        <w:rPr>
          <w:rFonts w:ascii="宋体" w:hAnsi="宋体" w:cs="宋体" w:eastAsia="宋体" w:hint="default"/>
          <w:b/>
          <w:bCs/>
          <w:spacing w:val="-1"/>
          <w:sz w:val="21"/>
          <w:szCs w:val="21"/>
        </w:rPr>
        <w:t>单项金额虽不重大但单项计提坏账准备的应收账款：</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z w:val="21"/>
          <w:szCs w:val="21"/>
        </w:rPr>
        <w:t>单项计提坏账准备的理由：</w:t>
      </w:r>
      <w:r>
        <w:rPr>
          <w:rFonts w:ascii="宋体" w:hAnsi="宋体" w:cs="宋体" w:eastAsia="宋体" w:hint="default"/>
          <w:w w:val="100"/>
          <w:sz w:val="21"/>
          <w:szCs w:val="21"/>
        </w:rPr>
        <w:t> </w:t>
      </w:r>
      <w:r>
        <w:rPr>
          <w:rFonts w:ascii="宋体" w:hAnsi="宋体" w:cs="宋体" w:eastAsia="宋体" w:hint="default"/>
          <w:spacing w:val="-5"/>
          <w:sz w:val="21"/>
          <w:szCs w:val="21"/>
        </w:rPr>
        <w:t>经测试，有客观证据表明单项金额虽不重大，但因其发生了特殊减值，不适合</w:t>
      </w:r>
      <w:r>
        <w:rPr>
          <w:rFonts w:ascii="宋体" w:hAnsi="宋体" w:cs="宋体" w:eastAsia="宋体" w:hint="default"/>
          <w:w w:val="100"/>
          <w:sz w:val="21"/>
          <w:szCs w:val="21"/>
        </w:rPr>
        <w:t> </w:t>
      </w:r>
      <w:r>
        <w:rPr>
          <w:rFonts w:ascii="宋体" w:hAnsi="宋体" w:cs="宋体" w:eastAsia="宋体" w:hint="default"/>
          <w:sz w:val="21"/>
          <w:szCs w:val="21"/>
        </w:rPr>
        <w:t>按照按组合计提坏账准备应收款项。</w:t>
      </w:r>
    </w:p>
    <w:p>
      <w:pPr>
        <w:spacing w:line="350" w:lineRule="auto" w:before="35"/>
        <w:ind w:left="1400" w:right="182" w:firstLine="0"/>
        <w:jc w:val="left"/>
        <w:rPr>
          <w:rFonts w:ascii="宋体" w:hAnsi="宋体" w:cs="宋体" w:eastAsia="宋体" w:hint="default"/>
          <w:sz w:val="21"/>
          <w:szCs w:val="21"/>
        </w:rPr>
      </w:pPr>
      <w:r>
        <w:rPr>
          <w:rFonts w:ascii="宋体" w:hAnsi="宋体" w:cs="宋体" w:eastAsia="宋体" w:hint="default"/>
          <w:sz w:val="21"/>
          <w:szCs w:val="21"/>
        </w:rPr>
        <w:t>坏账准备的计提方法：</w:t>
      </w:r>
      <w:r>
        <w:rPr>
          <w:rFonts w:ascii="宋体" w:hAnsi="宋体" w:cs="宋体" w:eastAsia="宋体" w:hint="default"/>
          <w:w w:val="100"/>
          <w:sz w:val="21"/>
          <w:szCs w:val="21"/>
        </w:rPr>
        <w:t> </w:t>
      </w:r>
      <w:r>
        <w:rPr>
          <w:rFonts w:ascii="宋体" w:hAnsi="宋体" w:cs="宋体" w:eastAsia="宋体" w:hint="default"/>
          <w:sz w:val="21"/>
          <w:szCs w:val="21"/>
        </w:rPr>
        <w:t>单独进行减值测试，结合现时情况分析确定坏账准备计提的比例。</w:t>
      </w:r>
      <w:r>
        <w:rPr>
          <w:rFonts w:ascii="宋体" w:hAnsi="宋体" w:cs="宋体" w:eastAsia="宋体" w:hint="default"/>
          <w:w w:val="100"/>
          <w:sz w:val="21"/>
          <w:szCs w:val="21"/>
        </w:rPr>
        <w:t> </w:t>
      </w:r>
      <w:r>
        <w:rPr>
          <w:rFonts w:ascii="宋体" w:hAnsi="宋体" w:cs="宋体" w:eastAsia="宋体" w:hint="default"/>
          <w:spacing w:val="-5"/>
          <w:sz w:val="21"/>
          <w:szCs w:val="21"/>
        </w:rPr>
        <w:t>其他说明：期末对于合并报表范围内公司的应收款项单独进行减值测试。如有</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5"/>
          <w:w w:val="100"/>
          <w:sz w:val="21"/>
          <w:szCs w:val="21"/>
        </w:rPr>
        <w:t>客观证据表明其发生了减值的，根据其未来现金流量现值低于其账面价值的差</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pacing w:val="-5"/>
          <w:sz w:val="21"/>
          <w:szCs w:val="21"/>
        </w:rPr>
        <w:t>额，确认减值损失，计提坏账准备。如经测试未发现减值的，则不计提坏账准</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备。</w:t>
      </w:r>
    </w:p>
    <w:p>
      <w:pPr>
        <w:spacing w:line="240" w:lineRule="auto" w:before="10"/>
        <w:rPr>
          <w:rFonts w:ascii="宋体" w:hAnsi="宋体" w:cs="宋体" w:eastAsia="宋体" w:hint="default"/>
          <w:sz w:val="24"/>
          <w:szCs w:val="24"/>
        </w:rPr>
      </w:pPr>
    </w:p>
    <w:p>
      <w:pPr>
        <w:tabs>
          <w:tab w:pos="980" w:val="left" w:leader="none"/>
        </w:tabs>
        <w:spacing w:before="0"/>
        <w:ind w:left="140" w:right="1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十一</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存货</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84" w:footer="980" w:top="1140" w:bottom="1160" w:left="1660" w:right="1600"/>
        </w:sectPr>
      </w:pPr>
    </w:p>
    <w:p>
      <w:pPr>
        <w:spacing w:line="240" w:lineRule="auto" w:before="11"/>
        <w:rPr>
          <w:rFonts w:ascii="宋体" w:hAnsi="宋体" w:cs="宋体" w:eastAsia="宋体" w:hint="default"/>
          <w:b/>
          <w:bCs/>
          <w:sz w:val="25"/>
          <w:szCs w:val="25"/>
        </w:rPr>
      </w:pPr>
    </w:p>
    <w:p>
      <w:pPr>
        <w:tabs>
          <w:tab w:pos="1395" w:val="left" w:leader="none"/>
        </w:tabs>
        <w:spacing w:before="36"/>
        <w:ind w:left="8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存货的分类</w:t>
      </w:r>
      <w:r>
        <w:rPr>
          <w:rFonts w:ascii="宋体" w:hAnsi="宋体" w:cs="宋体" w:eastAsia="宋体" w:hint="default"/>
          <w:sz w:val="21"/>
          <w:szCs w:val="21"/>
        </w:rPr>
      </w:r>
    </w:p>
    <w:p>
      <w:pPr>
        <w:spacing w:before="110"/>
        <w:ind w:left="1400" w:right="0" w:firstLine="0"/>
        <w:jc w:val="left"/>
        <w:rPr>
          <w:rFonts w:ascii="宋体" w:hAnsi="宋体" w:cs="宋体" w:eastAsia="宋体" w:hint="default"/>
          <w:sz w:val="21"/>
          <w:szCs w:val="21"/>
        </w:rPr>
      </w:pPr>
      <w:r>
        <w:rPr>
          <w:rFonts w:ascii="宋体" w:hAnsi="宋体" w:cs="宋体" w:eastAsia="宋体" w:hint="default"/>
          <w:sz w:val="21"/>
          <w:szCs w:val="21"/>
        </w:rPr>
        <w:t>存货分类为：库存商品等。</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tabs>
          <w:tab w:pos="1395" w:val="left" w:leader="none"/>
        </w:tabs>
        <w:spacing w:line="331" w:lineRule="auto" w:before="0"/>
        <w:ind w:left="1400" w:right="4238"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发出存货的计价方法</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存货发出时按个别认定法计价。</w:t>
      </w:r>
    </w:p>
    <w:p>
      <w:pPr>
        <w:spacing w:line="240" w:lineRule="auto" w:before="2"/>
        <w:rPr>
          <w:rFonts w:ascii="宋体" w:hAnsi="宋体" w:cs="宋体" w:eastAsia="宋体" w:hint="default"/>
          <w:sz w:val="27"/>
          <w:szCs w:val="27"/>
        </w:rPr>
      </w:pPr>
    </w:p>
    <w:p>
      <w:pPr>
        <w:tabs>
          <w:tab w:pos="1395" w:val="left" w:leader="none"/>
        </w:tabs>
        <w:spacing w:line="348" w:lineRule="auto" w:before="0"/>
        <w:ind w:left="1400" w:right="131"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r>
      <w:r>
        <w:rPr>
          <w:rFonts w:ascii="宋体" w:hAnsi="宋体" w:cs="宋体" w:eastAsia="宋体" w:hint="default"/>
          <w:b/>
          <w:bCs/>
          <w:spacing w:val="-1"/>
          <w:sz w:val="21"/>
          <w:szCs w:val="21"/>
        </w:rPr>
        <w:t>存货可变现净值的确定依据及存货跌价准备的计提方法</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pacing w:val="-5"/>
          <w:w w:val="100"/>
          <w:sz w:val="21"/>
          <w:szCs w:val="21"/>
        </w:rPr>
        <w:t>期末对存货进行全面清查后，按存货的成本与可变现净值孰低提取或调整存货</w:t>
      </w:r>
      <w:r>
        <w:rPr>
          <w:rFonts w:ascii="宋体" w:hAnsi="宋体" w:cs="宋体" w:eastAsia="宋体" w:hint="default"/>
          <w:w w:val="100"/>
          <w:sz w:val="21"/>
          <w:szCs w:val="21"/>
        </w:rPr>
        <w:t> </w:t>
      </w:r>
      <w:r>
        <w:rPr>
          <w:rFonts w:ascii="宋体" w:hAnsi="宋体" w:cs="宋体" w:eastAsia="宋体" w:hint="default"/>
          <w:sz w:val="21"/>
          <w:szCs w:val="21"/>
        </w:rPr>
        <w:t>跌价准备。</w:t>
      </w:r>
      <w:r>
        <w:rPr>
          <w:rFonts w:ascii="宋体" w:hAnsi="宋体" w:cs="宋体" w:eastAsia="宋体" w:hint="default"/>
          <w:w w:val="100"/>
          <w:sz w:val="21"/>
          <w:szCs w:val="21"/>
        </w:rPr>
        <w:t> </w:t>
      </w:r>
      <w:r>
        <w:rPr>
          <w:rFonts w:ascii="宋体" w:hAnsi="宋体" w:cs="宋体" w:eastAsia="宋体" w:hint="default"/>
          <w:spacing w:val="-5"/>
          <w:w w:val="100"/>
          <w:sz w:val="21"/>
          <w:szCs w:val="21"/>
        </w:rPr>
        <w:t>为执行销售合同或者劳务合同而持有的存货，其可变现净值以合同价格为基础</w:t>
      </w:r>
      <w:r>
        <w:rPr>
          <w:rFonts w:ascii="宋体" w:hAnsi="宋体" w:cs="宋体" w:eastAsia="宋体" w:hint="default"/>
          <w:w w:val="100"/>
          <w:sz w:val="21"/>
          <w:szCs w:val="21"/>
        </w:rPr>
        <w:t> </w:t>
      </w:r>
      <w:r>
        <w:rPr>
          <w:rFonts w:ascii="宋体" w:hAnsi="宋体" w:cs="宋体" w:eastAsia="宋体" w:hint="default"/>
          <w:spacing w:val="-5"/>
          <w:sz w:val="21"/>
          <w:szCs w:val="21"/>
        </w:rPr>
        <w:t>计算，若持有存货的数量多于销售合同订购数量的，超出部分的存货的可变现</w:t>
      </w:r>
      <w:r>
        <w:rPr>
          <w:rFonts w:ascii="宋体" w:hAnsi="宋体" w:cs="宋体" w:eastAsia="宋体" w:hint="default"/>
          <w:w w:val="100"/>
          <w:sz w:val="21"/>
          <w:szCs w:val="21"/>
        </w:rPr>
        <w:t> </w:t>
      </w:r>
      <w:r>
        <w:rPr>
          <w:rFonts w:ascii="宋体" w:hAnsi="宋体" w:cs="宋体" w:eastAsia="宋体" w:hint="default"/>
          <w:sz w:val="21"/>
          <w:szCs w:val="21"/>
        </w:rPr>
        <w:t>净值以一般销售价格为基础计算。</w:t>
      </w:r>
      <w:r>
        <w:rPr>
          <w:rFonts w:ascii="宋体" w:hAnsi="宋体" w:cs="宋体" w:eastAsia="宋体" w:hint="default"/>
          <w:w w:val="100"/>
          <w:sz w:val="21"/>
          <w:szCs w:val="21"/>
        </w:rPr>
        <w:t> </w:t>
      </w:r>
      <w:r>
        <w:rPr>
          <w:rFonts w:ascii="宋体" w:hAnsi="宋体" w:cs="宋体" w:eastAsia="宋体" w:hint="default"/>
          <w:sz w:val="21"/>
          <w:szCs w:val="21"/>
        </w:rPr>
        <w:t>期末按照单个存货项目计提存货跌价准备。</w:t>
      </w:r>
      <w:r>
        <w:rPr>
          <w:rFonts w:ascii="宋体" w:hAnsi="宋体" w:cs="宋体" w:eastAsia="宋体" w:hint="default"/>
          <w:w w:val="100"/>
          <w:sz w:val="21"/>
          <w:szCs w:val="21"/>
        </w:rPr>
        <w:t> </w:t>
      </w:r>
      <w:r>
        <w:rPr>
          <w:rFonts w:ascii="宋体" w:hAnsi="宋体" w:cs="宋体" w:eastAsia="宋体" w:hint="default"/>
          <w:spacing w:val="-5"/>
          <w:sz w:val="21"/>
          <w:szCs w:val="21"/>
        </w:rPr>
        <w:t>以前减记存货价值的影响因素已经消失的，减记的金额予以恢复，并在原已计</w:t>
      </w:r>
      <w:r>
        <w:rPr>
          <w:rFonts w:ascii="宋体" w:hAnsi="宋体" w:cs="宋体" w:eastAsia="宋体" w:hint="default"/>
          <w:w w:val="100"/>
          <w:sz w:val="21"/>
          <w:szCs w:val="21"/>
        </w:rPr>
        <w:t> </w:t>
      </w:r>
      <w:r>
        <w:rPr>
          <w:rFonts w:ascii="宋体" w:hAnsi="宋体" w:cs="宋体" w:eastAsia="宋体" w:hint="default"/>
          <w:sz w:val="21"/>
          <w:szCs w:val="21"/>
        </w:rPr>
        <w:t>提的存货跌价准备金额内转回，转回的金额计入当期损益。</w:t>
      </w:r>
    </w:p>
    <w:p>
      <w:pPr>
        <w:spacing w:line="240" w:lineRule="auto" w:before="1"/>
        <w:rPr>
          <w:rFonts w:ascii="宋体" w:hAnsi="宋体" w:cs="宋体" w:eastAsia="宋体" w:hint="default"/>
          <w:sz w:val="26"/>
          <w:szCs w:val="26"/>
        </w:rPr>
      </w:pPr>
    </w:p>
    <w:p>
      <w:pPr>
        <w:tabs>
          <w:tab w:pos="1395" w:val="left" w:leader="none"/>
        </w:tabs>
        <w:spacing w:line="331" w:lineRule="auto" w:before="0"/>
        <w:ind w:left="1400" w:right="5501"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tab/>
        <w:t>存货的盘存制度</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1"/>
          <w:sz w:val="21"/>
          <w:szCs w:val="21"/>
        </w:rPr>
        <w:t>采用永续盘存制。</w:t>
      </w:r>
    </w:p>
    <w:p>
      <w:pPr>
        <w:spacing w:line="240" w:lineRule="auto" w:before="5"/>
        <w:rPr>
          <w:rFonts w:ascii="宋体" w:hAnsi="宋体" w:cs="宋体" w:eastAsia="宋体" w:hint="default"/>
          <w:sz w:val="27"/>
          <w:szCs w:val="27"/>
        </w:rPr>
      </w:pPr>
    </w:p>
    <w:p>
      <w:pPr>
        <w:tabs>
          <w:tab w:pos="1395" w:val="left" w:leader="none"/>
        </w:tabs>
        <w:spacing w:line="328" w:lineRule="auto" w:before="0"/>
        <w:ind w:left="1400" w:right="4236"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tab/>
      </w:r>
      <w:r>
        <w:rPr>
          <w:rFonts w:ascii="宋体" w:hAnsi="宋体" w:cs="宋体" w:eastAsia="宋体" w:hint="default"/>
          <w:b/>
          <w:bCs/>
          <w:spacing w:val="-1"/>
          <w:sz w:val="21"/>
          <w:szCs w:val="21"/>
        </w:rPr>
        <w:t>低值易耗品和包装物的摊销方法</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21"/>
          <w:szCs w:val="21"/>
        </w:rPr>
        <w:t>低值易耗品采用一次转销法。</w:t>
      </w:r>
    </w:p>
    <w:p>
      <w:pPr>
        <w:spacing w:line="240" w:lineRule="auto" w:before="3"/>
        <w:rPr>
          <w:rFonts w:ascii="宋体" w:hAnsi="宋体" w:cs="宋体" w:eastAsia="宋体" w:hint="default"/>
          <w:sz w:val="26"/>
          <w:szCs w:val="26"/>
        </w:rPr>
      </w:pPr>
    </w:p>
    <w:p>
      <w:pPr>
        <w:tabs>
          <w:tab w:pos="980" w:val="left" w:leader="none"/>
        </w:tabs>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十二</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长期股权投资</w:t>
      </w:r>
      <w:r>
        <w:rPr>
          <w:rFonts w:ascii="宋体" w:hAnsi="宋体" w:cs="宋体" w:eastAsia="宋体" w:hint="default"/>
          <w:sz w:val="21"/>
          <w:szCs w:val="21"/>
        </w:rPr>
      </w:r>
    </w:p>
    <w:p>
      <w:pPr>
        <w:tabs>
          <w:tab w:pos="1395" w:val="left" w:leader="none"/>
        </w:tabs>
        <w:spacing w:before="107"/>
        <w:ind w:left="8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投资成本的确定</w:t>
      </w:r>
      <w:r>
        <w:rPr>
          <w:rFonts w:ascii="宋体" w:hAnsi="宋体" w:cs="宋体" w:eastAsia="宋体" w:hint="default"/>
          <w:sz w:val="21"/>
          <w:szCs w:val="21"/>
        </w:rPr>
      </w:r>
    </w:p>
    <w:p>
      <w:pPr>
        <w:spacing w:line="328" w:lineRule="auto" w:before="88"/>
        <w:ind w:left="140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）企业合并形成的长期股权投资</w:t>
      </w:r>
      <w:r>
        <w:rPr>
          <w:rFonts w:ascii="宋体" w:hAnsi="宋体" w:cs="宋体" w:eastAsia="宋体" w:hint="default"/>
          <w:w w:val="100"/>
          <w:sz w:val="21"/>
          <w:szCs w:val="21"/>
        </w:rPr>
        <w:t> </w:t>
      </w:r>
      <w:r>
        <w:rPr>
          <w:rFonts w:ascii="宋体" w:hAnsi="宋体" w:cs="宋体" w:eastAsia="宋体" w:hint="default"/>
          <w:spacing w:val="-5"/>
          <w:sz w:val="21"/>
          <w:szCs w:val="21"/>
        </w:rPr>
        <w:t>同一控制下的企业合并：公司以支付现金、转让非现金资产或承担债务方式以</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5"/>
          <w:w w:val="100"/>
          <w:sz w:val="21"/>
          <w:szCs w:val="21"/>
        </w:rPr>
        <w:t>及以发行权益性证券作为合并对价的，在合并日按照取得被合并方所有者权益</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pacing w:val="-5"/>
          <w:w w:val="100"/>
          <w:sz w:val="21"/>
          <w:szCs w:val="21"/>
        </w:rPr>
        <w:t>账面价值的份额作为长期股权投资的初始投资成本。长期股权投资初始投资成</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pacing w:val="-5"/>
          <w:sz w:val="21"/>
          <w:szCs w:val="21"/>
        </w:rPr>
        <w:t>本与支付合并对价之间的差额，调整资本公积中的股本溢价；资本公积中的股</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5"/>
          <w:sz w:val="21"/>
          <w:szCs w:val="21"/>
        </w:rPr>
        <w:t>本溢价不足冲减的，调整留存收益。合并发生的各项直接相关费用，包括为进</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5"/>
          <w:sz w:val="21"/>
          <w:szCs w:val="21"/>
        </w:rPr>
        <w:t>行合并而支付的审计费用、评估费用、法律服务费用等，于发生时计入当期损</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line="333" w:lineRule="auto" w:before="0"/>
        <w:ind w:left="1400" w:right="124" w:firstLine="0"/>
        <w:jc w:val="left"/>
        <w:rPr>
          <w:rFonts w:ascii="宋体" w:hAnsi="宋体" w:cs="宋体" w:eastAsia="宋体" w:hint="default"/>
          <w:sz w:val="21"/>
          <w:szCs w:val="21"/>
        </w:rPr>
      </w:pPr>
      <w:r>
        <w:rPr>
          <w:rFonts w:ascii="宋体" w:hAnsi="宋体" w:cs="宋体" w:eastAsia="宋体" w:hint="default"/>
          <w:w w:val="100"/>
          <w:sz w:val="21"/>
          <w:szCs w:val="21"/>
        </w:rPr>
        <w:t>非同</w:t>
      </w:r>
      <w:r>
        <w:rPr>
          <w:rFonts w:ascii="宋体" w:hAnsi="宋体" w:cs="宋体" w:eastAsia="宋体" w:hint="default"/>
          <w:spacing w:val="-3"/>
          <w:w w:val="100"/>
          <w:sz w:val="21"/>
          <w:szCs w:val="21"/>
        </w:rPr>
        <w:t>一</w:t>
      </w:r>
      <w:r>
        <w:rPr>
          <w:rFonts w:ascii="宋体" w:hAnsi="宋体" w:cs="宋体" w:eastAsia="宋体" w:hint="default"/>
          <w:w w:val="100"/>
          <w:sz w:val="21"/>
          <w:szCs w:val="21"/>
        </w:rPr>
        <w:t>控</w:t>
      </w:r>
      <w:r>
        <w:rPr>
          <w:rFonts w:ascii="宋体" w:hAnsi="宋体" w:cs="宋体" w:eastAsia="宋体" w:hint="default"/>
          <w:spacing w:val="-3"/>
          <w:w w:val="100"/>
          <w:sz w:val="21"/>
          <w:szCs w:val="21"/>
        </w:rPr>
        <w:t>制</w:t>
      </w:r>
      <w:r>
        <w:rPr>
          <w:rFonts w:ascii="宋体" w:hAnsi="宋体" w:cs="宋体" w:eastAsia="宋体" w:hint="default"/>
          <w:w w:val="100"/>
          <w:sz w:val="21"/>
          <w:szCs w:val="21"/>
        </w:rPr>
        <w:t>下</w:t>
      </w:r>
      <w:r>
        <w:rPr>
          <w:rFonts w:ascii="宋体" w:hAnsi="宋体" w:cs="宋体" w:eastAsia="宋体" w:hint="default"/>
          <w:spacing w:val="-3"/>
          <w:w w:val="100"/>
          <w:sz w:val="21"/>
          <w:szCs w:val="21"/>
        </w:rPr>
        <w:t>的</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合</w:t>
      </w:r>
      <w:r>
        <w:rPr>
          <w:rFonts w:ascii="宋体" w:hAnsi="宋体" w:cs="宋体" w:eastAsia="宋体" w:hint="default"/>
          <w:spacing w:val="-3"/>
          <w:w w:val="100"/>
          <w:sz w:val="21"/>
          <w:szCs w:val="21"/>
        </w:rPr>
        <w:t>并</w:t>
      </w:r>
      <w:r>
        <w:rPr>
          <w:rFonts w:ascii="宋体" w:hAnsi="宋体" w:cs="宋体" w:eastAsia="宋体" w:hint="default"/>
          <w:spacing w:val="-97"/>
          <w:w w:val="100"/>
          <w:sz w:val="21"/>
          <w:szCs w:val="21"/>
        </w:rPr>
        <w:t>：</w:t>
      </w:r>
      <w:r>
        <w:rPr>
          <w:rFonts w:ascii="宋体" w:hAnsi="宋体" w:cs="宋体" w:eastAsia="宋体" w:hint="default"/>
          <w:w w:val="100"/>
          <w:sz w:val="21"/>
          <w:szCs w:val="21"/>
        </w:rPr>
        <w:t>公司</w:t>
      </w:r>
      <w:r>
        <w:rPr>
          <w:rFonts w:ascii="宋体" w:hAnsi="宋体" w:cs="宋体" w:eastAsia="宋体" w:hint="default"/>
          <w:spacing w:val="-3"/>
          <w:w w:val="100"/>
          <w:sz w:val="21"/>
          <w:szCs w:val="21"/>
        </w:rPr>
        <w:t>按</w:t>
      </w:r>
      <w:r>
        <w:rPr>
          <w:rFonts w:ascii="宋体" w:hAnsi="宋体" w:cs="宋体" w:eastAsia="宋体" w:hint="default"/>
          <w:w w:val="100"/>
          <w:sz w:val="21"/>
          <w:szCs w:val="21"/>
        </w:rPr>
        <w:t>照</w:t>
      </w:r>
      <w:r>
        <w:rPr>
          <w:rFonts w:ascii="宋体" w:hAnsi="宋体" w:cs="宋体" w:eastAsia="宋体" w:hint="default"/>
          <w:spacing w:val="-3"/>
          <w:w w:val="100"/>
          <w:sz w:val="21"/>
          <w:szCs w:val="21"/>
        </w:rPr>
        <w:t>购</w:t>
      </w:r>
      <w:r>
        <w:rPr>
          <w:rFonts w:ascii="宋体" w:hAnsi="宋体" w:cs="宋体" w:eastAsia="宋体" w:hint="default"/>
          <w:w w:val="100"/>
          <w:sz w:val="21"/>
          <w:szCs w:val="21"/>
        </w:rPr>
        <w:t>买</w:t>
      </w:r>
      <w:r>
        <w:rPr>
          <w:rFonts w:ascii="宋体" w:hAnsi="宋体" w:cs="宋体" w:eastAsia="宋体" w:hint="default"/>
          <w:spacing w:val="-3"/>
          <w:w w:val="100"/>
          <w:sz w:val="21"/>
          <w:szCs w:val="21"/>
        </w:rPr>
        <w:t>日</w:t>
      </w:r>
      <w:r>
        <w:rPr>
          <w:rFonts w:ascii="宋体" w:hAnsi="宋体" w:cs="宋体" w:eastAsia="宋体" w:hint="default"/>
          <w:w w:val="100"/>
          <w:sz w:val="21"/>
          <w:szCs w:val="21"/>
        </w:rPr>
        <w:t>确</w:t>
      </w:r>
      <w:r>
        <w:rPr>
          <w:rFonts w:ascii="宋体" w:hAnsi="宋体" w:cs="宋体" w:eastAsia="宋体" w:hint="default"/>
          <w:spacing w:val="-3"/>
          <w:w w:val="100"/>
          <w:sz w:val="21"/>
          <w:szCs w:val="21"/>
        </w:rPr>
        <w:t>定</w:t>
      </w:r>
      <w:r>
        <w:rPr>
          <w:rFonts w:ascii="宋体" w:hAnsi="宋体" w:cs="宋体" w:eastAsia="宋体" w:hint="default"/>
          <w:w w:val="100"/>
          <w:sz w:val="21"/>
          <w:szCs w:val="21"/>
        </w:rPr>
        <w:t>的</w:t>
      </w:r>
      <w:r>
        <w:rPr>
          <w:rFonts w:ascii="宋体" w:hAnsi="宋体" w:cs="宋体" w:eastAsia="宋体" w:hint="default"/>
          <w:spacing w:val="-3"/>
          <w:w w:val="100"/>
          <w:sz w:val="21"/>
          <w:szCs w:val="21"/>
        </w:rPr>
        <w:t>合</w:t>
      </w:r>
      <w:r>
        <w:rPr>
          <w:rFonts w:ascii="宋体" w:hAnsi="宋体" w:cs="宋体" w:eastAsia="宋体" w:hint="default"/>
          <w:w w:val="100"/>
          <w:sz w:val="21"/>
          <w:szCs w:val="21"/>
        </w:rPr>
        <w:t>并成</w:t>
      </w:r>
      <w:r>
        <w:rPr>
          <w:rFonts w:ascii="宋体" w:hAnsi="宋体" w:cs="宋体" w:eastAsia="宋体" w:hint="default"/>
          <w:spacing w:val="-3"/>
          <w:w w:val="100"/>
          <w:sz w:val="21"/>
          <w:szCs w:val="21"/>
        </w:rPr>
        <w:t>本</w:t>
      </w:r>
      <w:r>
        <w:rPr>
          <w:rFonts w:ascii="宋体" w:hAnsi="宋体" w:cs="宋体" w:eastAsia="宋体" w:hint="default"/>
          <w:w w:val="100"/>
          <w:sz w:val="21"/>
          <w:szCs w:val="21"/>
        </w:rPr>
        <w:t>作</w:t>
      </w:r>
      <w:r>
        <w:rPr>
          <w:rFonts w:ascii="宋体" w:hAnsi="宋体" w:cs="宋体" w:eastAsia="宋体" w:hint="default"/>
          <w:spacing w:val="-3"/>
          <w:w w:val="100"/>
          <w:sz w:val="21"/>
          <w:szCs w:val="21"/>
        </w:rPr>
        <w:t>为</w:t>
      </w:r>
      <w:r>
        <w:rPr>
          <w:rFonts w:ascii="宋体" w:hAnsi="宋体" w:cs="宋体" w:eastAsia="宋体" w:hint="default"/>
          <w:w w:val="100"/>
          <w:sz w:val="21"/>
          <w:szCs w:val="21"/>
        </w:rPr>
        <w:t>长</w:t>
      </w:r>
      <w:r>
        <w:rPr>
          <w:rFonts w:ascii="宋体" w:hAnsi="宋体" w:cs="宋体" w:eastAsia="宋体" w:hint="default"/>
          <w:spacing w:val="-3"/>
          <w:w w:val="100"/>
          <w:sz w:val="21"/>
          <w:szCs w:val="21"/>
        </w:rPr>
        <w:t>期</w:t>
      </w:r>
      <w:r>
        <w:rPr>
          <w:rFonts w:ascii="宋体" w:hAnsi="宋体" w:cs="宋体" w:eastAsia="宋体" w:hint="default"/>
          <w:w w:val="100"/>
          <w:sz w:val="21"/>
          <w:szCs w:val="21"/>
        </w:rPr>
        <w:t>股</w:t>
      </w:r>
      <w:r>
        <w:rPr>
          <w:rFonts w:ascii="宋体" w:hAnsi="宋体" w:cs="宋体" w:eastAsia="宋体" w:hint="default"/>
          <w:spacing w:val="-3"/>
          <w:w w:val="100"/>
          <w:sz w:val="21"/>
          <w:szCs w:val="21"/>
        </w:rPr>
        <w:t>权</w:t>
      </w:r>
      <w:r>
        <w:rPr>
          <w:rFonts w:ascii="宋体" w:hAnsi="宋体" w:cs="宋体" w:eastAsia="宋体" w:hint="default"/>
          <w:w w:val="100"/>
          <w:sz w:val="21"/>
          <w:szCs w:val="21"/>
        </w:rPr>
        <w:t>投资</w:t>
      </w:r>
      <w:r>
        <w:rPr>
          <w:rFonts w:ascii="宋体" w:hAnsi="宋体" w:cs="宋体" w:eastAsia="宋体" w:hint="default"/>
          <w:w w:val="100"/>
          <w:sz w:val="21"/>
          <w:szCs w:val="21"/>
        </w:rPr>
        <w:t> 的初</w:t>
      </w:r>
      <w:r>
        <w:rPr>
          <w:rFonts w:ascii="宋体" w:hAnsi="宋体" w:cs="宋体" w:eastAsia="宋体" w:hint="default"/>
          <w:spacing w:val="-3"/>
          <w:w w:val="100"/>
          <w:sz w:val="21"/>
          <w:szCs w:val="21"/>
        </w:rPr>
        <w:t>始</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成</w:t>
      </w:r>
      <w:r>
        <w:rPr>
          <w:rFonts w:ascii="宋体" w:hAnsi="宋体" w:cs="宋体" w:eastAsia="宋体" w:hint="default"/>
          <w:spacing w:val="-3"/>
          <w:w w:val="100"/>
          <w:sz w:val="21"/>
          <w:szCs w:val="21"/>
        </w:rPr>
        <w:t>本</w:t>
      </w:r>
      <w:r>
        <w:rPr>
          <w:rFonts w:ascii="宋体" w:hAnsi="宋体" w:cs="宋体" w:eastAsia="宋体" w:hint="default"/>
          <w:spacing w:val="-97"/>
          <w:w w:val="100"/>
          <w:sz w:val="21"/>
          <w:szCs w:val="21"/>
        </w:rPr>
        <w:t>。</w:t>
      </w:r>
      <w:r>
        <w:rPr>
          <w:rFonts w:ascii="宋体" w:hAnsi="宋体" w:cs="宋体" w:eastAsia="宋体" w:hint="default"/>
          <w:w w:val="100"/>
          <w:sz w:val="21"/>
          <w:szCs w:val="21"/>
        </w:rPr>
        <w:t>合</w:t>
      </w:r>
      <w:r>
        <w:rPr>
          <w:rFonts w:ascii="宋体" w:hAnsi="宋体" w:cs="宋体" w:eastAsia="宋体" w:hint="default"/>
          <w:spacing w:val="-3"/>
          <w:w w:val="100"/>
          <w:sz w:val="21"/>
          <w:szCs w:val="21"/>
        </w:rPr>
        <w:t>并</w:t>
      </w:r>
      <w:r>
        <w:rPr>
          <w:rFonts w:ascii="宋体" w:hAnsi="宋体" w:cs="宋体" w:eastAsia="宋体" w:hint="default"/>
          <w:w w:val="100"/>
          <w:sz w:val="21"/>
          <w:szCs w:val="21"/>
        </w:rPr>
        <w:t>成</w:t>
      </w:r>
      <w:r>
        <w:rPr>
          <w:rFonts w:ascii="宋体" w:hAnsi="宋体" w:cs="宋体" w:eastAsia="宋体" w:hint="default"/>
          <w:spacing w:val="-3"/>
          <w:w w:val="100"/>
          <w:sz w:val="21"/>
          <w:szCs w:val="21"/>
        </w:rPr>
        <w:t>本</w:t>
      </w:r>
      <w:r>
        <w:rPr>
          <w:rFonts w:ascii="宋体" w:hAnsi="宋体" w:cs="宋体" w:eastAsia="宋体" w:hint="default"/>
          <w:w w:val="100"/>
          <w:sz w:val="21"/>
          <w:szCs w:val="21"/>
        </w:rPr>
        <w:t>为购</w:t>
      </w:r>
      <w:r>
        <w:rPr>
          <w:rFonts w:ascii="宋体" w:hAnsi="宋体" w:cs="宋体" w:eastAsia="宋体" w:hint="default"/>
          <w:spacing w:val="-3"/>
          <w:w w:val="100"/>
          <w:sz w:val="21"/>
          <w:szCs w:val="21"/>
        </w:rPr>
        <w:t>买</w:t>
      </w:r>
      <w:r>
        <w:rPr>
          <w:rFonts w:ascii="宋体" w:hAnsi="宋体" w:cs="宋体" w:eastAsia="宋体" w:hint="default"/>
          <w:w w:val="100"/>
          <w:sz w:val="21"/>
          <w:szCs w:val="21"/>
        </w:rPr>
        <w:t>日</w:t>
      </w:r>
      <w:r>
        <w:rPr>
          <w:rFonts w:ascii="宋体" w:hAnsi="宋体" w:cs="宋体" w:eastAsia="宋体" w:hint="default"/>
          <w:spacing w:val="-3"/>
          <w:w w:val="100"/>
          <w:sz w:val="21"/>
          <w:szCs w:val="21"/>
        </w:rPr>
        <w:t>购</w:t>
      </w:r>
      <w:r>
        <w:rPr>
          <w:rFonts w:ascii="宋体" w:hAnsi="宋体" w:cs="宋体" w:eastAsia="宋体" w:hint="default"/>
          <w:w w:val="100"/>
          <w:sz w:val="21"/>
          <w:szCs w:val="21"/>
        </w:rPr>
        <w:t>买</w:t>
      </w:r>
      <w:r>
        <w:rPr>
          <w:rFonts w:ascii="宋体" w:hAnsi="宋体" w:cs="宋体" w:eastAsia="宋体" w:hint="default"/>
          <w:spacing w:val="-3"/>
          <w:w w:val="100"/>
          <w:sz w:val="21"/>
          <w:szCs w:val="21"/>
        </w:rPr>
        <w:t>方</w:t>
      </w:r>
      <w:r>
        <w:rPr>
          <w:rFonts w:ascii="宋体" w:hAnsi="宋体" w:cs="宋体" w:eastAsia="宋体" w:hint="default"/>
          <w:w w:val="100"/>
          <w:sz w:val="21"/>
          <w:szCs w:val="21"/>
        </w:rPr>
        <w:t>为</w:t>
      </w:r>
      <w:r>
        <w:rPr>
          <w:rFonts w:ascii="宋体" w:hAnsi="宋体" w:cs="宋体" w:eastAsia="宋体" w:hint="default"/>
          <w:spacing w:val="-3"/>
          <w:w w:val="100"/>
          <w:sz w:val="21"/>
          <w:szCs w:val="21"/>
        </w:rPr>
        <w:t>取</w:t>
      </w:r>
      <w:r>
        <w:rPr>
          <w:rFonts w:ascii="宋体" w:hAnsi="宋体" w:cs="宋体" w:eastAsia="宋体" w:hint="default"/>
          <w:w w:val="100"/>
          <w:sz w:val="21"/>
          <w:szCs w:val="21"/>
        </w:rPr>
        <w:t>得</w:t>
      </w:r>
      <w:r>
        <w:rPr>
          <w:rFonts w:ascii="宋体" w:hAnsi="宋体" w:cs="宋体" w:eastAsia="宋体" w:hint="default"/>
          <w:spacing w:val="-3"/>
          <w:w w:val="100"/>
          <w:sz w:val="21"/>
          <w:szCs w:val="21"/>
        </w:rPr>
        <w:t>对</w:t>
      </w:r>
      <w:r>
        <w:rPr>
          <w:rFonts w:ascii="宋体" w:hAnsi="宋体" w:cs="宋体" w:eastAsia="宋体" w:hint="default"/>
          <w:w w:val="100"/>
          <w:sz w:val="21"/>
          <w:szCs w:val="21"/>
        </w:rPr>
        <w:t>被购</w:t>
      </w:r>
      <w:r>
        <w:rPr>
          <w:rFonts w:ascii="宋体" w:hAnsi="宋体" w:cs="宋体" w:eastAsia="宋体" w:hint="default"/>
          <w:spacing w:val="-3"/>
          <w:w w:val="100"/>
          <w:sz w:val="21"/>
          <w:szCs w:val="21"/>
        </w:rPr>
        <w:t>买</w:t>
      </w:r>
      <w:r>
        <w:rPr>
          <w:rFonts w:ascii="宋体" w:hAnsi="宋体" w:cs="宋体" w:eastAsia="宋体" w:hint="default"/>
          <w:w w:val="100"/>
          <w:sz w:val="21"/>
          <w:szCs w:val="21"/>
        </w:rPr>
        <w:t>方</w:t>
      </w:r>
      <w:r>
        <w:rPr>
          <w:rFonts w:ascii="宋体" w:hAnsi="宋体" w:cs="宋体" w:eastAsia="宋体" w:hint="default"/>
          <w:spacing w:val="-3"/>
          <w:w w:val="100"/>
          <w:sz w:val="21"/>
          <w:szCs w:val="21"/>
        </w:rPr>
        <w:t>的</w:t>
      </w:r>
      <w:r>
        <w:rPr>
          <w:rFonts w:ascii="宋体" w:hAnsi="宋体" w:cs="宋体" w:eastAsia="宋体" w:hint="default"/>
          <w:w w:val="100"/>
          <w:sz w:val="21"/>
          <w:szCs w:val="21"/>
        </w:rPr>
        <w:t>控</w:t>
      </w:r>
      <w:r>
        <w:rPr>
          <w:rFonts w:ascii="宋体" w:hAnsi="宋体" w:cs="宋体" w:eastAsia="宋体" w:hint="default"/>
          <w:spacing w:val="-3"/>
          <w:w w:val="100"/>
          <w:sz w:val="21"/>
          <w:szCs w:val="21"/>
        </w:rPr>
        <w:t>制</w:t>
      </w:r>
      <w:r>
        <w:rPr>
          <w:rFonts w:ascii="宋体" w:hAnsi="宋体" w:cs="宋体" w:eastAsia="宋体" w:hint="default"/>
          <w:w w:val="100"/>
          <w:sz w:val="21"/>
          <w:szCs w:val="21"/>
        </w:rPr>
        <w:t>权</w:t>
      </w:r>
      <w:r>
        <w:rPr>
          <w:rFonts w:ascii="宋体" w:hAnsi="宋体" w:cs="宋体" w:eastAsia="宋体" w:hint="default"/>
          <w:spacing w:val="-3"/>
          <w:w w:val="100"/>
          <w:sz w:val="21"/>
          <w:szCs w:val="21"/>
        </w:rPr>
        <w:t>而</w:t>
      </w:r>
      <w:r>
        <w:rPr>
          <w:rFonts w:ascii="宋体" w:hAnsi="宋体" w:cs="宋体" w:eastAsia="宋体" w:hint="default"/>
          <w:w w:val="100"/>
          <w:sz w:val="21"/>
          <w:szCs w:val="21"/>
        </w:rPr>
        <w:t>付出</w:t>
      </w:r>
    </w:p>
    <w:p>
      <w:pPr>
        <w:spacing w:after="0" w:line="333" w:lineRule="auto"/>
        <w:jc w:val="left"/>
        <w:rPr>
          <w:rFonts w:ascii="宋体" w:hAnsi="宋体" w:cs="宋体" w:eastAsia="宋体" w:hint="default"/>
          <w:sz w:val="21"/>
          <w:szCs w:val="21"/>
        </w:rPr>
        <w:sectPr>
          <w:pgSz w:w="11910" w:h="16840"/>
          <w:pgMar w:header="884" w:footer="980" w:top="1140" w:bottom="1160" w:left="1660" w:right="1660"/>
        </w:sectPr>
      </w:pPr>
    </w:p>
    <w:p>
      <w:pPr>
        <w:spacing w:line="240" w:lineRule="auto" w:before="4"/>
        <w:rPr>
          <w:rFonts w:ascii="宋体" w:hAnsi="宋体" w:cs="宋体" w:eastAsia="宋体" w:hint="default"/>
          <w:sz w:val="24"/>
          <w:szCs w:val="24"/>
        </w:rPr>
      </w:pPr>
    </w:p>
    <w:p>
      <w:pPr>
        <w:spacing w:line="331" w:lineRule="auto" w:before="36"/>
        <w:ind w:left="1400" w:right="191" w:firstLine="0"/>
        <w:jc w:val="both"/>
        <w:rPr>
          <w:rFonts w:ascii="宋体" w:hAnsi="宋体" w:cs="宋体" w:eastAsia="宋体" w:hint="default"/>
          <w:sz w:val="21"/>
          <w:szCs w:val="21"/>
        </w:rPr>
      </w:pPr>
      <w:r>
        <w:rPr>
          <w:rFonts w:ascii="宋体" w:hAnsi="宋体" w:cs="宋体" w:eastAsia="宋体" w:hint="default"/>
          <w:spacing w:val="-5"/>
          <w:sz w:val="21"/>
          <w:szCs w:val="21"/>
        </w:rPr>
        <w:t>的资产、发生或承担的负债以及发行的权益性证券的公允价值。购买方为企业</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5"/>
          <w:sz w:val="21"/>
          <w:szCs w:val="21"/>
        </w:rPr>
        <w:t>合并而发生的审计、法律服务、评估咨询等中介费用以及其他相关管理费用于</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5"/>
          <w:w w:val="100"/>
          <w:sz w:val="21"/>
          <w:szCs w:val="21"/>
        </w:rPr>
        <w:t>发生时计入当期损益；购买方作为合并对价发行的权益性证券或债务性证券的</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pacing w:val="-5"/>
          <w:sz w:val="21"/>
          <w:szCs w:val="21"/>
        </w:rPr>
        <w:t>交易费用，计入权益性证券或债务性证券的初始确认金额。通过多次交易分步</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5"/>
          <w:w w:val="100"/>
          <w:sz w:val="21"/>
          <w:szCs w:val="21"/>
        </w:rPr>
        <w:t>实现的非同一控制下企业合并，以购买日之前所持被购买方的股权投资的账面</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pacing w:val="-5"/>
          <w:sz w:val="21"/>
          <w:szCs w:val="21"/>
        </w:rPr>
        <w:t>价值与购买日新增投资成本之和，作为该项投资的初始投资成本。本公司将合</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5"/>
          <w:w w:val="100"/>
          <w:sz w:val="21"/>
          <w:szCs w:val="21"/>
        </w:rPr>
        <w:t>并协议约定的或有对价作为企业合并转移对价的一部分，按照其在购买日的公</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z w:val="21"/>
          <w:szCs w:val="21"/>
        </w:rPr>
        <w:t>允价值计入企业合并成本。</w:t>
      </w:r>
    </w:p>
    <w:p>
      <w:pPr>
        <w:spacing w:line="240" w:lineRule="auto" w:before="0"/>
        <w:rPr>
          <w:rFonts w:ascii="宋体" w:hAnsi="宋体" w:cs="宋体" w:eastAsia="宋体" w:hint="default"/>
          <w:sz w:val="20"/>
          <w:szCs w:val="20"/>
        </w:rPr>
      </w:pPr>
    </w:p>
    <w:p>
      <w:pPr>
        <w:spacing w:line="331" w:lineRule="auto" w:before="144"/>
        <w:ind w:left="1400" w:right="1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）其他方式取得的长期股权投资</w:t>
      </w:r>
      <w:r>
        <w:rPr>
          <w:rFonts w:ascii="宋体" w:hAnsi="宋体" w:cs="宋体" w:eastAsia="宋体" w:hint="default"/>
          <w:w w:val="100"/>
          <w:sz w:val="21"/>
          <w:szCs w:val="21"/>
        </w:rPr>
        <w:t> </w:t>
      </w:r>
      <w:r>
        <w:rPr>
          <w:rFonts w:ascii="宋体" w:hAnsi="宋体" w:cs="宋体" w:eastAsia="宋体" w:hint="default"/>
          <w:spacing w:val="-5"/>
          <w:w w:val="100"/>
          <w:sz w:val="21"/>
          <w:szCs w:val="21"/>
        </w:rPr>
        <w:t>以支付现金方式取得的长期股权投资，按照实际支付的购买价款作为初始投资</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z w:val="21"/>
          <w:szCs w:val="21"/>
        </w:rPr>
        <w:t>成本。</w:t>
      </w:r>
      <w:r>
        <w:rPr>
          <w:rFonts w:ascii="宋体" w:hAnsi="宋体" w:cs="宋体" w:eastAsia="宋体" w:hint="default"/>
          <w:spacing w:val="-102"/>
          <w:sz w:val="21"/>
          <w:szCs w:val="21"/>
        </w:rPr>
        <w:t> </w:t>
      </w:r>
      <w:r>
        <w:rPr>
          <w:rFonts w:ascii="宋体" w:hAnsi="宋体" w:cs="宋体" w:eastAsia="宋体" w:hint="default"/>
          <w:spacing w:val="-5"/>
          <w:w w:val="100"/>
          <w:sz w:val="21"/>
          <w:szCs w:val="21"/>
        </w:rPr>
        <w:t>以发行权益性证券取得的长期股权投资，按照发行权益性证券的公允价值作为</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z w:val="21"/>
          <w:szCs w:val="21"/>
        </w:rPr>
        <w:t>初始投资成本。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投资者投入的长期股权投资，按照投资合同或协议约定的价值（扣除已宣告但</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5"/>
          <w:sz w:val="21"/>
          <w:szCs w:val="21"/>
        </w:rPr>
        <w:t>尚未发放的现金股利或利润）作为初始投资成本，但合同或协议约定价值不公</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允的除外。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在非货币性资产交换具备商业实质和换入资产或换出资产的公允价值能够可 </w:t>
      </w:r>
      <w:r>
        <w:rPr>
          <w:rFonts w:ascii="宋体" w:hAnsi="宋体" w:cs="宋体" w:eastAsia="宋体" w:hint="default"/>
          <w:sz w:val="21"/>
          <w:szCs w:val="21"/>
        </w:rPr>
      </w:r>
      <w:r>
        <w:rPr>
          <w:rFonts w:ascii="宋体" w:hAnsi="宋体" w:cs="宋体" w:eastAsia="宋体" w:hint="default"/>
          <w:spacing w:val="-5"/>
          <w:w w:val="100"/>
          <w:sz w:val="21"/>
          <w:szCs w:val="21"/>
        </w:rPr>
        <w:t>靠计量的前提下，非货币性资产交换换入的长期股权投资以换出资产的公允价</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pacing w:val="-5"/>
          <w:w w:val="100"/>
          <w:sz w:val="21"/>
          <w:szCs w:val="21"/>
        </w:rPr>
        <w:t>值为基础确定其初始投资成本，除非有确凿证据表明换入资产的公允价值更加</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pacing w:val="-5"/>
          <w:sz w:val="21"/>
          <w:szCs w:val="21"/>
        </w:rPr>
        <w:t>可靠；不满足上述前提的非货币性资产交换，以换出资产的账面价值和应支付</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的相关税费作为换入长期股权投资的初始投资成本。</w:t>
      </w:r>
      <w:r>
        <w:rPr>
          <w:rFonts w:ascii="宋体" w:hAnsi="宋体" w:cs="宋体" w:eastAsia="宋体" w:hint="default"/>
          <w:w w:val="100"/>
          <w:sz w:val="21"/>
          <w:szCs w:val="21"/>
        </w:rPr>
        <w:t> </w:t>
      </w:r>
      <w:r>
        <w:rPr>
          <w:rFonts w:ascii="宋体" w:hAnsi="宋体" w:cs="宋体" w:eastAsia="宋体" w:hint="default"/>
          <w:sz w:val="21"/>
          <w:szCs w:val="21"/>
        </w:rPr>
        <w:t>通过债务重组取得的长期股权投资，其初始投资成本按照公允价值为基础确</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定。</w:t>
      </w:r>
    </w:p>
    <w:p>
      <w:pPr>
        <w:spacing w:line="240" w:lineRule="auto" w:before="0"/>
        <w:rPr>
          <w:rFonts w:ascii="宋体" w:hAnsi="宋体" w:cs="宋体" w:eastAsia="宋体" w:hint="default"/>
          <w:sz w:val="20"/>
          <w:szCs w:val="20"/>
        </w:rPr>
      </w:pPr>
    </w:p>
    <w:p>
      <w:pPr>
        <w:tabs>
          <w:tab w:pos="1395" w:val="left" w:leader="none"/>
        </w:tabs>
        <w:spacing w:before="132"/>
        <w:ind w:left="858" w:right="1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后续计量及损益确认</w:t>
      </w:r>
      <w:r>
        <w:rPr>
          <w:rFonts w:ascii="宋体" w:hAnsi="宋体" w:cs="宋体" w:eastAsia="宋体" w:hint="default"/>
          <w:sz w:val="21"/>
          <w:szCs w:val="21"/>
        </w:rPr>
      </w:r>
    </w:p>
    <w:p>
      <w:pPr>
        <w:spacing w:line="314" w:lineRule="auto" w:before="81"/>
        <w:ind w:left="1400" w:right="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）后续计量</w:t>
      </w:r>
      <w:r>
        <w:rPr>
          <w:rFonts w:ascii="宋体" w:hAnsi="宋体" w:cs="宋体" w:eastAsia="宋体" w:hint="default"/>
          <w:w w:val="100"/>
          <w:sz w:val="21"/>
          <w:szCs w:val="21"/>
        </w:rPr>
        <w:t> </w:t>
      </w:r>
      <w:r>
        <w:rPr>
          <w:rFonts w:ascii="宋体" w:hAnsi="宋体" w:cs="宋体" w:eastAsia="宋体" w:hint="default"/>
          <w:spacing w:val="-5"/>
          <w:sz w:val="21"/>
          <w:szCs w:val="21"/>
        </w:rPr>
        <w:t>公司对子公司的长期股权投资，采用成本法核算，编制合并财务报表时按照权</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益法进行调整。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对被投资单位不具有共同控制或重大影响，并且在活跃市场中没有报价、公允</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价值不能可靠计量的长期股权投资，采用成本法核算。</w:t>
      </w:r>
      <w:r>
        <w:rPr>
          <w:rFonts w:ascii="宋体" w:hAnsi="宋体" w:cs="宋体" w:eastAsia="宋体" w:hint="default"/>
          <w:w w:val="100"/>
          <w:sz w:val="21"/>
          <w:szCs w:val="21"/>
        </w:rPr>
        <w:t> </w:t>
      </w:r>
      <w:r>
        <w:rPr>
          <w:rFonts w:ascii="宋体" w:hAnsi="宋体" w:cs="宋体" w:eastAsia="宋体" w:hint="default"/>
          <w:spacing w:val="-5"/>
          <w:sz w:val="21"/>
          <w:szCs w:val="21"/>
        </w:rPr>
        <w:t>对被投资单位具有共同控制或重大影响的长期股权投资，采用权益法核算。初</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始投资成本大于投资时应享有被投资单位可辨认净资产公允价值份额的差额，</w:t>
      </w:r>
    </w:p>
    <w:p>
      <w:pPr>
        <w:spacing w:line="240" w:lineRule="auto" w:before="1"/>
        <w:rPr>
          <w:rFonts w:ascii="宋体" w:hAnsi="宋体" w:cs="宋体" w:eastAsia="宋体" w:hint="default"/>
          <w:sz w:val="29"/>
          <w:szCs w:val="29"/>
        </w:rPr>
      </w:pPr>
    </w:p>
    <w:p>
      <w:pPr>
        <w:spacing w:line="314" w:lineRule="auto" w:before="0"/>
        <w:ind w:left="1400" w:right="182" w:firstLine="0"/>
        <w:jc w:val="left"/>
        <w:rPr>
          <w:rFonts w:ascii="宋体" w:hAnsi="宋体" w:cs="宋体" w:eastAsia="宋体" w:hint="default"/>
          <w:sz w:val="21"/>
          <w:szCs w:val="21"/>
        </w:rPr>
      </w:pPr>
      <w:r>
        <w:rPr>
          <w:rFonts w:ascii="宋体" w:hAnsi="宋体" w:cs="宋体" w:eastAsia="宋体" w:hint="default"/>
          <w:spacing w:val="-5"/>
          <w:w w:val="100"/>
          <w:sz w:val="21"/>
          <w:szCs w:val="21"/>
        </w:rPr>
        <w:t>不调整长期股权投资的初始投资成本；初始投资成本小于投资时应享有被投资</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z w:val="21"/>
          <w:szCs w:val="21"/>
        </w:rPr>
        <w:t>单位可辨认净资产公允价值份额的差额，计入当期损益。</w:t>
      </w:r>
      <w:r>
        <w:rPr>
          <w:rFonts w:ascii="宋体" w:hAnsi="宋体" w:cs="宋体" w:eastAsia="宋体" w:hint="default"/>
          <w:w w:val="100"/>
          <w:sz w:val="21"/>
          <w:szCs w:val="21"/>
        </w:rPr>
        <w:t> </w:t>
      </w:r>
      <w:r>
        <w:rPr>
          <w:rFonts w:ascii="宋体" w:hAnsi="宋体" w:cs="宋体" w:eastAsia="宋体" w:hint="default"/>
          <w:spacing w:val="-5"/>
          <w:w w:val="100"/>
          <w:sz w:val="21"/>
          <w:szCs w:val="21"/>
        </w:rPr>
        <w:t>被投资单位除净损益以外所有者权益其他变动的处理：对于被投资单位除净损</w:t>
      </w:r>
    </w:p>
    <w:p>
      <w:pPr>
        <w:spacing w:after="0" w:line="314" w:lineRule="auto"/>
        <w:jc w:val="left"/>
        <w:rPr>
          <w:rFonts w:ascii="宋体" w:hAnsi="宋体" w:cs="宋体" w:eastAsia="宋体" w:hint="default"/>
          <w:sz w:val="21"/>
          <w:szCs w:val="21"/>
        </w:rPr>
        <w:sectPr>
          <w:pgSz w:w="11910" w:h="16840"/>
          <w:pgMar w:header="884" w:footer="980" w:top="1140" w:bottom="1160" w:left="1660" w:right="1600"/>
        </w:sectPr>
      </w:pPr>
    </w:p>
    <w:p>
      <w:pPr>
        <w:spacing w:line="240" w:lineRule="auto" w:before="12"/>
        <w:rPr>
          <w:rFonts w:ascii="宋体" w:hAnsi="宋体" w:cs="宋体" w:eastAsia="宋体" w:hint="default"/>
          <w:sz w:val="21"/>
          <w:szCs w:val="21"/>
        </w:rPr>
      </w:pPr>
    </w:p>
    <w:p>
      <w:pPr>
        <w:spacing w:line="314" w:lineRule="auto" w:before="36"/>
        <w:ind w:left="1400" w:right="213" w:firstLine="0"/>
        <w:jc w:val="both"/>
        <w:rPr>
          <w:rFonts w:ascii="宋体" w:hAnsi="宋体" w:cs="宋体" w:eastAsia="宋体" w:hint="default"/>
          <w:sz w:val="21"/>
          <w:szCs w:val="21"/>
        </w:rPr>
      </w:pPr>
      <w:r>
        <w:rPr>
          <w:rFonts w:ascii="宋体" w:hAnsi="宋体" w:cs="宋体" w:eastAsia="宋体" w:hint="default"/>
          <w:spacing w:val="-5"/>
          <w:sz w:val="21"/>
          <w:szCs w:val="21"/>
        </w:rPr>
        <w:t>益以外所有者权益的其他变动，在持股比例不变的情况下，公司按照持股比例</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5"/>
          <w:sz w:val="21"/>
          <w:szCs w:val="21"/>
        </w:rPr>
        <w:t>计算应享有或承担的部分，调整长期股权投资的账面价值，同时增加或减少资</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10"/>
          <w:w w:val="100"/>
          <w:sz w:val="21"/>
          <w:szCs w:val="21"/>
        </w:rPr>
        <w:t>本公积（其他资本公积）。</w:t>
      </w:r>
    </w:p>
    <w:p>
      <w:pPr>
        <w:spacing w:line="240" w:lineRule="auto" w:before="1"/>
        <w:rPr>
          <w:rFonts w:ascii="宋体" w:hAnsi="宋体" w:cs="宋体" w:eastAsia="宋体" w:hint="default"/>
          <w:sz w:val="29"/>
          <w:szCs w:val="29"/>
        </w:rPr>
      </w:pPr>
    </w:p>
    <w:p>
      <w:pPr>
        <w:spacing w:line="314" w:lineRule="auto" w:before="0"/>
        <w:ind w:left="140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）损益确认</w:t>
      </w:r>
      <w:r>
        <w:rPr>
          <w:rFonts w:ascii="宋体" w:hAnsi="宋体" w:cs="宋体" w:eastAsia="宋体" w:hint="default"/>
          <w:w w:val="100"/>
          <w:sz w:val="21"/>
          <w:szCs w:val="21"/>
        </w:rPr>
        <w:t> </w:t>
      </w:r>
      <w:r>
        <w:rPr>
          <w:rFonts w:ascii="宋体" w:hAnsi="宋体" w:cs="宋体" w:eastAsia="宋体" w:hint="default"/>
          <w:spacing w:val="-5"/>
          <w:w w:val="100"/>
          <w:sz w:val="21"/>
          <w:szCs w:val="21"/>
        </w:rPr>
        <w:t>成本法下，除取得投资时实际支付的价款或对价中包含的已宣告但尚未发放的</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pacing w:val="-5"/>
          <w:w w:val="100"/>
          <w:sz w:val="21"/>
          <w:szCs w:val="21"/>
        </w:rPr>
        <w:t>现金股利或利润外，公司按照享有被投资单位宣告发放的现金股利或利润确认</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z w:val="21"/>
          <w:szCs w:val="21"/>
        </w:rPr>
        <w:t>投资收益。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权益法下，在被投资单位账面净利润的基础上考虑：被投资单位与本公司采用</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5"/>
          <w:w w:val="100"/>
          <w:sz w:val="21"/>
          <w:szCs w:val="21"/>
        </w:rPr>
        <w:t>的会计政策及会计期间不一致，按本公司的会计政策及会计期间对被投资单位</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pacing w:val="-5"/>
          <w:sz w:val="21"/>
          <w:szCs w:val="21"/>
        </w:rPr>
        <w:t>财务报表进行调整；以取得投资时被投资单位固定资产、无形资产的公允价值</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为基础计提的折旧额或摊销额以及有关资产减值准备金额等对被投资单位净 </w:t>
      </w:r>
      <w:r>
        <w:rPr>
          <w:rFonts w:ascii="宋体" w:hAnsi="宋体" w:cs="宋体" w:eastAsia="宋体" w:hint="default"/>
          <w:sz w:val="21"/>
          <w:szCs w:val="21"/>
        </w:rPr>
      </w:r>
      <w:r>
        <w:rPr>
          <w:rFonts w:ascii="宋体" w:hAnsi="宋体" w:cs="宋体" w:eastAsia="宋体" w:hint="default"/>
          <w:spacing w:val="-5"/>
          <w:w w:val="100"/>
          <w:sz w:val="21"/>
          <w:szCs w:val="21"/>
        </w:rPr>
        <w:t>利润的影响；对本公司与联营企业及合营企业之间发生的未实现内部交易予以</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z w:val="21"/>
          <w:szCs w:val="21"/>
        </w:rPr>
        <w:t>抵销等事项的适当调整后，确认应享有或应负担被投资单位的净利润或净亏 </w:t>
      </w:r>
      <w:r>
        <w:rPr>
          <w:rFonts w:ascii="宋体" w:hAnsi="宋体" w:cs="宋体" w:eastAsia="宋体" w:hint="default"/>
          <w:sz w:val="21"/>
          <w:szCs w:val="21"/>
        </w:rPr>
        <w:t>损。</w:t>
      </w:r>
      <w:r>
        <w:rPr>
          <w:rFonts w:ascii="宋体" w:hAnsi="宋体" w:cs="宋体" w:eastAsia="宋体" w:hint="default"/>
          <w:spacing w:val="-103"/>
          <w:sz w:val="21"/>
          <w:szCs w:val="21"/>
        </w:rPr>
        <w:t> </w:t>
      </w:r>
      <w:r>
        <w:rPr>
          <w:rFonts w:ascii="宋体" w:hAnsi="宋体" w:cs="宋体" w:eastAsia="宋体" w:hint="default"/>
          <w:spacing w:val="-2"/>
          <w:sz w:val="21"/>
          <w:szCs w:val="21"/>
        </w:rPr>
        <w:t>在公司确认应分担被投资单位发生的亏损时，按照以下顺序进行处理：首先，</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8"/>
          <w:w w:val="100"/>
          <w:sz w:val="21"/>
          <w:szCs w:val="21"/>
        </w:rPr>
        <w:t>冲减长期股权投资的账面价值。其次，长期股权投资的账面价值不足以冲减的，</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z w:val="21"/>
          <w:szCs w:val="21"/>
        </w:rPr>
        <w:t>以其他实质上构成对被投资单位净投资的长期权益账面价值为限继续确认投 </w:t>
      </w:r>
      <w:r>
        <w:rPr>
          <w:rFonts w:ascii="宋体" w:hAnsi="宋体" w:cs="宋体" w:eastAsia="宋体" w:hint="default"/>
          <w:sz w:val="21"/>
          <w:szCs w:val="21"/>
        </w:rPr>
      </w:r>
      <w:r>
        <w:rPr>
          <w:rFonts w:ascii="宋体" w:hAnsi="宋体" w:cs="宋体" w:eastAsia="宋体" w:hint="default"/>
          <w:spacing w:val="-5"/>
          <w:sz w:val="21"/>
          <w:szCs w:val="21"/>
        </w:rPr>
        <w:t>资损失，冲减长期应收项目等的账面价值。最后，经过上述处理，按照投资合</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5"/>
          <w:sz w:val="21"/>
          <w:szCs w:val="21"/>
        </w:rPr>
        <w:t>同或协议约定企业仍承担额外义务的，按预计承担的义务确认预计负债，计入</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5"/>
          <w:sz w:val="21"/>
          <w:szCs w:val="21"/>
        </w:rPr>
        <w:t>当期投资损失。被投资单位以后期间实现盈利的，公司在扣除未确认的亏损分</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5"/>
          <w:sz w:val="21"/>
          <w:szCs w:val="21"/>
        </w:rPr>
        <w:t>担额后，按与上述相反的顺序处理，减记已确认预计负债的账面余额、恢复其</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5"/>
          <w:w w:val="100"/>
          <w:sz w:val="21"/>
          <w:szCs w:val="21"/>
        </w:rPr>
        <w:t>他实质上构成对被投资单位净投资的长期权益及长期股权投资的账面价值，同</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z w:val="21"/>
          <w:szCs w:val="21"/>
        </w:rPr>
        <w:t>时确认投资收益。</w:t>
      </w:r>
      <w:r>
        <w:rPr>
          <w:rFonts w:ascii="宋体" w:hAnsi="宋体" w:cs="宋体" w:eastAsia="宋体" w:hint="default"/>
          <w:w w:val="100"/>
          <w:sz w:val="21"/>
          <w:szCs w:val="21"/>
        </w:rPr>
        <w:t> </w:t>
      </w:r>
      <w:r>
        <w:rPr>
          <w:rFonts w:ascii="宋体" w:hAnsi="宋体" w:cs="宋体" w:eastAsia="宋体" w:hint="default"/>
          <w:spacing w:val="-5"/>
          <w:sz w:val="21"/>
          <w:szCs w:val="21"/>
        </w:rPr>
        <w:t>在持有投资期间，被投资单位能够提供合并财务报表的，应当以合并财务报表</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中的净利润和其他权益变动为基础进行核算。</w:t>
      </w:r>
    </w:p>
    <w:p>
      <w:pPr>
        <w:spacing w:line="240" w:lineRule="auto" w:before="1"/>
        <w:rPr>
          <w:rFonts w:ascii="宋体" w:hAnsi="宋体" w:cs="宋体" w:eastAsia="宋体" w:hint="default"/>
          <w:sz w:val="29"/>
          <w:szCs w:val="29"/>
        </w:rPr>
      </w:pPr>
    </w:p>
    <w:p>
      <w:pPr>
        <w:tabs>
          <w:tab w:pos="1395" w:val="left" w:leader="none"/>
        </w:tabs>
        <w:spacing w:line="312" w:lineRule="auto" w:before="0"/>
        <w:ind w:left="1400" w:right="211"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r>
      <w:r>
        <w:rPr>
          <w:rFonts w:ascii="宋体" w:hAnsi="宋体" w:cs="宋体" w:eastAsia="宋体" w:hint="default"/>
          <w:b/>
          <w:bCs/>
          <w:spacing w:val="-1"/>
          <w:sz w:val="21"/>
          <w:szCs w:val="21"/>
        </w:rPr>
        <w:t>确定对被投资单位具有共同控制、重大影响的依据</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pacing w:val="-5"/>
          <w:sz w:val="21"/>
          <w:szCs w:val="21"/>
        </w:rPr>
        <w:t>共同控制，是指按照合同约定对某项经济活动所共有的控制，仅在与该项经济</w:t>
      </w:r>
      <w:r>
        <w:rPr>
          <w:rFonts w:ascii="宋体" w:hAnsi="宋体" w:cs="宋体" w:eastAsia="宋体" w:hint="default"/>
          <w:w w:val="100"/>
          <w:sz w:val="21"/>
          <w:szCs w:val="21"/>
        </w:rPr>
        <w:t> </w:t>
      </w:r>
      <w:r>
        <w:rPr>
          <w:rFonts w:ascii="宋体" w:hAnsi="宋体" w:cs="宋体" w:eastAsia="宋体" w:hint="default"/>
          <w:spacing w:val="-5"/>
          <w:w w:val="100"/>
          <w:sz w:val="21"/>
          <w:szCs w:val="21"/>
        </w:rPr>
        <w:t>活动相关的重要财务和经营决策需要分享控制权的投资方一致同意时存在。投</w:t>
      </w:r>
      <w:r>
        <w:rPr>
          <w:rFonts w:ascii="宋体" w:hAnsi="宋体" w:cs="宋体" w:eastAsia="宋体" w:hint="default"/>
          <w:w w:val="100"/>
          <w:sz w:val="21"/>
          <w:szCs w:val="21"/>
        </w:rPr>
        <w:t> </w:t>
      </w:r>
      <w:r>
        <w:rPr>
          <w:rFonts w:ascii="宋体" w:hAnsi="宋体" w:cs="宋体" w:eastAsia="宋体" w:hint="default"/>
          <w:sz w:val="21"/>
          <w:szCs w:val="21"/>
        </w:rPr>
        <w:t>资企业与其他方对被投资单位实施共同控制的，被投资单位为其合营企业。</w:t>
      </w:r>
      <w:r>
        <w:rPr>
          <w:rFonts w:ascii="宋体" w:hAnsi="宋体" w:cs="宋体" w:eastAsia="宋体" w:hint="default"/>
          <w:w w:val="100"/>
          <w:sz w:val="21"/>
          <w:szCs w:val="21"/>
        </w:rPr>
        <w:t> </w:t>
      </w:r>
      <w:r>
        <w:rPr>
          <w:rFonts w:ascii="宋体" w:hAnsi="宋体" w:cs="宋体" w:eastAsia="宋体" w:hint="default"/>
          <w:spacing w:val="-5"/>
          <w:sz w:val="21"/>
          <w:szCs w:val="21"/>
        </w:rPr>
        <w:t>重大影响，是指对一个企业的财务和经营决策有参与决策的权力，但并不能够</w:t>
      </w:r>
      <w:r>
        <w:rPr>
          <w:rFonts w:ascii="宋体" w:hAnsi="宋体" w:cs="宋体" w:eastAsia="宋体" w:hint="default"/>
          <w:w w:val="100"/>
          <w:sz w:val="21"/>
          <w:szCs w:val="21"/>
        </w:rPr>
        <w:t> </w:t>
      </w:r>
      <w:r>
        <w:rPr>
          <w:rFonts w:ascii="宋体" w:hAnsi="宋体" w:cs="宋体" w:eastAsia="宋体" w:hint="default"/>
          <w:spacing w:val="-5"/>
          <w:w w:val="100"/>
          <w:sz w:val="21"/>
          <w:szCs w:val="21"/>
        </w:rPr>
        <w:t>控制或者与其他方一起共同控制这些政策的制定。投资企业能够对被投资单位</w:t>
      </w:r>
      <w:r>
        <w:rPr>
          <w:rFonts w:ascii="宋体" w:hAnsi="宋体" w:cs="宋体" w:eastAsia="宋体" w:hint="default"/>
          <w:w w:val="100"/>
          <w:sz w:val="21"/>
          <w:szCs w:val="21"/>
        </w:rPr>
        <w:t> </w:t>
      </w:r>
      <w:r>
        <w:rPr>
          <w:rFonts w:ascii="宋体" w:hAnsi="宋体" w:cs="宋体" w:eastAsia="宋体" w:hint="default"/>
          <w:sz w:val="21"/>
          <w:szCs w:val="21"/>
        </w:rPr>
        <w:t>施加重大影响的，被投资单位为其联营企业。</w:t>
      </w:r>
    </w:p>
    <w:p>
      <w:pPr>
        <w:spacing w:line="240" w:lineRule="auto" w:before="0"/>
        <w:rPr>
          <w:rFonts w:ascii="宋体" w:hAnsi="宋体" w:cs="宋体" w:eastAsia="宋体" w:hint="default"/>
          <w:sz w:val="20"/>
          <w:szCs w:val="20"/>
        </w:rPr>
      </w:pPr>
    </w:p>
    <w:p>
      <w:pPr>
        <w:tabs>
          <w:tab w:pos="1395" w:val="left" w:leader="none"/>
        </w:tabs>
        <w:spacing w:line="331" w:lineRule="auto" w:before="161"/>
        <w:ind w:left="1400" w:right="211"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tab/>
      </w:r>
      <w:r>
        <w:rPr>
          <w:rFonts w:ascii="宋体" w:hAnsi="宋体" w:cs="宋体" w:eastAsia="宋体" w:hint="default"/>
          <w:b/>
          <w:bCs/>
          <w:spacing w:val="-1"/>
          <w:sz w:val="21"/>
          <w:szCs w:val="21"/>
        </w:rPr>
        <w:t>减值测试方法及减值准备计提方法</w:t>
      </w:r>
      <w:r>
        <w:rPr>
          <w:rFonts w:ascii="宋体" w:hAnsi="宋体" w:cs="宋体" w:eastAsia="宋体" w:hint="default"/>
          <w:b/>
          <w:bCs/>
          <w:spacing w:val="-92"/>
          <w:sz w:val="21"/>
          <w:szCs w:val="21"/>
        </w:rPr>
        <w:t> </w:t>
      </w:r>
      <w:r>
        <w:rPr>
          <w:rFonts w:ascii="宋体" w:hAnsi="宋体" w:cs="宋体" w:eastAsia="宋体" w:hint="default"/>
          <w:b/>
          <w:bCs/>
          <w:spacing w:val="-92"/>
          <w:sz w:val="21"/>
          <w:szCs w:val="21"/>
        </w:rPr>
      </w:r>
      <w:r>
        <w:rPr>
          <w:rFonts w:ascii="宋体" w:hAnsi="宋体" w:cs="宋体" w:eastAsia="宋体" w:hint="default"/>
          <w:spacing w:val="-5"/>
          <w:sz w:val="21"/>
          <w:szCs w:val="21"/>
        </w:rPr>
        <w:t>重大影响以下的、在活跃市场中没有报价、公允价值不能可靠计量的长期股权</w:t>
      </w:r>
      <w:r>
        <w:rPr>
          <w:rFonts w:ascii="宋体" w:hAnsi="宋体" w:cs="宋体" w:eastAsia="宋体" w:hint="default"/>
          <w:w w:val="100"/>
          <w:sz w:val="21"/>
          <w:szCs w:val="21"/>
        </w:rPr>
        <w:t> </w:t>
      </w:r>
      <w:r>
        <w:rPr>
          <w:rFonts w:ascii="宋体" w:hAnsi="宋体" w:cs="宋体" w:eastAsia="宋体" w:hint="default"/>
          <w:spacing w:val="-5"/>
          <w:w w:val="100"/>
          <w:sz w:val="21"/>
          <w:szCs w:val="21"/>
        </w:rPr>
        <w:t>投资，其减值损失是根据其账面价值与按类似金融资产当时市场收益率对未来</w:t>
      </w:r>
    </w:p>
    <w:p>
      <w:pPr>
        <w:spacing w:after="0" w:line="331" w:lineRule="auto"/>
        <w:jc w:val="left"/>
        <w:rPr>
          <w:rFonts w:ascii="宋体" w:hAnsi="宋体" w:cs="宋体" w:eastAsia="宋体" w:hint="default"/>
          <w:sz w:val="21"/>
          <w:szCs w:val="21"/>
        </w:rPr>
        <w:sectPr>
          <w:pgSz w:w="11910" w:h="16840"/>
          <w:pgMar w:header="884" w:footer="980" w:top="1140" w:bottom="1160" w:left="1660" w:right="1580"/>
        </w:sectPr>
      </w:pPr>
    </w:p>
    <w:p>
      <w:pPr>
        <w:spacing w:line="240" w:lineRule="auto" w:before="1"/>
        <w:rPr>
          <w:rFonts w:ascii="宋体" w:hAnsi="宋体" w:cs="宋体" w:eastAsia="宋体" w:hint="default"/>
          <w:sz w:val="25"/>
          <w:szCs w:val="25"/>
        </w:rPr>
      </w:pPr>
    </w:p>
    <w:p>
      <w:pPr>
        <w:spacing w:line="340" w:lineRule="auto" w:before="36"/>
        <w:ind w:left="1400" w:right="182" w:firstLine="0"/>
        <w:jc w:val="left"/>
        <w:rPr>
          <w:rFonts w:ascii="宋体" w:hAnsi="宋体" w:cs="宋体" w:eastAsia="宋体" w:hint="default"/>
          <w:sz w:val="21"/>
          <w:szCs w:val="21"/>
        </w:rPr>
      </w:pPr>
      <w:r>
        <w:rPr>
          <w:rFonts w:ascii="宋体" w:hAnsi="宋体" w:cs="宋体" w:eastAsia="宋体" w:hint="default"/>
          <w:sz w:val="21"/>
          <w:szCs w:val="21"/>
        </w:rPr>
        <w:t>现金流量折现确定的现值之间的差额进行确定。</w:t>
      </w:r>
      <w:r>
        <w:rPr>
          <w:rFonts w:ascii="宋体" w:hAnsi="宋体" w:cs="宋体" w:eastAsia="宋体" w:hint="default"/>
          <w:w w:val="100"/>
          <w:sz w:val="21"/>
          <w:szCs w:val="21"/>
        </w:rPr>
        <w:t> </w:t>
      </w:r>
      <w:r>
        <w:rPr>
          <w:rFonts w:ascii="宋体" w:hAnsi="宋体" w:cs="宋体" w:eastAsia="宋体" w:hint="default"/>
          <w:spacing w:val="-5"/>
          <w:w w:val="100"/>
          <w:sz w:val="21"/>
          <w:szCs w:val="21"/>
        </w:rPr>
        <w:t>除因企业合并形成的商誉以外的存在减值迹象的其他长期股权投资，如果可收</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pacing w:val="-5"/>
          <w:sz w:val="21"/>
          <w:szCs w:val="21"/>
        </w:rPr>
        <w:t>回金额的计量结果表明，该长期股权投资的可收回金额低于其账面价值的，将</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差额确认为减值损失。</w:t>
      </w:r>
    </w:p>
    <w:p>
      <w:pPr>
        <w:spacing w:before="25"/>
        <w:ind w:left="1400" w:right="182" w:firstLine="0"/>
        <w:jc w:val="left"/>
        <w:rPr>
          <w:rFonts w:ascii="宋体" w:hAnsi="宋体" w:cs="宋体" w:eastAsia="宋体" w:hint="default"/>
          <w:sz w:val="21"/>
          <w:szCs w:val="21"/>
        </w:rPr>
      </w:pPr>
      <w:r>
        <w:rPr>
          <w:rFonts w:ascii="宋体" w:hAnsi="宋体" w:cs="宋体" w:eastAsia="宋体" w:hint="default"/>
          <w:sz w:val="21"/>
          <w:szCs w:val="21"/>
        </w:rPr>
        <w:t>长期股权投资减值损失一经确认，不再转回。</w:t>
      </w:r>
    </w:p>
    <w:p>
      <w:pPr>
        <w:spacing w:line="240" w:lineRule="auto" w:before="0"/>
        <w:rPr>
          <w:rFonts w:ascii="宋体" w:hAnsi="宋体" w:cs="宋体" w:eastAsia="宋体" w:hint="default"/>
          <w:sz w:val="20"/>
          <w:szCs w:val="20"/>
        </w:rPr>
      </w:pPr>
    </w:p>
    <w:p>
      <w:pPr>
        <w:tabs>
          <w:tab w:pos="980" w:val="left" w:leader="none"/>
        </w:tabs>
        <w:spacing w:before="147"/>
        <w:ind w:left="140" w:right="1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十三</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固定资产</w:t>
      </w:r>
      <w:r>
        <w:rPr>
          <w:rFonts w:ascii="宋体" w:hAnsi="宋体" w:cs="宋体" w:eastAsia="宋体" w:hint="default"/>
          <w:sz w:val="21"/>
          <w:szCs w:val="21"/>
        </w:rPr>
      </w:r>
    </w:p>
    <w:p>
      <w:pPr>
        <w:tabs>
          <w:tab w:pos="1395" w:val="left" w:leader="none"/>
        </w:tabs>
        <w:spacing w:line="331" w:lineRule="auto" w:before="117"/>
        <w:ind w:left="1400" w:right="207"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固定资产确认条件</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5"/>
          <w:sz w:val="21"/>
          <w:szCs w:val="21"/>
        </w:rPr>
        <w:t>固定资产指为生产商品、提供劳务、出租或经营管理而持有，并且使用寿命超</w:t>
      </w:r>
      <w:r>
        <w:rPr>
          <w:rFonts w:ascii="宋体" w:hAnsi="宋体" w:cs="宋体" w:eastAsia="宋体" w:hint="default"/>
          <w:w w:val="100"/>
          <w:sz w:val="21"/>
          <w:szCs w:val="21"/>
        </w:rPr>
        <w:t> </w:t>
      </w:r>
      <w:r>
        <w:rPr>
          <w:rFonts w:ascii="宋体" w:hAnsi="宋体" w:cs="宋体" w:eastAsia="宋体" w:hint="default"/>
          <w:sz w:val="21"/>
          <w:szCs w:val="21"/>
        </w:rPr>
        <w:t>过一个会计年度的有形资产。固定资产在同时满足下列条件时予以确认：</w:t>
      </w:r>
    </w:p>
    <w:p>
      <w:pPr>
        <w:spacing w:before="34"/>
        <w:ind w:left="1400" w:right="1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）与该固定资产有关的经济利益很可能流入企业；</w:t>
      </w:r>
    </w:p>
    <w:p>
      <w:pPr>
        <w:spacing w:before="101"/>
        <w:ind w:left="1400" w:right="1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）该固定资产的成本能够可靠地计量。</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tabs>
          <w:tab w:pos="1395" w:val="left" w:leader="none"/>
        </w:tabs>
        <w:spacing w:line="338" w:lineRule="auto" w:before="0"/>
        <w:ind w:left="1400" w:right="191"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1"/>
          <w:sz w:val="21"/>
          <w:szCs w:val="21"/>
        </w:rPr>
        <w:t>各类固定资产的折旧方法</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pacing w:val="-5"/>
          <w:sz w:val="21"/>
          <w:szCs w:val="21"/>
        </w:rPr>
        <w:t>固定资产折旧采用年限平均法分类计提，根据固定资产类别、预计使用寿命和</w:t>
      </w:r>
      <w:r>
        <w:rPr>
          <w:rFonts w:ascii="宋体" w:hAnsi="宋体" w:cs="宋体" w:eastAsia="宋体" w:hint="default"/>
          <w:w w:val="100"/>
          <w:sz w:val="21"/>
          <w:szCs w:val="21"/>
        </w:rPr>
        <w:t> </w:t>
      </w:r>
      <w:r>
        <w:rPr>
          <w:rFonts w:ascii="宋体" w:hAnsi="宋体" w:cs="宋体" w:eastAsia="宋体" w:hint="default"/>
          <w:spacing w:val="-5"/>
          <w:w w:val="100"/>
          <w:sz w:val="21"/>
          <w:szCs w:val="21"/>
        </w:rPr>
        <w:t>预计净残值率确定折旧率。如固定资产各组成部分的使用寿命不同或者以不同</w:t>
      </w:r>
      <w:r>
        <w:rPr>
          <w:rFonts w:ascii="宋体" w:hAnsi="宋体" w:cs="宋体" w:eastAsia="宋体" w:hint="default"/>
          <w:w w:val="100"/>
          <w:sz w:val="21"/>
          <w:szCs w:val="21"/>
        </w:rPr>
        <w:t> </w:t>
      </w:r>
      <w:r>
        <w:rPr>
          <w:rFonts w:ascii="宋体" w:hAnsi="宋体" w:cs="宋体" w:eastAsia="宋体" w:hint="default"/>
          <w:sz w:val="21"/>
          <w:szCs w:val="21"/>
        </w:rPr>
        <w:t>方式为企业提供经济利益，则选择不同折旧率或折旧方法，分别计提折旧。</w:t>
      </w:r>
      <w:r>
        <w:rPr>
          <w:rFonts w:ascii="宋体" w:hAnsi="宋体" w:cs="宋体" w:eastAsia="宋体" w:hint="default"/>
          <w:w w:val="100"/>
          <w:sz w:val="21"/>
          <w:szCs w:val="21"/>
        </w:rPr>
        <w:t> </w:t>
      </w:r>
      <w:r>
        <w:rPr>
          <w:rFonts w:ascii="宋体" w:hAnsi="宋体" w:cs="宋体" w:eastAsia="宋体" w:hint="default"/>
          <w:spacing w:val="-5"/>
          <w:w w:val="100"/>
          <w:sz w:val="21"/>
          <w:szCs w:val="21"/>
        </w:rPr>
        <w:t>融资租赁方式租入的固定资产，能合理确定租赁期届满时将会取得租赁资产所</w:t>
      </w:r>
      <w:r>
        <w:rPr>
          <w:rFonts w:ascii="宋体" w:hAnsi="宋体" w:cs="宋体" w:eastAsia="宋体" w:hint="default"/>
          <w:w w:val="100"/>
          <w:sz w:val="21"/>
          <w:szCs w:val="21"/>
        </w:rPr>
        <w:t> </w:t>
      </w:r>
      <w:r>
        <w:rPr>
          <w:rFonts w:ascii="宋体" w:hAnsi="宋体" w:cs="宋体" w:eastAsia="宋体" w:hint="default"/>
          <w:spacing w:val="-5"/>
          <w:sz w:val="21"/>
          <w:szCs w:val="21"/>
        </w:rPr>
        <w:t>有权的，在租赁资产尚可使用年限内计提折旧；无法合理确定租赁期届满时能</w:t>
      </w:r>
      <w:r>
        <w:rPr>
          <w:rFonts w:ascii="宋体" w:hAnsi="宋体" w:cs="宋体" w:eastAsia="宋体" w:hint="default"/>
          <w:w w:val="100"/>
          <w:sz w:val="21"/>
          <w:szCs w:val="21"/>
        </w:rPr>
        <w:t> </w:t>
      </w:r>
      <w:r>
        <w:rPr>
          <w:rFonts w:ascii="宋体" w:hAnsi="宋体" w:cs="宋体" w:eastAsia="宋体" w:hint="default"/>
          <w:spacing w:val="-5"/>
          <w:w w:val="100"/>
          <w:sz w:val="21"/>
          <w:szCs w:val="21"/>
        </w:rPr>
        <w:t>够取得租赁资产所有权的，在租赁期与租赁资产尚可使用年限两者中较短的期</w:t>
      </w:r>
      <w:r>
        <w:rPr>
          <w:rFonts w:ascii="宋体" w:hAnsi="宋体" w:cs="宋体" w:eastAsia="宋体" w:hint="default"/>
          <w:w w:val="100"/>
          <w:sz w:val="21"/>
          <w:szCs w:val="21"/>
        </w:rPr>
        <w:t> </w:t>
      </w:r>
      <w:r>
        <w:rPr>
          <w:rFonts w:ascii="宋体" w:hAnsi="宋体" w:cs="宋体" w:eastAsia="宋体" w:hint="default"/>
          <w:sz w:val="21"/>
          <w:szCs w:val="21"/>
        </w:rPr>
        <w:t>间内计提折旧。</w:t>
      </w:r>
    </w:p>
    <w:p>
      <w:pPr>
        <w:spacing w:line="240" w:lineRule="auto" w:before="0"/>
        <w:rPr>
          <w:rFonts w:ascii="宋体" w:hAnsi="宋体" w:cs="宋体" w:eastAsia="宋体" w:hint="default"/>
          <w:sz w:val="20"/>
          <w:szCs w:val="20"/>
        </w:rPr>
      </w:pPr>
    </w:p>
    <w:p>
      <w:pPr>
        <w:spacing w:before="157"/>
        <w:ind w:left="1400" w:right="182" w:firstLine="0"/>
        <w:jc w:val="left"/>
        <w:rPr>
          <w:rFonts w:ascii="宋体" w:hAnsi="宋体" w:cs="宋体" w:eastAsia="宋体" w:hint="default"/>
          <w:sz w:val="21"/>
          <w:szCs w:val="21"/>
        </w:rPr>
      </w:pPr>
      <w:r>
        <w:rPr>
          <w:rFonts w:ascii="宋体" w:hAnsi="宋体" w:cs="宋体" w:eastAsia="宋体" w:hint="default"/>
          <w:sz w:val="21"/>
          <w:szCs w:val="21"/>
        </w:rPr>
        <w:t>各类固定资产折旧年限和年折旧率如下：</w:t>
      </w:r>
    </w:p>
    <w:p>
      <w:pPr>
        <w:spacing w:line="240" w:lineRule="auto" w:before="7"/>
        <w:rPr>
          <w:rFonts w:ascii="宋体" w:hAnsi="宋体" w:cs="宋体" w:eastAsia="宋体" w:hint="default"/>
          <w:sz w:val="2"/>
          <w:szCs w:val="2"/>
        </w:rPr>
      </w:pPr>
    </w:p>
    <w:tbl>
      <w:tblPr>
        <w:tblW w:w="0" w:type="auto"/>
        <w:jc w:val="left"/>
        <w:tblInd w:w="1388" w:type="dxa"/>
        <w:tblLayout w:type="fixed"/>
        <w:tblCellMar>
          <w:top w:w="0" w:type="dxa"/>
          <w:left w:w="0" w:type="dxa"/>
          <w:bottom w:w="0" w:type="dxa"/>
          <w:right w:w="0" w:type="dxa"/>
        </w:tblCellMar>
        <w:tblLook w:val="01E0"/>
      </w:tblPr>
      <w:tblGrid>
        <w:gridCol w:w="1858"/>
        <w:gridCol w:w="1726"/>
        <w:gridCol w:w="1676"/>
        <w:gridCol w:w="1846"/>
      </w:tblGrid>
      <w:tr>
        <w:trPr>
          <w:trHeight w:val="410" w:hRule="exact"/>
        </w:trPr>
        <w:tc>
          <w:tcPr>
            <w:tcW w:w="185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6"/>
              <w:ind w:left="18"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72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6"/>
              <w:ind w:left="74"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67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6"/>
              <w:ind w:left="170"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4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6"/>
              <w:ind w:left="151"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10" w:hRule="exact"/>
        </w:trPr>
        <w:tc>
          <w:tcPr>
            <w:tcW w:w="185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4"/>
              <w:ind w:left="136"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right="95"/>
              <w:jc w:val="right"/>
              <w:rPr>
                <w:rFonts w:ascii="Times New Roman" w:hAnsi="Times New Roman" w:cs="Times New Roman" w:eastAsia="Times New Roman" w:hint="default"/>
                <w:sz w:val="21"/>
                <w:szCs w:val="21"/>
              </w:rPr>
            </w:pPr>
            <w:r>
              <w:rPr>
                <w:rFonts w:ascii="Times New Roman"/>
                <w:w w:val="100"/>
                <w:sz w:val="21"/>
              </w:rPr>
              <w:t>5</w:t>
            </w:r>
          </w:p>
        </w:tc>
        <w:tc>
          <w:tcPr>
            <w:tcW w:w="16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right="96"/>
              <w:jc w:val="right"/>
              <w:rPr>
                <w:rFonts w:ascii="Times New Roman" w:hAnsi="Times New Roman" w:cs="Times New Roman" w:eastAsia="Times New Roman" w:hint="default"/>
                <w:sz w:val="21"/>
                <w:szCs w:val="21"/>
              </w:rPr>
            </w:pPr>
            <w:r>
              <w:rPr>
                <w:rFonts w:ascii="Times New Roman"/>
                <w:sz w:val="21"/>
              </w:rPr>
              <w:t>10</w:t>
            </w:r>
          </w:p>
        </w:tc>
        <w:tc>
          <w:tcPr>
            <w:tcW w:w="18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z w:val="21"/>
              </w:rPr>
              <w:t>18.00</w:t>
            </w:r>
          </w:p>
        </w:tc>
      </w:tr>
      <w:tr>
        <w:trPr>
          <w:trHeight w:val="410" w:hRule="exact"/>
        </w:trPr>
        <w:tc>
          <w:tcPr>
            <w:tcW w:w="185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4"/>
              <w:ind w:left="136"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7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right="95"/>
              <w:jc w:val="right"/>
              <w:rPr>
                <w:rFonts w:ascii="Times New Roman" w:hAnsi="Times New Roman" w:cs="Times New Roman" w:eastAsia="Times New Roman" w:hint="default"/>
                <w:sz w:val="21"/>
                <w:szCs w:val="21"/>
              </w:rPr>
            </w:pPr>
            <w:r>
              <w:rPr>
                <w:rFonts w:ascii="Times New Roman"/>
                <w:w w:val="100"/>
                <w:sz w:val="21"/>
              </w:rPr>
              <w:t>5</w:t>
            </w:r>
          </w:p>
        </w:tc>
        <w:tc>
          <w:tcPr>
            <w:tcW w:w="16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right="96"/>
              <w:jc w:val="right"/>
              <w:rPr>
                <w:rFonts w:ascii="Times New Roman" w:hAnsi="Times New Roman" w:cs="Times New Roman" w:eastAsia="Times New Roman" w:hint="default"/>
                <w:sz w:val="21"/>
                <w:szCs w:val="21"/>
              </w:rPr>
            </w:pPr>
            <w:r>
              <w:rPr>
                <w:rFonts w:ascii="Times New Roman"/>
                <w:sz w:val="21"/>
              </w:rPr>
              <w:t>10</w:t>
            </w:r>
          </w:p>
        </w:tc>
        <w:tc>
          <w:tcPr>
            <w:tcW w:w="18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z w:val="21"/>
              </w:rPr>
              <w:t>18.00</w:t>
            </w:r>
          </w:p>
        </w:tc>
      </w:tr>
      <w:tr>
        <w:trPr>
          <w:trHeight w:val="420" w:hRule="exact"/>
        </w:trPr>
        <w:tc>
          <w:tcPr>
            <w:tcW w:w="185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4"/>
              <w:ind w:left="136"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7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3"/>
              <w:ind w:right="96"/>
              <w:jc w:val="right"/>
              <w:rPr>
                <w:rFonts w:ascii="Times New Roman" w:hAnsi="Times New Roman" w:cs="Times New Roman" w:eastAsia="Times New Roman" w:hint="default"/>
                <w:sz w:val="21"/>
                <w:szCs w:val="21"/>
              </w:rPr>
            </w:pPr>
            <w:r>
              <w:rPr>
                <w:rFonts w:ascii="Times New Roman"/>
                <w:spacing w:val="-2"/>
                <w:sz w:val="21"/>
              </w:rPr>
              <w:t>3-5</w:t>
            </w:r>
          </w:p>
        </w:tc>
        <w:tc>
          <w:tcPr>
            <w:tcW w:w="16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3"/>
              <w:ind w:right="96"/>
              <w:jc w:val="right"/>
              <w:rPr>
                <w:rFonts w:ascii="Times New Roman" w:hAnsi="Times New Roman" w:cs="Times New Roman" w:eastAsia="Times New Roman" w:hint="default"/>
                <w:sz w:val="21"/>
                <w:szCs w:val="21"/>
              </w:rPr>
            </w:pPr>
            <w:r>
              <w:rPr>
                <w:rFonts w:ascii="Times New Roman"/>
                <w:spacing w:val="-1"/>
                <w:sz w:val="21"/>
              </w:rPr>
              <w:t>0-10</w:t>
            </w:r>
          </w:p>
        </w:tc>
        <w:tc>
          <w:tcPr>
            <w:tcW w:w="184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pacing w:val="-1"/>
                <w:sz w:val="21"/>
              </w:rPr>
              <w:t>18.00-33.33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tabs>
          <w:tab w:pos="1395" w:val="left" w:leader="none"/>
        </w:tabs>
        <w:spacing w:line="328" w:lineRule="auto" w:before="36"/>
        <w:ind w:left="1400" w:right="191"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r>
      <w:r>
        <w:rPr>
          <w:rFonts w:ascii="宋体" w:hAnsi="宋体" w:cs="宋体" w:eastAsia="宋体" w:hint="default"/>
          <w:b/>
          <w:bCs/>
          <w:spacing w:val="-1"/>
          <w:sz w:val="21"/>
          <w:szCs w:val="21"/>
        </w:rPr>
        <w:t>固定资产的减值测试方法、减值准备计提方法</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公司在每期末判断固定资产是否存在可能发生减值的迹象。</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350" w:lineRule="auto" w:before="0"/>
        <w:ind w:left="1400" w:right="182" w:firstLine="0"/>
        <w:jc w:val="left"/>
        <w:rPr>
          <w:rFonts w:ascii="宋体" w:hAnsi="宋体" w:cs="宋体" w:eastAsia="宋体" w:hint="default"/>
          <w:sz w:val="21"/>
          <w:szCs w:val="21"/>
        </w:rPr>
      </w:pPr>
      <w:r>
        <w:rPr>
          <w:rFonts w:ascii="宋体" w:hAnsi="宋体" w:cs="宋体" w:eastAsia="宋体" w:hint="default"/>
          <w:spacing w:val="-5"/>
          <w:sz w:val="21"/>
          <w:szCs w:val="21"/>
        </w:rPr>
        <w:t>固定资产存在减值迹象的，估计其可收回金额。可收回金额根据固定资产的公</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允价值减去处置费用后的净额与固定资产预计未来现金流量的现值两者之间 </w:t>
      </w:r>
      <w:r>
        <w:rPr>
          <w:rFonts w:ascii="宋体" w:hAnsi="宋体" w:cs="宋体" w:eastAsia="宋体" w:hint="default"/>
          <w:sz w:val="21"/>
          <w:szCs w:val="21"/>
        </w:rPr>
        <w:t>较高者确定。</w:t>
      </w:r>
      <w:r>
        <w:rPr>
          <w:rFonts w:ascii="宋体" w:hAnsi="宋体" w:cs="宋体" w:eastAsia="宋体" w:hint="default"/>
          <w:w w:val="100"/>
          <w:sz w:val="21"/>
          <w:szCs w:val="21"/>
        </w:rPr>
        <w:t> </w:t>
      </w:r>
      <w:r>
        <w:rPr>
          <w:rFonts w:ascii="宋体" w:hAnsi="宋体" w:cs="宋体" w:eastAsia="宋体" w:hint="default"/>
          <w:spacing w:val="-5"/>
          <w:w w:val="100"/>
          <w:sz w:val="21"/>
          <w:szCs w:val="21"/>
        </w:rPr>
        <w:t>当固定资产的可收回金额低于其账面价值的，将固定资产的账面价值减记至可</w:t>
      </w:r>
    </w:p>
    <w:p>
      <w:pPr>
        <w:spacing w:after="0" w:line="350" w:lineRule="auto"/>
        <w:jc w:val="left"/>
        <w:rPr>
          <w:rFonts w:ascii="宋体" w:hAnsi="宋体" w:cs="宋体" w:eastAsia="宋体" w:hint="default"/>
          <w:sz w:val="21"/>
          <w:szCs w:val="21"/>
        </w:rPr>
        <w:sectPr>
          <w:pgSz w:w="11910" w:h="16840"/>
          <w:pgMar w:header="884" w:footer="980" w:top="1140" w:bottom="1160" w:left="1660" w:right="1600"/>
        </w:sectPr>
      </w:pPr>
    </w:p>
    <w:p>
      <w:pPr>
        <w:spacing w:line="240" w:lineRule="auto" w:before="11"/>
        <w:rPr>
          <w:rFonts w:ascii="宋体" w:hAnsi="宋体" w:cs="宋体" w:eastAsia="宋体" w:hint="default"/>
          <w:sz w:val="25"/>
          <w:szCs w:val="25"/>
        </w:rPr>
      </w:pPr>
    </w:p>
    <w:p>
      <w:pPr>
        <w:spacing w:line="350" w:lineRule="auto" w:before="36"/>
        <w:ind w:left="1400" w:right="0" w:firstLine="0"/>
        <w:jc w:val="left"/>
        <w:rPr>
          <w:rFonts w:ascii="宋体" w:hAnsi="宋体" w:cs="宋体" w:eastAsia="宋体" w:hint="default"/>
          <w:sz w:val="21"/>
          <w:szCs w:val="21"/>
        </w:rPr>
      </w:pPr>
      <w:r>
        <w:rPr>
          <w:rFonts w:ascii="宋体" w:hAnsi="宋体" w:cs="宋体" w:eastAsia="宋体" w:hint="default"/>
          <w:spacing w:val="-5"/>
          <w:sz w:val="21"/>
          <w:szCs w:val="21"/>
        </w:rPr>
        <w:t>收回金额，减记的金额确认为固定资产减值损失，计入当期损益，同时计提相</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应的固定资产减值准备。</w:t>
      </w:r>
      <w:r>
        <w:rPr>
          <w:rFonts w:ascii="宋体" w:hAnsi="宋体" w:cs="宋体" w:eastAsia="宋体" w:hint="default"/>
          <w:w w:val="100"/>
          <w:sz w:val="21"/>
          <w:szCs w:val="21"/>
        </w:rPr>
        <w:t> </w:t>
      </w:r>
      <w:r>
        <w:rPr>
          <w:rFonts w:ascii="宋体" w:hAnsi="宋体" w:cs="宋体" w:eastAsia="宋体" w:hint="default"/>
          <w:spacing w:val="-5"/>
          <w:sz w:val="21"/>
          <w:szCs w:val="21"/>
        </w:rPr>
        <w:t>固定资产减值损失确认后，减值固定资产的折旧在未来期间作相应调整，以使</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5"/>
          <w:sz w:val="21"/>
          <w:szCs w:val="21"/>
        </w:rPr>
        <w:t>该固定资产在剩余使用寿命内，系统地分摊调整后的固定资产账面价值（扣除</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16"/>
          <w:w w:val="100"/>
          <w:sz w:val="21"/>
          <w:szCs w:val="21"/>
        </w:rPr>
        <w:t>预计净残值）。</w:t>
      </w:r>
    </w:p>
    <w:p>
      <w:pPr>
        <w:spacing w:line="350" w:lineRule="auto" w:before="27"/>
        <w:ind w:left="1400" w:right="0" w:firstLine="0"/>
        <w:jc w:val="left"/>
        <w:rPr>
          <w:rFonts w:ascii="宋体" w:hAnsi="宋体" w:cs="宋体" w:eastAsia="宋体" w:hint="default"/>
          <w:sz w:val="21"/>
          <w:szCs w:val="21"/>
        </w:rPr>
      </w:pPr>
      <w:r>
        <w:rPr>
          <w:rFonts w:ascii="宋体" w:hAnsi="宋体" w:cs="宋体" w:eastAsia="宋体" w:hint="default"/>
          <w:sz w:val="21"/>
          <w:szCs w:val="21"/>
        </w:rPr>
        <w:t>固定资产的减值损失一经确认，在以后会计期间不再转回。</w:t>
      </w:r>
      <w:r>
        <w:rPr>
          <w:rFonts w:ascii="宋体" w:hAnsi="宋体" w:cs="宋体" w:eastAsia="宋体" w:hint="default"/>
          <w:w w:val="100"/>
          <w:sz w:val="21"/>
          <w:szCs w:val="21"/>
        </w:rPr>
        <w:t> </w:t>
      </w:r>
      <w:r>
        <w:rPr>
          <w:rFonts w:ascii="宋体" w:hAnsi="宋体" w:cs="宋体" w:eastAsia="宋体" w:hint="default"/>
          <w:spacing w:val="-5"/>
          <w:w w:val="100"/>
          <w:sz w:val="21"/>
          <w:szCs w:val="21"/>
        </w:rPr>
        <w:t>有迹象表明一项固定资产可能发生减值的，企业以单项固定资产为基础估计其</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pacing w:val="-5"/>
          <w:sz w:val="21"/>
          <w:szCs w:val="21"/>
        </w:rPr>
        <w:t>可收回金额。企业难以对单项固定资产的可收回金额进行估计的，以该固定资</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产所属的资产组为基础确定资产组的可收回金额。</w:t>
      </w:r>
    </w:p>
    <w:p>
      <w:pPr>
        <w:spacing w:line="240" w:lineRule="auto" w:before="0"/>
        <w:rPr>
          <w:rFonts w:ascii="宋体" w:hAnsi="宋体" w:cs="宋体" w:eastAsia="宋体" w:hint="default"/>
          <w:sz w:val="20"/>
          <w:szCs w:val="20"/>
        </w:rPr>
      </w:pPr>
    </w:p>
    <w:p>
      <w:pPr>
        <w:tabs>
          <w:tab w:pos="1395" w:val="left" w:leader="none"/>
        </w:tabs>
        <w:spacing w:line="338" w:lineRule="auto" w:before="169"/>
        <w:ind w:left="1400" w:right="131"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tab/>
      </w:r>
      <w:r>
        <w:rPr>
          <w:rFonts w:ascii="宋体" w:hAnsi="宋体" w:cs="宋体" w:eastAsia="宋体" w:hint="default"/>
          <w:b/>
          <w:bCs/>
          <w:spacing w:val="-1"/>
          <w:sz w:val="21"/>
          <w:szCs w:val="21"/>
        </w:rPr>
        <w:t>融资租入固定资产的认定依据、计价方法</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pacing w:val="-5"/>
          <w:w w:val="100"/>
          <w:sz w:val="21"/>
          <w:szCs w:val="21"/>
        </w:rPr>
        <w:t>公司与租赁方所签订的租赁协议条款中规定了下列条件之一的，确认为融资租</w:t>
      </w:r>
      <w:r>
        <w:rPr>
          <w:rFonts w:ascii="宋体" w:hAnsi="宋体" w:cs="宋体" w:eastAsia="宋体" w:hint="default"/>
          <w:w w:val="100"/>
          <w:sz w:val="21"/>
          <w:szCs w:val="21"/>
        </w:rPr>
        <w:t> </w:t>
      </w:r>
      <w:r>
        <w:rPr>
          <w:rFonts w:ascii="宋体" w:hAnsi="宋体" w:cs="宋体" w:eastAsia="宋体" w:hint="default"/>
          <w:sz w:val="21"/>
          <w:szCs w:val="21"/>
        </w:rPr>
        <w:t>入资产：</w:t>
      </w:r>
    </w:p>
    <w:p>
      <w:pPr>
        <w:spacing w:before="40"/>
        <w:ind w:left="140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）租赁期满后租赁资产的所有权归属于本公司；</w:t>
      </w:r>
    </w:p>
    <w:p>
      <w:pPr>
        <w:spacing w:line="331" w:lineRule="auto" w:before="107"/>
        <w:ind w:left="1400" w:right="0"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）公司具有购买资产的选择权，购买价款远低于行使选择权时该资产的公</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允价值；</w:t>
      </w:r>
    </w:p>
    <w:p>
      <w:pPr>
        <w:spacing w:before="46"/>
        <w:ind w:left="140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）租赁期占所租赁资产使用寿命的大部分；</w:t>
      </w:r>
    </w:p>
    <w:p>
      <w:pPr>
        <w:spacing w:line="345" w:lineRule="auto" w:before="107"/>
        <w:ind w:left="1400" w:right="0"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）租赁开始日的最低租赁付款额现值，与该资产的公允价值不存在较大的</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差异。</w:t>
      </w:r>
      <w:r>
        <w:rPr>
          <w:rFonts w:ascii="宋体" w:hAnsi="宋体" w:cs="宋体" w:eastAsia="宋体" w:hint="default"/>
          <w:spacing w:val="-102"/>
          <w:sz w:val="21"/>
          <w:szCs w:val="21"/>
        </w:rPr>
        <w:t> </w:t>
      </w:r>
      <w:r>
        <w:rPr>
          <w:rFonts w:ascii="宋体" w:hAnsi="宋体" w:cs="宋体" w:eastAsia="宋体" w:hint="default"/>
          <w:spacing w:val="-5"/>
          <w:w w:val="100"/>
          <w:sz w:val="21"/>
          <w:szCs w:val="21"/>
        </w:rPr>
        <w:t>公司在承租开始日，将租赁资产公允价值与最低租赁付款额现值两者中较低者</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pacing w:val="-5"/>
          <w:sz w:val="21"/>
          <w:szCs w:val="21"/>
        </w:rPr>
        <w:t>作为租入资产的入账价值，将最低租赁付款额作为长期应付款的入账价值，其</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差额作为未确认的融资费。</w:t>
      </w:r>
    </w:p>
    <w:p>
      <w:pPr>
        <w:spacing w:line="240" w:lineRule="auto" w:before="12"/>
        <w:rPr>
          <w:rFonts w:ascii="宋体" w:hAnsi="宋体" w:cs="宋体" w:eastAsia="宋体" w:hint="default"/>
          <w:sz w:val="24"/>
          <w:szCs w:val="24"/>
        </w:rPr>
      </w:pPr>
    </w:p>
    <w:p>
      <w:pPr>
        <w:tabs>
          <w:tab w:pos="980" w:val="left" w:leader="none"/>
        </w:tabs>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十四</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在建工程</w:t>
      </w:r>
      <w:r>
        <w:rPr>
          <w:rFonts w:ascii="宋体" w:hAnsi="宋体" w:cs="宋体" w:eastAsia="宋体" w:hint="default"/>
          <w:sz w:val="21"/>
          <w:szCs w:val="21"/>
        </w:rPr>
      </w:r>
    </w:p>
    <w:p>
      <w:pPr>
        <w:tabs>
          <w:tab w:pos="1395" w:val="left" w:leader="none"/>
        </w:tabs>
        <w:spacing w:line="331" w:lineRule="auto" w:before="127"/>
        <w:ind w:left="1400" w:right="4238"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在建工程的类别</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在建工程以立项项目分类核算。</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tabs>
          <w:tab w:pos="1395" w:val="left" w:leader="none"/>
        </w:tabs>
        <w:spacing w:line="345" w:lineRule="auto" w:before="0"/>
        <w:ind w:left="1400" w:right="131"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1"/>
          <w:sz w:val="21"/>
          <w:szCs w:val="21"/>
        </w:rPr>
        <w:t>在建工程结转为固定资产的标准和时点</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pacing w:val="-5"/>
          <w:w w:val="100"/>
          <w:sz w:val="21"/>
          <w:szCs w:val="21"/>
        </w:rPr>
        <w:t>在建工程项目按建造该项资产达到预定可使用状态前所发生的全部支出，作为</w:t>
      </w:r>
      <w:r>
        <w:rPr>
          <w:rFonts w:ascii="宋体" w:hAnsi="宋体" w:cs="宋体" w:eastAsia="宋体" w:hint="default"/>
          <w:w w:val="100"/>
          <w:sz w:val="21"/>
          <w:szCs w:val="21"/>
        </w:rPr>
        <w:t> </w:t>
      </w:r>
      <w:r>
        <w:rPr>
          <w:rFonts w:ascii="宋体" w:hAnsi="宋体" w:cs="宋体" w:eastAsia="宋体" w:hint="default"/>
          <w:spacing w:val="-5"/>
          <w:sz w:val="21"/>
          <w:szCs w:val="21"/>
        </w:rPr>
        <w:t>固定资产的入账价值。所建造的固定资产在建工程已达到预定可使用状态，但</w:t>
      </w:r>
      <w:r>
        <w:rPr>
          <w:rFonts w:ascii="宋体" w:hAnsi="宋体" w:cs="宋体" w:eastAsia="宋体" w:hint="default"/>
          <w:w w:val="100"/>
          <w:sz w:val="21"/>
          <w:szCs w:val="21"/>
        </w:rPr>
        <w:t> </w:t>
      </w:r>
      <w:r>
        <w:rPr>
          <w:rFonts w:ascii="宋体" w:hAnsi="宋体" w:cs="宋体" w:eastAsia="宋体" w:hint="default"/>
          <w:spacing w:val="-5"/>
          <w:sz w:val="21"/>
          <w:szCs w:val="21"/>
        </w:rPr>
        <w:t>尚未办理竣工决算的，自达到预定可使用状态之日起，根据工程预算、造价或</w:t>
      </w:r>
      <w:r>
        <w:rPr>
          <w:rFonts w:ascii="宋体" w:hAnsi="宋体" w:cs="宋体" w:eastAsia="宋体" w:hint="default"/>
          <w:w w:val="100"/>
          <w:sz w:val="21"/>
          <w:szCs w:val="21"/>
        </w:rPr>
        <w:t> </w:t>
      </w:r>
      <w:r>
        <w:rPr>
          <w:rFonts w:ascii="宋体" w:hAnsi="宋体" w:cs="宋体" w:eastAsia="宋体" w:hint="default"/>
          <w:spacing w:val="-5"/>
          <w:sz w:val="21"/>
          <w:szCs w:val="21"/>
        </w:rPr>
        <w:t>者工程实际成本等，按估计的价值转入固定资产，并按本公司固定资产折旧政</w:t>
      </w:r>
      <w:r>
        <w:rPr>
          <w:rFonts w:ascii="宋体" w:hAnsi="宋体" w:cs="宋体" w:eastAsia="宋体" w:hint="default"/>
          <w:w w:val="100"/>
          <w:sz w:val="21"/>
          <w:szCs w:val="21"/>
        </w:rPr>
        <w:t> </w:t>
      </w:r>
      <w:r>
        <w:rPr>
          <w:rFonts w:ascii="宋体" w:hAnsi="宋体" w:cs="宋体" w:eastAsia="宋体" w:hint="default"/>
          <w:spacing w:val="-5"/>
          <w:sz w:val="21"/>
          <w:szCs w:val="21"/>
        </w:rPr>
        <w:t>策计提固定资产的折旧，待办理竣工决算后，再按实际成本调整原来的暂估价</w:t>
      </w:r>
      <w:r>
        <w:rPr>
          <w:rFonts w:ascii="宋体" w:hAnsi="宋体" w:cs="宋体" w:eastAsia="宋体" w:hint="default"/>
          <w:w w:val="100"/>
          <w:sz w:val="21"/>
          <w:szCs w:val="21"/>
        </w:rPr>
        <w:t> </w:t>
      </w:r>
      <w:r>
        <w:rPr>
          <w:rFonts w:ascii="宋体" w:hAnsi="宋体" w:cs="宋体" w:eastAsia="宋体" w:hint="default"/>
          <w:sz w:val="21"/>
          <w:szCs w:val="21"/>
        </w:rPr>
        <w:t>值，但不调整原已计提的折旧额。</w:t>
      </w:r>
    </w:p>
    <w:p>
      <w:pPr>
        <w:spacing w:after="0" w:line="345" w:lineRule="auto"/>
        <w:jc w:val="left"/>
        <w:rPr>
          <w:rFonts w:ascii="宋体" w:hAnsi="宋体" w:cs="宋体" w:eastAsia="宋体" w:hint="default"/>
          <w:sz w:val="21"/>
          <w:szCs w:val="21"/>
        </w:rPr>
        <w:sectPr>
          <w:pgSz w:w="11910" w:h="16840"/>
          <w:pgMar w:header="884" w:footer="980" w:top="1140" w:bottom="1160" w:left="1660" w:right="1660"/>
        </w:sectPr>
      </w:pPr>
    </w:p>
    <w:p>
      <w:pPr>
        <w:spacing w:line="240" w:lineRule="auto" w:before="11"/>
        <w:rPr>
          <w:rFonts w:ascii="宋体" w:hAnsi="宋体" w:cs="宋体" w:eastAsia="宋体" w:hint="default"/>
          <w:sz w:val="25"/>
          <w:szCs w:val="25"/>
        </w:rPr>
      </w:pPr>
    </w:p>
    <w:p>
      <w:pPr>
        <w:tabs>
          <w:tab w:pos="1395" w:val="left" w:leader="none"/>
        </w:tabs>
        <w:spacing w:line="348" w:lineRule="auto" w:before="36"/>
        <w:ind w:left="1400" w:right="191"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r>
      <w:r>
        <w:rPr>
          <w:rFonts w:ascii="宋体" w:hAnsi="宋体" w:cs="宋体" w:eastAsia="宋体" w:hint="default"/>
          <w:b/>
          <w:bCs/>
          <w:spacing w:val="-1"/>
          <w:sz w:val="21"/>
          <w:szCs w:val="21"/>
        </w:rPr>
        <w:t>在建工程的减值测试方法、减值准备计提方法</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公司在每期末判断在建工程是否存在可能发生减值的迹象。</w:t>
      </w:r>
      <w:r>
        <w:rPr>
          <w:rFonts w:ascii="宋体" w:hAnsi="宋体" w:cs="宋体" w:eastAsia="宋体" w:hint="default"/>
          <w:w w:val="100"/>
          <w:sz w:val="21"/>
          <w:szCs w:val="21"/>
        </w:rPr>
        <w:t> </w:t>
      </w:r>
      <w:r>
        <w:rPr>
          <w:rFonts w:ascii="宋体" w:hAnsi="宋体" w:cs="宋体" w:eastAsia="宋体" w:hint="default"/>
          <w:spacing w:val="-5"/>
          <w:sz w:val="21"/>
          <w:szCs w:val="21"/>
        </w:rPr>
        <w:t>在建工程存在减值迹象的，估计其可收回金额。有迹象表明一项在建工程可能</w:t>
      </w:r>
      <w:r>
        <w:rPr>
          <w:rFonts w:ascii="宋体" w:hAnsi="宋体" w:cs="宋体" w:eastAsia="宋体" w:hint="default"/>
          <w:w w:val="100"/>
          <w:sz w:val="21"/>
          <w:szCs w:val="21"/>
        </w:rPr>
        <w:t> </w:t>
      </w:r>
      <w:r>
        <w:rPr>
          <w:rFonts w:ascii="宋体" w:hAnsi="宋体" w:cs="宋体" w:eastAsia="宋体" w:hint="default"/>
          <w:spacing w:val="-5"/>
          <w:sz w:val="21"/>
          <w:szCs w:val="21"/>
        </w:rPr>
        <w:t>发生减值的，企业以单项在建工程为基础估计其可收回金额。企业难以对单项</w:t>
      </w:r>
      <w:r>
        <w:rPr>
          <w:rFonts w:ascii="宋体" w:hAnsi="宋体" w:cs="宋体" w:eastAsia="宋体" w:hint="default"/>
          <w:w w:val="100"/>
          <w:sz w:val="21"/>
          <w:szCs w:val="21"/>
        </w:rPr>
        <w:t> </w:t>
      </w:r>
      <w:r>
        <w:rPr>
          <w:rFonts w:ascii="宋体" w:hAnsi="宋体" w:cs="宋体" w:eastAsia="宋体" w:hint="default"/>
          <w:spacing w:val="-5"/>
          <w:w w:val="100"/>
          <w:sz w:val="21"/>
          <w:szCs w:val="21"/>
        </w:rPr>
        <w:t>在建工程的可收回金额进行估计的，以该在建工程所属的资产组为基础确定资</w:t>
      </w:r>
      <w:r>
        <w:rPr>
          <w:rFonts w:ascii="宋体" w:hAnsi="宋体" w:cs="宋体" w:eastAsia="宋体" w:hint="default"/>
          <w:w w:val="100"/>
          <w:sz w:val="21"/>
          <w:szCs w:val="21"/>
        </w:rPr>
        <w:t> </w:t>
      </w:r>
      <w:r>
        <w:rPr>
          <w:rFonts w:ascii="宋体" w:hAnsi="宋体" w:cs="宋体" w:eastAsia="宋体" w:hint="default"/>
          <w:sz w:val="21"/>
          <w:szCs w:val="21"/>
        </w:rPr>
        <w:t>产组的可收回金额。</w:t>
      </w:r>
      <w:r>
        <w:rPr>
          <w:rFonts w:ascii="宋体" w:hAnsi="宋体" w:cs="宋体" w:eastAsia="宋体" w:hint="default"/>
          <w:w w:val="100"/>
          <w:sz w:val="21"/>
          <w:szCs w:val="21"/>
        </w:rPr>
        <w:t> </w:t>
      </w:r>
      <w:r>
        <w:rPr>
          <w:rFonts w:ascii="宋体" w:hAnsi="宋体" w:cs="宋体" w:eastAsia="宋体" w:hint="default"/>
          <w:sz w:val="21"/>
          <w:szCs w:val="21"/>
        </w:rPr>
        <w:t>可收回金额根据在建工程的公允价值减去处置费用后的净额与在建工程预计</w:t>
      </w:r>
      <w:r>
        <w:rPr>
          <w:rFonts w:ascii="宋体" w:hAnsi="宋体" w:cs="宋体" w:eastAsia="宋体" w:hint="default"/>
          <w:w w:val="100"/>
          <w:sz w:val="21"/>
          <w:szCs w:val="21"/>
        </w:rPr>
        <w:t> </w:t>
      </w:r>
      <w:r>
        <w:rPr>
          <w:rFonts w:ascii="宋体" w:hAnsi="宋体" w:cs="宋体" w:eastAsia="宋体" w:hint="default"/>
          <w:sz w:val="21"/>
          <w:szCs w:val="21"/>
        </w:rPr>
        <w:t>未来现金流量的现值两者之间较高者确定。</w:t>
      </w:r>
      <w:r>
        <w:rPr>
          <w:rFonts w:ascii="宋体" w:hAnsi="宋体" w:cs="宋体" w:eastAsia="宋体" w:hint="default"/>
          <w:w w:val="100"/>
          <w:sz w:val="21"/>
          <w:szCs w:val="21"/>
        </w:rPr>
        <w:t> </w:t>
      </w:r>
      <w:r>
        <w:rPr>
          <w:rFonts w:ascii="宋体" w:hAnsi="宋体" w:cs="宋体" w:eastAsia="宋体" w:hint="default"/>
          <w:spacing w:val="-5"/>
          <w:w w:val="100"/>
          <w:sz w:val="21"/>
          <w:szCs w:val="21"/>
        </w:rPr>
        <w:t>当在建工程的可收回金额低于其账面价值的，将在建工程的账面价值减记至可</w:t>
      </w:r>
      <w:r>
        <w:rPr>
          <w:rFonts w:ascii="宋体" w:hAnsi="宋体" w:cs="宋体" w:eastAsia="宋体" w:hint="default"/>
          <w:w w:val="100"/>
          <w:sz w:val="21"/>
          <w:szCs w:val="21"/>
        </w:rPr>
        <w:t> </w:t>
      </w:r>
      <w:r>
        <w:rPr>
          <w:rFonts w:ascii="宋体" w:hAnsi="宋体" w:cs="宋体" w:eastAsia="宋体" w:hint="default"/>
          <w:spacing w:val="-5"/>
          <w:sz w:val="21"/>
          <w:szCs w:val="21"/>
        </w:rPr>
        <w:t>收回金额，减记的金额确认为在建工程减值损失，计入当期损益，同时计提相</w:t>
      </w:r>
      <w:r>
        <w:rPr>
          <w:rFonts w:ascii="宋体" w:hAnsi="宋体" w:cs="宋体" w:eastAsia="宋体" w:hint="default"/>
          <w:w w:val="100"/>
          <w:sz w:val="21"/>
          <w:szCs w:val="21"/>
        </w:rPr>
        <w:t> </w:t>
      </w:r>
      <w:r>
        <w:rPr>
          <w:rFonts w:ascii="宋体" w:hAnsi="宋体" w:cs="宋体" w:eastAsia="宋体" w:hint="default"/>
          <w:sz w:val="21"/>
          <w:szCs w:val="21"/>
        </w:rPr>
        <w:t>应的在建工程减值准备。</w:t>
      </w:r>
      <w:r>
        <w:rPr>
          <w:rFonts w:ascii="宋体" w:hAnsi="宋体" w:cs="宋体" w:eastAsia="宋体" w:hint="default"/>
          <w:w w:val="100"/>
          <w:sz w:val="21"/>
          <w:szCs w:val="21"/>
        </w:rPr>
        <w:t> </w:t>
      </w:r>
      <w:r>
        <w:rPr>
          <w:rFonts w:ascii="宋体" w:hAnsi="宋体" w:cs="宋体" w:eastAsia="宋体" w:hint="default"/>
          <w:sz w:val="21"/>
          <w:szCs w:val="21"/>
        </w:rPr>
        <w:t>在建工程的减值损失一经确认，在以后会计期间不再转回。</w:t>
      </w:r>
    </w:p>
    <w:p>
      <w:pPr>
        <w:spacing w:line="240" w:lineRule="auto" w:before="4"/>
        <w:rPr>
          <w:rFonts w:ascii="宋体" w:hAnsi="宋体" w:cs="宋体" w:eastAsia="宋体" w:hint="default"/>
          <w:sz w:val="23"/>
          <w:szCs w:val="23"/>
        </w:rPr>
      </w:pPr>
    </w:p>
    <w:p>
      <w:pPr>
        <w:tabs>
          <w:tab w:pos="980" w:val="left" w:leader="none"/>
        </w:tabs>
        <w:spacing w:before="0"/>
        <w:ind w:left="140" w:right="1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十五</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无形资产</w:t>
      </w:r>
      <w:r>
        <w:rPr>
          <w:rFonts w:ascii="宋体" w:hAnsi="宋体" w:cs="宋体" w:eastAsia="宋体" w:hint="default"/>
          <w:sz w:val="21"/>
          <w:szCs w:val="21"/>
        </w:rPr>
      </w:r>
    </w:p>
    <w:p>
      <w:pPr>
        <w:tabs>
          <w:tab w:pos="1395" w:val="left" w:leader="none"/>
        </w:tabs>
        <w:spacing w:before="107"/>
        <w:ind w:left="858" w:right="1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无形资产的计价方法</w:t>
      </w:r>
      <w:r>
        <w:rPr>
          <w:rFonts w:ascii="宋体" w:hAnsi="宋体" w:cs="宋体" w:eastAsia="宋体" w:hint="default"/>
          <w:sz w:val="21"/>
          <w:szCs w:val="21"/>
        </w:rPr>
      </w:r>
    </w:p>
    <w:p>
      <w:pPr>
        <w:spacing w:line="331" w:lineRule="auto" w:before="91"/>
        <w:ind w:left="1400" w:right="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）公司取得无形资产时按成本进行初始计量；</w:t>
      </w:r>
      <w:r>
        <w:rPr>
          <w:rFonts w:ascii="宋体" w:hAnsi="宋体" w:cs="宋体" w:eastAsia="宋体" w:hint="default"/>
          <w:w w:val="100"/>
          <w:sz w:val="21"/>
          <w:szCs w:val="21"/>
        </w:rPr>
        <w:t> </w:t>
      </w:r>
      <w:r>
        <w:rPr>
          <w:rFonts w:ascii="宋体" w:hAnsi="宋体" w:cs="宋体" w:eastAsia="宋体" w:hint="default"/>
          <w:spacing w:val="-5"/>
          <w:sz w:val="21"/>
          <w:szCs w:val="21"/>
        </w:rPr>
        <w:t>外购无形资产的成本，包括购买价款、相关税费以及直接归属于使该项资产达</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5"/>
          <w:w w:val="100"/>
          <w:sz w:val="21"/>
          <w:szCs w:val="21"/>
        </w:rPr>
        <w:t>到预定用途所发生的其他支出。购买无形资产的价款超过正常信用条件延期支</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pacing w:val="-2"/>
          <w:sz w:val="21"/>
          <w:szCs w:val="21"/>
        </w:rPr>
        <w:t>付，实质上具有融资性质的，无形资产的成本以购买价款的现值为基础确定。</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w w:val="100"/>
          <w:sz w:val="21"/>
          <w:szCs w:val="21"/>
        </w:rPr>
        <w:t>债务重组取得债务人用以抵债的无形资产，以该无形资产的公允价值为基础确</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pacing w:val="-5"/>
          <w:w w:val="100"/>
          <w:sz w:val="21"/>
          <w:szCs w:val="21"/>
        </w:rPr>
        <w:t>定其入账价值，并将重组债务的账面价值与该用以抵债的无形资产公允价值之</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z w:val="21"/>
          <w:szCs w:val="21"/>
        </w:rPr>
        <w:t>间的差额，计入当期损益；</w:t>
      </w:r>
      <w:r>
        <w:rPr>
          <w:rFonts w:ascii="宋体" w:hAnsi="宋体" w:cs="宋体" w:eastAsia="宋体" w:hint="default"/>
          <w:w w:val="100"/>
          <w:sz w:val="21"/>
          <w:szCs w:val="21"/>
        </w:rPr>
        <w:t> </w:t>
      </w:r>
      <w:r>
        <w:rPr>
          <w:rFonts w:ascii="宋体" w:hAnsi="宋体" w:cs="宋体" w:eastAsia="宋体" w:hint="default"/>
          <w:sz w:val="21"/>
          <w:szCs w:val="21"/>
        </w:rPr>
        <w:t>在非货币性资产交换具备商业实质且换入资产或换出资产的公允价值能够可 </w:t>
      </w:r>
      <w:r>
        <w:rPr>
          <w:rFonts w:ascii="宋体" w:hAnsi="宋体" w:cs="宋体" w:eastAsia="宋体" w:hint="default"/>
          <w:sz w:val="21"/>
          <w:szCs w:val="21"/>
        </w:rPr>
      </w:r>
      <w:r>
        <w:rPr>
          <w:rFonts w:ascii="宋体" w:hAnsi="宋体" w:cs="宋体" w:eastAsia="宋体" w:hint="default"/>
          <w:spacing w:val="-5"/>
          <w:w w:val="100"/>
          <w:sz w:val="21"/>
          <w:szCs w:val="21"/>
        </w:rPr>
        <w:t>靠计量的前提下，非货币性资产交换换入的无形资产以换出资产的公允价值为</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pacing w:val="-5"/>
          <w:sz w:val="21"/>
          <w:szCs w:val="21"/>
        </w:rPr>
        <w:t>基础确定其入账价值，除非有确凿证据表明换入资产的公允价值更加可靠；不</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5"/>
          <w:w w:val="100"/>
          <w:sz w:val="21"/>
          <w:szCs w:val="21"/>
        </w:rPr>
        <w:t>满足上述前提的非货币性资产交换，以换出资产的账面价值和应支付的相关税</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z w:val="21"/>
          <w:szCs w:val="21"/>
        </w:rPr>
        <w:t>费作为换入无形资产的成本，不确认损益。</w:t>
      </w:r>
      <w:r>
        <w:rPr>
          <w:rFonts w:ascii="宋体" w:hAnsi="宋体" w:cs="宋体" w:eastAsia="宋体" w:hint="default"/>
          <w:w w:val="100"/>
          <w:sz w:val="21"/>
          <w:szCs w:val="21"/>
        </w:rPr>
        <w:t> </w:t>
      </w:r>
      <w:r>
        <w:rPr>
          <w:rFonts w:ascii="宋体" w:hAnsi="宋体" w:cs="宋体" w:eastAsia="宋体" w:hint="default"/>
          <w:sz w:val="21"/>
          <w:szCs w:val="21"/>
        </w:rPr>
        <w:t>以同一控制下的企业吸收合并方式取得的无形资产按被合并方的账面价值确 </w:t>
      </w:r>
      <w:r>
        <w:rPr>
          <w:rFonts w:ascii="宋体" w:hAnsi="宋体" w:cs="宋体" w:eastAsia="宋体" w:hint="default"/>
          <w:sz w:val="21"/>
          <w:szCs w:val="21"/>
        </w:rPr>
      </w:r>
      <w:r>
        <w:rPr>
          <w:rFonts w:ascii="宋体" w:hAnsi="宋体" w:cs="宋体" w:eastAsia="宋体" w:hint="default"/>
          <w:spacing w:val="-5"/>
          <w:w w:val="100"/>
          <w:sz w:val="21"/>
          <w:szCs w:val="21"/>
        </w:rPr>
        <w:t>定其入账价值；以非同一控制下的企业吸收合并方式取得的无形资产按公允价</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z w:val="21"/>
          <w:szCs w:val="21"/>
        </w:rPr>
        <w:t>值确定其入账价值。</w:t>
      </w:r>
      <w:r>
        <w:rPr>
          <w:rFonts w:ascii="宋体" w:hAnsi="宋体" w:cs="宋体" w:eastAsia="宋体" w:hint="default"/>
          <w:w w:val="100"/>
          <w:sz w:val="21"/>
          <w:szCs w:val="21"/>
        </w:rPr>
        <w:t> </w:t>
      </w:r>
      <w:r>
        <w:rPr>
          <w:rFonts w:ascii="宋体" w:hAnsi="宋体" w:cs="宋体" w:eastAsia="宋体" w:hint="default"/>
          <w:spacing w:val="-5"/>
          <w:sz w:val="21"/>
          <w:szCs w:val="21"/>
        </w:rPr>
        <w:t>内部自行开发的无形资产，其成本包括：开发该无形资产时耗用的材料、劳务</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5"/>
          <w:sz w:val="21"/>
          <w:szCs w:val="21"/>
        </w:rPr>
        <w:t>成本、注册费、在开发过程中使用的其他专利权和特许权的摊销以及满足资本</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5"/>
          <w:w w:val="100"/>
          <w:sz w:val="21"/>
          <w:szCs w:val="21"/>
        </w:rPr>
        <w:t>化条件的利息费用，以及为使该无形资产达到预定用途前所发生的其他直接费</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z w:val="21"/>
          <w:szCs w:val="21"/>
        </w:rPr>
        <w:t>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0"/>
        <w:ind w:left="1400" w:right="1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）后续计量</w:t>
      </w:r>
    </w:p>
    <w:p>
      <w:pPr>
        <w:spacing w:after="0"/>
        <w:jc w:val="left"/>
        <w:rPr>
          <w:rFonts w:ascii="宋体" w:hAnsi="宋体" w:cs="宋体" w:eastAsia="宋体" w:hint="default"/>
          <w:sz w:val="21"/>
          <w:szCs w:val="21"/>
        </w:rPr>
        <w:sectPr>
          <w:footerReference w:type="default" r:id="rId19"/>
          <w:pgSz w:w="11910" w:h="16840"/>
          <w:pgMar w:footer="980" w:header="884" w:top="1140" w:bottom="1160" w:left="1660" w:right="1600"/>
        </w:sectPr>
      </w:pPr>
    </w:p>
    <w:p>
      <w:pPr>
        <w:spacing w:line="240" w:lineRule="auto" w:before="11"/>
        <w:rPr>
          <w:rFonts w:ascii="宋体" w:hAnsi="宋体" w:cs="宋体" w:eastAsia="宋体" w:hint="default"/>
          <w:sz w:val="25"/>
          <w:szCs w:val="25"/>
        </w:rPr>
      </w:pPr>
    </w:p>
    <w:p>
      <w:pPr>
        <w:spacing w:line="350" w:lineRule="auto" w:before="36"/>
        <w:ind w:left="1400" w:right="0" w:firstLine="0"/>
        <w:jc w:val="left"/>
        <w:rPr>
          <w:rFonts w:ascii="宋体" w:hAnsi="宋体" w:cs="宋体" w:eastAsia="宋体" w:hint="default"/>
          <w:sz w:val="21"/>
          <w:szCs w:val="21"/>
        </w:rPr>
      </w:pPr>
      <w:r>
        <w:rPr>
          <w:rFonts w:ascii="宋体" w:hAnsi="宋体" w:cs="宋体" w:eastAsia="宋体" w:hint="default"/>
          <w:sz w:val="21"/>
          <w:szCs w:val="21"/>
        </w:rPr>
        <w:t>在取得无形资产时分析判断其使用寿命。</w:t>
      </w:r>
      <w:r>
        <w:rPr>
          <w:rFonts w:ascii="宋体" w:hAnsi="宋体" w:cs="宋体" w:eastAsia="宋体" w:hint="default"/>
          <w:w w:val="100"/>
          <w:sz w:val="21"/>
          <w:szCs w:val="21"/>
        </w:rPr>
        <w:t> </w:t>
      </w:r>
      <w:r>
        <w:rPr>
          <w:rFonts w:ascii="宋体" w:hAnsi="宋体" w:cs="宋体" w:eastAsia="宋体" w:hint="default"/>
          <w:sz w:val="21"/>
          <w:szCs w:val="21"/>
        </w:rPr>
        <w:t>对于使用寿命有限的无形资产，在为企业带来经济利益的期限内按直线法摊 </w:t>
      </w:r>
      <w:r>
        <w:rPr>
          <w:rFonts w:ascii="宋体" w:hAnsi="宋体" w:cs="宋体" w:eastAsia="宋体" w:hint="default"/>
          <w:sz w:val="21"/>
          <w:szCs w:val="21"/>
        </w:rPr>
      </w:r>
      <w:r>
        <w:rPr>
          <w:rFonts w:ascii="宋体" w:hAnsi="宋体" w:cs="宋体" w:eastAsia="宋体" w:hint="default"/>
          <w:spacing w:val="-5"/>
          <w:sz w:val="21"/>
          <w:szCs w:val="21"/>
        </w:rPr>
        <w:t>销；无法预见无形资产为企业带来经济利益期限的，视为使用寿命不确定的无</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形资产，不予摊销。</w:t>
      </w:r>
    </w:p>
    <w:p>
      <w:pPr>
        <w:spacing w:line="240" w:lineRule="auto" w:before="0"/>
        <w:rPr>
          <w:rFonts w:ascii="宋体" w:hAnsi="宋体" w:cs="宋体" w:eastAsia="宋体" w:hint="default"/>
          <w:sz w:val="20"/>
          <w:szCs w:val="20"/>
        </w:rPr>
      </w:pPr>
    </w:p>
    <w:p>
      <w:pPr>
        <w:tabs>
          <w:tab w:pos="1395" w:val="left" w:leader="none"/>
        </w:tabs>
        <w:spacing w:before="166"/>
        <w:ind w:left="8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1"/>
          <w:sz w:val="21"/>
          <w:szCs w:val="21"/>
        </w:rPr>
        <w:t>使用寿命有限的无形资产的使用寿命估计情况：</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1"/>
          <w:szCs w:val="11"/>
        </w:rPr>
      </w:pPr>
    </w:p>
    <w:tbl>
      <w:tblPr>
        <w:tblW w:w="0" w:type="auto"/>
        <w:jc w:val="left"/>
        <w:tblInd w:w="1371" w:type="dxa"/>
        <w:tblLayout w:type="fixed"/>
        <w:tblCellMar>
          <w:top w:w="0" w:type="dxa"/>
          <w:left w:w="0" w:type="dxa"/>
          <w:bottom w:w="0" w:type="dxa"/>
          <w:right w:w="0" w:type="dxa"/>
        </w:tblCellMar>
        <w:tblLook w:val="01E0"/>
      </w:tblPr>
      <w:tblGrid>
        <w:gridCol w:w="3500"/>
        <w:gridCol w:w="3479"/>
      </w:tblGrid>
      <w:tr>
        <w:trPr>
          <w:trHeight w:val="410" w:hRule="exact"/>
        </w:trPr>
        <w:tc>
          <w:tcPr>
            <w:tcW w:w="3500" w:type="dxa"/>
            <w:tcBorders>
              <w:top w:val="single" w:sz="12" w:space="0" w:color="000000"/>
              <w:left w:val="nil" w:sz="6" w:space="0" w:color="auto"/>
              <w:bottom w:val="dotted" w:sz="4" w:space="0" w:color="000000"/>
              <w:right w:val="dotted" w:sz="4" w:space="0" w:color="000000"/>
            </w:tcBorders>
          </w:tcPr>
          <w:p>
            <w:pPr>
              <w:pStyle w:val="TableParagraph"/>
              <w:tabs>
                <w:tab w:pos="422" w:val="left" w:leader="none"/>
              </w:tabs>
              <w:spacing w:line="240" w:lineRule="auto" w:before="26"/>
              <w:ind w:right="83"/>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47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6"/>
              <w:ind w:right="101"/>
              <w:jc w:val="center"/>
              <w:rPr>
                <w:rFonts w:ascii="宋体" w:hAnsi="宋体" w:cs="宋体" w:eastAsia="宋体" w:hint="default"/>
                <w:sz w:val="21"/>
                <w:szCs w:val="21"/>
              </w:rPr>
            </w:pPr>
            <w:r>
              <w:rPr>
                <w:rFonts w:ascii="宋体" w:hAnsi="宋体" w:cs="宋体" w:eastAsia="宋体" w:hint="default"/>
                <w:sz w:val="21"/>
                <w:szCs w:val="21"/>
              </w:rPr>
              <w:t>预计使用寿命</w:t>
            </w:r>
          </w:p>
        </w:tc>
      </w:tr>
      <w:tr>
        <w:trPr>
          <w:trHeight w:val="420" w:hRule="exact"/>
        </w:trPr>
        <w:tc>
          <w:tcPr>
            <w:tcW w:w="350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93"/>
              <w:ind w:left="14" w:right="0"/>
              <w:jc w:val="left"/>
              <w:rPr>
                <w:rFonts w:ascii="宋体" w:hAnsi="宋体" w:cs="宋体" w:eastAsia="宋体" w:hint="default"/>
                <w:sz w:val="21"/>
                <w:szCs w:val="21"/>
              </w:rPr>
            </w:pPr>
            <w:r>
              <w:rPr>
                <w:rFonts w:ascii="宋体" w:hAnsi="宋体" w:cs="宋体" w:eastAsia="宋体" w:hint="default"/>
                <w:sz w:val="21"/>
                <w:szCs w:val="21"/>
              </w:rPr>
              <w:t>计算机软件</w:t>
            </w:r>
          </w:p>
        </w:tc>
        <w:tc>
          <w:tcPr>
            <w:tcW w:w="347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3"/>
              <w:ind w:right="101"/>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350" w:lineRule="auto" w:before="93"/>
        <w:ind w:left="1400" w:right="0" w:firstLine="0"/>
        <w:jc w:val="left"/>
        <w:rPr>
          <w:rFonts w:ascii="宋体" w:hAnsi="宋体" w:cs="宋体" w:eastAsia="宋体" w:hint="default"/>
          <w:sz w:val="21"/>
          <w:szCs w:val="21"/>
        </w:rPr>
      </w:pPr>
      <w:r>
        <w:rPr>
          <w:rFonts w:ascii="宋体" w:hAnsi="宋体" w:cs="宋体" w:eastAsia="宋体" w:hint="default"/>
          <w:sz w:val="21"/>
          <w:szCs w:val="21"/>
        </w:rPr>
        <w:t>每期末，对使用寿命有限的无形资产的使用寿命及摊销方法进行复核。</w:t>
      </w:r>
      <w:r>
        <w:rPr>
          <w:rFonts w:ascii="宋体" w:hAnsi="宋体" w:cs="宋体" w:eastAsia="宋体" w:hint="default"/>
          <w:w w:val="100"/>
          <w:sz w:val="21"/>
          <w:szCs w:val="21"/>
        </w:rPr>
        <w:t> </w:t>
      </w:r>
      <w:r>
        <w:rPr>
          <w:rFonts w:ascii="宋体" w:hAnsi="宋体" w:cs="宋体" w:eastAsia="宋体" w:hint="default"/>
          <w:spacing w:val="-2"/>
          <w:sz w:val="21"/>
          <w:szCs w:val="21"/>
        </w:rPr>
        <w:t>经复核，本年期末无形资产的使用寿命及摊销方法与以前估计未有不同。</w:t>
      </w:r>
    </w:p>
    <w:p>
      <w:pPr>
        <w:spacing w:line="240" w:lineRule="auto" w:before="0"/>
        <w:rPr>
          <w:rFonts w:ascii="宋体" w:hAnsi="宋体" w:cs="宋体" w:eastAsia="宋体" w:hint="default"/>
          <w:sz w:val="20"/>
          <w:szCs w:val="20"/>
        </w:rPr>
      </w:pPr>
    </w:p>
    <w:p>
      <w:pPr>
        <w:tabs>
          <w:tab w:pos="1395" w:val="left" w:leader="none"/>
        </w:tabs>
        <w:spacing w:line="338" w:lineRule="auto" w:before="166"/>
        <w:ind w:left="1400" w:right="1507"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r>
      <w:r>
        <w:rPr>
          <w:rFonts w:ascii="宋体" w:hAnsi="宋体" w:cs="宋体" w:eastAsia="宋体" w:hint="default"/>
          <w:b/>
          <w:bCs/>
          <w:spacing w:val="-1"/>
          <w:sz w:val="21"/>
          <w:szCs w:val="21"/>
        </w:rPr>
        <w:t>使用寿命不确定的无形资产的判断依据：</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pacing w:val="-2"/>
          <w:sz w:val="21"/>
          <w:szCs w:val="21"/>
        </w:rPr>
        <w:t>每期末，对使用寿命不确定的无形资产的使用寿命进行复核。</w:t>
      </w:r>
      <w:r>
        <w:rPr>
          <w:rFonts w:ascii="宋体" w:hAnsi="宋体" w:cs="宋体" w:eastAsia="宋体" w:hint="default"/>
          <w:w w:val="100"/>
          <w:sz w:val="21"/>
          <w:szCs w:val="21"/>
        </w:rPr>
        <w:t> </w:t>
      </w:r>
      <w:r>
        <w:rPr>
          <w:rFonts w:ascii="宋体" w:hAnsi="宋体" w:cs="宋体" w:eastAsia="宋体" w:hint="default"/>
          <w:sz w:val="21"/>
          <w:szCs w:val="21"/>
        </w:rPr>
        <w:t>经复核，该类无形资产的使用寿命仍为不确定。</w:t>
      </w:r>
    </w:p>
    <w:p>
      <w:pPr>
        <w:spacing w:line="240" w:lineRule="auto" w:before="0"/>
        <w:rPr>
          <w:rFonts w:ascii="宋体" w:hAnsi="宋体" w:cs="宋体" w:eastAsia="宋体" w:hint="default"/>
          <w:sz w:val="20"/>
          <w:szCs w:val="20"/>
        </w:rPr>
      </w:pPr>
    </w:p>
    <w:p>
      <w:pPr>
        <w:tabs>
          <w:tab w:pos="1395" w:val="left" w:leader="none"/>
        </w:tabs>
        <w:spacing w:line="348" w:lineRule="auto" w:before="179"/>
        <w:ind w:left="1400" w:right="131"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tab/>
      </w:r>
      <w:r>
        <w:rPr>
          <w:rFonts w:ascii="宋体" w:hAnsi="宋体" w:cs="宋体" w:eastAsia="宋体" w:hint="default"/>
          <w:b/>
          <w:bCs/>
          <w:spacing w:val="-1"/>
          <w:sz w:val="21"/>
          <w:szCs w:val="21"/>
        </w:rPr>
        <w:t>无形资产减值准备的计提</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对于使用寿命确定的无形资产，如有明显减值迹象的，期末进行减值测试。</w:t>
      </w:r>
      <w:r>
        <w:rPr>
          <w:rFonts w:ascii="宋体" w:hAnsi="宋体" w:cs="宋体" w:eastAsia="宋体" w:hint="default"/>
          <w:w w:val="100"/>
          <w:sz w:val="21"/>
          <w:szCs w:val="21"/>
        </w:rPr>
        <w:t> </w:t>
      </w:r>
      <w:r>
        <w:rPr>
          <w:rFonts w:ascii="宋体" w:hAnsi="宋体" w:cs="宋体" w:eastAsia="宋体" w:hint="default"/>
          <w:sz w:val="21"/>
          <w:szCs w:val="21"/>
        </w:rPr>
        <w:t>对于使用寿命不确定的无形资产，每期末进行减值测试。</w:t>
      </w:r>
      <w:r>
        <w:rPr>
          <w:rFonts w:ascii="宋体" w:hAnsi="宋体" w:cs="宋体" w:eastAsia="宋体" w:hint="default"/>
          <w:w w:val="100"/>
          <w:sz w:val="21"/>
          <w:szCs w:val="21"/>
        </w:rPr>
        <w:t> </w:t>
      </w:r>
      <w:r>
        <w:rPr>
          <w:rFonts w:ascii="宋体" w:hAnsi="宋体" w:cs="宋体" w:eastAsia="宋体" w:hint="default"/>
          <w:spacing w:val="-5"/>
          <w:sz w:val="21"/>
          <w:szCs w:val="21"/>
        </w:rPr>
        <w:t>对无形资产进行减值测试，估计其可收回金额。有迹象表明一项无形资产可能</w:t>
      </w:r>
      <w:r>
        <w:rPr>
          <w:rFonts w:ascii="宋体" w:hAnsi="宋体" w:cs="宋体" w:eastAsia="宋体" w:hint="default"/>
          <w:w w:val="100"/>
          <w:sz w:val="21"/>
          <w:szCs w:val="21"/>
        </w:rPr>
        <w:t> </w:t>
      </w:r>
      <w:r>
        <w:rPr>
          <w:rFonts w:ascii="宋体" w:hAnsi="宋体" w:cs="宋体" w:eastAsia="宋体" w:hint="default"/>
          <w:spacing w:val="-5"/>
          <w:sz w:val="21"/>
          <w:szCs w:val="21"/>
        </w:rPr>
        <w:t>发生减值的，公司以单项无形资产为基础估计其可收回金额。公司难以对单项</w:t>
      </w:r>
      <w:r>
        <w:rPr>
          <w:rFonts w:ascii="宋体" w:hAnsi="宋体" w:cs="宋体" w:eastAsia="宋体" w:hint="default"/>
          <w:w w:val="100"/>
          <w:sz w:val="21"/>
          <w:szCs w:val="21"/>
        </w:rPr>
        <w:t> </w:t>
      </w:r>
      <w:r>
        <w:rPr>
          <w:rFonts w:ascii="宋体" w:hAnsi="宋体" w:cs="宋体" w:eastAsia="宋体" w:hint="default"/>
          <w:spacing w:val="-5"/>
          <w:w w:val="100"/>
          <w:sz w:val="21"/>
          <w:szCs w:val="21"/>
        </w:rPr>
        <w:t>资产的可收回金额进行估计的，以该无形资产所属的资产组为基础确定无形资</w:t>
      </w:r>
      <w:r>
        <w:rPr>
          <w:rFonts w:ascii="宋体" w:hAnsi="宋体" w:cs="宋体" w:eastAsia="宋体" w:hint="default"/>
          <w:w w:val="100"/>
          <w:sz w:val="21"/>
          <w:szCs w:val="21"/>
        </w:rPr>
        <w:t> </w:t>
      </w:r>
      <w:r>
        <w:rPr>
          <w:rFonts w:ascii="宋体" w:hAnsi="宋体" w:cs="宋体" w:eastAsia="宋体" w:hint="default"/>
          <w:sz w:val="21"/>
          <w:szCs w:val="21"/>
        </w:rPr>
        <w:t>产组的可收回金额。</w:t>
      </w:r>
      <w:r>
        <w:rPr>
          <w:rFonts w:ascii="宋体" w:hAnsi="宋体" w:cs="宋体" w:eastAsia="宋体" w:hint="default"/>
          <w:w w:val="100"/>
          <w:sz w:val="21"/>
          <w:szCs w:val="21"/>
        </w:rPr>
        <w:t> </w:t>
      </w:r>
      <w:r>
        <w:rPr>
          <w:rFonts w:ascii="宋体" w:hAnsi="宋体" w:cs="宋体" w:eastAsia="宋体" w:hint="default"/>
          <w:sz w:val="21"/>
          <w:szCs w:val="21"/>
        </w:rPr>
        <w:t>可收回金额根据无形资产的公允价值减去处置费用后的净额与无形资产预计</w:t>
      </w:r>
      <w:r>
        <w:rPr>
          <w:rFonts w:ascii="宋体" w:hAnsi="宋体" w:cs="宋体" w:eastAsia="宋体" w:hint="default"/>
          <w:w w:val="100"/>
          <w:sz w:val="21"/>
          <w:szCs w:val="21"/>
        </w:rPr>
        <w:t> </w:t>
      </w:r>
      <w:r>
        <w:rPr>
          <w:rFonts w:ascii="宋体" w:hAnsi="宋体" w:cs="宋体" w:eastAsia="宋体" w:hint="default"/>
          <w:sz w:val="21"/>
          <w:szCs w:val="21"/>
        </w:rPr>
        <w:t>未来现金流量的现值两者之间较高者确定。</w:t>
      </w:r>
      <w:r>
        <w:rPr>
          <w:rFonts w:ascii="宋体" w:hAnsi="宋体" w:cs="宋体" w:eastAsia="宋体" w:hint="default"/>
          <w:w w:val="100"/>
          <w:sz w:val="21"/>
          <w:szCs w:val="21"/>
        </w:rPr>
        <w:t> </w:t>
      </w:r>
      <w:r>
        <w:rPr>
          <w:rFonts w:ascii="宋体" w:hAnsi="宋体" w:cs="宋体" w:eastAsia="宋体" w:hint="default"/>
          <w:spacing w:val="-5"/>
          <w:w w:val="100"/>
          <w:sz w:val="21"/>
          <w:szCs w:val="21"/>
        </w:rPr>
        <w:t>当无形资产的可收回金额低于其账面价值的，将无形资产的账面价值减记至可</w:t>
      </w:r>
      <w:r>
        <w:rPr>
          <w:rFonts w:ascii="宋体" w:hAnsi="宋体" w:cs="宋体" w:eastAsia="宋体" w:hint="default"/>
          <w:w w:val="100"/>
          <w:sz w:val="21"/>
          <w:szCs w:val="21"/>
        </w:rPr>
        <w:t> </w:t>
      </w:r>
      <w:r>
        <w:rPr>
          <w:rFonts w:ascii="宋体" w:hAnsi="宋体" w:cs="宋体" w:eastAsia="宋体" w:hint="default"/>
          <w:spacing w:val="-5"/>
          <w:sz w:val="21"/>
          <w:szCs w:val="21"/>
        </w:rPr>
        <w:t>收回金额，减记的金额确认为无形资产减值损失，计入当期损益，同时计提相</w:t>
      </w:r>
      <w:r>
        <w:rPr>
          <w:rFonts w:ascii="宋体" w:hAnsi="宋体" w:cs="宋体" w:eastAsia="宋体" w:hint="default"/>
          <w:w w:val="100"/>
          <w:sz w:val="21"/>
          <w:szCs w:val="21"/>
        </w:rPr>
        <w:t> </w:t>
      </w:r>
      <w:r>
        <w:rPr>
          <w:rFonts w:ascii="宋体" w:hAnsi="宋体" w:cs="宋体" w:eastAsia="宋体" w:hint="default"/>
          <w:sz w:val="21"/>
          <w:szCs w:val="21"/>
        </w:rPr>
        <w:t>应的无形资产减值准备。</w:t>
      </w:r>
      <w:r>
        <w:rPr>
          <w:rFonts w:ascii="宋体" w:hAnsi="宋体" w:cs="宋体" w:eastAsia="宋体" w:hint="default"/>
          <w:w w:val="100"/>
          <w:sz w:val="21"/>
          <w:szCs w:val="21"/>
        </w:rPr>
        <w:t> </w:t>
      </w:r>
      <w:r>
        <w:rPr>
          <w:rFonts w:ascii="宋体" w:hAnsi="宋体" w:cs="宋体" w:eastAsia="宋体" w:hint="default"/>
          <w:spacing w:val="-5"/>
          <w:w w:val="100"/>
          <w:sz w:val="21"/>
          <w:szCs w:val="21"/>
        </w:rPr>
        <w:t>无形资产减值损失确认后，减值无形资产的折耗或者摊销费用在未来期间作相</w:t>
      </w:r>
      <w:r>
        <w:rPr>
          <w:rFonts w:ascii="宋体" w:hAnsi="宋体" w:cs="宋体" w:eastAsia="宋体" w:hint="default"/>
          <w:w w:val="100"/>
          <w:sz w:val="21"/>
          <w:szCs w:val="21"/>
        </w:rPr>
        <w:t> </w:t>
      </w:r>
      <w:r>
        <w:rPr>
          <w:rFonts w:ascii="宋体" w:hAnsi="宋体" w:cs="宋体" w:eastAsia="宋体" w:hint="default"/>
          <w:spacing w:val="-5"/>
          <w:sz w:val="21"/>
          <w:szCs w:val="21"/>
        </w:rPr>
        <w:t>应调整，以使该无形资产在剩余使用寿命内，系统地分摊调整后的无形资产账</w:t>
      </w:r>
      <w:r>
        <w:rPr>
          <w:rFonts w:ascii="宋体" w:hAnsi="宋体" w:cs="宋体" w:eastAsia="宋体" w:hint="default"/>
          <w:w w:val="100"/>
          <w:sz w:val="21"/>
          <w:szCs w:val="21"/>
        </w:rPr>
        <w:t> </w:t>
      </w:r>
      <w:r>
        <w:rPr>
          <w:rFonts w:ascii="宋体" w:hAnsi="宋体" w:cs="宋体" w:eastAsia="宋体" w:hint="default"/>
          <w:spacing w:val="-10"/>
          <w:w w:val="100"/>
          <w:sz w:val="21"/>
          <w:szCs w:val="21"/>
        </w:rPr>
        <w:t>面价值（扣除预计净残值）。</w:t>
      </w:r>
      <w:r>
        <w:rPr>
          <w:rFonts w:ascii="宋体" w:hAnsi="宋体" w:cs="宋体" w:eastAsia="宋体" w:hint="default"/>
          <w:w w:val="100"/>
          <w:sz w:val="21"/>
          <w:szCs w:val="21"/>
        </w:rPr>
        <w:t> </w:t>
      </w:r>
      <w:r>
        <w:rPr>
          <w:rFonts w:ascii="宋体" w:hAnsi="宋体" w:cs="宋体" w:eastAsia="宋体" w:hint="default"/>
          <w:sz w:val="21"/>
          <w:szCs w:val="21"/>
        </w:rPr>
        <w:t>无形资产的减值损失一经确认，在以后会计期间不再转回。</w:t>
      </w:r>
    </w:p>
    <w:p>
      <w:pPr>
        <w:spacing w:line="240" w:lineRule="auto" w:before="1"/>
        <w:rPr>
          <w:rFonts w:ascii="宋体" w:hAnsi="宋体" w:cs="宋体" w:eastAsia="宋体" w:hint="default"/>
          <w:sz w:val="26"/>
          <w:szCs w:val="26"/>
        </w:rPr>
      </w:pPr>
    </w:p>
    <w:p>
      <w:pPr>
        <w:tabs>
          <w:tab w:pos="1395" w:val="left" w:leader="none"/>
        </w:tabs>
        <w:spacing w:before="0"/>
        <w:ind w:left="8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tab/>
      </w:r>
      <w:r>
        <w:rPr>
          <w:rFonts w:ascii="宋体" w:hAnsi="宋体" w:cs="宋体" w:eastAsia="宋体" w:hint="default"/>
          <w:b/>
          <w:bCs/>
          <w:spacing w:val="-1"/>
          <w:sz w:val="21"/>
          <w:szCs w:val="21"/>
        </w:rPr>
        <w:t>划分公司内部研究开发项目的研究阶段和开发阶段具体标准</w:t>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footerReference w:type="default" r:id="rId20"/>
          <w:pgSz w:w="11910" w:h="16840"/>
          <w:pgMar w:footer="980" w:header="884" w:top="1140" w:bottom="1160" w:left="1660" w:right="1660"/>
          <w:pgNumType w:start="101"/>
        </w:sectPr>
      </w:pPr>
    </w:p>
    <w:p>
      <w:pPr>
        <w:spacing w:line="240" w:lineRule="auto" w:before="11"/>
        <w:rPr>
          <w:rFonts w:ascii="宋体" w:hAnsi="宋体" w:cs="宋体" w:eastAsia="宋体" w:hint="default"/>
          <w:b/>
          <w:bCs/>
          <w:sz w:val="25"/>
          <w:szCs w:val="25"/>
        </w:rPr>
      </w:pPr>
    </w:p>
    <w:p>
      <w:pPr>
        <w:spacing w:line="350" w:lineRule="auto" w:before="36"/>
        <w:ind w:left="1400" w:right="138" w:firstLine="0"/>
        <w:jc w:val="left"/>
        <w:rPr>
          <w:rFonts w:ascii="宋体" w:hAnsi="宋体" w:cs="宋体" w:eastAsia="宋体" w:hint="default"/>
          <w:sz w:val="21"/>
          <w:szCs w:val="21"/>
        </w:rPr>
      </w:pPr>
      <w:r>
        <w:rPr>
          <w:rFonts w:ascii="宋体" w:hAnsi="宋体" w:cs="宋体" w:eastAsia="宋体" w:hint="default"/>
          <w:sz w:val="21"/>
          <w:szCs w:val="21"/>
        </w:rPr>
        <w:t>公司内部研究开发项目的支出分为研究阶段支出和开发阶段支出。</w:t>
      </w:r>
      <w:r>
        <w:rPr>
          <w:rFonts w:ascii="宋体" w:hAnsi="宋体" w:cs="宋体" w:eastAsia="宋体" w:hint="default"/>
          <w:w w:val="100"/>
          <w:sz w:val="21"/>
          <w:szCs w:val="21"/>
        </w:rPr>
        <w:t> </w:t>
      </w:r>
      <w:r>
        <w:rPr>
          <w:rFonts w:ascii="宋体" w:hAnsi="宋体" w:cs="宋体" w:eastAsia="宋体" w:hint="default"/>
          <w:sz w:val="21"/>
          <w:szCs w:val="21"/>
        </w:rPr>
        <w:t>研究阶段：为获取并理解新的科学或技术知识等而进行的独创性的有计划调 </w:t>
      </w:r>
      <w:r>
        <w:rPr>
          <w:rFonts w:ascii="宋体" w:hAnsi="宋体" w:cs="宋体" w:eastAsia="宋体" w:hint="default"/>
          <w:sz w:val="21"/>
          <w:szCs w:val="21"/>
        </w:rPr>
        <w:t>查、研究活动的阶段。</w:t>
      </w:r>
      <w:r>
        <w:rPr>
          <w:rFonts w:ascii="宋体" w:hAnsi="宋体" w:cs="宋体" w:eastAsia="宋体" w:hint="default"/>
          <w:w w:val="100"/>
          <w:sz w:val="21"/>
          <w:szCs w:val="21"/>
        </w:rPr>
        <w:t> </w:t>
      </w:r>
      <w:r>
        <w:rPr>
          <w:rFonts w:ascii="宋体" w:hAnsi="宋体" w:cs="宋体" w:eastAsia="宋体" w:hint="default"/>
          <w:spacing w:val="-5"/>
          <w:sz w:val="21"/>
          <w:szCs w:val="21"/>
        </w:rPr>
        <w:t>开发阶段：在进行商业性生产或使用前，将研究成果或其他知识应用于某项计</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8"/>
          <w:sz w:val="21"/>
          <w:szCs w:val="21"/>
        </w:rPr>
        <w:t>划或设计，以生产出新的或具有实质性改进的材料、装置、产品等活动的阶段。</w:t>
      </w:r>
    </w:p>
    <w:p>
      <w:pPr>
        <w:spacing w:line="240" w:lineRule="auto" w:before="0"/>
        <w:rPr>
          <w:rFonts w:ascii="宋体" w:hAnsi="宋体" w:cs="宋体" w:eastAsia="宋体" w:hint="default"/>
          <w:sz w:val="20"/>
          <w:szCs w:val="20"/>
        </w:rPr>
      </w:pPr>
    </w:p>
    <w:p>
      <w:pPr>
        <w:tabs>
          <w:tab w:pos="1395" w:val="left" w:leader="none"/>
        </w:tabs>
        <w:spacing w:line="331" w:lineRule="auto" w:before="166"/>
        <w:ind w:left="1400" w:right="326"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tab/>
      </w:r>
      <w:r>
        <w:rPr>
          <w:rFonts w:ascii="宋体" w:hAnsi="宋体" w:cs="宋体" w:eastAsia="宋体" w:hint="default"/>
          <w:b/>
          <w:bCs/>
          <w:spacing w:val="-1"/>
          <w:sz w:val="21"/>
          <w:szCs w:val="21"/>
        </w:rPr>
        <w:t>开发阶段支出符合资本化的具体标准</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pacing w:val="-2"/>
          <w:sz w:val="21"/>
          <w:szCs w:val="21"/>
        </w:rPr>
        <w:t>内部研究开发项目开发阶段的支出，同时满足下列条件时确认为无形资产：</w:t>
      </w:r>
    </w:p>
    <w:p>
      <w:pPr>
        <w:spacing w:before="43"/>
        <w:ind w:left="1400" w:right="13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）完成该无形资产以使其能够使用或出售在技术上具有可行性；</w:t>
      </w:r>
    </w:p>
    <w:p>
      <w:pPr>
        <w:spacing w:before="110"/>
        <w:ind w:left="1400" w:right="13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）具有完成该无形资产并使用或出售的意图；</w:t>
      </w:r>
    </w:p>
    <w:p>
      <w:pPr>
        <w:spacing w:line="338" w:lineRule="auto" w:before="110"/>
        <w:ind w:left="1400" w:right="214" w:firstLine="0"/>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）无形资产产生经济利益的方式，包括能够证明运用该无形资产生产的产</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5"/>
          <w:sz w:val="21"/>
          <w:szCs w:val="21"/>
        </w:rPr>
        <w:t>品存在市场或无形资产自身存在市场，无形资产将在内部使用的，能够证明其</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有用性；</w:t>
      </w:r>
    </w:p>
    <w:p>
      <w:pPr>
        <w:spacing w:line="328" w:lineRule="auto" w:before="40"/>
        <w:ind w:left="1400" w:right="138"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）有足够的技术、财务资源和其他资源支持，以完成该无形资产的开发，</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并有能力使用或出售该无形资产；</w:t>
      </w:r>
    </w:p>
    <w:p>
      <w:pPr>
        <w:spacing w:line="338" w:lineRule="auto" w:before="48"/>
        <w:ind w:left="1400" w:right="13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）归属于该无形资产开发阶段的支出能够可靠地计量。</w:t>
      </w:r>
      <w:r>
        <w:rPr>
          <w:rFonts w:ascii="宋体" w:hAnsi="宋体" w:cs="宋体" w:eastAsia="宋体" w:hint="default"/>
          <w:w w:val="100"/>
          <w:sz w:val="21"/>
          <w:szCs w:val="21"/>
        </w:rPr>
        <w:t> </w:t>
      </w:r>
      <w:r>
        <w:rPr>
          <w:rFonts w:ascii="宋体" w:hAnsi="宋体" w:cs="宋体" w:eastAsia="宋体" w:hint="default"/>
          <w:spacing w:val="-5"/>
          <w:sz w:val="21"/>
          <w:szCs w:val="21"/>
        </w:rPr>
        <w:t>开发阶段的支出，若不满足上列条件的，于发生时计入当期损益。研究阶段的</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支出，在发生时计入当期损益。</w:t>
      </w:r>
    </w:p>
    <w:p>
      <w:pPr>
        <w:spacing w:line="240" w:lineRule="auto" w:before="8"/>
        <w:rPr>
          <w:rFonts w:ascii="宋体" w:hAnsi="宋体" w:cs="宋体" w:eastAsia="宋体" w:hint="default"/>
          <w:sz w:val="25"/>
          <w:szCs w:val="25"/>
        </w:rPr>
      </w:pPr>
    </w:p>
    <w:p>
      <w:pPr>
        <w:tabs>
          <w:tab w:pos="980" w:val="left" w:leader="none"/>
        </w:tabs>
        <w:spacing w:line="338" w:lineRule="auto" w:before="0"/>
        <w:ind w:left="858" w:right="217" w:hanging="71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十六</w:t>
      </w:r>
      <w:r>
        <w:rPr>
          <w:rFonts w:ascii="Times New Roman" w:hAnsi="Times New Roman" w:cs="Times New Roman" w:eastAsia="Times New Roman" w:hint="default"/>
          <w:b/>
          <w:bCs/>
          <w:sz w:val="21"/>
          <w:szCs w:val="21"/>
        </w:rPr>
        <w:t>)</w:t>
        <w:tab/>
        <w:tab/>
      </w:r>
      <w:r>
        <w:rPr>
          <w:rFonts w:ascii="宋体" w:hAnsi="宋体" w:cs="宋体" w:eastAsia="宋体" w:hint="default"/>
          <w:b/>
          <w:bCs/>
          <w:sz w:val="21"/>
          <w:szCs w:val="21"/>
        </w:rPr>
        <w:t>长期待摊费用、其他非流动资产</w:t>
      </w:r>
      <w:r>
        <w:rPr>
          <w:rFonts w:ascii="宋体" w:hAnsi="宋体" w:cs="宋体" w:eastAsia="宋体" w:hint="default"/>
          <w:b/>
          <w:bCs/>
          <w:w w:val="100"/>
          <w:sz w:val="21"/>
          <w:szCs w:val="21"/>
        </w:rPr>
        <w:t> </w:t>
      </w:r>
      <w:r>
        <w:rPr>
          <w:rFonts w:ascii="宋体" w:hAnsi="宋体" w:cs="宋体" w:eastAsia="宋体" w:hint="default"/>
          <w:spacing w:val="-1"/>
          <w:sz w:val="21"/>
          <w:szCs w:val="21"/>
        </w:rPr>
        <w:t>长期待摊费用为已经发生但应由本期和以后各期负担的分摊期限在一年以上的各项</w:t>
      </w:r>
      <w:r>
        <w:rPr>
          <w:rFonts w:ascii="宋体" w:hAnsi="宋体" w:cs="宋体" w:eastAsia="宋体" w:hint="default"/>
          <w:w w:val="100"/>
          <w:sz w:val="21"/>
          <w:szCs w:val="21"/>
        </w:rPr>
        <w:t> </w:t>
      </w:r>
      <w:r>
        <w:rPr>
          <w:rFonts w:ascii="宋体" w:hAnsi="宋体" w:cs="宋体" w:eastAsia="宋体" w:hint="default"/>
          <w:sz w:val="21"/>
          <w:szCs w:val="21"/>
        </w:rPr>
        <w:t>费用。</w:t>
      </w:r>
    </w:p>
    <w:p>
      <w:pPr>
        <w:spacing w:line="240" w:lineRule="auto" w:before="0"/>
        <w:rPr>
          <w:rFonts w:ascii="宋体" w:hAnsi="宋体" w:cs="宋体" w:eastAsia="宋体" w:hint="default"/>
          <w:sz w:val="20"/>
          <w:szCs w:val="20"/>
        </w:rPr>
      </w:pPr>
    </w:p>
    <w:p>
      <w:pPr>
        <w:tabs>
          <w:tab w:pos="1395" w:val="left" w:leader="none"/>
        </w:tabs>
        <w:spacing w:before="167"/>
        <w:ind w:left="858" w:right="13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摊销方法</w:t>
      </w:r>
      <w:r>
        <w:rPr>
          <w:rFonts w:ascii="宋体" w:hAnsi="宋体" w:cs="宋体" w:eastAsia="宋体" w:hint="default"/>
          <w:sz w:val="21"/>
          <w:szCs w:val="21"/>
        </w:rPr>
      </w:r>
    </w:p>
    <w:p>
      <w:pPr>
        <w:spacing w:line="350" w:lineRule="auto" w:before="100"/>
        <w:ind w:left="1400" w:right="138" w:firstLine="0"/>
        <w:jc w:val="left"/>
        <w:rPr>
          <w:rFonts w:ascii="宋体" w:hAnsi="宋体" w:cs="宋体" w:eastAsia="宋体" w:hint="default"/>
          <w:sz w:val="21"/>
          <w:szCs w:val="21"/>
        </w:rPr>
      </w:pPr>
      <w:r>
        <w:rPr>
          <w:rFonts w:ascii="宋体" w:hAnsi="宋体" w:cs="宋体" w:eastAsia="宋体" w:hint="default"/>
          <w:sz w:val="21"/>
          <w:szCs w:val="21"/>
        </w:rPr>
        <w:t>长期待摊费用、其他非流动资产在受益期内平均摊销</w:t>
      </w:r>
      <w:r>
        <w:rPr>
          <w:rFonts w:ascii="宋体" w:hAnsi="宋体" w:cs="宋体" w:eastAsia="宋体" w:hint="default"/>
          <w:w w:val="100"/>
          <w:sz w:val="21"/>
          <w:szCs w:val="21"/>
        </w:rPr>
        <w:t> </w:t>
      </w:r>
      <w:r>
        <w:rPr>
          <w:rFonts w:ascii="宋体" w:hAnsi="宋体" w:cs="宋体" w:eastAsia="宋体" w:hint="default"/>
          <w:spacing w:val="-5"/>
          <w:w w:val="100"/>
          <w:sz w:val="21"/>
          <w:szCs w:val="21"/>
        </w:rPr>
        <w:t>经营租赁方式租入的固定资产改良支出，按最佳预期经济利益实现方式合理摊</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pacing w:val="-5"/>
          <w:sz w:val="21"/>
          <w:szCs w:val="21"/>
        </w:rPr>
        <w:t>销。如果长期待摊的费用项目不能使以后会计期间受益的，将尚未摊销的该项</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目的摊余价值全部转入当期损益。</w:t>
      </w:r>
    </w:p>
    <w:p>
      <w:pPr>
        <w:tabs>
          <w:tab w:pos="1395" w:val="left" w:leader="none"/>
        </w:tabs>
        <w:spacing w:before="17"/>
        <w:ind w:left="858" w:right="13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摊销年限</w:t>
      </w:r>
      <w:r>
        <w:rPr>
          <w:rFonts w:ascii="宋体" w:hAnsi="宋体" w:cs="宋体" w:eastAsia="宋体" w:hint="default"/>
          <w:sz w:val="21"/>
          <w:szCs w:val="21"/>
        </w:rPr>
      </w:r>
    </w:p>
    <w:tbl>
      <w:tblPr>
        <w:tblW w:w="0" w:type="auto"/>
        <w:jc w:val="left"/>
        <w:tblInd w:w="1371" w:type="dxa"/>
        <w:tblLayout w:type="fixed"/>
        <w:tblCellMar>
          <w:top w:w="0" w:type="dxa"/>
          <w:left w:w="0" w:type="dxa"/>
          <w:bottom w:w="0" w:type="dxa"/>
          <w:right w:w="0" w:type="dxa"/>
        </w:tblCellMar>
        <w:tblLook w:val="01E0"/>
      </w:tblPr>
      <w:tblGrid>
        <w:gridCol w:w="3375"/>
        <w:gridCol w:w="3603"/>
      </w:tblGrid>
      <w:tr>
        <w:trPr>
          <w:trHeight w:val="411" w:hRule="exact"/>
        </w:trPr>
        <w:tc>
          <w:tcPr>
            <w:tcW w:w="3375" w:type="dxa"/>
            <w:tcBorders>
              <w:top w:val="single" w:sz="12" w:space="0" w:color="000000"/>
              <w:left w:val="nil" w:sz="6" w:space="0" w:color="auto"/>
              <w:bottom w:val="dotted" w:sz="4" w:space="0" w:color="000000"/>
              <w:right w:val="dotted" w:sz="4" w:space="0" w:color="000000"/>
            </w:tcBorders>
          </w:tcPr>
          <w:p>
            <w:pPr>
              <w:pStyle w:val="TableParagraph"/>
              <w:tabs>
                <w:tab w:pos="422" w:val="left" w:leader="none"/>
              </w:tabs>
              <w:spacing w:line="240" w:lineRule="auto" w:before="26"/>
              <w:ind w:right="83"/>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60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6"/>
              <w:ind w:right="96"/>
              <w:jc w:val="center"/>
              <w:rPr>
                <w:rFonts w:ascii="宋体" w:hAnsi="宋体" w:cs="宋体" w:eastAsia="宋体" w:hint="default"/>
                <w:sz w:val="21"/>
                <w:szCs w:val="21"/>
              </w:rPr>
            </w:pPr>
            <w:r>
              <w:rPr>
                <w:rFonts w:ascii="宋体" w:hAnsi="宋体" w:cs="宋体" w:eastAsia="宋体" w:hint="default"/>
                <w:sz w:val="21"/>
                <w:szCs w:val="21"/>
              </w:rPr>
              <w:t>预计使用寿命</w:t>
            </w:r>
          </w:p>
        </w:tc>
      </w:tr>
      <w:tr>
        <w:trPr>
          <w:trHeight w:val="410" w:hRule="exact"/>
        </w:trPr>
        <w:tc>
          <w:tcPr>
            <w:tcW w:w="33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3"/>
              <w:ind w:left="14"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36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3"/>
              <w:ind w:right="96"/>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420" w:hRule="exact"/>
        </w:trPr>
        <w:tc>
          <w:tcPr>
            <w:tcW w:w="337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93"/>
              <w:ind w:left="14" w:right="0"/>
              <w:jc w:val="left"/>
              <w:rPr>
                <w:rFonts w:ascii="宋体" w:hAnsi="宋体" w:cs="宋体" w:eastAsia="宋体" w:hint="default"/>
                <w:sz w:val="21"/>
                <w:szCs w:val="21"/>
              </w:rPr>
            </w:pPr>
            <w:r>
              <w:rPr>
                <w:rFonts w:ascii="宋体" w:hAnsi="宋体" w:cs="宋体" w:eastAsia="宋体" w:hint="default"/>
                <w:sz w:val="21"/>
                <w:szCs w:val="21"/>
              </w:rPr>
              <w:t>会员证</w:t>
            </w:r>
          </w:p>
        </w:tc>
        <w:tc>
          <w:tcPr>
            <w:tcW w:w="360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3"/>
              <w:ind w:right="96"/>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r>
    </w:tbl>
    <w:p>
      <w:pPr>
        <w:spacing w:line="240" w:lineRule="auto" w:before="3"/>
        <w:rPr>
          <w:rFonts w:ascii="宋体" w:hAnsi="宋体" w:cs="宋体" w:eastAsia="宋体" w:hint="default"/>
          <w:b/>
          <w:bCs/>
          <w:sz w:val="28"/>
          <w:szCs w:val="28"/>
        </w:rPr>
      </w:pPr>
    </w:p>
    <w:p>
      <w:pPr>
        <w:tabs>
          <w:tab w:pos="980" w:val="left" w:leader="none"/>
        </w:tabs>
        <w:spacing w:before="36"/>
        <w:ind w:left="140" w:right="13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十七</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预计负债</w:t>
      </w:r>
      <w:r>
        <w:rPr>
          <w:rFonts w:ascii="宋体" w:hAnsi="宋体" w:cs="宋体" w:eastAsia="宋体" w:hint="default"/>
          <w:sz w:val="21"/>
          <w:szCs w:val="21"/>
        </w:rPr>
      </w:r>
    </w:p>
    <w:p>
      <w:pPr>
        <w:spacing w:before="127"/>
        <w:ind w:left="858" w:right="138" w:firstLine="0"/>
        <w:jc w:val="left"/>
        <w:rPr>
          <w:rFonts w:ascii="宋体" w:hAnsi="宋体" w:cs="宋体" w:eastAsia="宋体" w:hint="default"/>
          <w:sz w:val="21"/>
          <w:szCs w:val="21"/>
        </w:rPr>
      </w:pPr>
      <w:r>
        <w:rPr>
          <w:rFonts w:ascii="宋体" w:hAnsi="宋体" w:cs="宋体" w:eastAsia="宋体" w:hint="default"/>
          <w:sz w:val="21"/>
          <w:szCs w:val="21"/>
        </w:rPr>
        <w:t>本公司涉及诉讼、债务担保、亏损合同、重组事项时，如该等事项很可能需要未来</w:t>
      </w:r>
    </w:p>
    <w:p>
      <w:pPr>
        <w:spacing w:after="0"/>
        <w:jc w:val="left"/>
        <w:rPr>
          <w:rFonts w:ascii="宋体" w:hAnsi="宋体" w:cs="宋体" w:eastAsia="宋体" w:hint="default"/>
          <w:sz w:val="21"/>
          <w:szCs w:val="21"/>
        </w:rPr>
        <w:sectPr>
          <w:pgSz w:w="11910" w:h="16840"/>
          <w:pgMar w:header="884" w:footer="980" w:top="1140" w:bottom="1160" w:left="1660" w:right="1580"/>
        </w:sectPr>
      </w:pPr>
    </w:p>
    <w:p>
      <w:pPr>
        <w:spacing w:line="240" w:lineRule="auto" w:before="11"/>
        <w:rPr>
          <w:rFonts w:ascii="宋体" w:hAnsi="宋体" w:cs="宋体" w:eastAsia="宋体" w:hint="default"/>
          <w:sz w:val="25"/>
          <w:szCs w:val="25"/>
        </w:rPr>
      </w:pPr>
    </w:p>
    <w:p>
      <w:pPr>
        <w:spacing w:before="36"/>
        <w:ind w:left="858" w:right="138" w:firstLine="0"/>
        <w:jc w:val="left"/>
        <w:rPr>
          <w:rFonts w:ascii="宋体" w:hAnsi="宋体" w:cs="宋体" w:eastAsia="宋体" w:hint="default"/>
          <w:sz w:val="21"/>
          <w:szCs w:val="21"/>
        </w:rPr>
      </w:pPr>
      <w:r>
        <w:rPr>
          <w:rFonts w:ascii="宋体" w:hAnsi="宋体" w:cs="宋体" w:eastAsia="宋体" w:hint="default"/>
          <w:sz w:val="21"/>
          <w:szCs w:val="21"/>
        </w:rPr>
        <w:t>以交付资产或提供劳务、其金额能够可靠计量的，确认为预计负债。</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tabs>
          <w:tab w:pos="1395" w:val="left" w:leader="none"/>
        </w:tabs>
        <w:spacing w:line="331" w:lineRule="auto" w:before="0"/>
        <w:ind w:left="1400" w:right="747"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预计负债的确认标准</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与或有事项相关的义务同时满足下列条件时，本公司确认为预计负债：</w:t>
      </w:r>
    </w:p>
    <w:p>
      <w:pPr>
        <w:spacing w:before="46"/>
        <w:ind w:left="1400" w:right="13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）该义务是本公司承担的现时义务；</w:t>
      </w:r>
    </w:p>
    <w:p>
      <w:pPr>
        <w:spacing w:before="107"/>
        <w:ind w:left="1400" w:right="13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）履行该义务很可能导致经济利益流出本公司；</w:t>
      </w:r>
    </w:p>
    <w:p>
      <w:pPr>
        <w:spacing w:before="110"/>
        <w:ind w:left="1400" w:right="13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）该义务的金额能够可靠地计量。</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tabs>
          <w:tab w:pos="1395" w:val="left" w:leader="none"/>
        </w:tabs>
        <w:spacing w:line="345" w:lineRule="auto" w:before="0"/>
        <w:ind w:left="1400" w:right="138"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预计负债的计量方法</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本公司预计负债按履行相关现时义务所需的支出的最佳估计数进行初始计量。</w:t>
      </w:r>
      <w:r>
        <w:rPr>
          <w:rFonts w:ascii="宋体" w:hAnsi="宋体" w:cs="宋体" w:eastAsia="宋体" w:hint="default"/>
          <w:w w:val="100"/>
          <w:sz w:val="21"/>
          <w:szCs w:val="21"/>
        </w:rPr>
        <w:t> </w:t>
      </w:r>
      <w:r>
        <w:rPr>
          <w:rFonts w:ascii="宋体" w:hAnsi="宋体" w:cs="宋体" w:eastAsia="宋体" w:hint="default"/>
          <w:spacing w:val="-5"/>
          <w:sz w:val="21"/>
          <w:szCs w:val="21"/>
        </w:rPr>
        <w:t>本公司在确定最佳估计数时，综合考虑与或有事项有关的风险、不确定性和货</w:t>
      </w:r>
      <w:r>
        <w:rPr>
          <w:rFonts w:ascii="宋体" w:hAnsi="宋体" w:cs="宋体" w:eastAsia="宋体" w:hint="default"/>
          <w:w w:val="100"/>
          <w:sz w:val="21"/>
          <w:szCs w:val="21"/>
        </w:rPr>
        <w:t> </w:t>
      </w:r>
      <w:r>
        <w:rPr>
          <w:rFonts w:ascii="宋体" w:hAnsi="宋体" w:cs="宋体" w:eastAsia="宋体" w:hint="default"/>
          <w:spacing w:val="-5"/>
          <w:sz w:val="21"/>
          <w:szCs w:val="21"/>
        </w:rPr>
        <w:t>币时间价值等因素。对于货币时间价值影响重大的，通过对相关未来现金流出</w:t>
      </w:r>
      <w:r>
        <w:rPr>
          <w:rFonts w:ascii="宋体" w:hAnsi="宋体" w:cs="宋体" w:eastAsia="宋体" w:hint="default"/>
          <w:w w:val="100"/>
          <w:sz w:val="21"/>
          <w:szCs w:val="21"/>
        </w:rPr>
        <w:t> </w:t>
      </w:r>
      <w:r>
        <w:rPr>
          <w:rFonts w:ascii="宋体" w:hAnsi="宋体" w:cs="宋体" w:eastAsia="宋体" w:hint="default"/>
          <w:sz w:val="21"/>
          <w:szCs w:val="21"/>
        </w:rPr>
        <w:t>进行折现后确定最佳估计数。</w:t>
      </w:r>
    </w:p>
    <w:p>
      <w:pPr>
        <w:spacing w:line="350" w:lineRule="auto" w:before="33"/>
        <w:ind w:left="1400" w:right="138" w:firstLine="0"/>
        <w:jc w:val="left"/>
        <w:rPr>
          <w:rFonts w:ascii="宋体" w:hAnsi="宋体" w:cs="宋体" w:eastAsia="宋体" w:hint="default"/>
          <w:sz w:val="21"/>
          <w:szCs w:val="21"/>
        </w:rPr>
      </w:pPr>
      <w:r>
        <w:rPr>
          <w:rFonts w:ascii="宋体" w:hAnsi="宋体" w:cs="宋体" w:eastAsia="宋体" w:hint="default"/>
          <w:sz w:val="21"/>
          <w:szCs w:val="21"/>
        </w:rPr>
        <w:t>最佳估计数分别以下情况处理：</w:t>
      </w:r>
      <w:r>
        <w:rPr>
          <w:rFonts w:ascii="宋体" w:hAnsi="宋体" w:cs="宋体" w:eastAsia="宋体" w:hint="default"/>
          <w:w w:val="100"/>
          <w:sz w:val="21"/>
          <w:szCs w:val="21"/>
        </w:rPr>
        <w:t> </w:t>
      </w:r>
      <w:r>
        <w:rPr>
          <w:rFonts w:ascii="宋体" w:hAnsi="宋体" w:cs="宋体" w:eastAsia="宋体" w:hint="default"/>
          <w:spacing w:val="-5"/>
          <w:w w:val="100"/>
          <w:sz w:val="21"/>
          <w:szCs w:val="21"/>
        </w:rPr>
        <w:t>所需支出存在一个连续范围（或区间），且该范围内各种结果发生的可能性相</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z w:val="21"/>
          <w:szCs w:val="21"/>
        </w:rPr>
        <w:t>同的，则最佳估计数按照该范围的中间值即上下限金额的平均数确定。</w:t>
      </w:r>
      <w:r>
        <w:rPr>
          <w:rFonts w:ascii="宋体" w:hAnsi="宋体" w:cs="宋体" w:eastAsia="宋体" w:hint="default"/>
          <w:w w:val="100"/>
          <w:sz w:val="21"/>
          <w:szCs w:val="21"/>
        </w:rPr>
        <w:t> </w:t>
      </w:r>
      <w:r>
        <w:rPr>
          <w:rFonts w:ascii="宋体" w:hAnsi="宋体" w:cs="宋体" w:eastAsia="宋体" w:hint="default"/>
          <w:spacing w:val="-5"/>
          <w:w w:val="100"/>
          <w:sz w:val="21"/>
          <w:szCs w:val="21"/>
        </w:rPr>
        <w:t>所需支出不存在一个连续范围（或区间），或虽然存在一个连续范围但该范围</w:t>
      </w:r>
      <w:r>
        <w:rPr>
          <w:rFonts w:ascii="宋体" w:hAnsi="宋体" w:cs="宋体" w:eastAsia="宋体" w:hint="default"/>
          <w:spacing w:val="-74"/>
          <w:w w:val="100"/>
          <w:sz w:val="21"/>
          <w:szCs w:val="21"/>
        </w:rPr>
        <w:t> </w:t>
      </w:r>
      <w:r>
        <w:rPr>
          <w:rFonts w:ascii="宋体" w:hAnsi="宋体" w:cs="宋体" w:eastAsia="宋体" w:hint="default"/>
          <w:spacing w:val="-74"/>
          <w:w w:val="100"/>
          <w:sz w:val="21"/>
          <w:szCs w:val="21"/>
        </w:rPr>
      </w:r>
      <w:r>
        <w:rPr>
          <w:rFonts w:ascii="宋体" w:hAnsi="宋体" w:cs="宋体" w:eastAsia="宋体" w:hint="default"/>
          <w:spacing w:val="-5"/>
          <w:sz w:val="21"/>
          <w:szCs w:val="21"/>
        </w:rPr>
        <w:t>内各种结果发生的可能性不相同的，如或有事项涉及单个项目的，则最佳估计</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5"/>
          <w:sz w:val="21"/>
          <w:szCs w:val="21"/>
        </w:rPr>
        <w:t>数按照最可能发生金额确定；如或有事项涉及多个项目的，则最佳估计数按各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种可能结果及相关概率计算确定。</w:t>
      </w:r>
      <w:r>
        <w:rPr>
          <w:rFonts w:ascii="宋体" w:hAnsi="宋体" w:cs="宋体" w:eastAsia="宋体" w:hint="default"/>
          <w:w w:val="100"/>
          <w:sz w:val="21"/>
          <w:szCs w:val="21"/>
        </w:rPr>
        <w:t> </w:t>
      </w:r>
      <w:r>
        <w:rPr>
          <w:rFonts w:ascii="宋体" w:hAnsi="宋体" w:cs="宋体" w:eastAsia="宋体" w:hint="default"/>
          <w:spacing w:val="-5"/>
          <w:w w:val="100"/>
          <w:sz w:val="21"/>
          <w:szCs w:val="21"/>
        </w:rPr>
        <w:t>本公司清偿预计负债所需支出全部或部分预期由第三方补偿的，补偿金额在基</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pacing w:val="-5"/>
          <w:sz w:val="21"/>
          <w:szCs w:val="21"/>
        </w:rPr>
        <w:t>本确定能够收到时，作为资产单独确认，确认的补偿金额不超过预计负债的账</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面价值。</w:t>
      </w:r>
    </w:p>
    <w:p>
      <w:pPr>
        <w:spacing w:line="240" w:lineRule="auto" w:before="8"/>
        <w:rPr>
          <w:rFonts w:ascii="宋体" w:hAnsi="宋体" w:cs="宋体" w:eastAsia="宋体" w:hint="default"/>
          <w:sz w:val="24"/>
          <w:szCs w:val="24"/>
        </w:rPr>
      </w:pPr>
    </w:p>
    <w:p>
      <w:pPr>
        <w:tabs>
          <w:tab w:pos="980" w:val="left" w:leader="none"/>
        </w:tabs>
        <w:spacing w:line="348" w:lineRule="auto" w:before="0"/>
        <w:ind w:left="858" w:right="217" w:hanging="71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十八</w:t>
      </w:r>
      <w:r>
        <w:rPr>
          <w:rFonts w:ascii="Times New Roman" w:hAnsi="Times New Roman" w:cs="Times New Roman" w:eastAsia="Times New Roman" w:hint="default"/>
          <w:b/>
          <w:bCs/>
          <w:sz w:val="21"/>
          <w:szCs w:val="21"/>
        </w:rPr>
        <w:t>)</w:t>
        <w:tab/>
        <w:tab/>
      </w:r>
      <w:r>
        <w:rPr>
          <w:rFonts w:ascii="宋体" w:hAnsi="宋体" w:cs="宋体" w:eastAsia="宋体" w:hint="default"/>
          <w:b/>
          <w:bCs/>
          <w:sz w:val="21"/>
          <w:szCs w:val="21"/>
        </w:rPr>
        <w:t>股份支付及权益工具</w:t>
      </w:r>
      <w:r>
        <w:rPr>
          <w:rFonts w:ascii="宋体" w:hAnsi="宋体" w:cs="宋体" w:eastAsia="宋体" w:hint="default"/>
          <w:b/>
          <w:bCs/>
          <w:spacing w:val="-103"/>
          <w:sz w:val="21"/>
          <w:szCs w:val="21"/>
        </w:rPr>
        <w:t> </w:t>
      </w:r>
      <w:r>
        <w:rPr>
          <w:rFonts w:ascii="宋体" w:hAnsi="宋体" w:cs="宋体" w:eastAsia="宋体" w:hint="default"/>
          <w:spacing w:val="-1"/>
          <w:sz w:val="21"/>
          <w:szCs w:val="21"/>
        </w:rPr>
        <w:t>本公司的股份支付是为了获取职工服务而授予权益工具或者承担以权益工具为基础</w:t>
      </w:r>
      <w:r>
        <w:rPr>
          <w:rFonts w:ascii="宋体" w:hAnsi="宋体" w:cs="宋体" w:eastAsia="宋体" w:hint="default"/>
          <w:w w:val="100"/>
          <w:sz w:val="21"/>
          <w:szCs w:val="21"/>
        </w:rPr>
        <w:t> </w:t>
      </w:r>
      <w:r>
        <w:rPr>
          <w:rFonts w:ascii="宋体" w:hAnsi="宋体" w:cs="宋体" w:eastAsia="宋体" w:hint="default"/>
          <w:sz w:val="21"/>
          <w:szCs w:val="21"/>
        </w:rPr>
        <w:t>确定的负债的交易。本公司的股份支付为权益结算的股份支付。</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350" w:lineRule="auto" w:before="0"/>
        <w:ind w:left="874" w:right="0" w:hanging="17"/>
        <w:jc w:val="left"/>
        <w:rPr>
          <w:rFonts w:ascii="宋体" w:hAnsi="宋体" w:cs="宋体" w:eastAsia="宋体" w:hint="default"/>
          <w:sz w:val="21"/>
          <w:szCs w:val="21"/>
        </w:rPr>
      </w:pPr>
      <w:r>
        <w:rPr>
          <w:rFonts w:ascii="宋体" w:hAnsi="宋体" w:cs="宋体" w:eastAsia="宋体" w:hint="default"/>
          <w:b/>
          <w:bCs/>
          <w:sz w:val="21"/>
          <w:szCs w:val="21"/>
        </w:rPr>
        <w:t>以权益结算的股份支付及权益工具</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以权益结算的股份支付换取职工提供服务的，以授予职工权益工具的公允价值计量。</w:t>
      </w:r>
      <w:r>
        <w:rPr>
          <w:rFonts w:ascii="宋体" w:hAnsi="宋体" w:cs="宋体" w:eastAsia="宋体" w:hint="default"/>
          <w:w w:val="100"/>
          <w:sz w:val="21"/>
          <w:szCs w:val="21"/>
        </w:rPr>
        <w:t> </w:t>
      </w:r>
      <w:r>
        <w:rPr>
          <w:rFonts w:ascii="宋体" w:hAnsi="宋体" w:cs="宋体" w:eastAsia="宋体" w:hint="default"/>
          <w:sz w:val="21"/>
          <w:szCs w:val="21"/>
        </w:rPr>
        <w:t>授予后立即可行权的，在授予日按照公允价值计入相关成本或费用，相应增加资本</w:t>
      </w:r>
      <w:r>
        <w:rPr>
          <w:rFonts w:ascii="宋体" w:hAnsi="宋体" w:cs="宋体" w:eastAsia="宋体" w:hint="default"/>
          <w:w w:val="100"/>
          <w:sz w:val="21"/>
          <w:szCs w:val="21"/>
        </w:rPr>
        <w:t> </w:t>
      </w:r>
      <w:r>
        <w:rPr>
          <w:rFonts w:ascii="宋体" w:hAnsi="宋体" w:cs="宋体" w:eastAsia="宋体" w:hint="default"/>
          <w:sz w:val="21"/>
          <w:szCs w:val="21"/>
        </w:rPr>
        <w:t>公积；完成等待期内的服务或达到规定业绩条件才可行权的，在等待期内每个资产</w:t>
      </w:r>
      <w:r>
        <w:rPr>
          <w:rFonts w:ascii="宋体" w:hAnsi="宋体" w:cs="宋体" w:eastAsia="宋体" w:hint="default"/>
          <w:w w:val="100"/>
          <w:sz w:val="21"/>
          <w:szCs w:val="21"/>
        </w:rPr>
        <w:t> </w:t>
      </w:r>
      <w:r>
        <w:rPr>
          <w:rFonts w:ascii="宋体" w:hAnsi="宋体" w:cs="宋体" w:eastAsia="宋体" w:hint="default"/>
          <w:sz w:val="21"/>
          <w:szCs w:val="21"/>
        </w:rPr>
        <w:t>负债表日，本公司根据最新取得的可行权职工人数变动是否达到规定业绩条件等后</w:t>
      </w:r>
      <w:r>
        <w:rPr>
          <w:rFonts w:ascii="宋体" w:hAnsi="宋体" w:cs="宋体" w:eastAsia="宋体" w:hint="default"/>
          <w:w w:val="100"/>
          <w:sz w:val="21"/>
          <w:szCs w:val="21"/>
        </w:rPr>
        <w:t> </w:t>
      </w:r>
      <w:r>
        <w:rPr>
          <w:rFonts w:ascii="宋体" w:hAnsi="宋体" w:cs="宋体" w:eastAsia="宋体" w:hint="default"/>
          <w:spacing w:val="-4"/>
          <w:sz w:val="21"/>
          <w:szCs w:val="21"/>
        </w:rPr>
        <w:t>续信息对可行权权益工具数量作出最佳估计，以此为基础，按照授予日的公允价值，</w:t>
      </w:r>
    </w:p>
    <w:p>
      <w:pPr>
        <w:spacing w:after="0" w:line="350" w:lineRule="auto"/>
        <w:jc w:val="left"/>
        <w:rPr>
          <w:rFonts w:ascii="宋体" w:hAnsi="宋体" w:cs="宋体" w:eastAsia="宋体" w:hint="default"/>
          <w:sz w:val="21"/>
          <w:szCs w:val="21"/>
        </w:rPr>
        <w:sectPr>
          <w:pgSz w:w="11910" w:h="16840"/>
          <w:pgMar w:header="884" w:footer="980" w:top="1140" w:bottom="1160" w:left="1660" w:right="1580"/>
        </w:sectPr>
      </w:pPr>
    </w:p>
    <w:p>
      <w:pPr>
        <w:spacing w:line="240" w:lineRule="auto" w:before="11"/>
        <w:rPr>
          <w:rFonts w:ascii="宋体" w:hAnsi="宋体" w:cs="宋体" w:eastAsia="宋体" w:hint="default"/>
          <w:sz w:val="25"/>
          <w:szCs w:val="25"/>
        </w:rPr>
      </w:pPr>
    </w:p>
    <w:p>
      <w:pPr>
        <w:spacing w:line="350" w:lineRule="auto" w:before="36"/>
        <w:ind w:left="874" w:right="182" w:firstLine="0"/>
        <w:jc w:val="left"/>
        <w:rPr>
          <w:rFonts w:ascii="宋体" w:hAnsi="宋体" w:cs="宋体" w:eastAsia="宋体" w:hint="default"/>
          <w:sz w:val="21"/>
          <w:szCs w:val="21"/>
        </w:rPr>
      </w:pPr>
      <w:r>
        <w:rPr>
          <w:rFonts w:ascii="宋体" w:hAnsi="宋体" w:cs="宋体" w:eastAsia="宋体" w:hint="default"/>
          <w:spacing w:val="-1"/>
          <w:sz w:val="21"/>
          <w:szCs w:val="21"/>
        </w:rPr>
        <w:t>将当期取得的服务计入相关成本或费用，相应增加资本公积。权益工具的公允价值</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根据评估报告确定，详见附注八、股份支付。</w:t>
      </w:r>
      <w:r>
        <w:rPr>
          <w:rFonts w:ascii="宋体" w:hAnsi="宋体" w:cs="宋体" w:eastAsia="宋体" w:hint="default"/>
          <w:w w:val="100"/>
          <w:sz w:val="21"/>
          <w:szCs w:val="21"/>
        </w:rPr>
        <w:t> </w:t>
      </w:r>
      <w:r>
        <w:rPr>
          <w:rFonts w:ascii="宋体" w:hAnsi="宋体" w:cs="宋体" w:eastAsia="宋体" w:hint="default"/>
          <w:spacing w:val="-1"/>
          <w:sz w:val="21"/>
          <w:szCs w:val="21"/>
        </w:rPr>
        <w:t>在满足业绩条件和服务期限条件的期间，应确认以权益结算的股份支付的成本或费</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用，并相应增加资本公积。可行权日之前，于每个资产负债表日为以权益结算的股</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份支付确认的累计金额反映了等待期已届满的部分以及本公司对最终可行权的权益</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工具数量的最佳估计。</w:t>
      </w:r>
      <w:r>
        <w:rPr>
          <w:rFonts w:ascii="宋体" w:hAnsi="宋体" w:cs="宋体" w:eastAsia="宋体" w:hint="default"/>
          <w:w w:val="100"/>
          <w:sz w:val="21"/>
          <w:szCs w:val="21"/>
        </w:rPr>
        <w:t> </w:t>
      </w:r>
      <w:r>
        <w:rPr>
          <w:rFonts w:ascii="宋体" w:hAnsi="宋体" w:cs="宋体" w:eastAsia="宋体" w:hint="default"/>
          <w:spacing w:val="-1"/>
          <w:sz w:val="21"/>
          <w:szCs w:val="21"/>
        </w:rPr>
        <w:t>对于最终未能行权的股份支付，不确认成本或费用，除非行权条件是市场条件或非</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可行权条件，此时无论是否满足市场条件或非可行权条件，只要满足所有可行权条</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件中的非市场条件，即视为可行权。</w:t>
      </w:r>
      <w:r>
        <w:rPr>
          <w:rFonts w:ascii="宋体" w:hAnsi="宋体" w:cs="宋体" w:eastAsia="宋体" w:hint="default"/>
          <w:w w:val="100"/>
          <w:sz w:val="21"/>
          <w:szCs w:val="21"/>
        </w:rPr>
        <w:t> </w:t>
      </w:r>
      <w:r>
        <w:rPr>
          <w:rFonts w:ascii="宋体" w:hAnsi="宋体" w:cs="宋体" w:eastAsia="宋体" w:hint="default"/>
          <w:spacing w:val="-1"/>
          <w:sz w:val="21"/>
          <w:szCs w:val="21"/>
        </w:rPr>
        <w:t>如果修改了以权益结算的股份支付的条款，至少按照未修改条款的情况确认取得的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服务。此外，任何增加所授予权益工具公允价值的修改，或在修改日对职工有利的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变更，均确认取得服务的增加。</w:t>
      </w:r>
      <w:r>
        <w:rPr>
          <w:rFonts w:ascii="宋体" w:hAnsi="宋体" w:cs="宋体" w:eastAsia="宋体" w:hint="default"/>
          <w:w w:val="100"/>
          <w:sz w:val="21"/>
          <w:szCs w:val="21"/>
        </w:rPr>
        <w:t> </w:t>
      </w:r>
      <w:r>
        <w:rPr>
          <w:rFonts w:ascii="宋体" w:hAnsi="宋体" w:cs="宋体" w:eastAsia="宋体" w:hint="default"/>
          <w:spacing w:val="-1"/>
          <w:sz w:val="21"/>
          <w:szCs w:val="21"/>
        </w:rPr>
        <w:t>如果取消了以权益结算的股份支付，则于取消日作为加速行权处理，立即确认尚未</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确认的金额。职工或其他方能够选择满足非可行权条件但在等待期内未满足的，作</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为取消以权益结算的股份支付处理。但是，如果授予新的权益工具，并在新权益工</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具授予日认定所授予的新权益工具是用于替代被取消的权益工具的，则以与处理原</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权益工具条款和条件修改相同的方式，对所授予的替代权益工具进行处理。</w:t>
      </w:r>
    </w:p>
    <w:p>
      <w:pPr>
        <w:spacing w:line="240" w:lineRule="auto" w:before="8"/>
        <w:rPr>
          <w:rFonts w:ascii="宋体" w:hAnsi="宋体" w:cs="宋体" w:eastAsia="宋体" w:hint="default"/>
          <w:sz w:val="24"/>
          <w:szCs w:val="24"/>
        </w:rPr>
      </w:pPr>
    </w:p>
    <w:p>
      <w:pPr>
        <w:tabs>
          <w:tab w:pos="980" w:val="left" w:leader="none"/>
        </w:tabs>
        <w:spacing w:before="0"/>
        <w:ind w:left="140" w:right="1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十九</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回购本公司股份</w:t>
      </w:r>
      <w:r>
        <w:rPr>
          <w:rFonts w:ascii="宋体" w:hAnsi="宋体" w:cs="宋体" w:eastAsia="宋体" w:hint="default"/>
          <w:sz w:val="21"/>
          <w:szCs w:val="21"/>
        </w:rPr>
      </w:r>
    </w:p>
    <w:p>
      <w:pPr>
        <w:spacing w:line="331" w:lineRule="auto" w:before="107"/>
        <w:ind w:left="858" w:right="87" w:firstLine="0"/>
        <w:jc w:val="left"/>
        <w:rPr>
          <w:rFonts w:ascii="宋体" w:hAnsi="宋体" w:cs="宋体" w:eastAsia="宋体" w:hint="default"/>
          <w:sz w:val="21"/>
          <w:szCs w:val="21"/>
        </w:rPr>
      </w:pPr>
      <w:r>
        <w:rPr>
          <w:rFonts w:ascii="宋体" w:hAnsi="宋体" w:cs="宋体" w:eastAsia="宋体" w:hint="default"/>
          <w:sz w:val="21"/>
          <w:szCs w:val="21"/>
        </w:rPr>
        <w:t>本公司回购股份是按照股权激励方案的规定，将未达到解锁条件的限制性股票回购</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5"/>
          <w:w w:val="100"/>
          <w:sz w:val="21"/>
          <w:szCs w:val="21"/>
        </w:rPr>
        <w:t>并注销。回购股份时按股票面值和回购股数计算的股票面值总额，计入“库存股”，</w:t>
      </w:r>
      <w:r>
        <w:rPr>
          <w:rFonts w:ascii="宋体" w:hAnsi="宋体" w:cs="宋体" w:eastAsia="宋体" w:hint="default"/>
          <w:spacing w:val="-74"/>
          <w:w w:val="100"/>
          <w:sz w:val="21"/>
          <w:szCs w:val="21"/>
        </w:rPr>
        <w:t> </w:t>
      </w:r>
      <w:r>
        <w:rPr>
          <w:rFonts w:ascii="宋体" w:hAnsi="宋体" w:cs="宋体" w:eastAsia="宋体" w:hint="default"/>
          <w:spacing w:val="-74"/>
          <w:w w:val="100"/>
          <w:sz w:val="21"/>
          <w:szCs w:val="21"/>
        </w:rPr>
      </w:r>
      <w:r>
        <w:rPr>
          <w:rFonts w:ascii="宋体" w:hAnsi="宋体" w:cs="宋体" w:eastAsia="宋体" w:hint="default"/>
          <w:sz w:val="21"/>
          <w:szCs w:val="21"/>
        </w:rPr>
        <w:t>回购价款和面值的差额记“资本公积—股本溢价”科目，股本溢价不足冲减的，记</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w w:val="100"/>
          <w:sz w:val="21"/>
          <w:szCs w:val="21"/>
        </w:rPr>
        <w:t>“盈余公积”、“利润分配—未分配利润”科目；注销股份时，股本科目和库存股科</w:t>
      </w:r>
      <w:r>
        <w:rPr>
          <w:rFonts w:ascii="宋体" w:hAnsi="宋体" w:cs="宋体" w:eastAsia="宋体" w:hint="default"/>
          <w:spacing w:val="-77"/>
          <w:w w:val="100"/>
          <w:sz w:val="21"/>
          <w:szCs w:val="21"/>
        </w:rPr>
        <w:t> </w:t>
      </w:r>
      <w:r>
        <w:rPr>
          <w:rFonts w:ascii="宋体" w:hAnsi="宋体" w:cs="宋体" w:eastAsia="宋体" w:hint="default"/>
          <w:spacing w:val="-77"/>
          <w:w w:val="100"/>
          <w:sz w:val="21"/>
          <w:szCs w:val="21"/>
        </w:rPr>
      </w:r>
      <w:r>
        <w:rPr>
          <w:rFonts w:ascii="宋体" w:hAnsi="宋体" w:cs="宋体" w:eastAsia="宋体" w:hint="default"/>
          <w:sz w:val="21"/>
          <w:szCs w:val="21"/>
        </w:rPr>
        <w:t>目对冲。</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980" w:val="left" w:leader="none"/>
        </w:tabs>
        <w:spacing w:before="151"/>
        <w:ind w:left="140" w:right="1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收入</w:t>
      </w:r>
      <w:r>
        <w:rPr>
          <w:rFonts w:ascii="宋体" w:hAnsi="宋体" w:cs="宋体" w:eastAsia="宋体" w:hint="default"/>
          <w:sz w:val="21"/>
          <w:szCs w:val="21"/>
        </w:rPr>
      </w:r>
    </w:p>
    <w:p>
      <w:pPr>
        <w:tabs>
          <w:tab w:pos="1395" w:val="left" w:leader="none"/>
        </w:tabs>
        <w:spacing w:line="326" w:lineRule="auto" w:before="107"/>
        <w:ind w:left="1400" w:right="191"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r>
      <w:r>
        <w:rPr>
          <w:rFonts w:ascii="宋体" w:hAnsi="宋体" w:cs="宋体" w:eastAsia="宋体" w:hint="default"/>
          <w:b/>
          <w:bCs/>
          <w:spacing w:val="-1"/>
          <w:sz w:val="21"/>
          <w:szCs w:val="21"/>
        </w:rPr>
        <w:t>销售商品收入确认时间的具体判断标准</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pacing w:val="-5"/>
          <w:w w:val="100"/>
          <w:sz w:val="21"/>
          <w:szCs w:val="21"/>
        </w:rPr>
        <w:t>公司已将商品所有权上的主要风险和报酬转移给购买方；公司既没有保留与所</w:t>
      </w:r>
      <w:r>
        <w:rPr>
          <w:rFonts w:ascii="宋体" w:hAnsi="宋体" w:cs="宋体" w:eastAsia="宋体" w:hint="default"/>
          <w:w w:val="100"/>
          <w:sz w:val="21"/>
          <w:szCs w:val="21"/>
        </w:rPr>
        <w:t> </w:t>
      </w:r>
      <w:r>
        <w:rPr>
          <w:rFonts w:ascii="宋体" w:hAnsi="宋体" w:cs="宋体" w:eastAsia="宋体" w:hint="default"/>
          <w:spacing w:val="-5"/>
          <w:sz w:val="21"/>
          <w:szCs w:val="21"/>
        </w:rPr>
        <w:t>有权相联系的继续管理权，也没有对已售出的商品实施有效控制；收入的金额</w:t>
      </w:r>
      <w:r>
        <w:rPr>
          <w:rFonts w:ascii="宋体" w:hAnsi="宋体" w:cs="宋体" w:eastAsia="宋体" w:hint="default"/>
          <w:w w:val="100"/>
          <w:sz w:val="21"/>
          <w:szCs w:val="21"/>
        </w:rPr>
        <w:t> </w:t>
      </w:r>
      <w:r>
        <w:rPr>
          <w:rFonts w:ascii="宋体" w:hAnsi="宋体" w:cs="宋体" w:eastAsia="宋体" w:hint="default"/>
          <w:spacing w:val="-5"/>
          <w:sz w:val="21"/>
          <w:szCs w:val="21"/>
        </w:rPr>
        <w:t>能够可靠地计量；相关的经济利益很可能流入企业；相关的已发生或将发生的</w:t>
      </w:r>
      <w:r>
        <w:rPr>
          <w:rFonts w:ascii="宋体" w:hAnsi="宋体" w:cs="宋体" w:eastAsia="宋体" w:hint="default"/>
          <w:w w:val="100"/>
          <w:sz w:val="21"/>
          <w:szCs w:val="21"/>
        </w:rPr>
        <w:t> </w:t>
      </w:r>
      <w:r>
        <w:rPr>
          <w:rFonts w:ascii="宋体" w:hAnsi="宋体" w:cs="宋体" w:eastAsia="宋体" w:hint="default"/>
          <w:sz w:val="21"/>
          <w:szCs w:val="21"/>
        </w:rPr>
        <w:t>成本能够可靠地计量时，确认商品销售收入实现。</w:t>
      </w:r>
    </w:p>
    <w:p>
      <w:pPr>
        <w:spacing w:line="240" w:lineRule="auto" w:before="0"/>
        <w:rPr>
          <w:rFonts w:ascii="宋体" w:hAnsi="宋体" w:cs="宋体" w:eastAsia="宋体" w:hint="default"/>
          <w:sz w:val="20"/>
          <w:szCs w:val="20"/>
        </w:rPr>
      </w:pPr>
    </w:p>
    <w:p>
      <w:pPr>
        <w:tabs>
          <w:tab w:pos="1395" w:val="left" w:leader="none"/>
        </w:tabs>
        <w:spacing w:before="148"/>
        <w:ind w:left="858" w:right="1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1"/>
          <w:sz w:val="21"/>
          <w:szCs w:val="21"/>
        </w:rPr>
        <w:t>确认让渡资产使用权收入的依据</w:t>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footerReference w:type="default" r:id="rId21"/>
          <w:pgSz w:w="11910" w:h="16840"/>
          <w:pgMar w:footer="980" w:header="884" w:top="1140" w:bottom="1160" w:left="1660" w:right="1600"/>
          <w:pgNumType w:start="104"/>
        </w:sectPr>
      </w:pPr>
    </w:p>
    <w:p>
      <w:pPr>
        <w:spacing w:line="240" w:lineRule="auto" w:before="4"/>
        <w:rPr>
          <w:rFonts w:ascii="宋体" w:hAnsi="宋体" w:cs="宋体" w:eastAsia="宋体" w:hint="default"/>
          <w:b/>
          <w:bCs/>
          <w:sz w:val="24"/>
          <w:szCs w:val="24"/>
        </w:rPr>
      </w:pPr>
    </w:p>
    <w:p>
      <w:pPr>
        <w:spacing w:line="331" w:lineRule="auto" w:before="36"/>
        <w:ind w:left="1400" w:right="138" w:firstLine="0"/>
        <w:jc w:val="left"/>
        <w:rPr>
          <w:rFonts w:ascii="宋体" w:hAnsi="宋体" w:cs="宋体" w:eastAsia="宋体" w:hint="default"/>
          <w:sz w:val="21"/>
          <w:szCs w:val="21"/>
        </w:rPr>
      </w:pPr>
      <w:r>
        <w:rPr>
          <w:rFonts w:ascii="宋体" w:hAnsi="宋体" w:cs="宋体" w:eastAsia="宋体" w:hint="default"/>
          <w:spacing w:val="-5"/>
          <w:sz w:val="21"/>
          <w:szCs w:val="21"/>
        </w:rPr>
        <w:t>与交易相关的经济利益很可能流入企业，收入的金额能够可靠地计量时。分别</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下列情况确定让渡资产使用权收入金额：</w:t>
      </w:r>
    </w:p>
    <w:p>
      <w:pPr>
        <w:spacing w:line="312" w:lineRule="auto" w:before="27"/>
        <w:ind w:left="1400" w:right="138"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）利息收入金额，按照他人使用本企业货币资金的时间和实际利率计算确</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定。</w:t>
      </w:r>
    </w:p>
    <w:p>
      <w:pPr>
        <w:spacing w:before="41"/>
        <w:ind w:left="1400" w:right="138" w:firstLine="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）使用费收入金额，按照有关合同或协议约定的收费时间和方法计算确定。</w:t>
      </w:r>
    </w:p>
    <w:p>
      <w:pPr>
        <w:spacing w:line="240" w:lineRule="auto" w:before="0"/>
        <w:rPr>
          <w:rFonts w:ascii="宋体" w:hAnsi="宋体" w:cs="宋体" w:eastAsia="宋体" w:hint="default"/>
          <w:sz w:val="22"/>
          <w:szCs w:val="22"/>
        </w:rPr>
      </w:pPr>
    </w:p>
    <w:p>
      <w:pPr>
        <w:tabs>
          <w:tab w:pos="1395" w:val="left" w:leader="none"/>
        </w:tabs>
        <w:spacing w:line="336" w:lineRule="auto" w:before="182"/>
        <w:ind w:left="1395" w:right="211" w:hanging="53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r>
      <w:r>
        <w:rPr>
          <w:rFonts w:ascii="宋体" w:hAnsi="宋体" w:cs="宋体" w:eastAsia="宋体" w:hint="default"/>
          <w:b/>
          <w:bCs/>
          <w:spacing w:val="2"/>
          <w:sz w:val="21"/>
          <w:szCs w:val="21"/>
        </w:rPr>
        <w:t>按完工百分比法确认提供劳务的收入和建造合同收入时，确定合同完工进度</w:t>
      </w:r>
      <w:r>
        <w:rPr>
          <w:rFonts w:ascii="宋体" w:hAnsi="宋体" w:cs="宋体" w:eastAsia="宋体" w:hint="default"/>
          <w:b/>
          <w:bCs/>
          <w:spacing w:val="-88"/>
          <w:sz w:val="21"/>
          <w:szCs w:val="21"/>
        </w:rPr>
        <w:t> </w:t>
      </w:r>
      <w:r>
        <w:rPr>
          <w:rFonts w:ascii="宋体" w:hAnsi="宋体" w:cs="宋体" w:eastAsia="宋体" w:hint="default"/>
          <w:b/>
          <w:bCs/>
          <w:spacing w:val="-88"/>
          <w:sz w:val="21"/>
          <w:szCs w:val="21"/>
        </w:rPr>
      </w:r>
      <w:r>
        <w:rPr>
          <w:rFonts w:ascii="宋体" w:hAnsi="宋体" w:cs="宋体" w:eastAsia="宋体" w:hint="default"/>
          <w:b/>
          <w:bCs/>
          <w:sz w:val="21"/>
          <w:szCs w:val="21"/>
        </w:rPr>
        <w:t>的依据和方法</w:t>
      </w:r>
      <w:r>
        <w:rPr>
          <w:rFonts w:ascii="宋体" w:hAnsi="宋体" w:cs="宋体" w:eastAsia="宋体" w:hint="default"/>
          <w:b/>
          <w:bCs/>
          <w:w w:val="100"/>
          <w:sz w:val="21"/>
          <w:szCs w:val="21"/>
        </w:rPr>
        <w:t> </w:t>
      </w:r>
      <w:r>
        <w:rPr>
          <w:rFonts w:ascii="宋体" w:hAnsi="宋体" w:cs="宋体" w:eastAsia="宋体" w:hint="default"/>
          <w:spacing w:val="-5"/>
          <w:w w:val="100"/>
          <w:sz w:val="21"/>
          <w:szCs w:val="21"/>
        </w:rPr>
        <w:t>在资产负债表日提供劳务交易的结果能够可靠估计的，采用完工百分比法确认</w:t>
      </w:r>
      <w:r>
        <w:rPr>
          <w:rFonts w:ascii="宋体" w:hAnsi="宋体" w:cs="宋体" w:eastAsia="宋体" w:hint="default"/>
          <w:w w:val="100"/>
          <w:sz w:val="21"/>
          <w:szCs w:val="21"/>
        </w:rPr>
        <w:t> </w:t>
      </w:r>
      <w:r>
        <w:rPr>
          <w:rFonts w:ascii="宋体" w:hAnsi="宋体" w:cs="宋体" w:eastAsia="宋体" w:hint="default"/>
          <w:spacing w:val="-5"/>
          <w:sz w:val="21"/>
          <w:szCs w:val="21"/>
        </w:rPr>
        <w:t>提供劳务收入。提供劳务交易的完工进度，依据已完成工作的工时占应提供劳</w:t>
      </w:r>
    </w:p>
    <w:p>
      <w:pPr>
        <w:spacing w:line="331" w:lineRule="auto" w:before="42"/>
        <w:ind w:left="1400" w:right="138" w:firstLine="0"/>
        <w:jc w:val="left"/>
        <w:rPr>
          <w:rFonts w:ascii="宋体" w:hAnsi="宋体" w:cs="宋体" w:eastAsia="宋体" w:hint="default"/>
          <w:sz w:val="21"/>
          <w:szCs w:val="21"/>
        </w:rPr>
      </w:pPr>
      <w:r>
        <w:rPr>
          <w:rFonts w:ascii="宋体" w:hAnsi="宋体" w:cs="宋体" w:eastAsia="宋体" w:hint="default"/>
          <w:sz w:val="21"/>
          <w:szCs w:val="21"/>
        </w:rPr>
        <w:t>务总工时的比例确定。</w:t>
      </w:r>
      <w:r>
        <w:rPr>
          <w:rFonts w:ascii="宋体" w:hAnsi="宋体" w:cs="宋体" w:eastAsia="宋体" w:hint="default"/>
          <w:w w:val="100"/>
          <w:sz w:val="21"/>
          <w:szCs w:val="21"/>
        </w:rPr>
        <w:t> </w:t>
      </w:r>
      <w:r>
        <w:rPr>
          <w:rFonts w:ascii="宋体" w:hAnsi="宋体" w:cs="宋体" w:eastAsia="宋体" w:hint="default"/>
          <w:spacing w:val="-5"/>
          <w:w w:val="100"/>
          <w:sz w:val="21"/>
          <w:szCs w:val="21"/>
        </w:rPr>
        <w:t>按照已收或应收的合同或协议价款确定提供劳务收入总额，但已收或应收的合</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pacing w:val="-5"/>
          <w:w w:val="100"/>
          <w:sz w:val="21"/>
          <w:szCs w:val="21"/>
        </w:rPr>
        <w:t>同或协议价款不公允的除外。资产负债表日按照提供劳务收入总额乘以完工进</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pacing w:val="-5"/>
          <w:w w:val="100"/>
          <w:sz w:val="21"/>
          <w:szCs w:val="21"/>
        </w:rPr>
        <w:t>度扣除以前会计期间累计已确认提供劳务收入后的金额，确认当期提供劳务收</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pacing w:val="-5"/>
          <w:sz w:val="21"/>
          <w:szCs w:val="21"/>
        </w:rPr>
        <w:t>入；同时，按照提供劳务估计总成本乘以完工进度扣除以前会计期间累计已确</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认劳务成本后的金额，结转当期劳务成本。</w:t>
      </w:r>
      <w:r>
        <w:rPr>
          <w:rFonts w:ascii="宋体" w:hAnsi="宋体" w:cs="宋体" w:eastAsia="宋体" w:hint="default"/>
          <w:w w:val="100"/>
          <w:sz w:val="21"/>
          <w:szCs w:val="21"/>
        </w:rPr>
        <w:t> </w:t>
      </w:r>
      <w:r>
        <w:rPr>
          <w:rFonts w:ascii="宋体" w:hAnsi="宋体" w:cs="宋体" w:eastAsia="宋体" w:hint="default"/>
          <w:sz w:val="21"/>
          <w:szCs w:val="21"/>
        </w:rPr>
        <w:t>在资产负债表日提供劳务交易结果不能够可靠估计的，分别下列情况处理：</w:t>
      </w:r>
    </w:p>
    <w:p>
      <w:pPr>
        <w:spacing w:line="312" w:lineRule="auto" w:before="27"/>
        <w:ind w:left="1400" w:right="138"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）已经发生的劳务成本预计能够得到补偿的，按照已经发生的劳务成本金</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额确认提供劳务收入，并按相同金额结转劳务成本。</w:t>
      </w:r>
    </w:p>
    <w:p>
      <w:pPr>
        <w:spacing w:line="314" w:lineRule="auto" w:before="41"/>
        <w:ind w:left="1400" w:right="138"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）已经发生的劳务成本预计不能够得到补偿的，将已经发生的劳务成本计</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入当期损益，不确认提供劳务收入。</w:t>
      </w:r>
    </w:p>
    <w:p>
      <w:pPr>
        <w:spacing w:line="240" w:lineRule="auto" w:before="5"/>
        <w:rPr>
          <w:rFonts w:ascii="宋体" w:hAnsi="宋体" w:cs="宋体" w:eastAsia="宋体" w:hint="default"/>
          <w:sz w:val="25"/>
          <w:szCs w:val="25"/>
        </w:rPr>
      </w:pPr>
    </w:p>
    <w:p>
      <w:pPr>
        <w:tabs>
          <w:tab w:pos="1400" w:val="left" w:leader="none"/>
        </w:tabs>
        <w:spacing w:before="0"/>
        <w:ind w:left="140" w:right="13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二十一</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政府补助</w:t>
      </w:r>
      <w:r>
        <w:rPr>
          <w:rFonts w:ascii="宋体" w:hAnsi="宋体" w:cs="宋体" w:eastAsia="宋体" w:hint="default"/>
          <w:sz w:val="21"/>
          <w:szCs w:val="21"/>
        </w:rPr>
      </w:r>
    </w:p>
    <w:p>
      <w:pPr>
        <w:tabs>
          <w:tab w:pos="1395" w:val="left" w:leader="none"/>
        </w:tabs>
        <w:spacing w:line="340" w:lineRule="auto" w:before="127"/>
        <w:ind w:left="1400" w:right="217"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类型</w:t>
      </w:r>
      <w:r>
        <w:rPr>
          <w:rFonts w:ascii="宋体" w:hAnsi="宋体" w:cs="宋体" w:eastAsia="宋体" w:hint="default"/>
          <w:b/>
          <w:bCs/>
          <w:w w:val="100"/>
          <w:sz w:val="21"/>
          <w:szCs w:val="21"/>
        </w:rPr>
        <w:t> </w:t>
      </w:r>
      <w:r>
        <w:rPr>
          <w:rFonts w:ascii="宋体" w:hAnsi="宋体" w:cs="宋体" w:eastAsia="宋体" w:hint="default"/>
          <w:spacing w:val="-5"/>
          <w:sz w:val="21"/>
          <w:szCs w:val="21"/>
        </w:rPr>
        <w:t>政府补助，是本公司从政府无偿取得的货币性资产与非货币性资产。分为与资</w:t>
      </w:r>
      <w:r>
        <w:rPr>
          <w:rFonts w:ascii="宋体" w:hAnsi="宋体" w:cs="宋体" w:eastAsia="宋体" w:hint="default"/>
          <w:w w:val="100"/>
          <w:sz w:val="21"/>
          <w:szCs w:val="21"/>
        </w:rPr>
        <w:t> </w:t>
      </w:r>
      <w:r>
        <w:rPr>
          <w:rFonts w:ascii="宋体" w:hAnsi="宋体" w:cs="宋体" w:eastAsia="宋体" w:hint="default"/>
          <w:sz w:val="21"/>
          <w:szCs w:val="21"/>
        </w:rPr>
        <w:t>产相关的政府补助和与收益相关的政府补助。</w:t>
      </w:r>
    </w:p>
    <w:p>
      <w:pPr>
        <w:tabs>
          <w:tab w:pos="1395" w:val="left" w:leader="none"/>
        </w:tabs>
        <w:spacing w:before="35"/>
        <w:ind w:left="858" w:right="13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会计处理</w:t>
      </w:r>
      <w:r>
        <w:rPr>
          <w:rFonts w:ascii="宋体" w:hAnsi="宋体" w:cs="宋体" w:eastAsia="宋体" w:hint="default"/>
          <w:sz w:val="21"/>
          <w:szCs w:val="21"/>
        </w:rPr>
      </w:r>
    </w:p>
    <w:p>
      <w:pPr>
        <w:spacing w:line="350" w:lineRule="auto" w:before="110"/>
        <w:ind w:left="1400" w:right="138" w:firstLine="0"/>
        <w:jc w:val="left"/>
        <w:rPr>
          <w:rFonts w:ascii="宋体" w:hAnsi="宋体" w:cs="宋体" w:eastAsia="宋体" w:hint="default"/>
          <w:sz w:val="21"/>
          <w:szCs w:val="21"/>
        </w:rPr>
      </w:pPr>
      <w:r>
        <w:rPr>
          <w:rFonts w:ascii="宋体" w:hAnsi="宋体" w:cs="宋体" w:eastAsia="宋体" w:hint="default"/>
          <w:spacing w:val="-5"/>
          <w:sz w:val="21"/>
          <w:szCs w:val="21"/>
        </w:rPr>
        <w:t>与购建固定资产、无形资产等长期资产相关的政府补助，确认为递延收益，按</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照所建造或购买的资产使用年限分期计入营业外收入；</w:t>
      </w:r>
      <w:r>
        <w:rPr>
          <w:rFonts w:ascii="宋体" w:hAnsi="宋体" w:cs="宋体" w:eastAsia="宋体" w:hint="default"/>
          <w:w w:val="100"/>
          <w:sz w:val="21"/>
          <w:szCs w:val="21"/>
        </w:rPr>
        <w:t> </w:t>
      </w:r>
      <w:r>
        <w:rPr>
          <w:rFonts w:ascii="宋体" w:hAnsi="宋体" w:cs="宋体" w:eastAsia="宋体" w:hint="default"/>
          <w:spacing w:val="-5"/>
          <w:sz w:val="21"/>
          <w:szCs w:val="21"/>
        </w:rPr>
        <w:t>与收益相关的政府补助，用于补偿企业以后期间的相关费用或损失的，取得时</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5"/>
          <w:sz w:val="21"/>
          <w:szCs w:val="21"/>
        </w:rPr>
        <w:t>确认为递延收益，在确认相关费用的期间计入当期营业外收入；用于补偿企业</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已发生的相关费用或损失的，取得时直接计入当期营业外收入。</w:t>
      </w:r>
    </w:p>
    <w:p>
      <w:pPr>
        <w:spacing w:line="240" w:lineRule="auto" w:before="8"/>
        <w:rPr>
          <w:rFonts w:ascii="宋体" w:hAnsi="宋体" w:cs="宋体" w:eastAsia="宋体" w:hint="default"/>
          <w:sz w:val="24"/>
          <w:szCs w:val="24"/>
        </w:rPr>
      </w:pPr>
    </w:p>
    <w:p>
      <w:pPr>
        <w:tabs>
          <w:tab w:pos="1400" w:val="left" w:leader="none"/>
        </w:tabs>
        <w:spacing w:line="348" w:lineRule="auto" w:before="0"/>
        <w:ind w:left="1414" w:right="217" w:hanging="127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二十二</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递延所得税资产和递延所得税负债</w:t>
      </w:r>
      <w:r>
        <w:rPr>
          <w:rFonts w:ascii="宋体" w:hAnsi="宋体" w:cs="宋体" w:eastAsia="宋体" w:hint="default"/>
          <w:b/>
          <w:bCs/>
          <w:w w:val="100"/>
          <w:sz w:val="21"/>
          <w:szCs w:val="21"/>
        </w:rPr>
        <w:t> </w:t>
      </w:r>
      <w:r>
        <w:rPr>
          <w:rFonts w:ascii="宋体" w:hAnsi="宋体" w:cs="宋体" w:eastAsia="宋体" w:hint="default"/>
          <w:sz w:val="21"/>
          <w:szCs w:val="21"/>
        </w:rPr>
        <w:t>对于可抵扣暂时性差异确认递延所得税资产，以未来期间很可能取得的用来</w:t>
      </w:r>
      <w:r>
        <w:rPr>
          <w:rFonts w:ascii="宋体" w:hAnsi="宋体" w:cs="宋体" w:eastAsia="宋体" w:hint="default"/>
          <w:w w:val="100"/>
          <w:sz w:val="21"/>
          <w:szCs w:val="21"/>
        </w:rPr>
        <w:t> </w:t>
      </w:r>
      <w:r>
        <w:rPr>
          <w:rFonts w:ascii="宋体" w:hAnsi="宋体" w:cs="宋体" w:eastAsia="宋体" w:hint="default"/>
          <w:sz w:val="21"/>
          <w:szCs w:val="21"/>
        </w:rPr>
        <w:t>抵扣可抵扣暂时性差异的应纳税所得额为限。</w:t>
      </w:r>
    </w:p>
    <w:p>
      <w:pPr>
        <w:spacing w:after="0" w:line="348" w:lineRule="auto"/>
        <w:jc w:val="left"/>
        <w:rPr>
          <w:rFonts w:ascii="宋体" w:hAnsi="宋体" w:cs="宋体" w:eastAsia="宋体" w:hint="default"/>
          <w:sz w:val="21"/>
          <w:szCs w:val="21"/>
        </w:rPr>
        <w:sectPr>
          <w:pgSz w:w="11910" w:h="16840"/>
          <w:pgMar w:header="884" w:footer="980" w:top="1140" w:bottom="1160" w:left="1660" w:right="1580"/>
        </w:sectPr>
      </w:pPr>
    </w:p>
    <w:p>
      <w:pPr>
        <w:spacing w:line="240" w:lineRule="auto" w:before="11"/>
        <w:rPr>
          <w:rFonts w:ascii="宋体" w:hAnsi="宋体" w:cs="宋体" w:eastAsia="宋体" w:hint="default"/>
          <w:sz w:val="25"/>
          <w:szCs w:val="25"/>
        </w:rPr>
      </w:pPr>
    </w:p>
    <w:p>
      <w:pPr>
        <w:spacing w:line="350" w:lineRule="auto" w:before="36"/>
        <w:ind w:left="1414" w:right="138" w:firstLine="0"/>
        <w:jc w:val="left"/>
        <w:rPr>
          <w:rFonts w:ascii="宋体" w:hAnsi="宋体" w:cs="宋体" w:eastAsia="宋体" w:hint="default"/>
          <w:sz w:val="21"/>
          <w:szCs w:val="21"/>
        </w:rPr>
      </w:pPr>
      <w:r>
        <w:rPr>
          <w:rFonts w:ascii="宋体" w:hAnsi="宋体" w:cs="宋体" w:eastAsia="宋体" w:hint="default"/>
          <w:sz w:val="21"/>
          <w:szCs w:val="21"/>
        </w:rPr>
        <w:t>对于应纳税暂时性差异，除特殊情况外，确认递延所得税负债。</w:t>
      </w:r>
      <w:r>
        <w:rPr>
          <w:rFonts w:ascii="宋体" w:hAnsi="宋体" w:cs="宋体" w:eastAsia="宋体" w:hint="default"/>
          <w:w w:val="100"/>
          <w:sz w:val="21"/>
          <w:szCs w:val="21"/>
        </w:rPr>
        <w:t> </w:t>
      </w:r>
      <w:r>
        <w:rPr>
          <w:rFonts w:ascii="宋体" w:hAnsi="宋体" w:cs="宋体" w:eastAsia="宋体" w:hint="default"/>
          <w:spacing w:val="-2"/>
          <w:sz w:val="21"/>
          <w:szCs w:val="21"/>
        </w:rPr>
        <w:t>不确认递延所得税资产或递延所得税负债的特殊情况包括：商誉的初始确认；</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除企业合并以外的发生时既不影响会计利润也不影响应纳税所得额（或可抵</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扣亏损）的其他交易或事项。</w:t>
      </w:r>
      <w:r>
        <w:rPr>
          <w:rFonts w:ascii="宋体" w:hAnsi="宋体" w:cs="宋体" w:eastAsia="宋体" w:hint="default"/>
          <w:w w:val="100"/>
          <w:sz w:val="21"/>
          <w:szCs w:val="21"/>
        </w:rPr>
        <w:t> </w:t>
      </w:r>
      <w:r>
        <w:rPr>
          <w:rFonts w:ascii="宋体" w:hAnsi="宋体" w:cs="宋体" w:eastAsia="宋体" w:hint="default"/>
          <w:sz w:val="21"/>
          <w:szCs w:val="21"/>
        </w:rPr>
        <w:t>当拥有以净额结算的法定权利，且意图以净额结算或取得资产、清偿负债同</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时进行时，当期所得税资产及当期所得税负债以抵销后的净额列报。</w:t>
      </w:r>
      <w:r>
        <w:rPr>
          <w:rFonts w:ascii="宋体" w:hAnsi="宋体" w:cs="宋体" w:eastAsia="宋体" w:hint="default"/>
          <w:w w:val="100"/>
          <w:sz w:val="21"/>
          <w:szCs w:val="21"/>
        </w:rPr>
        <w:t> </w:t>
      </w:r>
      <w:r>
        <w:rPr>
          <w:rFonts w:ascii="宋体" w:hAnsi="宋体" w:cs="宋体" w:eastAsia="宋体" w:hint="default"/>
          <w:sz w:val="21"/>
          <w:szCs w:val="21"/>
        </w:rPr>
        <w:t>当拥有以净额结算当期所得税资产及当期所得税负债的法定权利，且递延所</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得税资产及递延所得税负债是与同一税收征管部门对同一纳税主体征收的所</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得税相关或者是对不同的纳税主体相关，但在未来每一具有重要性的递延所</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得税资产及负债转回的期间内，涉及的纳税主体意图以净额结算当期所得税</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资产和负债或是同时取得资产、清偿负债时，递延所得税资产及递延所得税</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负债以抵销后的净额列报。</w:t>
      </w:r>
    </w:p>
    <w:p>
      <w:pPr>
        <w:spacing w:line="240" w:lineRule="auto" w:before="11"/>
        <w:rPr>
          <w:rFonts w:ascii="宋体" w:hAnsi="宋体" w:cs="宋体" w:eastAsia="宋体" w:hint="default"/>
          <w:sz w:val="24"/>
          <w:szCs w:val="24"/>
        </w:rPr>
      </w:pPr>
    </w:p>
    <w:p>
      <w:pPr>
        <w:tabs>
          <w:tab w:pos="1400" w:val="left" w:leader="none"/>
        </w:tabs>
        <w:spacing w:line="345" w:lineRule="auto" w:before="0"/>
        <w:ind w:left="1383" w:right="5591" w:hanging="124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二十三</w:t>
      </w:r>
      <w:r>
        <w:rPr>
          <w:rFonts w:ascii="Times New Roman" w:hAnsi="Times New Roman" w:cs="Times New Roman" w:eastAsia="Times New Roman" w:hint="default"/>
          <w:b/>
          <w:bCs/>
          <w:sz w:val="21"/>
          <w:szCs w:val="21"/>
        </w:rPr>
        <w:t>)</w:t>
        <w:tab/>
        <w:tab/>
      </w:r>
      <w:r>
        <w:rPr>
          <w:rFonts w:ascii="宋体" w:hAnsi="宋体" w:cs="宋体" w:eastAsia="宋体" w:hint="default"/>
          <w:b/>
          <w:bCs/>
          <w:sz w:val="21"/>
          <w:szCs w:val="21"/>
        </w:rPr>
        <w:t>经营租赁</w:t>
      </w:r>
      <w:r>
        <w:rPr>
          <w:rFonts w:ascii="宋体" w:hAnsi="宋体" w:cs="宋体" w:eastAsia="宋体" w:hint="default"/>
          <w:b/>
          <w:bCs/>
          <w:w w:val="100"/>
          <w:sz w:val="21"/>
          <w:szCs w:val="21"/>
        </w:rPr>
        <w:t> </w:t>
      </w:r>
      <w:r>
        <w:rPr>
          <w:rFonts w:ascii="宋体" w:hAnsi="宋体" w:cs="宋体" w:eastAsia="宋体" w:hint="default"/>
          <w:b/>
          <w:bCs/>
          <w:sz w:val="21"/>
          <w:szCs w:val="21"/>
        </w:rPr>
        <w:t>经营租赁会计处理</w:t>
      </w:r>
      <w:r>
        <w:rPr>
          <w:rFonts w:ascii="宋体" w:hAnsi="宋体" w:cs="宋体" w:eastAsia="宋体" w:hint="default"/>
          <w:sz w:val="21"/>
          <w:szCs w:val="21"/>
        </w:rPr>
      </w:r>
    </w:p>
    <w:p>
      <w:pPr>
        <w:spacing w:line="345" w:lineRule="auto" w:before="31"/>
        <w:ind w:left="1400" w:right="13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）公司租入资产所支付的租赁费，在不扣除免租期的整个租赁期内，按直</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线法进行分摊，计入当期费用。公司支付的与租赁交易相关的初始直接费用，</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计入当期费用。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w w:val="100"/>
          <w:sz w:val="21"/>
          <w:szCs w:val="21"/>
        </w:rPr>
        <w:t>资产出租方承担了应由公司承担的与租赁相关的费用时，公司将该部分费用从</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z w:val="21"/>
          <w:szCs w:val="21"/>
        </w:rPr>
        <w:t>租金总额中扣除，按扣除后的租金费用在租赁期内分摊，计入当期费用。</w:t>
      </w:r>
    </w:p>
    <w:p>
      <w:pPr>
        <w:spacing w:line="336" w:lineRule="auto" w:before="24"/>
        <w:ind w:left="1400" w:right="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）公司出租资产所收取的租赁费，在不扣除免租期的整个租赁期内，按直</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w w:val="100"/>
          <w:sz w:val="21"/>
          <w:szCs w:val="21"/>
        </w:rPr>
        <w:t>线法进行分摊，确认为租赁收入。公司支付的与租赁交易相关的初始直接费用，</w:t>
      </w:r>
      <w:r>
        <w:rPr>
          <w:rFonts w:ascii="宋体" w:hAnsi="宋体" w:cs="宋体" w:eastAsia="宋体" w:hint="default"/>
          <w:w w:val="100"/>
          <w:sz w:val="21"/>
          <w:szCs w:val="21"/>
        </w:rPr>
        <w:t> </w:t>
      </w:r>
      <w:r>
        <w:rPr>
          <w:rFonts w:ascii="宋体" w:hAnsi="宋体" w:cs="宋体" w:eastAsia="宋体" w:hint="default"/>
          <w:spacing w:val="-5"/>
          <w:sz w:val="21"/>
          <w:szCs w:val="21"/>
        </w:rPr>
        <w:t>计入当期费用；如金额较大的，则予以资本化，在整个租赁期间内按照与租赁</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收入确认相同的基础分期计入当期收益。</w:t>
      </w:r>
      <w:r>
        <w:rPr>
          <w:rFonts w:ascii="宋体" w:hAnsi="宋体" w:cs="宋体" w:eastAsia="宋体" w:hint="default"/>
          <w:w w:val="100"/>
          <w:sz w:val="21"/>
          <w:szCs w:val="21"/>
        </w:rPr>
        <w:t> </w:t>
      </w:r>
      <w:r>
        <w:rPr>
          <w:rFonts w:ascii="宋体" w:hAnsi="宋体" w:cs="宋体" w:eastAsia="宋体" w:hint="default"/>
          <w:spacing w:val="-5"/>
          <w:w w:val="100"/>
          <w:sz w:val="21"/>
          <w:szCs w:val="21"/>
        </w:rPr>
        <w:t>公司承担了应由承租方承担的与租赁相关的费用时，公司将该部分费用从租金</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z w:val="21"/>
          <w:szCs w:val="21"/>
        </w:rPr>
        <w:t>收入总额中扣除，按扣除后的租金费用在租赁期内分配。</w:t>
      </w:r>
    </w:p>
    <w:p>
      <w:pPr>
        <w:spacing w:line="240" w:lineRule="auto" w:before="13"/>
        <w:rPr>
          <w:rFonts w:ascii="宋体" w:hAnsi="宋体" w:cs="宋体" w:eastAsia="宋体" w:hint="default"/>
          <w:sz w:val="18"/>
          <w:szCs w:val="18"/>
        </w:rPr>
      </w:pPr>
    </w:p>
    <w:p>
      <w:pPr>
        <w:tabs>
          <w:tab w:pos="1400" w:val="left" w:leader="none"/>
        </w:tabs>
        <w:spacing w:line="340" w:lineRule="auto" w:before="0"/>
        <w:ind w:left="1414" w:right="212" w:hanging="127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二十四</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关联方</w:t>
      </w:r>
      <w:r>
        <w:rPr>
          <w:rFonts w:ascii="宋体" w:hAnsi="宋体" w:cs="宋体" w:eastAsia="宋体" w:hint="default"/>
          <w:b/>
          <w:bCs/>
          <w:w w:val="100"/>
          <w:sz w:val="21"/>
          <w:szCs w:val="21"/>
        </w:rPr>
        <w:t> </w:t>
      </w:r>
      <w:r>
        <w:rPr>
          <w:rFonts w:ascii="宋体" w:hAnsi="宋体" w:cs="宋体" w:eastAsia="宋体" w:hint="default"/>
          <w:sz w:val="21"/>
          <w:szCs w:val="21"/>
        </w:rPr>
        <w:t>一方控制、共同控制另一方或对另一方施加重大影响，以及两方或两方以上</w:t>
      </w:r>
      <w:r>
        <w:rPr>
          <w:rFonts w:ascii="宋体" w:hAnsi="宋体" w:cs="宋体" w:eastAsia="宋体" w:hint="default"/>
          <w:spacing w:val="2"/>
          <w:w w:val="100"/>
          <w:sz w:val="21"/>
          <w:szCs w:val="21"/>
        </w:rPr>
        <w:t> </w:t>
      </w:r>
      <w:r>
        <w:rPr>
          <w:rFonts w:ascii="宋体" w:hAnsi="宋体" w:cs="宋体" w:eastAsia="宋体" w:hint="default"/>
          <w:position w:val="2"/>
          <w:sz w:val="21"/>
          <w:szCs w:val="21"/>
        </w:rPr>
        <w:t>同</w:t>
      </w:r>
      <w:r>
        <w:rPr>
          <w:rFonts w:ascii="宋体" w:hAnsi="宋体" w:cs="宋体" w:eastAsia="宋体" w:hint="default"/>
          <w:sz w:val="21"/>
          <w:szCs w:val="21"/>
        </w:rPr>
        <w:t>受一方控制、共同控制的，构成关联方。关联方可为个人或企业。仅仅同</w:t>
      </w:r>
      <w:r>
        <w:rPr>
          <w:rFonts w:ascii="宋体" w:hAnsi="宋体" w:cs="宋体" w:eastAsia="宋体" w:hint="default"/>
          <w:w w:val="100"/>
          <w:sz w:val="21"/>
          <w:szCs w:val="21"/>
        </w:rPr>
        <w:t> </w:t>
      </w:r>
      <w:r>
        <w:rPr>
          <w:rFonts w:ascii="宋体" w:hAnsi="宋体" w:cs="宋体" w:eastAsia="宋体" w:hint="default"/>
          <w:sz w:val="21"/>
          <w:szCs w:val="21"/>
        </w:rPr>
        <w:t>受国家控制而不存在其他关联方关系的企业，不构成本公司的关联方。</w:t>
      </w:r>
      <w:r>
        <w:rPr>
          <w:rFonts w:ascii="宋体" w:hAnsi="宋体" w:cs="宋体" w:eastAsia="宋体" w:hint="default"/>
          <w:w w:val="100"/>
          <w:sz w:val="21"/>
          <w:szCs w:val="21"/>
        </w:rPr>
        <w:t> </w:t>
      </w:r>
      <w:r>
        <w:rPr>
          <w:rFonts w:ascii="宋体" w:hAnsi="宋体" w:cs="宋体" w:eastAsia="宋体" w:hint="default"/>
          <w:position w:val="1"/>
          <w:sz w:val="21"/>
          <w:szCs w:val="21"/>
        </w:rPr>
        <w:t>本</w:t>
      </w:r>
      <w:r>
        <w:rPr>
          <w:rFonts w:ascii="宋体" w:hAnsi="宋体" w:cs="宋体" w:eastAsia="宋体" w:hint="default"/>
          <w:sz w:val="21"/>
          <w:szCs w:val="21"/>
        </w:rPr>
        <w:t>公司的关联方包括但不限于：</w:t>
      </w:r>
    </w:p>
    <w:p>
      <w:pPr>
        <w:spacing w:before="31"/>
        <w:ind w:left="1414" w:right="13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）本公司的母公司；</w:t>
      </w:r>
    </w:p>
    <w:p>
      <w:pPr>
        <w:spacing w:before="110"/>
        <w:ind w:left="1414" w:right="13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）本公司的子公司；</w:t>
      </w:r>
    </w:p>
    <w:p>
      <w:pPr>
        <w:spacing w:before="110"/>
        <w:ind w:left="1414" w:right="13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）与本公司受同一母公司控制的其他企业；</w:t>
      </w:r>
    </w:p>
    <w:p>
      <w:pPr>
        <w:spacing w:after="0"/>
        <w:jc w:val="left"/>
        <w:rPr>
          <w:rFonts w:ascii="宋体" w:hAnsi="宋体" w:cs="宋体" w:eastAsia="宋体" w:hint="default"/>
          <w:sz w:val="21"/>
          <w:szCs w:val="21"/>
        </w:rPr>
        <w:sectPr>
          <w:pgSz w:w="11910" w:h="16840"/>
          <w:pgMar w:header="884" w:footer="980" w:top="1140" w:bottom="1160" w:left="1660" w:right="1580"/>
        </w:sectPr>
      </w:pPr>
    </w:p>
    <w:p>
      <w:pPr>
        <w:spacing w:line="240" w:lineRule="auto" w:before="11"/>
        <w:rPr>
          <w:rFonts w:ascii="宋体" w:hAnsi="宋体" w:cs="宋体" w:eastAsia="宋体" w:hint="default"/>
          <w:sz w:val="25"/>
          <w:szCs w:val="25"/>
        </w:rPr>
      </w:pPr>
    </w:p>
    <w:p>
      <w:pPr>
        <w:spacing w:before="36"/>
        <w:ind w:left="141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）对本公司实施共同控制的投资方；</w:t>
      </w:r>
    </w:p>
    <w:p>
      <w:pPr>
        <w:spacing w:before="110"/>
        <w:ind w:left="141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）对本公司施加重大影响的投资方；</w:t>
      </w:r>
    </w:p>
    <w:p>
      <w:pPr>
        <w:spacing w:before="107"/>
        <w:ind w:left="141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）本公司的合营企业，包括合营企业的子公司；</w:t>
      </w:r>
    </w:p>
    <w:p>
      <w:pPr>
        <w:spacing w:before="110"/>
        <w:ind w:left="141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）本公司的联营企业，包括联营企业的子公司；</w:t>
      </w:r>
    </w:p>
    <w:p>
      <w:pPr>
        <w:spacing w:before="110"/>
        <w:ind w:left="141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）本公司的主要投资者个人及与其关系密切的家庭成员</w:t>
      </w:r>
      <w:r>
        <w:rPr>
          <w:rFonts w:ascii="宋体" w:hAnsi="宋体" w:cs="宋体" w:eastAsia="宋体" w:hint="default"/>
          <w:spacing w:val="-2"/>
          <w:sz w:val="21"/>
          <w:szCs w:val="21"/>
        </w:rPr>
        <w:t> </w:t>
      </w:r>
      <w:r>
        <w:rPr>
          <w:rFonts w:ascii="宋体" w:hAnsi="宋体" w:cs="宋体" w:eastAsia="宋体" w:hint="default"/>
          <w:sz w:val="21"/>
          <w:szCs w:val="21"/>
        </w:rPr>
        <w:t>；</w:t>
      </w:r>
    </w:p>
    <w:p>
      <w:pPr>
        <w:spacing w:before="107"/>
        <w:ind w:left="141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）本公司或其母公司的关键管理人员及与其关系密切的家庭成员；</w:t>
      </w:r>
    </w:p>
    <w:p>
      <w:pPr>
        <w:spacing w:line="331" w:lineRule="auto" w:before="110"/>
        <w:ind w:left="1414" w:right="0" w:firstLine="0"/>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10</w:t>
      </w:r>
      <w:r>
        <w:rPr>
          <w:rFonts w:ascii="宋体" w:hAnsi="宋体" w:cs="宋体" w:eastAsia="宋体" w:hint="default"/>
          <w:spacing w:val="6"/>
          <w:sz w:val="21"/>
          <w:szCs w:val="21"/>
        </w:rPr>
        <w:t>）本公司的主要投资者个人、关键管理人员或与其关系密切的家庭成</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员控制、共同控制的其他企业。</w:t>
      </w:r>
    </w:p>
    <w:p>
      <w:pPr>
        <w:spacing w:line="240" w:lineRule="auto" w:before="12"/>
        <w:rPr>
          <w:rFonts w:ascii="宋体" w:hAnsi="宋体" w:cs="宋体" w:eastAsia="宋体" w:hint="default"/>
          <w:sz w:val="25"/>
          <w:szCs w:val="25"/>
        </w:rPr>
      </w:pPr>
    </w:p>
    <w:p>
      <w:pPr>
        <w:tabs>
          <w:tab w:pos="1400" w:val="left" w:leader="none"/>
        </w:tabs>
        <w:spacing w:line="345" w:lineRule="auto" w:before="0"/>
        <w:ind w:left="1414" w:right="161" w:hanging="127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二十五</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分部报告</w:t>
      </w:r>
      <w:r>
        <w:rPr>
          <w:rFonts w:ascii="宋体" w:hAnsi="宋体" w:cs="宋体" w:eastAsia="宋体" w:hint="default"/>
          <w:b/>
          <w:bCs/>
          <w:w w:val="100"/>
          <w:sz w:val="21"/>
          <w:szCs w:val="21"/>
        </w:rPr>
        <w:t> </w:t>
      </w:r>
      <w:r>
        <w:rPr>
          <w:rFonts w:ascii="宋体" w:hAnsi="宋体" w:cs="宋体" w:eastAsia="宋体" w:hint="default"/>
          <w:sz w:val="21"/>
          <w:szCs w:val="21"/>
        </w:rPr>
        <w:t>本公司以内部组织结构、管理要求、内部报告制度为依据确定经营分部，以</w:t>
      </w:r>
    </w:p>
    <w:p>
      <w:pPr>
        <w:spacing w:line="309" w:lineRule="auto" w:before="33"/>
        <w:ind w:left="1414" w:right="0" w:firstLine="0"/>
        <w:jc w:val="left"/>
        <w:rPr>
          <w:rFonts w:ascii="宋体" w:hAnsi="宋体" w:cs="宋体" w:eastAsia="宋体" w:hint="default"/>
          <w:sz w:val="24"/>
          <w:szCs w:val="24"/>
        </w:rPr>
      </w:pPr>
      <w:r>
        <w:rPr>
          <w:rFonts w:ascii="宋体" w:hAnsi="宋体" w:cs="宋体" w:eastAsia="宋体" w:hint="default"/>
          <w:sz w:val="21"/>
          <w:szCs w:val="21"/>
        </w:rPr>
        <w:t>经营分部为基础确定报告分部。经营分部，是指公司内同时满足下列条件的</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组成部分</w:t>
      </w:r>
      <w:r>
        <w:rPr>
          <w:rFonts w:ascii="宋体" w:hAnsi="宋体" w:cs="宋体" w:eastAsia="宋体" w:hint="default"/>
          <w:sz w:val="24"/>
          <w:szCs w:val="24"/>
        </w:rPr>
        <w:t>：</w:t>
      </w:r>
    </w:p>
    <w:p>
      <w:pPr>
        <w:spacing w:line="240" w:lineRule="auto" w:before="5"/>
        <w:rPr>
          <w:rFonts w:ascii="宋体" w:hAnsi="宋体" w:cs="宋体" w:eastAsia="宋体" w:hint="default"/>
          <w:sz w:val="35"/>
          <w:szCs w:val="35"/>
        </w:rPr>
      </w:pPr>
    </w:p>
    <w:p>
      <w:pPr>
        <w:tabs>
          <w:tab w:pos="1395" w:val="left" w:leader="none"/>
        </w:tabs>
        <w:spacing w:before="0"/>
        <w:ind w:left="8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r>
      <w:r>
        <w:rPr>
          <w:rFonts w:ascii="宋体" w:hAnsi="宋体" w:cs="宋体" w:eastAsia="宋体" w:hint="default"/>
          <w:b/>
          <w:bCs/>
          <w:spacing w:val="-1"/>
          <w:sz w:val="21"/>
          <w:szCs w:val="21"/>
        </w:rPr>
        <w:t>该组成部分能够在日常活动中产生收入、发生费用；</w:t>
      </w:r>
      <w:r>
        <w:rPr>
          <w:rFonts w:ascii="宋体" w:hAnsi="宋体" w:cs="宋体" w:eastAsia="宋体" w:hint="default"/>
          <w:spacing w:val="-1"/>
          <w:sz w:val="21"/>
          <w:szCs w:val="21"/>
        </w:rPr>
      </w:r>
    </w:p>
    <w:p>
      <w:pPr>
        <w:spacing w:line="240" w:lineRule="auto" w:before="1"/>
        <w:rPr>
          <w:rFonts w:ascii="宋体" w:hAnsi="宋体" w:cs="宋体" w:eastAsia="宋体" w:hint="default"/>
          <w:b/>
          <w:bCs/>
          <w:sz w:val="32"/>
          <w:szCs w:val="32"/>
        </w:rPr>
      </w:pPr>
    </w:p>
    <w:p>
      <w:pPr>
        <w:tabs>
          <w:tab w:pos="1395" w:val="left" w:leader="none"/>
        </w:tabs>
        <w:spacing w:before="0"/>
        <w:ind w:left="8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2"/>
          <w:sz w:val="21"/>
          <w:szCs w:val="21"/>
        </w:rPr>
        <w:t>本公司管理层能够定期评价该组成部分的经营成果，以决定向其配置资源、</w:t>
      </w:r>
      <w:r>
        <w:rPr>
          <w:rFonts w:ascii="宋体" w:hAnsi="宋体" w:cs="宋体" w:eastAsia="宋体" w:hint="default"/>
          <w:spacing w:val="2"/>
          <w:sz w:val="21"/>
          <w:szCs w:val="21"/>
        </w:rPr>
      </w:r>
    </w:p>
    <w:p>
      <w:pPr>
        <w:pStyle w:val="Heading5"/>
        <w:spacing w:line="240" w:lineRule="auto" w:before="65"/>
        <w:ind w:left="1395" w:right="0"/>
        <w:jc w:val="left"/>
        <w:rPr>
          <w:b w:val="0"/>
          <w:bCs w:val="0"/>
        </w:rPr>
      </w:pPr>
      <w:r>
        <w:rPr/>
        <w:t>评价其业绩；</w:t>
      </w:r>
      <w:r>
        <w:rPr>
          <w:b w:val="0"/>
          <w:bCs w:val="0"/>
        </w:rPr>
      </w:r>
    </w:p>
    <w:p>
      <w:pPr>
        <w:spacing w:line="240" w:lineRule="auto" w:before="12"/>
        <w:rPr>
          <w:rFonts w:ascii="宋体" w:hAnsi="宋体" w:cs="宋体" w:eastAsia="宋体" w:hint="default"/>
          <w:b/>
          <w:bCs/>
          <w:sz w:val="33"/>
          <w:szCs w:val="33"/>
        </w:rPr>
      </w:pPr>
    </w:p>
    <w:p>
      <w:pPr>
        <w:tabs>
          <w:tab w:pos="1395" w:val="left" w:leader="none"/>
        </w:tabs>
        <w:spacing w:line="343" w:lineRule="auto" w:before="0"/>
        <w:ind w:left="1395" w:right="133" w:hanging="53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r>
      <w:r>
        <w:rPr>
          <w:rFonts w:ascii="宋体" w:hAnsi="宋体" w:cs="宋体" w:eastAsia="宋体" w:hint="default"/>
          <w:b/>
          <w:bCs/>
          <w:spacing w:val="2"/>
          <w:sz w:val="21"/>
          <w:szCs w:val="21"/>
        </w:rPr>
        <w:t>本公司能够取得该组成部分的财务状况、经营成果和现金流量等有关会计信</w:t>
      </w:r>
      <w:r>
        <w:rPr>
          <w:rFonts w:ascii="宋体" w:hAnsi="宋体" w:cs="宋体" w:eastAsia="宋体" w:hint="default"/>
          <w:b/>
          <w:bCs/>
          <w:spacing w:val="-82"/>
          <w:sz w:val="21"/>
          <w:szCs w:val="21"/>
        </w:rPr>
        <w:t> </w:t>
      </w:r>
      <w:r>
        <w:rPr>
          <w:rFonts w:ascii="宋体" w:hAnsi="宋体" w:cs="宋体" w:eastAsia="宋体" w:hint="default"/>
          <w:b/>
          <w:bCs/>
          <w:spacing w:val="-82"/>
          <w:sz w:val="21"/>
          <w:szCs w:val="21"/>
        </w:rPr>
      </w:r>
      <w:r>
        <w:rPr>
          <w:rFonts w:ascii="宋体" w:hAnsi="宋体" w:cs="宋体" w:eastAsia="宋体" w:hint="default"/>
          <w:b/>
          <w:bCs/>
          <w:sz w:val="21"/>
          <w:szCs w:val="21"/>
        </w:rPr>
        <w:t>息。</w:t>
      </w:r>
      <w:r>
        <w:rPr>
          <w:rFonts w:ascii="宋体" w:hAnsi="宋体" w:cs="宋体" w:eastAsia="宋体" w:hint="default"/>
          <w:b/>
          <w:bCs/>
          <w:w w:val="100"/>
          <w:sz w:val="21"/>
          <w:szCs w:val="21"/>
        </w:rPr>
        <w:t> </w:t>
      </w:r>
      <w:r>
        <w:rPr>
          <w:rFonts w:ascii="宋体" w:hAnsi="宋体" w:cs="宋体" w:eastAsia="宋体" w:hint="default"/>
          <w:spacing w:val="2"/>
          <w:sz w:val="21"/>
          <w:szCs w:val="21"/>
        </w:rPr>
        <w:t>如果两个或多个经营分部存在相似经济特征且同时在以下方面具有相同或相</w:t>
      </w:r>
      <w:r>
        <w:rPr>
          <w:rFonts w:ascii="宋体" w:hAnsi="宋体" w:cs="宋体" w:eastAsia="宋体" w:hint="default"/>
          <w:w w:val="100"/>
          <w:sz w:val="21"/>
          <w:szCs w:val="21"/>
        </w:rPr>
        <w:t> </w:t>
      </w:r>
      <w:r>
        <w:rPr>
          <w:rFonts w:ascii="宋体" w:hAnsi="宋体" w:cs="宋体" w:eastAsia="宋体" w:hint="default"/>
          <w:sz w:val="21"/>
          <w:szCs w:val="21"/>
        </w:rPr>
        <w:t>似性的，可以合并为一个经营分部：</w:t>
      </w:r>
    </w:p>
    <w:p>
      <w:pPr>
        <w:spacing w:line="240" w:lineRule="auto" w:before="0"/>
        <w:rPr>
          <w:rFonts w:ascii="宋体" w:hAnsi="宋体" w:cs="宋体" w:eastAsia="宋体" w:hint="default"/>
          <w:sz w:val="20"/>
          <w:szCs w:val="20"/>
        </w:rPr>
      </w:pPr>
    </w:p>
    <w:p>
      <w:pPr>
        <w:spacing w:before="172"/>
        <w:ind w:left="140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）各单项产品或劳务的性质；</w:t>
      </w:r>
    </w:p>
    <w:p>
      <w:pPr>
        <w:spacing w:before="110"/>
        <w:ind w:left="140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）生产过程的性质；</w:t>
      </w:r>
    </w:p>
    <w:p>
      <w:pPr>
        <w:spacing w:before="107"/>
        <w:ind w:left="140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）产品或劳务的客户类型；</w:t>
      </w:r>
    </w:p>
    <w:p>
      <w:pPr>
        <w:spacing w:before="110"/>
        <w:ind w:left="140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）销售产品或提供劳务的方式；</w:t>
      </w:r>
    </w:p>
    <w:p>
      <w:pPr>
        <w:spacing w:before="110"/>
        <w:ind w:left="140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）生产产品及提供劳务受法律、行政法规的影响。</w:t>
      </w:r>
    </w:p>
    <w:p>
      <w:pPr>
        <w:spacing w:line="240" w:lineRule="auto" w:before="1"/>
        <w:rPr>
          <w:rFonts w:ascii="宋体" w:hAnsi="宋体" w:cs="宋体" w:eastAsia="宋体" w:hint="default"/>
          <w:sz w:val="24"/>
          <w:szCs w:val="24"/>
        </w:rPr>
      </w:pPr>
    </w:p>
    <w:p>
      <w:pPr>
        <w:tabs>
          <w:tab w:pos="1400" w:val="left" w:leader="none"/>
        </w:tabs>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二十六</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主要会计政策、会计估计的变更</w:t>
      </w:r>
      <w:r>
        <w:rPr>
          <w:rFonts w:ascii="宋体" w:hAnsi="宋体" w:cs="宋体" w:eastAsia="宋体" w:hint="default"/>
          <w:sz w:val="21"/>
          <w:szCs w:val="21"/>
        </w:rPr>
      </w:r>
    </w:p>
    <w:p>
      <w:pPr>
        <w:tabs>
          <w:tab w:pos="1395" w:val="left" w:leader="none"/>
        </w:tabs>
        <w:spacing w:before="127"/>
        <w:ind w:left="8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会计政策变更</w:t>
      </w:r>
      <w:r>
        <w:rPr>
          <w:rFonts w:ascii="宋体" w:hAnsi="宋体" w:cs="宋体" w:eastAsia="宋体" w:hint="default"/>
          <w:sz w:val="21"/>
          <w:szCs w:val="21"/>
        </w:rPr>
      </w:r>
    </w:p>
    <w:p>
      <w:pPr>
        <w:spacing w:before="110"/>
        <w:ind w:left="1400" w:right="0" w:firstLine="0"/>
        <w:jc w:val="left"/>
        <w:rPr>
          <w:rFonts w:ascii="宋体" w:hAnsi="宋体" w:cs="宋体" w:eastAsia="宋体" w:hint="default"/>
          <w:sz w:val="21"/>
          <w:szCs w:val="21"/>
        </w:rPr>
      </w:pPr>
      <w:r>
        <w:rPr>
          <w:rFonts w:ascii="宋体" w:hAnsi="宋体" w:cs="宋体" w:eastAsia="宋体" w:hint="default"/>
          <w:sz w:val="21"/>
          <w:szCs w:val="21"/>
        </w:rPr>
        <w:t>本报告期公司主要会计政策未发生变更。</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tabs>
          <w:tab w:pos="1395" w:val="left" w:leader="none"/>
        </w:tabs>
        <w:spacing w:before="0"/>
        <w:ind w:left="8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会计估计变更</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84" w:footer="980" w:top="1140" w:bottom="1160" w:left="1660" w:right="1660"/>
        </w:sectPr>
      </w:pPr>
    </w:p>
    <w:p>
      <w:pPr>
        <w:spacing w:line="240" w:lineRule="auto" w:before="11"/>
        <w:rPr>
          <w:rFonts w:ascii="宋体" w:hAnsi="宋体" w:cs="宋体" w:eastAsia="宋体" w:hint="default"/>
          <w:b/>
          <w:bCs/>
          <w:sz w:val="25"/>
          <w:szCs w:val="25"/>
        </w:rPr>
      </w:pPr>
    </w:p>
    <w:p>
      <w:pPr>
        <w:spacing w:before="36"/>
        <w:ind w:left="1400" w:right="138" w:firstLine="0"/>
        <w:jc w:val="left"/>
        <w:rPr>
          <w:rFonts w:ascii="宋体" w:hAnsi="宋体" w:cs="宋体" w:eastAsia="宋体" w:hint="default"/>
          <w:sz w:val="21"/>
          <w:szCs w:val="21"/>
        </w:rPr>
      </w:pPr>
      <w:r>
        <w:rPr>
          <w:rFonts w:ascii="宋体" w:hAnsi="宋体" w:cs="宋体" w:eastAsia="宋体" w:hint="default"/>
          <w:sz w:val="21"/>
          <w:szCs w:val="21"/>
        </w:rPr>
        <w:t>本报告期公司主要会计估计未发生变更。</w:t>
      </w:r>
    </w:p>
    <w:p>
      <w:pPr>
        <w:spacing w:line="240" w:lineRule="auto" w:before="6"/>
        <w:rPr>
          <w:rFonts w:ascii="宋体" w:hAnsi="宋体" w:cs="宋体" w:eastAsia="宋体" w:hint="default"/>
          <w:sz w:val="25"/>
          <w:szCs w:val="25"/>
        </w:rPr>
      </w:pPr>
    </w:p>
    <w:p>
      <w:pPr>
        <w:tabs>
          <w:tab w:pos="1259" w:val="left" w:leader="none"/>
        </w:tabs>
        <w:spacing w:before="0"/>
        <w:ind w:left="0" w:right="5433"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二十七</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前期会计差错更正</w:t>
      </w:r>
      <w:r>
        <w:rPr>
          <w:rFonts w:ascii="宋体" w:hAnsi="宋体" w:cs="宋体" w:eastAsia="宋体" w:hint="default"/>
          <w:sz w:val="21"/>
          <w:szCs w:val="21"/>
        </w:rPr>
      </w:r>
    </w:p>
    <w:p>
      <w:pPr>
        <w:tabs>
          <w:tab w:pos="537" w:val="left" w:leader="none"/>
        </w:tabs>
        <w:spacing w:before="127"/>
        <w:ind w:left="0" w:right="5354"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追溯重述法</w:t>
      </w:r>
      <w:r>
        <w:rPr>
          <w:rFonts w:ascii="宋体" w:hAnsi="宋体" w:cs="宋体" w:eastAsia="宋体" w:hint="default"/>
          <w:sz w:val="21"/>
          <w:szCs w:val="21"/>
        </w:rPr>
      </w:r>
    </w:p>
    <w:p>
      <w:pPr>
        <w:spacing w:before="107"/>
        <w:ind w:left="1400" w:right="138" w:firstLine="0"/>
        <w:jc w:val="left"/>
        <w:rPr>
          <w:rFonts w:ascii="宋体" w:hAnsi="宋体" w:cs="宋体" w:eastAsia="宋体" w:hint="default"/>
          <w:sz w:val="21"/>
          <w:szCs w:val="21"/>
        </w:rPr>
      </w:pPr>
      <w:r>
        <w:rPr>
          <w:rFonts w:ascii="宋体" w:hAnsi="宋体" w:cs="宋体" w:eastAsia="宋体" w:hint="default"/>
          <w:sz w:val="21"/>
          <w:szCs w:val="21"/>
        </w:rPr>
        <w:t>本报告期未发生采用追溯重述法的前期会计差错更正事项。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tabs>
          <w:tab w:pos="537" w:val="left" w:leader="none"/>
        </w:tabs>
        <w:spacing w:before="0"/>
        <w:ind w:left="0" w:right="5354"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未来适用法</w:t>
      </w:r>
      <w:r>
        <w:rPr>
          <w:rFonts w:ascii="宋体" w:hAnsi="宋体" w:cs="宋体" w:eastAsia="宋体" w:hint="default"/>
          <w:sz w:val="21"/>
          <w:szCs w:val="21"/>
        </w:rPr>
      </w:r>
    </w:p>
    <w:p>
      <w:pPr>
        <w:tabs>
          <w:tab w:pos="980" w:val="left" w:leader="none"/>
        </w:tabs>
        <w:spacing w:line="530" w:lineRule="auto" w:before="107"/>
        <w:ind w:left="140" w:right="1798" w:firstLine="1259"/>
        <w:jc w:val="left"/>
        <w:rPr>
          <w:rFonts w:ascii="宋体" w:hAnsi="宋体" w:cs="宋体" w:eastAsia="宋体" w:hint="default"/>
          <w:sz w:val="21"/>
          <w:szCs w:val="21"/>
        </w:rPr>
      </w:pPr>
      <w:r>
        <w:rPr>
          <w:rFonts w:ascii="宋体" w:hAnsi="宋体" w:cs="宋体" w:eastAsia="宋体" w:hint="default"/>
          <w:spacing w:val="-2"/>
          <w:sz w:val="21"/>
          <w:szCs w:val="21"/>
        </w:rPr>
        <w:t>本报告期未发生采用未来适用法的前期会计差错更正事项。</w:t>
      </w:r>
      <w:r>
        <w:rPr>
          <w:rFonts w:ascii="宋体" w:hAnsi="宋体" w:cs="宋体" w:eastAsia="宋体" w:hint="default"/>
          <w:w w:val="100"/>
          <w:sz w:val="21"/>
          <w:szCs w:val="21"/>
        </w:rPr>
        <w:t> </w:t>
      </w:r>
      <w:r>
        <w:rPr>
          <w:rFonts w:ascii="宋体" w:hAnsi="宋体" w:cs="宋体" w:eastAsia="宋体" w:hint="default"/>
          <w:b/>
          <w:bCs/>
          <w:sz w:val="21"/>
          <w:szCs w:val="21"/>
        </w:rPr>
        <w:t>三、</w:t>
        <w:tab/>
        <w:t>税项</w:t>
      </w:r>
      <w:r>
        <w:rPr>
          <w:rFonts w:ascii="宋体" w:hAnsi="宋体" w:cs="宋体" w:eastAsia="宋体" w:hint="default"/>
          <w:sz w:val="21"/>
          <w:szCs w:val="21"/>
        </w:rPr>
      </w:r>
    </w:p>
    <w:p>
      <w:pPr>
        <w:spacing w:line="240" w:lineRule="auto" w:before="1"/>
        <w:rPr>
          <w:rFonts w:ascii="宋体" w:hAnsi="宋体" w:cs="宋体" w:eastAsia="宋体" w:hint="default"/>
          <w:b/>
          <w:bCs/>
          <w:sz w:val="14"/>
          <w:szCs w:val="14"/>
        </w:rPr>
      </w:pPr>
    </w:p>
    <w:p>
      <w:pPr>
        <w:tabs>
          <w:tab w:pos="980" w:val="left" w:leader="none"/>
        </w:tabs>
        <w:spacing w:before="0"/>
        <w:ind w:left="140" w:right="13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公司主要税种和税率</w:t>
      </w:r>
      <w:r>
        <w:rPr>
          <w:rFonts w:ascii="宋体" w:hAnsi="宋体" w:cs="宋体" w:eastAsia="宋体" w:hint="default"/>
          <w:sz w:val="21"/>
          <w:szCs w:val="21"/>
        </w:rPr>
      </w:r>
    </w:p>
    <w:p>
      <w:pPr>
        <w:spacing w:line="240" w:lineRule="auto" w:before="8"/>
        <w:rPr>
          <w:rFonts w:ascii="宋体" w:hAnsi="宋体" w:cs="宋体" w:eastAsia="宋体" w:hint="default"/>
          <w:b/>
          <w:bCs/>
          <w:sz w:val="2"/>
          <w:szCs w:val="2"/>
        </w:rPr>
      </w:pPr>
    </w:p>
    <w:tbl>
      <w:tblPr>
        <w:tblW w:w="0" w:type="auto"/>
        <w:jc w:val="left"/>
        <w:tblInd w:w="721" w:type="dxa"/>
        <w:tblLayout w:type="fixed"/>
        <w:tblCellMar>
          <w:top w:w="0" w:type="dxa"/>
          <w:left w:w="0" w:type="dxa"/>
          <w:bottom w:w="0" w:type="dxa"/>
          <w:right w:w="0" w:type="dxa"/>
        </w:tblCellMar>
        <w:tblLook w:val="01E0"/>
      </w:tblPr>
      <w:tblGrid>
        <w:gridCol w:w="1707"/>
        <w:gridCol w:w="3478"/>
        <w:gridCol w:w="1056"/>
        <w:gridCol w:w="1460"/>
      </w:tblGrid>
      <w:tr>
        <w:trPr>
          <w:trHeight w:val="410" w:hRule="exact"/>
        </w:trPr>
        <w:tc>
          <w:tcPr>
            <w:tcW w:w="1707" w:type="dxa"/>
            <w:tcBorders>
              <w:top w:val="single" w:sz="12" w:space="0" w:color="000000"/>
              <w:left w:val="nil" w:sz="6" w:space="0" w:color="auto"/>
              <w:bottom w:val="dotted" w:sz="4" w:space="0" w:color="000000"/>
              <w:right w:val="dotted" w:sz="4" w:space="0" w:color="000000"/>
            </w:tcBorders>
          </w:tcPr>
          <w:p>
            <w:pPr>
              <w:pStyle w:val="TableParagraph"/>
              <w:tabs>
                <w:tab w:pos="967" w:val="left" w:leader="none"/>
              </w:tabs>
              <w:spacing w:line="240" w:lineRule="auto" w:before="26"/>
              <w:ind w:left="544" w:right="0"/>
              <w:jc w:val="left"/>
              <w:rPr>
                <w:rFonts w:ascii="宋体" w:hAnsi="宋体" w:cs="宋体" w:eastAsia="宋体" w:hint="default"/>
                <w:sz w:val="21"/>
                <w:szCs w:val="21"/>
              </w:rPr>
            </w:pPr>
            <w:r>
              <w:rPr>
                <w:rFonts w:ascii="宋体" w:hAnsi="宋体" w:cs="宋体" w:eastAsia="宋体" w:hint="default"/>
                <w:sz w:val="21"/>
                <w:szCs w:val="21"/>
              </w:rPr>
              <w:t>税</w:t>
              <w:tab/>
              <w:t>种</w:t>
            </w:r>
          </w:p>
        </w:tc>
        <w:tc>
          <w:tcPr>
            <w:tcW w:w="347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0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6"/>
              <w:ind w:right="311"/>
              <w:jc w:val="right"/>
              <w:rPr>
                <w:rFonts w:ascii="宋体" w:hAnsi="宋体" w:cs="宋体" w:eastAsia="宋体" w:hint="default"/>
                <w:sz w:val="21"/>
                <w:szCs w:val="21"/>
              </w:rPr>
            </w:pPr>
            <w:r>
              <w:rPr>
                <w:rFonts w:ascii="宋体" w:hAnsi="宋体" w:cs="宋体" w:eastAsia="宋体" w:hint="default"/>
                <w:sz w:val="21"/>
                <w:szCs w:val="21"/>
              </w:rPr>
              <w:t>税率</w:t>
            </w:r>
          </w:p>
        </w:tc>
        <w:tc>
          <w:tcPr>
            <w:tcW w:w="1460" w:type="dxa"/>
            <w:tcBorders>
              <w:top w:val="single" w:sz="12" w:space="0" w:color="000000"/>
              <w:left w:val="dotted" w:sz="4" w:space="0" w:color="000000"/>
              <w:bottom w:val="dotted" w:sz="4" w:space="0" w:color="000000"/>
              <w:right w:val="nil" w:sz="6" w:space="0" w:color="auto"/>
            </w:tcBorders>
          </w:tcPr>
          <w:p>
            <w:pPr/>
          </w:p>
        </w:tc>
      </w:tr>
      <w:tr>
        <w:trPr>
          <w:trHeight w:val="1570" w:hRule="exact"/>
        </w:trPr>
        <w:tc>
          <w:tcPr>
            <w:tcW w:w="170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478" w:type="dxa"/>
            <w:tcBorders>
              <w:top w:val="dotted" w:sz="4" w:space="0" w:color="000000"/>
              <w:left w:val="dotted" w:sz="4" w:space="0" w:color="000000"/>
              <w:bottom w:val="dotted" w:sz="4" w:space="0" w:color="000000"/>
              <w:right w:val="dotted" w:sz="4" w:space="0" w:color="000000"/>
            </w:tcBorders>
          </w:tcPr>
          <w:p>
            <w:pPr>
              <w:pStyle w:val="TableParagraph"/>
              <w:spacing w:line="340" w:lineRule="auto" w:before="26"/>
              <w:ind w:left="103" w:right="98" w:firstLine="2"/>
              <w:jc w:val="both"/>
              <w:rPr>
                <w:rFonts w:ascii="宋体" w:hAnsi="宋体" w:cs="宋体" w:eastAsia="宋体" w:hint="default"/>
                <w:sz w:val="21"/>
                <w:szCs w:val="21"/>
              </w:rPr>
            </w:pPr>
            <w:r>
              <w:rPr>
                <w:rFonts w:ascii="宋体" w:hAnsi="宋体" w:cs="宋体" w:eastAsia="宋体" w:hint="default"/>
                <w:spacing w:val="4"/>
                <w:sz w:val="21"/>
                <w:szCs w:val="21"/>
              </w:rPr>
              <w:t>按税法规定计算的销售货物和应税</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8"/>
                <w:w w:val="100"/>
                <w:sz w:val="21"/>
                <w:szCs w:val="21"/>
              </w:rPr>
              <w:t>劳务收入为基础计算销项税额，在扣</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8"/>
                <w:w w:val="100"/>
                <w:sz w:val="21"/>
                <w:szCs w:val="21"/>
              </w:rPr>
              <w:t>除当期允许抵扣的进项税额后，差额</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部分为应交增值税</w:t>
            </w:r>
          </w:p>
        </w:tc>
        <w:tc>
          <w:tcPr>
            <w:tcW w:w="10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5"/>
              <w:ind w:right="328"/>
              <w:jc w:val="right"/>
              <w:rPr>
                <w:rFonts w:ascii="Times New Roman" w:hAnsi="Times New Roman" w:cs="Times New Roman" w:eastAsia="Times New Roman" w:hint="default"/>
                <w:sz w:val="21"/>
                <w:szCs w:val="21"/>
              </w:rPr>
            </w:pPr>
            <w:r>
              <w:rPr>
                <w:rFonts w:ascii="Times New Roman"/>
                <w:sz w:val="21"/>
              </w:rPr>
              <w:t>17%</w:t>
            </w:r>
          </w:p>
        </w:tc>
        <w:tc>
          <w:tcPr>
            <w:tcW w:w="1460" w:type="dxa"/>
            <w:tcBorders>
              <w:top w:val="dotted" w:sz="4" w:space="0" w:color="000000"/>
              <w:left w:val="dotted" w:sz="4" w:space="0" w:color="000000"/>
              <w:bottom w:val="dotted" w:sz="4" w:space="0" w:color="000000"/>
              <w:right w:val="nil" w:sz="6" w:space="0" w:color="auto"/>
            </w:tcBorders>
          </w:tcPr>
          <w:p>
            <w:pPr/>
          </w:p>
        </w:tc>
      </w:tr>
      <w:tr>
        <w:trPr>
          <w:trHeight w:val="790" w:hRule="exact"/>
        </w:trPr>
        <w:tc>
          <w:tcPr>
            <w:tcW w:w="17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4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按应税销售收入计征</w:t>
            </w:r>
          </w:p>
        </w:tc>
        <w:tc>
          <w:tcPr>
            <w:tcW w:w="10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381"/>
              <w:jc w:val="right"/>
              <w:rPr>
                <w:rFonts w:ascii="Times New Roman" w:hAnsi="Times New Roman" w:cs="Times New Roman" w:eastAsia="Times New Roman" w:hint="default"/>
                <w:sz w:val="21"/>
                <w:szCs w:val="21"/>
              </w:rPr>
            </w:pPr>
            <w:r>
              <w:rPr>
                <w:rFonts w:ascii="Times New Roman"/>
                <w:sz w:val="21"/>
              </w:rPr>
              <w:t>5%</w:t>
            </w:r>
          </w:p>
        </w:tc>
        <w:tc>
          <w:tcPr>
            <w:tcW w:w="1460" w:type="dxa"/>
            <w:tcBorders>
              <w:top w:val="dotted" w:sz="4" w:space="0" w:color="000000"/>
              <w:left w:val="dotted" w:sz="4" w:space="0" w:color="000000"/>
              <w:bottom w:val="dotted" w:sz="4" w:space="0" w:color="000000"/>
              <w:right w:val="nil" w:sz="6" w:space="0" w:color="auto"/>
            </w:tcBorders>
          </w:tcPr>
          <w:p>
            <w:pPr>
              <w:pStyle w:val="TableParagraph"/>
              <w:spacing w:line="338" w:lineRule="auto" w:before="26"/>
              <w:ind w:left="103" w:right="102" w:firstLine="2"/>
              <w:jc w:val="left"/>
              <w:rPr>
                <w:rFonts w:ascii="宋体" w:hAnsi="宋体" w:cs="宋体" w:eastAsia="宋体" w:hint="default"/>
                <w:sz w:val="21"/>
                <w:szCs w:val="21"/>
              </w:rPr>
            </w:pPr>
            <w:r>
              <w:rPr>
                <w:rFonts w:ascii="宋体" w:hAnsi="宋体" w:cs="宋体" w:eastAsia="宋体" w:hint="default"/>
                <w:sz w:val="21"/>
                <w:szCs w:val="21"/>
              </w:rPr>
              <w:t>汉</w:t>
            </w:r>
            <w:r>
              <w:rPr>
                <w:rFonts w:ascii="宋体" w:hAnsi="宋体" w:cs="宋体" w:eastAsia="宋体" w:hint="default"/>
                <w:spacing w:val="-57"/>
                <w:sz w:val="21"/>
                <w:szCs w:val="21"/>
              </w:rPr>
              <w:t> </w:t>
            </w:r>
            <w:r>
              <w:rPr>
                <w:rFonts w:ascii="宋体" w:hAnsi="宋体" w:cs="宋体" w:eastAsia="宋体" w:hint="default"/>
                <w:sz w:val="21"/>
                <w:szCs w:val="21"/>
              </w:rPr>
              <w:t>得</w:t>
            </w:r>
            <w:r>
              <w:rPr>
                <w:rFonts w:ascii="宋体" w:hAnsi="宋体" w:cs="宋体" w:eastAsia="宋体" w:hint="default"/>
                <w:spacing w:val="-57"/>
                <w:sz w:val="21"/>
                <w:szCs w:val="21"/>
              </w:rPr>
              <w:t> </w:t>
            </w:r>
            <w:r>
              <w:rPr>
                <w:rFonts w:ascii="宋体" w:hAnsi="宋体" w:cs="宋体" w:eastAsia="宋体" w:hint="default"/>
                <w:sz w:val="21"/>
                <w:szCs w:val="21"/>
              </w:rPr>
              <w:t>日</w:t>
            </w:r>
            <w:r>
              <w:rPr>
                <w:rFonts w:ascii="宋体" w:hAnsi="宋体" w:cs="宋体" w:eastAsia="宋体" w:hint="default"/>
                <w:spacing w:val="-59"/>
                <w:sz w:val="21"/>
                <w:szCs w:val="21"/>
              </w:rPr>
              <w:t> </w:t>
            </w:r>
            <w:r>
              <w:rPr>
                <w:rFonts w:ascii="宋体" w:hAnsi="宋体" w:cs="宋体" w:eastAsia="宋体" w:hint="default"/>
                <w:sz w:val="21"/>
                <w:szCs w:val="21"/>
              </w:rPr>
              <w:t>本</w:t>
            </w:r>
            <w:r>
              <w:rPr>
                <w:rFonts w:ascii="宋体" w:hAnsi="宋体" w:cs="宋体" w:eastAsia="宋体" w:hint="default"/>
                <w:spacing w:val="-57"/>
                <w:sz w:val="21"/>
                <w:szCs w:val="21"/>
              </w:rPr>
              <w:t> </w:t>
            </w:r>
            <w:r>
              <w:rPr>
                <w:rFonts w:ascii="宋体" w:hAnsi="宋体" w:cs="宋体" w:eastAsia="宋体" w:hint="default"/>
                <w:sz w:val="21"/>
                <w:szCs w:val="21"/>
              </w:rPr>
              <w:t>株</w:t>
            </w:r>
            <w:r>
              <w:rPr>
                <w:rFonts w:ascii="宋体" w:hAnsi="宋体" w:cs="宋体" w:eastAsia="宋体" w:hint="default"/>
                <w:w w:val="100"/>
                <w:sz w:val="21"/>
                <w:szCs w:val="21"/>
              </w:rPr>
              <w:t> </w:t>
            </w:r>
            <w:r>
              <w:rPr>
                <w:rFonts w:ascii="宋体" w:hAnsi="宋体" w:cs="宋体" w:eastAsia="宋体" w:hint="default"/>
                <w:sz w:val="21"/>
                <w:szCs w:val="21"/>
              </w:rPr>
              <w:t>式会社缴纳</w:t>
            </w:r>
          </w:p>
        </w:tc>
      </w:tr>
      <w:tr>
        <w:trPr>
          <w:trHeight w:val="401" w:hRule="exact"/>
        </w:trPr>
        <w:tc>
          <w:tcPr>
            <w:tcW w:w="17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6"/>
              <w:ind w:left="1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4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sz w:val="21"/>
                <w:szCs w:val="21"/>
              </w:rPr>
              <w:t>按应税营业收入计征</w:t>
            </w:r>
          </w:p>
        </w:tc>
        <w:tc>
          <w:tcPr>
            <w:tcW w:w="10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2"/>
              <w:ind w:right="381"/>
              <w:jc w:val="right"/>
              <w:rPr>
                <w:rFonts w:ascii="Times New Roman" w:hAnsi="Times New Roman" w:cs="Times New Roman" w:eastAsia="Times New Roman" w:hint="default"/>
                <w:sz w:val="21"/>
                <w:szCs w:val="21"/>
              </w:rPr>
            </w:pPr>
            <w:r>
              <w:rPr>
                <w:rFonts w:ascii="Times New Roman"/>
                <w:sz w:val="21"/>
              </w:rPr>
              <w:t>5%</w:t>
            </w:r>
          </w:p>
        </w:tc>
        <w:tc>
          <w:tcPr>
            <w:tcW w:w="1460" w:type="dxa"/>
            <w:tcBorders>
              <w:top w:val="dotted" w:sz="4" w:space="0" w:color="000000"/>
              <w:left w:val="dotted" w:sz="4" w:space="0" w:color="000000"/>
              <w:bottom w:val="dotted" w:sz="4" w:space="0" w:color="000000"/>
              <w:right w:val="nil" w:sz="6" w:space="0" w:color="auto"/>
            </w:tcBorders>
          </w:tcPr>
          <w:p>
            <w:pPr/>
          </w:p>
        </w:tc>
      </w:tr>
      <w:tr>
        <w:trPr>
          <w:trHeight w:val="790" w:hRule="exact"/>
        </w:trPr>
        <w:tc>
          <w:tcPr>
            <w:tcW w:w="17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6"/>
              <w:ind w:left="1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478" w:type="dxa"/>
            <w:tcBorders>
              <w:top w:val="dotted" w:sz="4" w:space="0" w:color="000000"/>
              <w:left w:val="dotted" w:sz="4" w:space="0" w:color="000000"/>
              <w:bottom w:val="dotted" w:sz="4" w:space="0" w:color="000000"/>
              <w:right w:val="dotted" w:sz="4" w:space="0" w:color="000000"/>
            </w:tcBorders>
          </w:tcPr>
          <w:p>
            <w:pPr>
              <w:pStyle w:val="TableParagraph"/>
              <w:spacing w:line="340" w:lineRule="auto" w:before="26"/>
              <w:ind w:left="103" w:right="98" w:firstLine="2"/>
              <w:jc w:val="left"/>
              <w:rPr>
                <w:rFonts w:ascii="宋体" w:hAnsi="宋体" w:cs="宋体" w:eastAsia="宋体" w:hint="default"/>
                <w:sz w:val="21"/>
                <w:szCs w:val="21"/>
              </w:rPr>
            </w:pPr>
            <w:r>
              <w:rPr>
                <w:rFonts w:ascii="宋体" w:hAnsi="宋体" w:cs="宋体" w:eastAsia="宋体" w:hint="default"/>
                <w:spacing w:val="-8"/>
                <w:w w:val="100"/>
                <w:sz w:val="21"/>
                <w:szCs w:val="21"/>
              </w:rPr>
              <w:t>按实际缴纳的营业税、增值税及消费</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税计征</w:t>
            </w:r>
          </w:p>
        </w:tc>
        <w:tc>
          <w:tcPr>
            <w:tcW w:w="10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2"/>
              <w:ind w:right="381"/>
              <w:jc w:val="right"/>
              <w:rPr>
                <w:rFonts w:ascii="Times New Roman" w:hAnsi="Times New Roman" w:cs="Times New Roman" w:eastAsia="Times New Roman" w:hint="default"/>
                <w:sz w:val="21"/>
                <w:szCs w:val="21"/>
              </w:rPr>
            </w:pPr>
            <w:r>
              <w:rPr>
                <w:rFonts w:ascii="Times New Roman"/>
                <w:sz w:val="21"/>
              </w:rPr>
              <w:t>1%</w:t>
            </w:r>
          </w:p>
        </w:tc>
        <w:tc>
          <w:tcPr>
            <w:tcW w:w="1460" w:type="dxa"/>
            <w:tcBorders>
              <w:top w:val="dotted" w:sz="4" w:space="0" w:color="000000"/>
              <w:left w:val="dotted" w:sz="4" w:space="0" w:color="000000"/>
              <w:bottom w:val="dotted" w:sz="4" w:space="0" w:color="000000"/>
              <w:right w:val="nil" w:sz="6" w:space="0" w:color="auto"/>
            </w:tcBorders>
          </w:tcPr>
          <w:p>
            <w:pPr/>
          </w:p>
        </w:tc>
      </w:tr>
      <w:tr>
        <w:trPr>
          <w:trHeight w:val="420" w:hRule="exact"/>
        </w:trPr>
        <w:tc>
          <w:tcPr>
            <w:tcW w:w="170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6"/>
              <w:ind w:left="1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4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p>
        </w:tc>
        <w:tc>
          <w:tcPr>
            <w:tcW w:w="10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2"/>
              <w:ind w:right="328"/>
              <w:jc w:val="right"/>
              <w:rPr>
                <w:rFonts w:ascii="Times New Roman" w:hAnsi="Times New Roman" w:cs="Times New Roman" w:eastAsia="Times New Roman" w:hint="default"/>
                <w:sz w:val="21"/>
                <w:szCs w:val="21"/>
              </w:rPr>
            </w:pPr>
            <w:r>
              <w:rPr>
                <w:rFonts w:ascii="Times New Roman"/>
                <w:sz w:val="21"/>
              </w:rPr>
              <w:t>15%</w:t>
            </w:r>
          </w:p>
        </w:tc>
        <w:tc>
          <w:tcPr>
            <w:tcW w:w="146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4"/>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spacing w:line="348" w:lineRule="auto" w:before="36"/>
        <w:ind w:left="858" w:right="216" w:firstLine="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6"/>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：上海汉得信息技术股份有限公司</w:t>
      </w:r>
      <w:r>
        <w:rPr>
          <w:rFonts w:ascii="宋体" w:hAnsi="宋体" w:cs="宋体" w:eastAsia="宋体" w:hint="default"/>
          <w:spacing w:val="-46"/>
          <w:sz w:val="21"/>
          <w:szCs w:val="21"/>
        </w:rPr>
        <w:t> </w:t>
      </w:r>
      <w:r>
        <w:rPr>
          <w:rFonts w:ascii="宋体" w:hAnsi="宋体" w:cs="宋体" w:eastAsia="宋体" w:hint="default"/>
          <w:sz w:val="21"/>
          <w:szCs w:val="21"/>
        </w:rPr>
        <w:t>2010</w:t>
      </w:r>
      <w:r>
        <w:rPr>
          <w:rFonts w:ascii="宋体" w:hAnsi="宋体" w:cs="宋体" w:eastAsia="宋体" w:hint="default"/>
          <w:spacing w:val="-46"/>
          <w:sz w:val="21"/>
          <w:szCs w:val="21"/>
        </w:rPr>
        <w:t> </w:t>
      </w:r>
      <w:r>
        <w:rPr>
          <w:rFonts w:ascii="宋体" w:hAnsi="宋体" w:cs="宋体" w:eastAsia="宋体" w:hint="default"/>
          <w:sz w:val="21"/>
          <w:szCs w:val="21"/>
        </w:rPr>
        <w:t>年度企业所得税率按</w:t>
      </w:r>
      <w:r>
        <w:rPr>
          <w:rFonts w:ascii="宋体" w:hAnsi="宋体" w:cs="宋体" w:eastAsia="宋体" w:hint="default"/>
          <w:spacing w:val="-46"/>
          <w:sz w:val="21"/>
          <w:szCs w:val="21"/>
        </w:rPr>
        <w:t> </w:t>
      </w:r>
      <w:r>
        <w:rPr>
          <w:rFonts w:ascii="宋体" w:hAnsi="宋体" w:cs="宋体" w:eastAsia="宋体" w:hint="default"/>
          <w:spacing w:val="-3"/>
          <w:sz w:val="21"/>
          <w:szCs w:val="21"/>
        </w:rPr>
        <w:t>10%</w:t>
      </w:r>
      <w:r>
        <w:rPr>
          <w:rFonts w:ascii="宋体" w:hAnsi="宋体" w:cs="宋体" w:eastAsia="宋体" w:hint="default"/>
          <w:spacing w:val="-3"/>
          <w:sz w:val="21"/>
          <w:szCs w:val="21"/>
        </w:rPr>
        <w:t>征收。</w:t>
      </w:r>
      <w:r>
        <w:rPr>
          <w:rFonts w:ascii="宋体" w:hAnsi="宋体" w:cs="宋体" w:eastAsia="宋体" w:hint="default"/>
          <w:spacing w:val="-3"/>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102"/>
          <w:sz w:val="21"/>
          <w:szCs w:val="21"/>
        </w:rPr>
        <w:t> </w:t>
      </w:r>
      <w:r>
        <w:rPr>
          <w:rFonts w:ascii="宋体" w:hAnsi="宋体" w:cs="宋体" w:eastAsia="宋体" w:hint="default"/>
          <w:spacing w:val="-2"/>
          <w:sz w:val="21"/>
          <w:szCs w:val="21"/>
        </w:rPr>
        <w:t>度继续被认定为高新技术企业，为期三年。所得税税率按</w:t>
      </w:r>
      <w:r>
        <w:rPr>
          <w:rFonts w:ascii="宋体" w:hAnsi="宋体" w:cs="宋体" w:eastAsia="宋体" w:hint="default"/>
          <w:spacing w:val="-1"/>
          <w:sz w:val="21"/>
          <w:szCs w:val="21"/>
        </w:rPr>
        <w:t> </w:t>
      </w:r>
      <w:r>
        <w:rPr>
          <w:rFonts w:ascii="宋体" w:hAnsi="宋体" w:cs="宋体" w:eastAsia="宋体" w:hint="default"/>
          <w:spacing w:val="-1"/>
          <w:sz w:val="21"/>
          <w:szCs w:val="21"/>
        </w:rPr>
        <w:t>15%</w:t>
      </w:r>
      <w:r>
        <w:rPr>
          <w:rFonts w:ascii="宋体" w:hAnsi="宋体" w:cs="宋体" w:eastAsia="宋体" w:hint="default"/>
          <w:spacing w:val="-1"/>
          <w:sz w:val="21"/>
          <w:szCs w:val="21"/>
        </w:rPr>
        <w:t>计征。</w:t>
      </w:r>
    </w:p>
    <w:p>
      <w:pPr>
        <w:spacing w:line="240" w:lineRule="auto" w:before="0"/>
        <w:rPr>
          <w:rFonts w:ascii="宋体" w:hAnsi="宋体" w:cs="宋体" w:eastAsia="宋体" w:hint="default"/>
          <w:sz w:val="20"/>
          <w:szCs w:val="20"/>
        </w:rPr>
      </w:pPr>
    </w:p>
    <w:p>
      <w:pPr>
        <w:spacing w:line="350" w:lineRule="auto" w:before="170"/>
        <w:ind w:left="858" w:right="211" w:firstLine="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26"/>
          <w:sz w:val="21"/>
          <w:szCs w:val="21"/>
        </w:rPr>
        <w:t> </w:t>
      </w:r>
      <w:r>
        <w:rPr>
          <w:rFonts w:ascii="宋体" w:hAnsi="宋体" w:cs="宋体" w:eastAsia="宋体" w:hint="default"/>
          <w:sz w:val="21"/>
          <w:szCs w:val="21"/>
        </w:rPr>
        <w:t>2</w:t>
      </w:r>
      <w:r>
        <w:rPr>
          <w:rFonts w:ascii="宋体" w:hAnsi="宋体" w:cs="宋体" w:eastAsia="宋体" w:hint="default"/>
          <w:sz w:val="21"/>
          <w:szCs w:val="21"/>
        </w:rPr>
        <w:t>：子公司汉得日本株式会社法人税税率为</w:t>
      </w:r>
      <w:r>
        <w:rPr>
          <w:rFonts w:ascii="宋体" w:hAnsi="宋体" w:cs="宋体" w:eastAsia="宋体" w:hint="default"/>
          <w:spacing w:val="-28"/>
          <w:sz w:val="21"/>
          <w:szCs w:val="21"/>
        </w:rPr>
        <w:t> </w:t>
      </w:r>
      <w:r>
        <w:rPr>
          <w:rFonts w:ascii="宋体" w:hAnsi="宋体" w:cs="宋体" w:eastAsia="宋体" w:hint="default"/>
          <w:sz w:val="21"/>
          <w:szCs w:val="21"/>
        </w:rPr>
        <w:t>18%</w:t>
      </w:r>
      <w:r>
        <w:rPr>
          <w:rFonts w:ascii="宋体" w:hAnsi="宋体" w:cs="宋体" w:eastAsia="宋体" w:hint="default"/>
          <w:sz w:val="21"/>
          <w:szCs w:val="21"/>
        </w:rPr>
        <w:t>，法人事业税的税率为</w:t>
      </w:r>
      <w:r>
        <w:rPr>
          <w:rFonts w:ascii="宋体" w:hAnsi="宋体" w:cs="宋体" w:eastAsia="宋体" w:hint="default"/>
          <w:spacing w:val="-27"/>
          <w:sz w:val="21"/>
          <w:szCs w:val="21"/>
        </w:rPr>
        <w:t> </w:t>
      </w:r>
      <w:r>
        <w:rPr>
          <w:rFonts w:ascii="宋体" w:hAnsi="宋体" w:cs="宋体" w:eastAsia="宋体" w:hint="default"/>
          <w:sz w:val="21"/>
          <w:szCs w:val="21"/>
        </w:rPr>
        <w:t>2.7%</w:t>
      </w:r>
      <w:r>
        <w:rPr>
          <w:rFonts w:ascii="宋体" w:hAnsi="宋体" w:cs="宋体" w:eastAsia="宋体" w:hint="default"/>
          <w:sz w:val="21"/>
          <w:szCs w:val="21"/>
        </w:rPr>
        <w:t>，按</w:t>
      </w:r>
      <w:r>
        <w:rPr>
          <w:rFonts w:ascii="宋体" w:hAnsi="宋体" w:cs="宋体" w:eastAsia="宋体" w:hint="default"/>
          <w:w w:val="100"/>
          <w:sz w:val="21"/>
          <w:szCs w:val="21"/>
        </w:rPr>
        <w:t> </w:t>
      </w:r>
      <w:r>
        <w:rPr>
          <w:rFonts w:ascii="宋体" w:hAnsi="宋体" w:cs="宋体" w:eastAsia="宋体" w:hint="default"/>
          <w:sz w:val="21"/>
          <w:szCs w:val="21"/>
        </w:rPr>
        <w:t>法人事业税的</w:t>
      </w:r>
      <w:r>
        <w:rPr>
          <w:rFonts w:ascii="宋体" w:hAnsi="宋体" w:cs="宋体" w:eastAsia="宋体" w:hint="default"/>
          <w:spacing w:val="-31"/>
          <w:sz w:val="21"/>
          <w:szCs w:val="21"/>
        </w:rPr>
        <w:t> </w:t>
      </w:r>
      <w:r>
        <w:rPr>
          <w:rFonts w:ascii="宋体" w:hAnsi="宋体" w:cs="宋体" w:eastAsia="宋体" w:hint="default"/>
          <w:spacing w:val="-4"/>
          <w:sz w:val="21"/>
          <w:szCs w:val="21"/>
        </w:rPr>
        <w:t>81%</w:t>
      </w:r>
      <w:r>
        <w:rPr>
          <w:rFonts w:ascii="宋体" w:hAnsi="宋体" w:cs="宋体" w:eastAsia="宋体" w:hint="default"/>
          <w:spacing w:val="-4"/>
          <w:sz w:val="21"/>
          <w:szCs w:val="21"/>
        </w:rPr>
        <w:t>缴纳地方法人特别税，按法人税</w:t>
      </w:r>
      <w:r>
        <w:rPr>
          <w:rFonts w:ascii="宋体" w:hAnsi="宋体" w:cs="宋体" w:eastAsia="宋体" w:hint="default"/>
          <w:spacing w:val="-31"/>
          <w:sz w:val="21"/>
          <w:szCs w:val="21"/>
        </w:rPr>
        <w:t> </w:t>
      </w:r>
      <w:r>
        <w:rPr>
          <w:rFonts w:ascii="宋体" w:hAnsi="宋体" w:cs="宋体" w:eastAsia="宋体" w:hint="default"/>
          <w:spacing w:val="-4"/>
          <w:sz w:val="21"/>
          <w:szCs w:val="21"/>
        </w:rPr>
        <w:t>17.3%</w:t>
      </w:r>
      <w:r>
        <w:rPr>
          <w:rFonts w:ascii="宋体" w:hAnsi="宋体" w:cs="宋体" w:eastAsia="宋体" w:hint="default"/>
          <w:spacing w:val="-4"/>
          <w:sz w:val="21"/>
          <w:szCs w:val="21"/>
        </w:rPr>
        <w:t>缴纳法人都民税。汉得日本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株式会社</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年按照</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万日币定额征收法人都民税。</w:t>
      </w:r>
    </w:p>
    <w:p>
      <w:pPr>
        <w:spacing w:line="240" w:lineRule="auto" w:before="6"/>
        <w:rPr>
          <w:rFonts w:ascii="宋体" w:hAnsi="宋体" w:cs="宋体" w:eastAsia="宋体" w:hint="default"/>
          <w:sz w:val="19"/>
          <w:szCs w:val="19"/>
        </w:rPr>
      </w:pPr>
    </w:p>
    <w:p>
      <w:pPr>
        <w:tabs>
          <w:tab w:pos="980" w:val="left" w:leader="none"/>
        </w:tabs>
        <w:spacing w:before="0"/>
        <w:ind w:left="140" w:right="13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税收优惠及批文</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tabs>
          <w:tab w:pos="1393" w:val="left" w:leader="none"/>
        </w:tabs>
        <w:spacing w:line="348" w:lineRule="auto" w:before="151"/>
        <w:ind w:left="1393" w:right="108" w:hanging="536"/>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w w:val="100"/>
          <w:sz w:val="21"/>
          <w:szCs w:val="21"/>
        </w:rPr>
        <w:t>、</w:t>
        <w:tab/>
      </w:r>
      <w:r>
        <w:rPr>
          <w:rFonts w:ascii="宋体" w:hAnsi="宋体" w:cs="宋体" w:eastAsia="宋体" w:hint="default"/>
          <w:spacing w:val="-7"/>
          <w:w w:val="100"/>
          <w:sz w:val="21"/>
          <w:szCs w:val="21"/>
        </w:rPr>
        <w:t>根据财政部、国家税务总局关于贯彻落实《中共中央国务院关于加强技术创新，</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2"/>
          <w:sz w:val="21"/>
          <w:szCs w:val="21"/>
        </w:rPr>
        <w:t>发展高科技，实现产业化的决定》有关税收问题的通知“财税字【</w:t>
      </w:r>
      <w:r>
        <w:rPr>
          <w:rFonts w:ascii="宋体" w:hAnsi="宋体" w:cs="宋体" w:eastAsia="宋体" w:hint="default"/>
          <w:spacing w:val="2"/>
          <w:sz w:val="21"/>
          <w:szCs w:val="21"/>
        </w:rPr>
        <w:t>1999</w:t>
      </w:r>
      <w:r>
        <w:rPr>
          <w:rFonts w:ascii="宋体" w:hAnsi="宋体" w:cs="宋体" w:eastAsia="宋体" w:hint="default"/>
          <w:spacing w:val="2"/>
          <w:sz w:val="21"/>
          <w:szCs w:val="21"/>
        </w:rPr>
        <w:t>】第</w:t>
      </w:r>
      <w:r>
        <w:rPr>
          <w:rFonts w:ascii="宋体" w:hAnsi="宋体" w:cs="宋体" w:eastAsia="宋体" w:hint="default"/>
          <w:sz w:val="21"/>
          <w:szCs w:val="21"/>
        </w:rPr>
      </w:r>
    </w:p>
    <w:p>
      <w:pPr>
        <w:spacing w:after="0" w:line="348" w:lineRule="auto"/>
        <w:jc w:val="left"/>
        <w:rPr>
          <w:rFonts w:ascii="宋体" w:hAnsi="宋体" w:cs="宋体" w:eastAsia="宋体" w:hint="default"/>
          <w:sz w:val="21"/>
          <w:szCs w:val="21"/>
        </w:rPr>
        <w:sectPr>
          <w:pgSz w:w="11910" w:h="16840"/>
          <w:pgMar w:header="884" w:footer="980" w:top="1140" w:bottom="1160" w:left="1660" w:right="1580"/>
        </w:sectPr>
      </w:pPr>
    </w:p>
    <w:p>
      <w:pPr>
        <w:spacing w:line="240" w:lineRule="auto" w:before="11"/>
        <w:rPr>
          <w:rFonts w:ascii="宋体" w:hAnsi="宋体" w:cs="宋体" w:eastAsia="宋体" w:hint="default"/>
          <w:sz w:val="25"/>
          <w:szCs w:val="25"/>
        </w:rPr>
      </w:pPr>
    </w:p>
    <w:p>
      <w:pPr>
        <w:spacing w:before="36"/>
        <w:ind w:left="1393" w:right="0" w:firstLine="0"/>
        <w:jc w:val="left"/>
        <w:rPr>
          <w:rFonts w:ascii="宋体" w:hAnsi="宋体" w:cs="宋体" w:eastAsia="宋体" w:hint="default"/>
          <w:sz w:val="21"/>
          <w:szCs w:val="21"/>
        </w:rPr>
      </w:pPr>
      <w:r>
        <w:rPr>
          <w:rFonts w:ascii="宋体" w:hAnsi="宋体" w:cs="宋体" w:eastAsia="宋体" w:hint="default"/>
          <w:sz w:val="21"/>
          <w:szCs w:val="21"/>
        </w:rPr>
        <w:t>273</w:t>
      </w:r>
      <w:r>
        <w:rPr>
          <w:rFonts w:ascii="宋体" w:hAnsi="宋体" w:cs="宋体" w:eastAsia="宋体" w:hint="default"/>
          <w:spacing w:val="2"/>
          <w:sz w:val="21"/>
          <w:szCs w:val="21"/>
        </w:rPr>
        <w:t> </w:t>
      </w:r>
      <w:r>
        <w:rPr>
          <w:rFonts w:ascii="宋体" w:hAnsi="宋体" w:cs="宋体" w:eastAsia="宋体" w:hint="default"/>
          <w:spacing w:val="-2"/>
          <w:sz w:val="21"/>
          <w:szCs w:val="21"/>
        </w:rPr>
        <w:t>号”文件的规定，对公司部分符合要求的软件开发业务免征营业税。</w:t>
      </w:r>
    </w:p>
    <w:p>
      <w:pPr>
        <w:spacing w:line="240" w:lineRule="auto" w:before="0"/>
        <w:rPr>
          <w:rFonts w:ascii="宋体" w:hAnsi="宋体" w:cs="宋体" w:eastAsia="宋体" w:hint="default"/>
          <w:sz w:val="20"/>
          <w:szCs w:val="20"/>
        </w:rPr>
      </w:pPr>
    </w:p>
    <w:p>
      <w:pPr>
        <w:spacing w:line="350" w:lineRule="auto" w:before="176"/>
        <w:ind w:left="1393" w:right="134" w:hanging="536"/>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pacing w:val="-5"/>
          <w:sz w:val="21"/>
          <w:szCs w:val="21"/>
        </w:rPr>
        <w:t>根据财政部、国家税务总局、海关总署财税《关于鼓励软件产业和集成电路产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3"/>
          <w:w w:val="100"/>
          <w:sz w:val="21"/>
          <w:szCs w:val="21"/>
        </w:rPr>
        <w:t>业发展有关税收政策问题的通知》“【</w:t>
      </w:r>
      <w:r>
        <w:rPr>
          <w:rFonts w:ascii="宋体" w:hAnsi="宋体" w:cs="宋体" w:eastAsia="宋体" w:hint="default"/>
          <w:spacing w:val="-13"/>
          <w:w w:val="100"/>
          <w:sz w:val="21"/>
          <w:szCs w:val="21"/>
        </w:rPr>
        <w:t>2000</w:t>
      </w:r>
      <w:r>
        <w:rPr>
          <w:rFonts w:ascii="宋体" w:hAnsi="宋体" w:cs="宋体" w:eastAsia="宋体" w:hint="default"/>
          <w:spacing w:val="-13"/>
          <w:w w:val="100"/>
          <w:sz w:val="21"/>
          <w:szCs w:val="21"/>
        </w:rPr>
        <w:t>】第</w:t>
      </w:r>
      <w:r>
        <w:rPr>
          <w:rFonts w:ascii="宋体" w:hAnsi="宋体" w:cs="宋体" w:eastAsia="宋体" w:hint="default"/>
          <w:spacing w:val="-42"/>
          <w:w w:val="100"/>
          <w:sz w:val="21"/>
          <w:szCs w:val="21"/>
        </w:rPr>
        <w:t> </w:t>
      </w:r>
      <w:r>
        <w:rPr>
          <w:rFonts w:ascii="宋体" w:hAnsi="宋体" w:cs="宋体" w:eastAsia="宋体" w:hint="default"/>
          <w:spacing w:val="-1"/>
          <w:w w:val="100"/>
          <w:sz w:val="21"/>
          <w:szCs w:val="21"/>
        </w:rPr>
        <w:t>025</w:t>
      </w:r>
      <w:r>
        <w:rPr>
          <w:rFonts w:ascii="宋体" w:hAnsi="宋体" w:cs="宋体" w:eastAsia="宋体" w:hint="default"/>
          <w:spacing w:val="-45"/>
          <w:w w:val="100"/>
          <w:sz w:val="21"/>
          <w:szCs w:val="21"/>
        </w:rPr>
        <w:t> </w:t>
      </w:r>
      <w:r>
        <w:rPr>
          <w:rFonts w:ascii="宋体" w:hAnsi="宋体" w:cs="宋体" w:eastAsia="宋体" w:hint="default"/>
          <w:spacing w:val="-6"/>
          <w:w w:val="100"/>
          <w:sz w:val="21"/>
          <w:szCs w:val="21"/>
        </w:rPr>
        <w:t>号”文件的规定，本公司销</w:t>
      </w:r>
      <w:r>
        <w:rPr>
          <w:rFonts w:ascii="宋体" w:hAnsi="宋体" w:cs="宋体" w:eastAsia="宋体" w:hint="default"/>
          <w:w w:val="100"/>
          <w:sz w:val="21"/>
          <w:szCs w:val="21"/>
        </w:rPr>
        <w:t> </w:t>
      </w:r>
      <w:r>
        <w:rPr>
          <w:rFonts w:ascii="宋体" w:hAnsi="宋体" w:cs="宋体" w:eastAsia="宋体" w:hint="default"/>
          <w:sz w:val="21"/>
          <w:szCs w:val="21"/>
        </w:rPr>
        <w:t>售自行开发生产的软件产品，按</w:t>
      </w:r>
      <w:r>
        <w:rPr>
          <w:rFonts w:ascii="宋体" w:hAnsi="宋体" w:cs="宋体" w:eastAsia="宋体" w:hint="default"/>
          <w:spacing w:val="14"/>
          <w:sz w:val="21"/>
          <w:szCs w:val="21"/>
        </w:rPr>
        <w:t> </w:t>
      </w:r>
      <w:r>
        <w:rPr>
          <w:rFonts w:ascii="宋体" w:hAnsi="宋体" w:cs="宋体" w:eastAsia="宋体" w:hint="default"/>
          <w:sz w:val="21"/>
          <w:szCs w:val="21"/>
        </w:rPr>
        <w:t>17</w:t>
      </w:r>
      <w:r>
        <w:rPr>
          <w:rFonts w:ascii="宋体" w:hAnsi="宋体" w:cs="宋体" w:eastAsia="宋体" w:hint="default"/>
          <w:sz w:val="21"/>
          <w:szCs w:val="21"/>
        </w:rPr>
        <w:t>％的法定税率征收增值税后，对其增值税</w:t>
      </w:r>
      <w:r>
        <w:rPr>
          <w:rFonts w:ascii="宋体" w:hAnsi="宋体" w:cs="宋体" w:eastAsia="宋体" w:hint="default"/>
          <w:w w:val="100"/>
          <w:sz w:val="21"/>
          <w:szCs w:val="21"/>
        </w:rPr>
        <w:t> </w:t>
      </w:r>
      <w:r>
        <w:rPr>
          <w:rFonts w:ascii="宋体" w:hAnsi="宋体" w:cs="宋体" w:eastAsia="宋体" w:hint="default"/>
          <w:sz w:val="21"/>
          <w:szCs w:val="21"/>
        </w:rPr>
        <w:t>实际税负超过</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z w:val="21"/>
          <w:szCs w:val="21"/>
        </w:rPr>
        <w:t>％的部分实行即征即退政策。</w:t>
      </w:r>
    </w:p>
    <w:p>
      <w:pPr>
        <w:spacing w:line="240" w:lineRule="auto" w:before="12"/>
        <w:rPr>
          <w:rFonts w:ascii="宋体" w:hAnsi="宋体" w:cs="宋体" w:eastAsia="宋体" w:hint="default"/>
          <w:sz w:val="25"/>
          <w:szCs w:val="25"/>
        </w:rPr>
      </w:pPr>
    </w:p>
    <w:p>
      <w:pPr>
        <w:spacing w:line="350" w:lineRule="auto" w:before="0"/>
        <w:ind w:left="1393" w:right="134" w:hanging="536"/>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pacing w:val="72"/>
          <w:sz w:val="21"/>
          <w:szCs w:val="21"/>
        </w:rPr>
        <w:t> </w:t>
      </w:r>
      <w:r>
        <w:rPr>
          <w:rFonts w:ascii="宋体" w:hAnsi="宋体" w:cs="宋体" w:eastAsia="宋体" w:hint="default"/>
          <w:spacing w:val="-5"/>
          <w:sz w:val="21"/>
          <w:szCs w:val="21"/>
        </w:rPr>
        <w:t>根据《中华人民共和国企业所得税法》第三十条和《中华人民共和国企业所得</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4"/>
          <w:sz w:val="21"/>
          <w:szCs w:val="21"/>
        </w:rPr>
        <w:t>税法实施条例》第九十五条的规定，本公司为开发新技术、新产品、新工艺发</w:t>
      </w:r>
      <w:r>
        <w:rPr>
          <w:rFonts w:ascii="宋体" w:hAnsi="宋体" w:cs="宋体" w:eastAsia="宋体" w:hint="default"/>
          <w:w w:val="100"/>
          <w:sz w:val="21"/>
          <w:szCs w:val="21"/>
        </w:rPr>
        <w:t> </w:t>
      </w:r>
      <w:r>
        <w:rPr>
          <w:rFonts w:ascii="宋体" w:hAnsi="宋体" w:cs="宋体" w:eastAsia="宋体" w:hint="default"/>
          <w:spacing w:val="-5"/>
          <w:sz w:val="21"/>
          <w:szCs w:val="21"/>
        </w:rPr>
        <w:t>生的研究开发费用，未形成无形资产计入当期损益的，在按照规定据实扣除的</w:t>
      </w:r>
      <w:r>
        <w:rPr>
          <w:rFonts w:ascii="宋体" w:hAnsi="宋体" w:cs="宋体" w:eastAsia="宋体" w:hint="default"/>
          <w:w w:val="100"/>
          <w:sz w:val="21"/>
          <w:szCs w:val="21"/>
        </w:rPr>
        <w:t> </w:t>
      </w:r>
      <w:r>
        <w:rPr>
          <w:rFonts w:ascii="宋体" w:hAnsi="宋体" w:cs="宋体" w:eastAsia="宋体" w:hint="default"/>
          <w:sz w:val="21"/>
          <w:szCs w:val="21"/>
        </w:rPr>
        <w:t>基础上，按照研究开发费用的</w:t>
      </w:r>
      <w:r>
        <w:rPr>
          <w:rFonts w:ascii="宋体" w:hAnsi="宋体" w:cs="宋体" w:eastAsia="宋体" w:hint="default"/>
          <w:spacing w:val="-55"/>
          <w:sz w:val="21"/>
          <w:szCs w:val="21"/>
        </w:rPr>
        <w:t> </w:t>
      </w:r>
      <w:r>
        <w:rPr>
          <w:rFonts w:ascii="宋体" w:hAnsi="宋体" w:cs="宋体" w:eastAsia="宋体" w:hint="default"/>
          <w:sz w:val="21"/>
          <w:szCs w:val="21"/>
        </w:rPr>
        <w:t>50</w:t>
      </w:r>
      <w:r>
        <w:rPr>
          <w:rFonts w:ascii="宋体" w:hAnsi="宋体" w:cs="宋体" w:eastAsia="宋体" w:hint="default"/>
          <w:sz w:val="21"/>
          <w:szCs w:val="21"/>
        </w:rPr>
        <w:t>％加计扣除。</w:t>
      </w:r>
    </w:p>
    <w:p>
      <w:pPr>
        <w:spacing w:line="240" w:lineRule="auto" w:before="2"/>
        <w:rPr>
          <w:rFonts w:ascii="宋体" w:hAnsi="宋体" w:cs="宋体" w:eastAsia="宋体" w:hint="default"/>
          <w:sz w:val="26"/>
          <w:szCs w:val="26"/>
        </w:rPr>
      </w:pPr>
    </w:p>
    <w:p>
      <w:pPr>
        <w:spacing w:line="348" w:lineRule="auto" w:before="0"/>
        <w:ind w:left="1393" w:right="133" w:hanging="536"/>
        <w:jc w:val="both"/>
        <w:rPr>
          <w:rFonts w:ascii="宋体" w:hAnsi="宋体" w:cs="宋体" w:eastAsia="宋体" w:hint="default"/>
          <w:sz w:val="21"/>
          <w:szCs w:val="21"/>
        </w:rPr>
      </w:pPr>
      <w:r>
        <w:rPr>
          <w:rFonts w:ascii="宋体" w:hAnsi="宋体" w:cs="宋体" w:eastAsia="宋体" w:hint="default"/>
          <w:w w:val="100"/>
          <w:sz w:val="21"/>
          <w:szCs w:val="21"/>
        </w:rPr>
        <w:t>4</w:t>
      </w:r>
      <w:r>
        <w:rPr>
          <w:rFonts w:ascii="宋体" w:hAnsi="宋体" w:cs="宋体" w:eastAsia="宋体" w:hint="default"/>
          <w:w w:val="100"/>
          <w:sz w:val="21"/>
          <w:szCs w:val="21"/>
        </w:rPr>
        <w:t>、</w:t>
      </w:r>
      <w:r>
        <w:rPr>
          <w:rFonts w:ascii="宋体" w:hAnsi="宋体" w:cs="宋体" w:eastAsia="宋体" w:hint="default"/>
          <w:spacing w:val="13"/>
          <w:w w:val="100"/>
          <w:sz w:val="21"/>
          <w:szCs w:val="21"/>
        </w:rPr>
        <w:t> </w:t>
      </w:r>
      <w:r>
        <w:rPr>
          <w:rFonts w:ascii="宋体" w:hAnsi="宋体" w:cs="宋体" w:eastAsia="宋体" w:hint="default"/>
          <w:spacing w:val="-4"/>
          <w:w w:val="100"/>
          <w:sz w:val="21"/>
          <w:szCs w:val="21"/>
        </w:rPr>
        <w:t>根据国家税务总局《关于实施高新技术企业所得税优惠有关问题的通知》“国</w:t>
      </w:r>
      <w:r>
        <w:rPr>
          <w:rFonts w:ascii="宋体" w:hAnsi="宋体" w:cs="宋体" w:eastAsia="宋体" w:hint="default"/>
          <w:w w:val="100"/>
          <w:sz w:val="21"/>
          <w:szCs w:val="21"/>
        </w:rPr>
        <w:t> </w:t>
      </w:r>
      <w:r>
        <w:rPr>
          <w:rFonts w:ascii="宋体" w:hAnsi="宋体" w:cs="宋体" w:eastAsia="宋体" w:hint="default"/>
          <w:spacing w:val="-3"/>
          <w:sz w:val="21"/>
          <w:szCs w:val="21"/>
        </w:rPr>
        <w:t>税函【</w:t>
      </w:r>
      <w:r>
        <w:rPr>
          <w:rFonts w:ascii="宋体" w:hAnsi="宋体" w:cs="宋体" w:eastAsia="宋体" w:hint="default"/>
          <w:spacing w:val="-3"/>
          <w:sz w:val="21"/>
          <w:szCs w:val="21"/>
        </w:rPr>
        <w:t>2009</w:t>
      </w:r>
      <w:r>
        <w:rPr>
          <w:rFonts w:ascii="宋体" w:hAnsi="宋体" w:cs="宋体" w:eastAsia="宋体" w:hint="default"/>
          <w:spacing w:val="-3"/>
          <w:sz w:val="21"/>
          <w:szCs w:val="21"/>
        </w:rPr>
        <w:t>】</w:t>
      </w:r>
      <w:r>
        <w:rPr>
          <w:rFonts w:ascii="宋体" w:hAnsi="宋体" w:cs="宋体" w:eastAsia="宋体" w:hint="default"/>
          <w:spacing w:val="-3"/>
          <w:sz w:val="21"/>
          <w:szCs w:val="21"/>
        </w:rPr>
        <w:t>203</w:t>
      </w:r>
      <w:r>
        <w:rPr>
          <w:rFonts w:ascii="宋体" w:hAnsi="宋体" w:cs="宋体" w:eastAsia="宋体" w:hint="default"/>
          <w:spacing w:val="-4"/>
          <w:sz w:val="21"/>
          <w:szCs w:val="21"/>
        </w:rPr>
        <w:t> </w:t>
      </w:r>
      <w:r>
        <w:rPr>
          <w:rFonts w:ascii="宋体" w:hAnsi="宋体" w:cs="宋体" w:eastAsia="宋体" w:hint="default"/>
          <w:spacing w:val="-3"/>
          <w:sz w:val="21"/>
          <w:szCs w:val="21"/>
        </w:rPr>
        <w:t>号”文件的规定，本公司属于高新技术企业被认定当年减按</w:t>
      </w:r>
      <w:r>
        <w:rPr>
          <w:rFonts w:ascii="宋体" w:hAnsi="宋体" w:cs="宋体" w:eastAsia="宋体" w:hint="default"/>
          <w:w w:val="100"/>
          <w:sz w:val="21"/>
          <w:szCs w:val="21"/>
        </w:rPr>
        <w:t> </w:t>
      </w:r>
      <w:r>
        <w:rPr>
          <w:rFonts w:ascii="宋体" w:hAnsi="宋体" w:cs="宋体" w:eastAsia="宋体" w:hint="default"/>
          <w:sz w:val="21"/>
          <w:szCs w:val="21"/>
        </w:rPr>
        <w:t>15%</w:t>
      </w:r>
      <w:r>
        <w:rPr>
          <w:rFonts w:ascii="宋体" w:hAnsi="宋体" w:cs="宋体" w:eastAsia="宋体" w:hint="default"/>
          <w:sz w:val="21"/>
          <w:szCs w:val="21"/>
        </w:rPr>
        <w:t>的税率征收企业所得税。</w:t>
      </w:r>
    </w:p>
    <w:p>
      <w:pPr>
        <w:spacing w:after="0" w:line="348" w:lineRule="auto"/>
        <w:jc w:val="both"/>
        <w:rPr>
          <w:rFonts w:ascii="宋体" w:hAnsi="宋体" w:cs="宋体" w:eastAsia="宋体" w:hint="default"/>
          <w:sz w:val="21"/>
          <w:szCs w:val="21"/>
        </w:rPr>
        <w:sectPr>
          <w:pgSz w:w="11910" w:h="16840"/>
          <w:pgMar w:header="884" w:footer="980" w:top="1140" w:bottom="1160" w:left="1660" w:right="1660"/>
        </w:sectPr>
      </w:pPr>
    </w:p>
    <w:p>
      <w:pPr>
        <w:tabs>
          <w:tab w:pos="12511" w:val="left" w:leader="none"/>
        </w:tabs>
        <w:spacing w:before="14"/>
        <w:ind w:left="140" w:right="0" w:firstLine="0"/>
        <w:jc w:val="left"/>
        <w:rPr>
          <w:rFonts w:ascii="宋体" w:hAnsi="宋体" w:cs="宋体" w:eastAsia="宋体" w:hint="default"/>
          <w:sz w:val="21"/>
          <w:szCs w:val="21"/>
        </w:rPr>
      </w:pPr>
      <w:r>
        <w:rPr>
          <w:rFonts w:ascii="宋体" w:hAnsi="宋体" w:cs="宋体" w:eastAsia="宋体" w:hint="default"/>
          <w:sz w:val="21"/>
          <w:szCs w:val="21"/>
        </w:rPr>
        <w:t>上海汉得信息技术股份有限公司（股票代码</w:t>
      </w:r>
      <w:r>
        <w:rPr>
          <w:rFonts w:ascii="宋体" w:hAnsi="宋体" w:cs="宋体" w:eastAsia="宋体" w:hint="default"/>
          <w:spacing w:val="-60"/>
          <w:sz w:val="21"/>
          <w:szCs w:val="21"/>
        </w:rPr>
        <w:t> </w:t>
      </w:r>
      <w:r>
        <w:rPr>
          <w:rFonts w:ascii="宋体" w:hAnsi="宋体" w:cs="宋体" w:eastAsia="宋体" w:hint="default"/>
          <w:sz w:val="21"/>
          <w:szCs w:val="21"/>
        </w:rPr>
        <w:t>300170</w:t>
      </w:r>
      <w:r>
        <w:rPr>
          <w:rFonts w:ascii="宋体" w:hAnsi="宋体" w:cs="宋体" w:eastAsia="宋体" w:hint="default"/>
          <w:sz w:val="21"/>
          <w:szCs w:val="21"/>
        </w:rPr>
        <w:t>）</w:t>
        <w:tab/>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年年度报告</w:t>
      </w:r>
    </w:p>
    <w:p>
      <w:pPr>
        <w:spacing w:line="240" w:lineRule="auto" w:before="10"/>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tabs>
          <w:tab w:pos="980" w:val="left" w:leader="none"/>
        </w:tabs>
        <w:spacing w:line="364" w:lineRule="auto" w:before="36"/>
        <w:ind w:left="858" w:right="7352" w:hanging="718"/>
        <w:jc w:val="left"/>
        <w:rPr>
          <w:rFonts w:ascii="宋体" w:hAnsi="宋体" w:cs="宋体" w:eastAsia="宋体" w:hint="default"/>
          <w:sz w:val="21"/>
          <w:szCs w:val="21"/>
        </w:rPr>
      </w:pPr>
      <w:r>
        <w:rPr>
          <w:rFonts w:ascii="宋体" w:hAnsi="宋体" w:cs="宋体" w:eastAsia="宋体" w:hint="default"/>
          <w:b/>
          <w:bCs/>
          <w:sz w:val="21"/>
          <w:szCs w:val="21"/>
        </w:rPr>
        <w:t>四、</w:t>
        <w:tab/>
        <w:tab/>
        <w:t>企业合并及合并财务报表</w:t>
      </w:r>
      <w:r>
        <w:rPr>
          <w:rFonts w:ascii="宋体" w:hAnsi="宋体" w:cs="宋体" w:eastAsia="宋体" w:hint="default"/>
          <w:b/>
          <w:bCs/>
          <w:w w:val="100"/>
          <w:sz w:val="21"/>
          <w:szCs w:val="21"/>
        </w:rPr>
        <w:t> </w:t>
      </w:r>
      <w:r>
        <w:rPr>
          <w:rFonts w:ascii="宋体" w:hAnsi="宋体" w:cs="宋体" w:eastAsia="宋体" w:hint="default"/>
          <w:spacing w:val="-2"/>
          <w:sz w:val="21"/>
          <w:szCs w:val="21"/>
        </w:rPr>
        <w:t>本节下列表式数据中的金额单位，除非特别注明外均为人民币万元。</w:t>
      </w:r>
    </w:p>
    <w:p>
      <w:pPr>
        <w:spacing w:line="240" w:lineRule="auto" w:before="9"/>
        <w:rPr>
          <w:rFonts w:ascii="宋体" w:hAnsi="宋体" w:cs="宋体" w:eastAsia="宋体" w:hint="default"/>
          <w:sz w:val="23"/>
          <w:szCs w:val="23"/>
        </w:rPr>
      </w:pPr>
    </w:p>
    <w:p>
      <w:pPr>
        <w:tabs>
          <w:tab w:pos="980" w:val="left" w:leader="none"/>
        </w:tabs>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子公司情况</w:t>
      </w:r>
      <w:r>
        <w:rPr>
          <w:rFonts w:ascii="宋体" w:hAnsi="宋体" w:cs="宋体" w:eastAsia="宋体" w:hint="default"/>
          <w:sz w:val="21"/>
          <w:szCs w:val="21"/>
        </w:rPr>
      </w:r>
    </w:p>
    <w:p>
      <w:pPr>
        <w:tabs>
          <w:tab w:pos="1395" w:val="left" w:leader="none"/>
        </w:tabs>
        <w:spacing w:before="127"/>
        <w:ind w:left="8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r>
      <w:r>
        <w:rPr>
          <w:rFonts w:ascii="宋体" w:hAnsi="宋体" w:cs="宋体" w:eastAsia="宋体" w:hint="default"/>
          <w:b/>
          <w:bCs/>
          <w:spacing w:val="-1"/>
          <w:sz w:val="21"/>
          <w:szCs w:val="21"/>
        </w:rPr>
        <w:t>无通过设立或投资等方式取得的子公司</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2"/>
          <w:szCs w:val="22"/>
        </w:rPr>
      </w:pPr>
    </w:p>
    <w:p>
      <w:pPr>
        <w:tabs>
          <w:tab w:pos="1395" w:val="left" w:leader="none"/>
        </w:tabs>
        <w:spacing w:before="192"/>
        <w:ind w:left="8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1"/>
          <w:sz w:val="21"/>
          <w:szCs w:val="21"/>
        </w:rPr>
        <w:t>通过同一控制下企业合并取得的子公司</w:t>
      </w:r>
      <w:r>
        <w:rPr>
          <w:rFonts w:ascii="宋体" w:hAnsi="宋体" w:cs="宋体" w:eastAsia="宋体" w:hint="default"/>
          <w:spacing w:val="-1"/>
          <w:sz w:val="21"/>
          <w:szCs w:val="21"/>
        </w:rPr>
      </w:r>
    </w:p>
    <w:p>
      <w:pPr>
        <w:spacing w:line="240" w:lineRule="auto" w:before="7"/>
        <w:rPr>
          <w:rFonts w:ascii="宋体" w:hAnsi="宋体" w:cs="宋体" w:eastAsia="宋体" w:hint="default"/>
          <w:b/>
          <w:bCs/>
          <w:sz w:val="29"/>
          <w:szCs w:val="29"/>
        </w:rPr>
      </w:pPr>
    </w:p>
    <w:tbl>
      <w:tblPr>
        <w:tblW w:w="0" w:type="auto"/>
        <w:jc w:val="left"/>
        <w:tblInd w:w="721" w:type="dxa"/>
        <w:tblLayout w:type="fixed"/>
        <w:tblCellMar>
          <w:top w:w="0" w:type="dxa"/>
          <w:left w:w="0" w:type="dxa"/>
          <w:bottom w:w="0" w:type="dxa"/>
          <w:right w:w="0" w:type="dxa"/>
        </w:tblCellMar>
        <w:tblLook w:val="01E0"/>
      </w:tblPr>
      <w:tblGrid>
        <w:gridCol w:w="1260"/>
        <w:gridCol w:w="782"/>
        <w:gridCol w:w="1251"/>
        <w:gridCol w:w="886"/>
        <w:gridCol w:w="883"/>
        <w:gridCol w:w="1604"/>
        <w:gridCol w:w="835"/>
        <w:gridCol w:w="1061"/>
        <w:gridCol w:w="521"/>
        <w:gridCol w:w="718"/>
        <w:gridCol w:w="602"/>
        <w:gridCol w:w="629"/>
        <w:gridCol w:w="951"/>
        <w:gridCol w:w="1663"/>
      </w:tblGrid>
      <w:tr>
        <w:trPr>
          <w:trHeight w:val="2240" w:hRule="exact"/>
        </w:trPr>
        <w:tc>
          <w:tcPr>
            <w:tcW w:w="1260"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子公司全称</w:t>
            </w:r>
          </w:p>
        </w:tc>
        <w:tc>
          <w:tcPr>
            <w:tcW w:w="78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2"/>
                <w:szCs w:val="12"/>
              </w:rPr>
            </w:pPr>
          </w:p>
          <w:p>
            <w:pPr>
              <w:pStyle w:val="TableParagraph"/>
              <w:spacing w:line="451" w:lineRule="auto"/>
              <w:ind w:left="232" w:right="158" w:hanging="75"/>
              <w:jc w:val="left"/>
              <w:rPr>
                <w:rFonts w:ascii="宋体" w:hAnsi="宋体" w:cs="宋体" w:eastAsia="宋体" w:hint="default"/>
                <w:sz w:val="15"/>
                <w:szCs w:val="15"/>
              </w:rPr>
            </w:pPr>
            <w:r>
              <w:rPr>
                <w:rFonts w:ascii="宋体" w:hAnsi="宋体" w:cs="宋体" w:eastAsia="宋体" w:hint="default"/>
                <w:sz w:val="15"/>
                <w:szCs w:val="15"/>
              </w:rPr>
              <w:t>子公司</w:t>
            </w:r>
            <w:r>
              <w:rPr>
                <w:rFonts w:ascii="宋体" w:hAnsi="宋体" w:cs="宋体" w:eastAsia="宋体" w:hint="default"/>
                <w:spacing w:val="-72"/>
                <w:sz w:val="15"/>
                <w:szCs w:val="15"/>
              </w:rPr>
              <w:t> </w:t>
            </w:r>
            <w:r>
              <w:rPr>
                <w:rFonts w:ascii="宋体" w:hAnsi="宋体" w:cs="宋体" w:eastAsia="宋体" w:hint="default"/>
                <w:sz w:val="15"/>
                <w:szCs w:val="15"/>
              </w:rPr>
              <w:t>类型</w:t>
            </w:r>
          </w:p>
        </w:tc>
        <w:tc>
          <w:tcPr>
            <w:tcW w:w="125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395"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88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88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136"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16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496" w:right="0"/>
              <w:jc w:val="left"/>
              <w:rPr>
                <w:rFonts w:ascii="宋体" w:hAnsi="宋体" w:cs="宋体" w:eastAsia="宋体" w:hint="default"/>
                <w:sz w:val="15"/>
                <w:szCs w:val="15"/>
              </w:rPr>
            </w:pPr>
            <w:r>
              <w:rPr>
                <w:rFonts w:ascii="宋体" w:hAnsi="宋体" w:cs="宋体" w:eastAsia="宋体" w:hint="default"/>
                <w:sz w:val="15"/>
                <w:szCs w:val="15"/>
              </w:rPr>
              <w:t>经营范围</w:t>
            </w:r>
          </w:p>
        </w:tc>
        <w:tc>
          <w:tcPr>
            <w:tcW w:w="83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2"/>
                <w:szCs w:val="12"/>
              </w:rPr>
            </w:pPr>
          </w:p>
          <w:p>
            <w:pPr>
              <w:pStyle w:val="TableParagraph"/>
              <w:spacing w:line="451" w:lineRule="auto"/>
              <w:ind w:left="187" w:right="108" w:hanging="75"/>
              <w:jc w:val="left"/>
              <w:rPr>
                <w:rFonts w:ascii="宋体" w:hAnsi="宋体" w:cs="宋体" w:eastAsia="宋体" w:hint="default"/>
                <w:sz w:val="15"/>
                <w:szCs w:val="15"/>
              </w:rPr>
            </w:pPr>
            <w:r>
              <w:rPr>
                <w:rFonts w:ascii="宋体" w:hAnsi="宋体" w:cs="宋体" w:eastAsia="宋体" w:hint="default"/>
                <w:sz w:val="15"/>
                <w:szCs w:val="15"/>
              </w:rPr>
              <w:t>期末实际</w:t>
            </w:r>
            <w:r>
              <w:rPr>
                <w:rFonts w:ascii="宋体" w:hAnsi="宋体" w:cs="宋体" w:eastAsia="宋体" w:hint="default"/>
                <w:w w:val="100"/>
                <w:sz w:val="15"/>
                <w:szCs w:val="15"/>
              </w:rPr>
              <w:t> </w:t>
            </w:r>
            <w:r>
              <w:rPr>
                <w:rFonts w:ascii="宋体" w:hAnsi="宋体" w:cs="宋体" w:eastAsia="宋体" w:hint="default"/>
                <w:sz w:val="15"/>
                <w:szCs w:val="15"/>
              </w:rPr>
              <w:t>出资额</w:t>
            </w:r>
          </w:p>
        </w:tc>
        <w:tc>
          <w:tcPr>
            <w:tcW w:w="106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1"/>
                <w:szCs w:val="11"/>
              </w:rPr>
            </w:pPr>
          </w:p>
          <w:p>
            <w:pPr>
              <w:pStyle w:val="TableParagraph"/>
              <w:spacing w:line="453" w:lineRule="auto"/>
              <w:ind w:left="74" w:right="72"/>
              <w:jc w:val="center"/>
              <w:rPr>
                <w:rFonts w:ascii="宋体" w:hAnsi="宋体" w:cs="宋体" w:eastAsia="宋体" w:hint="default"/>
                <w:sz w:val="15"/>
                <w:szCs w:val="15"/>
              </w:rPr>
            </w:pPr>
            <w:r>
              <w:rPr>
                <w:rFonts w:ascii="宋体" w:hAnsi="宋体" w:cs="宋体" w:eastAsia="宋体" w:hint="default"/>
                <w:spacing w:val="-1"/>
                <w:sz w:val="15"/>
                <w:szCs w:val="15"/>
              </w:rPr>
              <w:t>实质上构成对</w:t>
            </w:r>
            <w:r>
              <w:rPr>
                <w:rFonts w:ascii="宋体" w:hAnsi="宋体" w:cs="宋体" w:eastAsia="宋体" w:hint="default"/>
                <w:w w:val="100"/>
                <w:sz w:val="15"/>
                <w:szCs w:val="15"/>
              </w:rPr>
              <w:t> </w:t>
            </w:r>
            <w:r>
              <w:rPr>
                <w:rFonts w:ascii="宋体" w:hAnsi="宋体" w:cs="宋体" w:eastAsia="宋体" w:hint="default"/>
                <w:spacing w:val="-1"/>
                <w:sz w:val="15"/>
                <w:szCs w:val="15"/>
              </w:rPr>
              <w:t>子公司净投资</w:t>
            </w:r>
            <w:r>
              <w:rPr>
                <w:rFonts w:ascii="宋体" w:hAnsi="宋体" w:cs="宋体" w:eastAsia="宋体" w:hint="default"/>
                <w:w w:val="100"/>
                <w:sz w:val="15"/>
                <w:szCs w:val="15"/>
              </w:rPr>
              <w:t> </w:t>
            </w:r>
            <w:r>
              <w:rPr>
                <w:rFonts w:ascii="宋体" w:hAnsi="宋体" w:cs="宋体" w:eastAsia="宋体" w:hint="default"/>
                <w:sz w:val="15"/>
                <w:szCs w:val="15"/>
              </w:rPr>
              <w:t>的其他项目</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5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2"/>
                <w:szCs w:val="12"/>
              </w:rPr>
            </w:pPr>
          </w:p>
          <w:p>
            <w:pPr>
              <w:pStyle w:val="TableParagraph"/>
              <w:spacing w:line="451" w:lineRule="auto"/>
              <w:ind w:left="105" w:right="101"/>
              <w:jc w:val="left"/>
              <w:rPr>
                <w:rFonts w:ascii="宋体" w:hAnsi="宋体" w:cs="宋体" w:eastAsia="宋体" w:hint="default"/>
                <w:sz w:val="15"/>
                <w:szCs w:val="15"/>
              </w:rPr>
            </w:pPr>
            <w:r>
              <w:rPr>
                <w:rFonts w:ascii="宋体" w:hAnsi="宋体" w:cs="宋体" w:eastAsia="宋体" w:hint="default"/>
                <w:sz w:val="15"/>
                <w:szCs w:val="15"/>
              </w:rPr>
              <w:t>持股</w:t>
            </w:r>
            <w:r>
              <w:rPr>
                <w:rFonts w:ascii="宋体" w:hAnsi="宋体" w:cs="宋体" w:eastAsia="宋体" w:hint="default"/>
                <w:spacing w:val="-73"/>
                <w:sz w:val="15"/>
                <w:szCs w:val="15"/>
              </w:rPr>
              <w:t> </w:t>
            </w:r>
            <w:r>
              <w:rPr>
                <w:rFonts w:ascii="宋体" w:hAnsi="宋体" w:cs="宋体" w:eastAsia="宋体" w:hint="default"/>
                <w:sz w:val="15"/>
                <w:szCs w:val="15"/>
              </w:rPr>
              <w:t>比例</w:t>
            </w:r>
          </w:p>
          <w:p>
            <w:pPr>
              <w:pStyle w:val="TableParagraph"/>
              <w:spacing w:line="240" w:lineRule="auto" w:before="83"/>
              <w:ind w:left="142" w:right="0"/>
              <w:jc w:val="left"/>
              <w:rPr>
                <w:rFonts w:ascii="Times New Roman" w:hAnsi="Times New Roman" w:cs="Times New Roman" w:eastAsia="Times New Roman" w:hint="default"/>
                <w:sz w:val="15"/>
                <w:szCs w:val="15"/>
              </w:rPr>
            </w:pPr>
            <w:r>
              <w:rPr>
                <w:rFonts w:ascii="Times New Roman"/>
                <w:sz w:val="15"/>
              </w:rPr>
              <w:t>(%)</w:t>
            </w:r>
          </w:p>
        </w:tc>
        <w:tc>
          <w:tcPr>
            <w:tcW w:w="71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451" w:lineRule="auto"/>
              <w:ind w:left="165" w:right="50" w:hanging="113"/>
              <w:jc w:val="left"/>
              <w:rPr>
                <w:rFonts w:ascii="Times New Roman" w:hAnsi="Times New Roman" w:cs="Times New Roman" w:eastAsia="Times New Roman" w:hint="default"/>
                <w:sz w:val="15"/>
                <w:szCs w:val="15"/>
              </w:rPr>
            </w:pPr>
            <w:r>
              <w:rPr>
                <w:rFonts w:ascii="宋体" w:hAnsi="宋体" w:cs="宋体" w:eastAsia="宋体" w:hint="default"/>
                <w:sz w:val="15"/>
                <w:szCs w:val="15"/>
              </w:rPr>
              <w:t>表决权比</w:t>
            </w:r>
            <w:r>
              <w:rPr>
                <w:rFonts w:ascii="宋体" w:hAnsi="宋体" w:cs="宋体" w:eastAsia="宋体" w:hint="default"/>
                <w:w w:val="100"/>
                <w:sz w:val="15"/>
                <w:szCs w:val="15"/>
              </w:rPr>
              <w:t> </w:t>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6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2"/>
                <w:szCs w:val="12"/>
              </w:rPr>
            </w:pPr>
          </w:p>
          <w:p>
            <w:pPr>
              <w:pStyle w:val="TableParagraph"/>
              <w:spacing w:line="451" w:lineRule="auto"/>
              <w:ind w:left="69" w:right="67"/>
              <w:jc w:val="left"/>
              <w:rPr>
                <w:rFonts w:ascii="宋体" w:hAnsi="宋体" w:cs="宋体" w:eastAsia="宋体" w:hint="default"/>
                <w:sz w:val="15"/>
                <w:szCs w:val="15"/>
              </w:rPr>
            </w:pPr>
            <w:r>
              <w:rPr>
                <w:rFonts w:ascii="宋体" w:hAnsi="宋体" w:cs="宋体" w:eastAsia="宋体" w:hint="default"/>
                <w:sz w:val="15"/>
                <w:szCs w:val="15"/>
              </w:rPr>
              <w:t>是否合</w:t>
            </w:r>
            <w:r>
              <w:rPr>
                <w:rFonts w:ascii="宋体" w:hAnsi="宋体" w:cs="宋体" w:eastAsia="宋体" w:hint="default"/>
                <w:spacing w:val="-72"/>
                <w:sz w:val="15"/>
                <w:szCs w:val="15"/>
              </w:rPr>
              <w:t> </w:t>
            </w:r>
            <w:r>
              <w:rPr>
                <w:rFonts w:ascii="宋体" w:hAnsi="宋体" w:cs="宋体" w:eastAsia="宋体" w:hint="default"/>
                <w:sz w:val="15"/>
                <w:szCs w:val="15"/>
              </w:rPr>
              <w:t>并报表</w:t>
            </w:r>
          </w:p>
        </w:tc>
        <w:tc>
          <w:tcPr>
            <w:tcW w:w="62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2"/>
                <w:szCs w:val="12"/>
              </w:rPr>
            </w:pPr>
          </w:p>
          <w:p>
            <w:pPr>
              <w:pStyle w:val="TableParagraph"/>
              <w:spacing w:line="451" w:lineRule="auto"/>
              <w:ind w:left="83" w:right="79"/>
              <w:jc w:val="left"/>
              <w:rPr>
                <w:rFonts w:ascii="宋体" w:hAnsi="宋体" w:cs="宋体" w:eastAsia="宋体" w:hint="default"/>
                <w:sz w:val="15"/>
                <w:szCs w:val="15"/>
              </w:rPr>
            </w:pPr>
            <w:r>
              <w:rPr>
                <w:rFonts w:ascii="宋体" w:hAnsi="宋体" w:cs="宋体" w:eastAsia="宋体" w:hint="default"/>
                <w:sz w:val="15"/>
                <w:szCs w:val="15"/>
              </w:rPr>
              <w:t>少数股</w:t>
            </w:r>
            <w:r>
              <w:rPr>
                <w:rFonts w:ascii="宋体" w:hAnsi="宋体" w:cs="宋体" w:eastAsia="宋体" w:hint="default"/>
                <w:spacing w:val="-72"/>
                <w:sz w:val="15"/>
                <w:szCs w:val="15"/>
              </w:rPr>
              <w:t> </w:t>
            </w:r>
            <w:r>
              <w:rPr>
                <w:rFonts w:ascii="宋体" w:hAnsi="宋体" w:cs="宋体" w:eastAsia="宋体" w:hint="default"/>
                <w:sz w:val="15"/>
                <w:szCs w:val="15"/>
              </w:rPr>
              <w:t>东权益</w:t>
            </w:r>
          </w:p>
        </w:tc>
        <w:tc>
          <w:tcPr>
            <w:tcW w:w="95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1"/>
                <w:szCs w:val="11"/>
              </w:rPr>
            </w:pPr>
          </w:p>
          <w:p>
            <w:pPr>
              <w:pStyle w:val="TableParagraph"/>
              <w:spacing w:line="453" w:lineRule="auto"/>
              <w:ind w:left="93" w:right="92"/>
              <w:jc w:val="both"/>
              <w:rPr>
                <w:rFonts w:ascii="宋体" w:hAnsi="宋体" w:cs="宋体" w:eastAsia="宋体" w:hint="default"/>
                <w:sz w:val="15"/>
                <w:szCs w:val="15"/>
              </w:rPr>
            </w:pPr>
            <w:r>
              <w:rPr>
                <w:rFonts w:ascii="宋体" w:hAnsi="宋体" w:cs="宋体" w:eastAsia="宋体" w:hint="default"/>
                <w:sz w:val="15"/>
                <w:szCs w:val="15"/>
              </w:rPr>
              <w:t>少数股东权</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益中用于冲</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减少数股东</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损益的金额</w:t>
            </w:r>
          </w:p>
        </w:tc>
        <w:tc>
          <w:tcPr>
            <w:tcW w:w="166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453" w:lineRule="auto"/>
              <w:ind w:left="76" w:right="77"/>
              <w:jc w:val="center"/>
              <w:rPr>
                <w:rFonts w:ascii="宋体" w:hAnsi="宋体" w:cs="宋体" w:eastAsia="宋体" w:hint="default"/>
                <w:sz w:val="15"/>
                <w:szCs w:val="15"/>
              </w:rPr>
            </w:pPr>
            <w:r>
              <w:rPr>
                <w:rFonts w:ascii="宋体" w:hAnsi="宋体" w:cs="宋体" w:eastAsia="宋体" w:hint="default"/>
                <w:spacing w:val="-2"/>
                <w:sz w:val="15"/>
                <w:szCs w:val="15"/>
              </w:rPr>
              <w:t>从母公司所有者权益冲</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2"/>
                <w:sz w:val="15"/>
                <w:szCs w:val="15"/>
              </w:rPr>
              <w:t>减子公司少数股东分担</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2"/>
                <w:sz w:val="15"/>
                <w:szCs w:val="15"/>
              </w:rPr>
              <w:t>的本期亏损超过少数股</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2"/>
                <w:sz w:val="15"/>
                <w:szCs w:val="15"/>
              </w:rPr>
              <w:t>东在该子公司期初所有</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2"/>
                <w:sz w:val="15"/>
                <w:szCs w:val="15"/>
              </w:rPr>
              <w:t>者权益中所享有份额后</w:t>
            </w:r>
          </w:p>
          <w:p>
            <w:pPr>
              <w:pStyle w:val="TableParagraph"/>
              <w:spacing w:line="240" w:lineRule="auto" w:before="40"/>
              <w:ind w:right="2"/>
              <w:jc w:val="center"/>
              <w:rPr>
                <w:rFonts w:ascii="宋体" w:hAnsi="宋体" w:cs="宋体" w:eastAsia="宋体" w:hint="default"/>
                <w:sz w:val="15"/>
                <w:szCs w:val="15"/>
              </w:rPr>
            </w:pPr>
            <w:r>
              <w:rPr>
                <w:rFonts w:ascii="宋体" w:hAnsi="宋体" w:cs="宋体" w:eastAsia="宋体" w:hint="default"/>
                <w:sz w:val="15"/>
                <w:szCs w:val="15"/>
              </w:rPr>
              <w:t>的余额</w:t>
            </w:r>
          </w:p>
        </w:tc>
      </w:tr>
      <w:tr>
        <w:trPr>
          <w:trHeight w:val="1623" w:hRule="exact"/>
        </w:trPr>
        <w:tc>
          <w:tcPr>
            <w:tcW w:w="1260"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489" w:lineRule="auto"/>
              <w:ind w:left="122" w:right="101"/>
              <w:jc w:val="left"/>
              <w:rPr>
                <w:rFonts w:ascii="宋体" w:hAnsi="宋体" w:cs="宋体" w:eastAsia="宋体" w:hint="default"/>
                <w:sz w:val="15"/>
                <w:szCs w:val="15"/>
              </w:rPr>
            </w:pPr>
            <w:r>
              <w:rPr>
                <w:rFonts w:ascii="宋体" w:hAnsi="宋体" w:cs="宋体" w:eastAsia="宋体" w:hint="default"/>
                <w:sz w:val="15"/>
                <w:szCs w:val="15"/>
              </w:rPr>
              <w:t>汉</w:t>
            </w:r>
            <w:r>
              <w:rPr>
                <w:rFonts w:ascii="宋体" w:hAnsi="宋体" w:cs="宋体" w:eastAsia="宋体" w:hint="default"/>
                <w:spacing w:val="-51"/>
                <w:sz w:val="15"/>
                <w:szCs w:val="15"/>
              </w:rPr>
              <w:t> </w:t>
            </w:r>
            <w:r>
              <w:rPr>
                <w:rFonts w:ascii="宋体" w:hAnsi="宋体" w:cs="宋体" w:eastAsia="宋体" w:hint="default"/>
                <w:sz w:val="15"/>
                <w:szCs w:val="15"/>
              </w:rPr>
              <w:t>得</w:t>
            </w:r>
            <w:r>
              <w:rPr>
                <w:rFonts w:ascii="宋体" w:hAnsi="宋体" w:cs="宋体" w:eastAsia="宋体" w:hint="default"/>
                <w:spacing w:val="-48"/>
                <w:sz w:val="15"/>
                <w:szCs w:val="15"/>
              </w:rPr>
              <w:t> </w:t>
            </w:r>
            <w:r>
              <w:rPr>
                <w:rFonts w:ascii="宋体" w:hAnsi="宋体" w:cs="宋体" w:eastAsia="宋体" w:hint="default"/>
                <w:sz w:val="15"/>
                <w:szCs w:val="15"/>
              </w:rPr>
              <w:t>日</w:t>
            </w:r>
            <w:r>
              <w:rPr>
                <w:rFonts w:ascii="宋体" w:hAnsi="宋体" w:cs="宋体" w:eastAsia="宋体" w:hint="default"/>
                <w:spacing w:val="-51"/>
                <w:sz w:val="15"/>
                <w:szCs w:val="15"/>
              </w:rPr>
              <w:t> </w:t>
            </w:r>
            <w:r>
              <w:rPr>
                <w:rFonts w:ascii="宋体" w:hAnsi="宋体" w:cs="宋体" w:eastAsia="宋体" w:hint="default"/>
                <w:sz w:val="15"/>
                <w:szCs w:val="15"/>
              </w:rPr>
              <w:t>本</w:t>
            </w:r>
            <w:r>
              <w:rPr>
                <w:rFonts w:ascii="宋体" w:hAnsi="宋体" w:cs="宋体" w:eastAsia="宋体" w:hint="default"/>
                <w:spacing w:val="-51"/>
                <w:sz w:val="15"/>
                <w:szCs w:val="15"/>
              </w:rPr>
              <w:t> </w:t>
            </w:r>
            <w:r>
              <w:rPr>
                <w:rFonts w:ascii="宋体" w:hAnsi="宋体" w:cs="宋体" w:eastAsia="宋体" w:hint="default"/>
                <w:sz w:val="15"/>
                <w:szCs w:val="15"/>
              </w:rPr>
              <w:t>株</w:t>
            </w:r>
            <w:r>
              <w:rPr>
                <w:rFonts w:ascii="宋体" w:hAnsi="宋体" w:cs="宋体" w:eastAsia="宋体" w:hint="default"/>
                <w:spacing w:val="-51"/>
                <w:sz w:val="15"/>
                <w:szCs w:val="15"/>
              </w:rPr>
              <w:t> </w:t>
            </w:r>
            <w:r>
              <w:rPr>
                <w:rFonts w:ascii="宋体" w:hAnsi="宋体" w:cs="宋体" w:eastAsia="宋体" w:hint="default"/>
                <w:sz w:val="15"/>
                <w:szCs w:val="15"/>
              </w:rPr>
              <w:t>式</w:t>
            </w:r>
            <w:r>
              <w:rPr>
                <w:rFonts w:ascii="宋体" w:hAnsi="宋体" w:cs="宋体" w:eastAsia="宋体" w:hint="default"/>
                <w:w w:val="100"/>
                <w:sz w:val="15"/>
                <w:szCs w:val="15"/>
              </w:rPr>
              <w:t> </w:t>
            </w:r>
            <w:r>
              <w:rPr>
                <w:rFonts w:ascii="宋体" w:hAnsi="宋体" w:cs="宋体" w:eastAsia="宋体" w:hint="default"/>
                <w:sz w:val="15"/>
                <w:szCs w:val="15"/>
              </w:rPr>
              <w:t>会社</w:t>
            </w:r>
          </w:p>
        </w:tc>
        <w:tc>
          <w:tcPr>
            <w:tcW w:w="7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489" w:lineRule="auto"/>
              <w:ind w:left="100" w:right="43"/>
              <w:jc w:val="left"/>
              <w:rPr>
                <w:rFonts w:ascii="宋体" w:hAnsi="宋体" w:cs="宋体" w:eastAsia="宋体" w:hint="default"/>
                <w:sz w:val="15"/>
                <w:szCs w:val="15"/>
              </w:rPr>
            </w:pPr>
            <w:r>
              <w:rPr>
                <w:rFonts w:ascii="宋体" w:hAnsi="宋体" w:cs="宋体" w:eastAsia="宋体" w:hint="default"/>
                <w:spacing w:val="37"/>
                <w:sz w:val="15"/>
                <w:szCs w:val="15"/>
              </w:rPr>
              <w:t>全资子</w:t>
            </w:r>
            <w:r>
              <w:rPr>
                <w:rFonts w:ascii="宋体" w:hAnsi="宋体" w:cs="宋体" w:eastAsia="宋体" w:hint="default"/>
                <w:spacing w:val="-69"/>
                <w:sz w:val="15"/>
                <w:szCs w:val="15"/>
              </w:rPr>
              <w:t> </w:t>
            </w:r>
            <w:r>
              <w:rPr>
                <w:rFonts w:ascii="宋体" w:hAnsi="宋体" w:cs="宋体" w:eastAsia="宋体" w:hint="default"/>
                <w:sz w:val="15"/>
                <w:szCs w:val="15"/>
              </w:rPr>
              <w:t>公司</w:t>
            </w:r>
          </w:p>
        </w:tc>
        <w:tc>
          <w:tcPr>
            <w:tcW w:w="125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489" w:lineRule="auto"/>
              <w:ind w:left="103" w:right="70"/>
              <w:jc w:val="both"/>
              <w:rPr>
                <w:rFonts w:ascii="宋体" w:hAnsi="宋体" w:cs="宋体" w:eastAsia="宋体" w:hint="default"/>
                <w:sz w:val="15"/>
                <w:szCs w:val="15"/>
              </w:rPr>
            </w:pPr>
            <w:r>
              <w:rPr>
                <w:rFonts w:ascii="宋体" w:hAnsi="宋体" w:cs="宋体" w:eastAsia="宋体" w:hint="default"/>
                <w:spacing w:val="20"/>
                <w:sz w:val="15"/>
                <w:szCs w:val="15"/>
              </w:rPr>
              <w:t>日本国东京都</w:t>
            </w:r>
            <w:r>
              <w:rPr>
                <w:rFonts w:ascii="宋体" w:hAnsi="宋体" w:cs="宋体" w:eastAsia="宋体" w:hint="default"/>
                <w:spacing w:val="-58"/>
                <w:sz w:val="15"/>
                <w:szCs w:val="15"/>
              </w:rPr>
              <w:t> </w:t>
            </w:r>
            <w:r>
              <w:rPr>
                <w:rFonts w:ascii="宋体" w:hAnsi="宋体" w:cs="宋体" w:eastAsia="宋体" w:hint="default"/>
                <w:spacing w:val="20"/>
                <w:sz w:val="15"/>
                <w:szCs w:val="15"/>
              </w:rPr>
              <w:t>江东区东云一</w:t>
            </w:r>
            <w:r>
              <w:rPr>
                <w:rFonts w:ascii="宋体" w:hAnsi="宋体" w:cs="宋体" w:eastAsia="宋体" w:hint="default"/>
                <w:spacing w:val="-58"/>
                <w:sz w:val="15"/>
                <w:szCs w:val="15"/>
              </w:rPr>
              <w:t> </w:t>
            </w:r>
            <w:r>
              <w:rPr>
                <w:rFonts w:ascii="宋体" w:hAnsi="宋体" w:cs="宋体" w:eastAsia="宋体" w:hint="default"/>
                <w:sz w:val="15"/>
                <w:szCs w:val="15"/>
              </w:rPr>
              <w:t>丁  目   </w:t>
            </w:r>
            <w:r>
              <w:rPr>
                <w:rFonts w:ascii="Times New Roman" w:hAnsi="Times New Roman" w:cs="Times New Roman" w:eastAsia="Times New Roman" w:hint="default"/>
                <w:sz w:val="15"/>
                <w:szCs w:val="15"/>
              </w:rPr>
              <w:t>9  </w:t>
            </w:r>
            <w:r>
              <w:rPr>
                <w:rFonts w:ascii="Times New Roman" w:hAnsi="Times New Roman" w:cs="Times New Roman" w:eastAsia="Times New Roman" w:hint="default"/>
                <w:spacing w:val="27"/>
                <w:sz w:val="15"/>
                <w:szCs w:val="15"/>
              </w:rPr>
              <w:t> </w:t>
            </w:r>
            <w:r>
              <w:rPr>
                <w:rFonts w:ascii="宋体" w:hAnsi="宋体" w:cs="宋体" w:eastAsia="宋体" w:hint="default"/>
                <w:sz w:val="15"/>
                <w:szCs w:val="15"/>
              </w:rPr>
              <w:t>番</w:t>
            </w:r>
          </w:p>
          <w:p>
            <w:pPr>
              <w:pStyle w:val="TableParagraph"/>
              <w:spacing w:line="240" w:lineRule="auto" w:before="18"/>
              <w:ind w:left="103" w:right="0"/>
              <w:jc w:val="both"/>
              <w:rPr>
                <w:rFonts w:ascii="宋体" w:hAnsi="宋体" w:cs="宋体" w:eastAsia="宋体" w:hint="default"/>
                <w:sz w:val="15"/>
                <w:szCs w:val="15"/>
              </w:rPr>
            </w:pPr>
            <w:r>
              <w:rPr>
                <w:rFonts w:ascii="Times New Roman" w:hAnsi="Times New Roman" w:cs="Times New Roman" w:eastAsia="Times New Roman" w:hint="default"/>
                <w:sz w:val="15"/>
                <w:szCs w:val="15"/>
              </w:rPr>
              <w:t>41-2710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号</w:t>
            </w:r>
          </w:p>
        </w:tc>
        <w:tc>
          <w:tcPr>
            <w:tcW w:w="88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8"/>
              <w:ind w:right="0"/>
              <w:jc w:val="left"/>
              <w:rPr>
                <w:rFonts w:ascii="宋体" w:hAnsi="宋体" w:cs="宋体" w:eastAsia="宋体" w:hint="default"/>
                <w:b/>
                <w:bCs/>
                <w:sz w:val="11"/>
                <w:szCs w:val="11"/>
              </w:rPr>
            </w:pPr>
          </w:p>
          <w:p>
            <w:pPr>
              <w:pStyle w:val="TableParagraph"/>
              <w:spacing w:line="240" w:lineRule="auto"/>
              <w:ind w:right="2"/>
              <w:jc w:val="center"/>
              <w:rPr>
                <w:rFonts w:ascii="宋体" w:hAnsi="宋体" w:cs="宋体" w:eastAsia="宋体" w:hint="default"/>
                <w:sz w:val="15"/>
                <w:szCs w:val="15"/>
              </w:rPr>
            </w:pPr>
            <w:r>
              <w:rPr>
                <w:rFonts w:ascii="Times New Roman" w:hAnsi="Times New Roman" w:cs="Times New Roman" w:eastAsia="Times New Roman" w:hint="default"/>
                <w:sz w:val="15"/>
                <w:szCs w:val="15"/>
              </w:rPr>
              <w:t>IT</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业</w:t>
            </w:r>
          </w:p>
        </w:tc>
        <w:tc>
          <w:tcPr>
            <w:tcW w:w="88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1,000</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万日</w:t>
            </w: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元</w:t>
            </w:r>
          </w:p>
        </w:tc>
        <w:tc>
          <w:tcPr>
            <w:tcW w:w="16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477" w:lineRule="auto"/>
              <w:ind w:left="103" w:right="98"/>
              <w:jc w:val="both"/>
              <w:rPr>
                <w:rFonts w:ascii="宋体" w:hAnsi="宋体" w:cs="宋体" w:eastAsia="宋体" w:hint="default"/>
                <w:sz w:val="15"/>
                <w:szCs w:val="15"/>
              </w:rPr>
            </w:pPr>
            <w:r>
              <w:rPr>
                <w:rFonts w:ascii="宋体" w:hAnsi="宋体" w:cs="宋体" w:eastAsia="宋体" w:hint="default"/>
                <w:sz w:val="15"/>
                <w:szCs w:val="15"/>
              </w:rPr>
              <w:t>提供</w:t>
            </w:r>
            <w:r>
              <w:rPr>
                <w:rFonts w:ascii="宋体" w:hAnsi="宋体" w:cs="宋体" w:eastAsia="宋体" w:hint="default"/>
                <w:spacing w:val="-33"/>
                <w:sz w:val="15"/>
                <w:szCs w:val="15"/>
              </w:rPr>
              <w:t> </w:t>
            </w:r>
            <w:r>
              <w:rPr>
                <w:rFonts w:ascii="Times New Roman" w:hAnsi="Times New Roman" w:cs="Times New Roman" w:eastAsia="Times New Roman" w:hint="default"/>
                <w:sz w:val="15"/>
                <w:szCs w:val="15"/>
              </w:rPr>
              <w:t>IT</w:t>
            </w:r>
            <w:r>
              <w:rPr>
                <w:rFonts w:ascii="Times New Roman" w:hAnsi="Times New Roman" w:cs="Times New Roman" w:eastAsia="Times New Roman" w:hint="default"/>
                <w:spacing w:val="4"/>
                <w:sz w:val="15"/>
                <w:szCs w:val="15"/>
              </w:rPr>
              <w:t> </w:t>
            </w:r>
            <w:r>
              <w:rPr>
                <w:rFonts w:ascii="宋体" w:hAnsi="宋体" w:cs="宋体" w:eastAsia="宋体" w:hint="default"/>
                <w:spacing w:val="-7"/>
                <w:sz w:val="15"/>
                <w:szCs w:val="15"/>
              </w:rPr>
              <w:t>战略咨询，业</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务流程优化，企业资</w:t>
            </w:r>
            <w:r>
              <w:rPr>
                <w:rFonts w:ascii="宋体" w:hAnsi="宋体" w:cs="宋体" w:eastAsia="宋体" w:hint="default"/>
                <w:spacing w:val="-41"/>
                <w:sz w:val="15"/>
                <w:szCs w:val="15"/>
              </w:rPr>
              <w:t> </w:t>
            </w:r>
            <w:r>
              <w:rPr>
                <w:rFonts w:ascii="宋体" w:hAnsi="宋体" w:cs="宋体" w:eastAsia="宋体" w:hint="default"/>
                <w:spacing w:val="-41"/>
                <w:sz w:val="15"/>
                <w:szCs w:val="15"/>
              </w:rPr>
            </w:r>
            <w:r>
              <w:rPr>
                <w:rFonts w:ascii="宋体" w:hAnsi="宋体" w:cs="宋体" w:eastAsia="宋体" w:hint="default"/>
                <w:sz w:val="15"/>
                <w:szCs w:val="15"/>
              </w:rPr>
              <w:t>源管理应用系统实施</w:t>
            </w:r>
          </w:p>
          <w:p>
            <w:pPr>
              <w:pStyle w:val="TableParagraph"/>
              <w:spacing w:line="240" w:lineRule="auto" w:before="54"/>
              <w:ind w:left="103" w:right="0"/>
              <w:jc w:val="both"/>
              <w:rPr>
                <w:rFonts w:ascii="宋体" w:hAnsi="宋体" w:cs="宋体" w:eastAsia="宋体" w:hint="default"/>
                <w:sz w:val="15"/>
                <w:szCs w:val="15"/>
              </w:rPr>
            </w:pPr>
            <w:r>
              <w:rPr>
                <w:rFonts w:ascii="宋体" w:hAnsi="宋体" w:cs="宋体" w:eastAsia="宋体" w:hint="default"/>
                <w:w w:val="100"/>
                <w:sz w:val="15"/>
                <w:szCs w:val="15"/>
              </w:rPr>
              <w:t>等</w:t>
            </w:r>
          </w:p>
        </w:tc>
        <w:tc>
          <w:tcPr>
            <w:tcW w:w="8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244" w:right="0"/>
              <w:jc w:val="left"/>
              <w:rPr>
                <w:rFonts w:ascii="Times New Roman" w:hAnsi="Times New Roman" w:cs="Times New Roman" w:eastAsia="Times New Roman" w:hint="default"/>
                <w:sz w:val="15"/>
                <w:szCs w:val="15"/>
              </w:rPr>
            </w:pPr>
            <w:r>
              <w:rPr>
                <w:rFonts w:ascii="Times New Roman"/>
                <w:sz w:val="15"/>
              </w:rPr>
              <w:t>57.49</w:t>
            </w:r>
          </w:p>
        </w:tc>
        <w:tc>
          <w:tcPr>
            <w:tcW w:w="1061" w:type="dxa"/>
            <w:tcBorders>
              <w:top w:val="dotted" w:sz="4" w:space="0" w:color="000000"/>
              <w:left w:val="dotted" w:sz="4" w:space="0" w:color="000000"/>
              <w:bottom w:val="single" w:sz="12" w:space="0" w:color="000000"/>
              <w:right w:val="dotted" w:sz="4" w:space="0" w:color="000000"/>
            </w:tcBorders>
          </w:tcPr>
          <w:p>
            <w:pPr/>
          </w:p>
        </w:tc>
        <w:tc>
          <w:tcPr>
            <w:tcW w:w="5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142" w:right="0"/>
              <w:jc w:val="left"/>
              <w:rPr>
                <w:rFonts w:ascii="Times New Roman" w:hAnsi="Times New Roman" w:cs="Times New Roman" w:eastAsia="Times New Roman" w:hint="default"/>
                <w:sz w:val="15"/>
                <w:szCs w:val="15"/>
              </w:rPr>
            </w:pPr>
            <w:r>
              <w:rPr>
                <w:rFonts w:ascii="Times New Roman"/>
                <w:sz w:val="15"/>
              </w:rPr>
              <w:t>100</w:t>
            </w:r>
          </w:p>
        </w:tc>
        <w:tc>
          <w:tcPr>
            <w:tcW w:w="7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100</w:t>
            </w:r>
          </w:p>
        </w:tc>
        <w:tc>
          <w:tcPr>
            <w:tcW w:w="6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629" w:type="dxa"/>
            <w:tcBorders>
              <w:top w:val="dotted" w:sz="4" w:space="0" w:color="000000"/>
              <w:left w:val="dotted" w:sz="4" w:space="0" w:color="000000"/>
              <w:bottom w:val="single" w:sz="12" w:space="0" w:color="000000"/>
              <w:right w:val="dotted" w:sz="4" w:space="0" w:color="000000"/>
            </w:tcBorders>
          </w:tcPr>
          <w:p>
            <w:pPr/>
          </w:p>
        </w:tc>
        <w:tc>
          <w:tcPr>
            <w:tcW w:w="951" w:type="dxa"/>
            <w:tcBorders>
              <w:top w:val="dotted" w:sz="4" w:space="0" w:color="000000"/>
              <w:left w:val="dotted" w:sz="4" w:space="0" w:color="000000"/>
              <w:bottom w:val="single" w:sz="12" w:space="0" w:color="000000"/>
              <w:right w:val="dotted" w:sz="4" w:space="0" w:color="000000"/>
            </w:tcBorders>
          </w:tcPr>
          <w:p>
            <w:pPr/>
          </w:p>
        </w:tc>
        <w:tc>
          <w:tcPr>
            <w:tcW w:w="1663"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tabs>
          <w:tab w:pos="1395" w:val="left" w:leader="none"/>
        </w:tabs>
        <w:spacing w:before="172"/>
        <w:ind w:left="8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r>
      <w:r>
        <w:rPr>
          <w:rFonts w:ascii="宋体" w:hAnsi="宋体" w:cs="宋体" w:eastAsia="宋体" w:hint="default"/>
          <w:b/>
          <w:bCs/>
          <w:spacing w:val="-1"/>
          <w:sz w:val="21"/>
          <w:szCs w:val="21"/>
        </w:rPr>
        <w:t>无通过非同一控制下企业合并取得的子公司</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0"/>
        <w:ind w:left="6966" w:right="7241" w:firstLine="0"/>
        <w:jc w:val="center"/>
        <w:rPr>
          <w:rFonts w:ascii="Times New Roman" w:hAnsi="Times New Roman" w:cs="Times New Roman" w:eastAsia="Times New Roman" w:hint="default"/>
          <w:sz w:val="18"/>
          <w:szCs w:val="18"/>
        </w:rPr>
      </w:pPr>
      <w:r>
        <w:rPr>
          <w:rFonts w:ascii="Times New Roman"/>
          <w:sz w:val="18"/>
        </w:rPr>
        <w:t>110</w:t>
      </w:r>
    </w:p>
    <w:p>
      <w:pPr>
        <w:spacing w:after="0"/>
        <w:jc w:val="center"/>
        <w:rPr>
          <w:rFonts w:ascii="Times New Roman" w:hAnsi="Times New Roman" w:cs="Times New Roman" w:eastAsia="Times New Roman" w:hint="default"/>
          <w:sz w:val="18"/>
          <w:szCs w:val="18"/>
        </w:rPr>
        <w:sectPr>
          <w:headerReference w:type="default" r:id="rId22"/>
          <w:footerReference w:type="default" r:id="rId23"/>
          <w:pgSz w:w="16840" w:h="11910" w:orient="landscape"/>
          <w:pgMar w:header="0" w:footer="0" w:top="800" w:bottom="280" w:left="130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tabs>
          <w:tab w:pos="980" w:val="left" w:leader="none"/>
        </w:tabs>
        <w:spacing w:before="188"/>
        <w:ind w:left="140" w:right="1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合并范围发生变更的说明</w:t>
      </w:r>
      <w:r>
        <w:rPr>
          <w:rFonts w:ascii="宋体" w:hAnsi="宋体" w:cs="宋体" w:eastAsia="宋体" w:hint="default"/>
          <w:sz w:val="21"/>
          <w:szCs w:val="21"/>
        </w:rPr>
      </w:r>
    </w:p>
    <w:p>
      <w:pPr>
        <w:tabs>
          <w:tab w:pos="1412" w:val="left" w:leader="none"/>
        </w:tabs>
        <w:spacing w:before="107"/>
        <w:ind w:left="858" w:right="1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r>
      <w:r>
        <w:rPr>
          <w:rFonts w:ascii="宋体" w:hAnsi="宋体" w:cs="宋体" w:eastAsia="宋体" w:hint="default"/>
          <w:b/>
          <w:bCs/>
          <w:spacing w:val="-1"/>
          <w:sz w:val="21"/>
          <w:szCs w:val="21"/>
        </w:rPr>
        <w:t>报告期内合并单位未增加。</w:t>
      </w:r>
      <w:r>
        <w:rPr>
          <w:rFonts w:ascii="宋体" w:hAnsi="宋体" w:cs="宋体" w:eastAsia="宋体" w:hint="default"/>
          <w:spacing w:val="-1"/>
          <w:sz w:val="21"/>
          <w:szCs w:val="21"/>
        </w:rPr>
      </w:r>
    </w:p>
    <w:p>
      <w:pPr>
        <w:tabs>
          <w:tab w:pos="1395" w:val="left" w:leader="none"/>
        </w:tabs>
        <w:spacing w:before="91"/>
        <w:ind w:left="858" w:right="1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1"/>
          <w:sz w:val="21"/>
          <w:szCs w:val="21"/>
        </w:rPr>
        <w:t>报告期内合并单位未减少。</w:t>
      </w:r>
      <w:r>
        <w:rPr>
          <w:rFonts w:ascii="宋体" w:hAnsi="宋体" w:cs="宋体" w:eastAsia="宋体" w:hint="default"/>
          <w:spacing w:val="-1"/>
          <w:sz w:val="21"/>
          <w:szCs w:val="21"/>
        </w:rPr>
      </w:r>
    </w:p>
    <w:p>
      <w:pPr>
        <w:spacing w:line="240" w:lineRule="auto" w:before="5"/>
        <w:rPr>
          <w:rFonts w:ascii="宋体" w:hAnsi="宋体" w:cs="宋体" w:eastAsia="宋体" w:hint="default"/>
          <w:b/>
          <w:bCs/>
          <w:sz w:val="28"/>
          <w:szCs w:val="28"/>
        </w:rPr>
      </w:pPr>
    </w:p>
    <w:p>
      <w:pPr>
        <w:tabs>
          <w:tab w:pos="980" w:val="left" w:leader="none"/>
        </w:tabs>
        <w:spacing w:line="343" w:lineRule="auto" w:before="0"/>
        <w:ind w:left="858" w:right="207" w:hanging="718"/>
        <w:jc w:val="left"/>
        <w:rPr>
          <w:rFonts w:ascii="宋体" w:hAnsi="宋体" w:cs="宋体" w:eastAsia="宋体" w:hint="default"/>
          <w:sz w:val="21"/>
          <w:szCs w:val="21"/>
        </w:rPr>
      </w:pPr>
      <w:r>
        <w:rPr/>
        <w:pict>
          <v:shape style="position:absolute;margin-left:119.059998pt;margin-top:96.263664pt;width:389.75pt;height:145.950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26"/>
                    <w:gridCol w:w="2864"/>
                    <w:gridCol w:w="2861"/>
                  </w:tblGrid>
                  <w:tr>
                    <w:trPr>
                      <w:trHeight w:val="420" w:hRule="exact"/>
                    </w:trPr>
                    <w:tc>
                      <w:tcPr>
                        <w:tcW w:w="2026" w:type="dxa"/>
                        <w:tcBorders>
                          <w:top w:val="single" w:sz="12" w:space="0" w:color="000000"/>
                          <w:left w:val="nil" w:sz="6" w:space="0" w:color="auto"/>
                          <w:bottom w:val="dotted" w:sz="4" w:space="0" w:color="000000"/>
                          <w:right w:val="dotted" w:sz="4" w:space="0" w:color="000000"/>
                        </w:tcBorders>
                      </w:tcPr>
                      <w:p>
                        <w:pPr>
                          <w:pStyle w:val="TableParagraph"/>
                          <w:tabs>
                            <w:tab w:pos="440" w:val="left" w:leader="none"/>
                          </w:tabs>
                          <w:spacing w:line="240" w:lineRule="auto" w:before="74"/>
                          <w:ind w:left="1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6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4"/>
                          <w:ind w:left="66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年折算汇率</w:t>
                        </w:r>
                      </w:p>
                    </w:tc>
                    <w:tc>
                      <w:tcPr>
                        <w:tcW w:w="286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74"/>
                          <w:ind w:left="66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年折算汇率</w:t>
                        </w:r>
                      </w:p>
                    </w:tc>
                  </w:tr>
                  <w:tr>
                    <w:trPr>
                      <w:trHeight w:val="411" w:hRule="exact"/>
                    </w:trPr>
                    <w:tc>
                      <w:tcPr>
                        <w:tcW w:w="20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28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right="99"/>
                          <w:jc w:val="right"/>
                          <w:rPr>
                            <w:rFonts w:ascii="Times New Roman" w:hAnsi="Times New Roman" w:cs="Times New Roman" w:eastAsia="Times New Roman" w:hint="default"/>
                            <w:sz w:val="21"/>
                            <w:szCs w:val="21"/>
                          </w:rPr>
                        </w:pPr>
                        <w:r>
                          <w:rPr>
                            <w:rFonts w:ascii="Times New Roman"/>
                            <w:spacing w:val="-2"/>
                            <w:sz w:val="21"/>
                          </w:rPr>
                          <w:t>0.081103</w:t>
                        </w:r>
                      </w:p>
                    </w:tc>
                    <w:tc>
                      <w:tcPr>
                        <w:tcW w:w="28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3"/>
                          <w:ind w:right="101"/>
                          <w:jc w:val="right"/>
                          <w:rPr>
                            <w:rFonts w:ascii="Times New Roman" w:hAnsi="Times New Roman" w:cs="Times New Roman" w:eastAsia="Times New Roman" w:hint="default"/>
                            <w:sz w:val="21"/>
                            <w:szCs w:val="21"/>
                          </w:rPr>
                        </w:pPr>
                        <w:r>
                          <w:rPr>
                            <w:rFonts w:ascii="Times New Roman"/>
                            <w:spacing w:val="-1"/>
                            <w:sz w:val="21"/>
                          </w:rPr>
                          <w:t>0.081260</w:t>
                        </w:r>
                      </w:p>
                    </w:tc>
                  </w:tr>
                  <w:tr>
                    <w:trPr>
                      <w:trHeight w:val="410" w:hRule="exact"/>
                    </w:trPr>
                    <w:tc>
                      <w:tcPr>
                        <w:tcW w:w="20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28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right="99"/>
                          <w:jc w:val="right"/>
                          <w:rPr>
                            <w:rFonts w:ascii="Times New Roman" w:hAnsi="Times New Roman" w:cs="Times New Roman" w:eastAsia="Times New Roman" w:hint="default"/>
                            <w:sz w:val="21"/>
                            <w:szCs w:val="21"/>
                          </w:rPr>
                        </w:pPr>
                        <w:r>
                          <w:rPr>
                            <w:rFonts w:ascii="Times New Roman"/>
                            <w:spacing w:val="-2"/>
                            <w:sz w:val="21"/>
                          </w:rPr>
                          <w:t>0.081103</w:t>
                        </w:r>
                      </w:p>
                    </w:tc>
                    <w:tc>
                      <w:tcPr>
                        <w:tcW w:w="28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3"/>
                          <w:ind w:right="101"/>
                          <w:jc w:val="right"/>
                          <w:rPr>
                            <w:rFonts w:ascii="Times New Roman" w:hAnsi="Times New Roman" w:cs="Times New Roman" w:eastAsia="Times New Roman" w:hint="default"/>
                            <w:sz w:val="21"/>
                            <w:szCs w:val="21"/>
                          </w:rPr>
                        </w:pPr>
                        <w:r>
                          <w:rPr>
                            <w:rFonts w:ascii="Times New Roman"/>
                            <w:spacing w:val="-1"/>
                            <w:sz w:val="21"/>
                          </w:rPr>
                          <w:t>0.081260</w:t>
                        </w:r>
                      </w:p>
                    </w:tc>
                  </w:tr>
                  <w:tr>
                    <w:trPr>
                      <w:trHeight w:val="408" w:hRule="exact"/>
                    </w:trPr>
                    <w:tc>
                      <w:tcPr>
                        <w:tcW w:w="20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8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right="99"/>
                          <w:jc w:val="right"/>
                          <w:rPr>
                            <w:rFonts w:ascii="Times New Roman" w:hAnsi="Times New Roman" w:cs="Times New Roman" w:eastAsia="Times New Roman" w:hint="default"/>
                            <w:sz w:val="21"/>
                            <w:szCs w:val="21"/>
                          </w:rPr>
                        </w:pPr>
                        <w:r>
                          <w:rPr>
                            <w:rFonts w:ascii="Times New Roman"/>
                            <w:spacing w:val="-1"/>
                            <w:sz w:val="21"/>
                          </w:rPr>
                          <w:t>0.066789</w:t>
                        </w:r>
                      </w:p>
                    </w:tc>
                    <w:tc>
                      <w:tcPr>
                        <w:tcW w:w="28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3"/>
                          <w:ind w:right="101"/>
                          <w:jc w:val="right"/>
                          <w:rPr>
                            <w:rFonts w:ascii="Times New Roman" w:hAnsi="Times New Roman" w:cs="Times New Roman" w:eastAsia="Times New Roman" w:hint="default"/>
                            <w:sz w:val="21"/>
                            <w:szCs w:val="21"/>
                          </w:rPr>
                        </w:pPr>
                        <w:r>
                          <w:rPr>
                            <w:rFonts w:ascii="Times New Roman"/>
                            <w:spacing w:val="-1"/>
                            <w:sz w:val="21"/>
                          </w:rPr>
                          <w:t>0.066789</w:t>
                        </w:r>
                      </w:p>
                    </w:tc>
                  </w:tr>
                  <w:tr>
                    <w:trPr>
                      <w:trHeight w:val="410" w:hRule="exact"/>
                    </w:trPr>
                    <w:tc>
                      <w:tcPr>
                        <w:tcW w:w="20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6"/>
                          <w:ind w:left="12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8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99"/>
                          <w:jc w:val="right"/>
                          <w:rPr>
                            <w:rFonts w:ascii="Times New Roman" w:hAnsi="Times New Roman" w:cs="Times New Roman" w:eastAsia="Times New Roman" w:hint="default"/>
                            <w:sz w:val="21"/>
                            <w:szCs w:val="21"/>
                          </w:rPr>
                        </w:pPr>
                        <w:r>
                          <w:rPr>
                            <w:rFonts w:ascii="Times New Roman"/>
                            <w:spacing w:val="-1"/>
                            <w:sz w:val="21"/>
                          </w:rPr>
                          <w:t>0.074763</w:t>
                        </w:r>
                      </w:p>
                    </w:tc>
                    <w:tc>
                      <w:tcPr>
                        <w:tcW w:w="28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5"/>
                          <w:ind w:right="101"/>
                          <w:jc w:val="right"/>
                          <w:rPr>
                            <w:rFonts w:ascii="Times New Roman" w:hAnsi="Times New Roman" w:cs="Times New Roman" w:eastAsia="Times New Roman" w:hint="default"/>
                            <w:sz w:val="21"/>
                            <w:szCs w:val="21"/>
                          </w:rPr>
                        </w:pPr>
                        <w:r>
                          <w:rPr>
                            <w:rFonts w:ascii="Times New Roman"/>
                            <w:spacing w:val="-1"/>
                            <w:sz w:val="21"/>
                          </w:rPr>
                          <w:t>0.074763</w:t>
                        </w:r>
                      </w:p>
                    </w:tc>
                  </w:tr>
                  <w:tr>
                    <w:trPr>
                      <w:trHeight w:val="410" w:hRule="exact"/>
                    </w:trPr>
                    <w:tc>
                      <w:tcPr>
                        <w:tcW w:w="20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28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right="99"/>
                          <w:jc w:val="right"/>
                          <w:rPr>
                            <w:rFonts w:ascii="Times New Roman" w:hAnsi="Times New Roman" w:cs="Times New Roman" w:eastAsia="Times New Roman" w:hint="default"/>
                            <w:sz w:val="21"/>
                            <w:szCs w:val="21"/>
                          </w:rPr>
                        </w:pPr>
                        <w:r>
                          <w:rPr>
                            <w:rFonts w:ascii="Times New Roman"/>
                            <w:spacing w:val="-2"/>
                            <w:sz w:val="21"/>
                          </w:rPr>
                          <w:t>0.081182</w:t>
                        </w:r>
                      </w:p>
                    </w:tc>
                    <w:tc>
                      <w:tcPr>
                        <w:tcW w:w="28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3"/>
                          <w:ind w:right="101"/>
                          <w:jc w:val="right"/>
                          <w:rPr>
                            <w:rFonts w:ascii="Times New Roman" w:hAnsi="Times New Roman" w:cs="Times New Roman" w:eastAsia="Times New Roman" w:hint="default"/>
                            <w:sz w:val="21"/>
                            <w:szCs w:val="21"/>
                          </w:rPr>
                        </w:pPr>
                        <w:r>
                          <w:rPr>
                            <w:rFonts w:ascii="Times New Roman"/>
                            <w:spacing w:val="-1"/>
                            <w:sz w:val="21"/>
                          </w:rPr>
                          <w:t>0.077521</w:t>
                        </w:r>
                      </w:p>
                    </w:tc>
                  </w:tr>
                  <w:tr>
                    <w:trPr>
                      <w:trHeight w:val="420" w:hRule="exact"/>
                    </w:trPr>
                    <w:tc>
                      <w:tcPr>
                        <w:tcW w:w="202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28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3"/>
                          <w:ind w:right="99"/>
                          <w:jc w:val="right"/>
                          <w:rPr>
                            <w:rFonts w:ascii="Times New Roman" w:hAnsi="Times New Roman" w:cs="Times New Roman" w:eastAsia="Times New Roman" w:hint="default"/>
                            <w:sz w:val="21"/>
                            <w:szCs w:val="21"/>
                          </w:rPr>
                        </w:pPr>
                        <w:r>
                          <w:rPr>
                            <w:rFonts w:ascii="Times New Roman"/>
                            <w:spacing w:val="-2"/>
                            <w:sz w:val="21"/>
                          </w:rPr>
                          <w:t>0.081182</w:t>
                        </w:r>
                      </w:p>
                    </w:tc>
                    <w:tc>
                      <w:tcPr>
                        <w:tcW w:w="286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3"/>
                          <w:ind w:right="101"/>
                          <w:jc w:val="right"/>
                          <w:rPr>
                            <w:rFonts w:ascii="Times New Roman" w:hAnsi="Times New Roman" w:cs="Times New Roman" w:eastAsia="Times New Roman" w:hint="default"/>
                            <w:sz w:val="21"/>
                            <w:szCs w:val="21"/>
                          </w:rPr>
                        </w:pPr>
                        <w:r>
                          <w:rPr>
                            <w:rFonts w:ascii="Times New Roman"/>
                            <w:spacing w:val="-1"/>
                            <w:sz w:val="21"/>
                          </w:rPr>
                          <w:t>0.077521</w:t>
                        </w:r>
                      </w:p>
                    </w:tc>
                  </w:tr>
                </w:tbl>
                <w:p>
                  <w:pPr/>
                </w:p>
              </w:txbxContent>
            </v:textbox>
            <w10:wrap type="none"/>
          </v:shape>
        </w:pic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tab/>
        <w:tab/>
      </w:r>
      <w:r>
        <w:rPr>
          <w:rFonts w:ascii="宋体" w:hAnsi="宋体" w:cs="宋体" w:eastAsia="宋体" w:hint="default"/>
          <w:b/>
          <w:bCs/>
          <w:sz w:val="21"/>
          <w:szCs w:val="21"/>
        </w:rPr>
        <w:t>境外经营实体主要报表项目的折算汇率</w:t>
      </w:r>
      <w:r>
        <w:rPr>
          <w:rFonts w:ascii="宋体" w:hAnsi="宋体" w:cs="宋体" w:eastAsia="宋体" w:hint="default"/>
          <w:b/>
          <w:bCs/>
          <w:w w:val="100"/>
          <w:sz w:val="21"/>
          <w:szCs w:val="21"/>
        </w:rPr>
        <w:t> </w:t>
      </w:r>
      <w:r>
        <w:rPr>
          <w:rFonts w:ascii="宋体" w:hAnsi="宋体" w:cs="宋体" w:eastAsia="宋体" w:hint="default"/>
          <w:spacing w:val="-1"/>
          <w:sz w:val="21"/>
          <w:szCs w:val="21"/>
        </w:rPr>
        <w:t>资产负债表中的资产和负债项目，采用资产负债表日的即期汇率折算；所有者权益</w:t>
      </w:r>
      <w:r>
        <w:rPr>
          <w:rFonts w:ascii="宋体" w:hAnsi="宋体" w:cs="宋体" w:eastAsia="宋体" w:hint="default"/>
          <w:w w:val="100"/>
          <w:sz w:val="21"/>
          <w:szCs w:val="21"/>
        </w:rPr>
        <w:t> </w:t>
      </w:r>
      <w:r>
        <w:rPr>
          <w:rFonts w:ascii="宋体" w:hAnsi="宋体" w:cs="宋体" w:eastAsia="宋体" w:hint="default"/>
          <w:spacing w:val="-1"/>
          <w:sz w:val="21"/>
          <w:szCs w:val="21"/>
        </w:rPr>
        <w:t>项目除“未分配利润”项目外，其他项目采用发生时的即期汇率折算。利润表中的</w:t>
      </w:r>
      <w:r>
        <w:rPr>
          <w:rFonts w:ascii="宋体" w:hAnsi="宋体" w:cs="宋体" w:eastAsia="宋体" w:hint="default"/>
          <w:w w:val="100"/>
          <w:sz w:val="21"/>
          <w:szCs w:val="21"/>
        </w:rPr>
        <w:t> </w:t>
      </w:r>
      <w:r>
        <w:rPr>
          <w:rFonts w:ascii="宋体" w:hAnsi="宋体" w:cs="宋体" w:eastAsia="宋体" w:hint="default"/>
          <w:spacing w:val="-1"/>
          <w:sz w:val="21"/>
          <w:szCs w:val="21"/>
        </w:rPr>
        <w:t>收入和费用项目，采用资产负债表日期初期末平均汇率折算。按照上述折算产生的</w:t>
      </w:r>
      <w:r>
        <w:rPr>
          <w:rFonts w:ascii="宋体" w:hAnsi="宋体" w:cs="宋体" w:eastAsia="宋体" w:hint="default"/>
          <w:w w:val="100"/>
          <w:sz w:val="21"/>
          <w:szCs w:val="21"/>
        </w:rPr>
        <w:t> </w:t>
      </w:r>
      <w:r>
        <w:rPr>
          <w:rFonts w:ascii="宋体" w:hAnsi="宋体" w:cs="宋体" w:eastAsia="宋体" w:hint="default"/>
          <w:sz w:val="21"/>
          <w:szCs w:val="21"/>
        </w:rPr>
        <w:t>外币财务报表折算差额，在资产负债表所有者权益项目下单独列示。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5"/>
        <w:tabs>
          <w:tab w:pos="980" w:val="left" w:leader="none"/>
        </w:tabs>
        <w:spacing w:line="240" w:lineRule="auto" w:before="26"/>
        <w:ind w:right="182"/>
        <w:jc w:val="left"/>
        <w:rPr>
          <w:b w:val="0"/>
          <w:bCs w:val="0"/>
        </w:rPr>
      </w:pPr>
      <w:r>
        <w:rPr/>
        <w:t>五、</w:t>
        <w:tab/>
        <w:t>合并财务报表主要项目注释</w:t>
      </w:r>
      <w:r>
        <w:rPr>
          <w:b w:val="0"/>
          <w:bCs w:val="0"/>
        </w:rPr>
      </w:r>
    </w:p>
    <w:p>
      <w:pPr>
        <w:tabs>
          <w:tab w:pos="980" w:val="left" w:leader="none"/>
        </w:tabs>
        <w:spacing w:line="256" w:lineRule="auto" w:before="81"/>
        <w:ind w:left="140" w:right="3372" w:firstLine="717"/>
        <w:jc w:val="left"/>
        <w:rPr>
          <w:rFonts w:ascii="宋体" w:hAnsi="宋体" w:cs="宋体" w:eastAsia="宋体" w:hint="default"/>
          <w:sz w:val="21"/>
          <w:szCs w:val="21"/>
        </w:rPr>
      </w:pPr>
      <w:r>
        <w:rPr>
          <w:rFonts w:ascii="宋体" w:hAnsi="宋体" w:cs="宋体" w:eastAsia="宋体" w:hint="default"/>
          <w:spacing w:val="-2"/>
          <w:sz w:val="21"/>
          <w:szCs w:val="21"/>
        </w:rPr>
        <w:t>（以下金额单位若未特别注明者均为人民币元）</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9"/>
        <w:rPr>
          <w:rFonts w:ascii="宋体" w:hAnsi="宋体" w:cs="宋体" w:eastAsia="宋体" w:hint="default"/>
          <w:b/>
          <w:bCs/>
          <w:sz w:val="2"/>
          <w:szCs w:val="2"/>
        </w:rPr>
      </w:pPr>
    </w:p>
    <w:tbl>
      <w:tblPr>
        <w:tblW w:w="0" w:type="auto"/>
        <w:jc w:val="left"/>
        <w:tblInd w:w="531" w:type="dxa"/>
        <w:tblLayout w:type="fixed"/>
        <w:tblCellMar>
          <w:top w:w="0" w:type="dxa"/>
          <w:left w:w="0" w:type="dxa"/>
          <w:bottom w:w="0" w:type="dxa"/>
          <w:right w:w="0" w:type="dxa"/>
        </w:tblCellMar>
        <w:tblLook w:val="01E0"/>
      </w:tblPr>
      <w:tblGrid>
        <w:gridCol w:w="1579"/>
        <w:gridCol w:w="1277"/>
        <w:gridCol w:w="708"/>
        <w:gridCol w:w="1277"/>
        <w:gridCol w:w="1133"/>
        <w:gridCol w:w="797"/>
        <w:gridCol w:w="1189"/>
      </w:tblGrid>
      <w:tr>
        <w:trPr>
          <w:trHeight w:val="334" w:hRule="exact"/>
        </w:trPr>
        <w:tc>
          <w:tcPr>
            <w:tcW w:w="1579" w:type="dxa"/>
            <w:vMerge w:val="restart"/>
            <w:tcBorders>
              <w:top w:val="single" w:sz="12" w:space="0" w:color="000000"/>
              <w:left w:val="nil" w:sz="6" w:space="0" w:color="auto"/>
              <w:right w:val="dotted"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3263"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3118"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年初余额</w:t>
            </w:r>
          </w:p>
        </w:tc>
      </w:tr>
      <w:tr>
        <w:trPr>
          <w:trHeight w:val="322" w:hRule="exact"/>
        </w:trPr>
        <w:tc>
          <w:tcPr>
            <w:tcW w:w="1579" w:type="dxa"/>
            <w:vMerge/>
            <w:tcBorders>
              <w:left w:val="nil" w:sz="6" w:space="0" w:color="auto"/>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外币金额</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3"/>
              <w:ind w:right="36"/>
              <w:jc w:val="center"/>
              <w:rPr>
                <w:rFonts w:ascii="宋体" w:hAnsi="宋体" w:cs="宋体" w:eastAsia="宋体" w:hint="default"/>
                <w:sz w:val="15"/>
                <w:szCs w:val="15"/>
              </w:rPr>
            </w:pPr>
            <w:r>
              <w:rPr>
                <w:rFonts w:ascii="宋体" w:hAnsi="宋体" w:cs="宋体" w:eastAsia="宋体" w:hint="default"/>
                <w:sz w:val="15"/>
                <w:szCs w:val="15"/>
              </w:rPr>
              <w:t>折算率</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人民币金额</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外币金额</w:t>
            </w:r>
          </w:p>
        </w:tc>
        <w:tc>
          <w:tcPr>
            <w:tcW w:w="7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折算率</w:t>
            </w:r>
          </w:p>
        </w:tc>
        <w:tc>
          <w:tcPr>
            <w:tcW w:w="11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人民币金额</w:t>
            </w:r>
          </w:p>
        </w:tc>
      </w:tr>
      <w:tr>
        <w:trPr>
          <w:trHeight w:val="322" w:hRule="exact"/>
        </w:trPr>
        <w:tc>
          <w:tcPr>
            <w:tcW w:w="15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现金</w:t>
            </w:r>
          </w:p>
        </w:tc>
        <w:tc>
          <w:tcPr>
            <w:tcW w:w="1277"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1189"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15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3"/>
              <w:ind w:left="273" w:right="0"/>
              <w:jc w:val="left"/>
              <w:rPr>
                <w:rFonts w:ascii="宋体" w:hAnsi="宋体" w:cs="宋体" w:eastAsia="宋体" w:hint="default"/>
                <w:sz w:val="15"/>
                <w:szCs w:val="15"/>
              </w:rPr>
            </w:pPr>
            <w:r>
              <w:rPr>
                <w:rFonts w:ascii="宋体" w:hAnsi="宋体" w:cs="宋体" w:eastAsia="宋体" w:hint="default"/>
                <w:sz w:val="15"/>
                <w:szCs w:val="15"/>
              </w:rPr>
              <w:t>人民币</w:t>
            </w:r>
          </w:p>
        </w:tc>
        <w:tc>
          <w:tcPr>
            <w:tcW w:w="1277"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left="103" w:right="0"/>
              <w:jc w:val="left"/>
              <w:rPr>
                <w:rFonts w:ascii="Times New Roman" w:hAnsi="Times New Roman" w:cs="Times New Roman" w:eastAsia="Times New Roman" w:hint="default"/>
                <w:sz w:val="15"/>
                <w:szCs w:val="15"/>
              </w:rPr>
            </w:pPr>
            <w:r>
              <w:rPr>
                <w:rFonts w:ascii="Times New Roman"/>
                <w:spacing w:val="-3"/>
                <w:sz w:val="15"/>
              </w:rPr>
              <w:t>29,111.82</w:t>
            </w:r>
          </w:p>
        </w:tc>
        <w:tc>
          <w:tcPr>
            <w:tcW w:w="1133"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11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8"/>
              <w:ind w:left="103" w:right="0"/>
              <w:jc w:val="left"/>
              <w:rPr>
                <w:rFonts w:ascii="Times New Roman" w:hAnsi="Times New Roman" w:cs="Times New Roman" w:eastAsia="Times New Roman" w:hint="default"/>
                <w:sz w:val="15"/>
                <w:szCs w:val="15"/>
              </w:rPr>
            </w:pPr>
            <w:r>
              <w:rPr>
                <w:rFonts w:ascii="Times New Roman"/>
                <w:sz w:val="15"/>
              </w:rPr>
              <w:t>12,750.93</w:t>
            </w:r>
          </w:p>
        </w:tc>
      </w:tr>
      <w:tr>
        <w:trPr>
          <w:trHeight w:val="322" w:hRule="exact"/>
        </w:trPr>
        <w:tc>
          <w:tcPr>
            <w:tcW w:w="15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3"/>
              <w:ind w:left="273" w:right="0"/>
              <w:jc w:val="left"/>
              <w:rPr>
                <w:rFonts w:ascii="宋体" w:hAnsi="宋体" w:cs="宋体" w:eastAsia="宋体" w:hint="default"/>
                <w:sz w:val="15"/>
                <w:szCs w:val="15"/>
              </w:rPr>
            </w:pPr>
            <w:r>
              <w:rPr>
                <w:rFonts w:ascii="宋体" w:hAnsi="宋体" w:cs="宋体" w:eastAsia="宋体" w:hint="default"/>
                <w:sz w:val="15"/>
                <w:szCs w:val="15"/>
              </w:rPr>
              <w:t>日元</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left="103" w:right="0"/>
              <w:jc w:val="left"/>
              <w:rPr>
                <w:rFonts w:ascii="Times New Roman" w:hAnsi="Times New Roman" w:cs="Times New Roman" w:eastAsia="Times New Roman" w:hint="default"/>
                <w:sz w:val="15"/>
                <w:szCs w:val="15"/>
              </w:rPr>
            </w:pPr>
            <w:r>
              <w:rPr>
                <w:rFonts w:ascii="Times New Roman"/>
                <w:sz w:val="15"/>
              </w:rPr>
              <w:t>194,056.00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right="81"/>
              <w:jc w:val="center"/>
              <w:rPr>
                <w:rFonts w:ascii="Times New Roman" w:hAnsi="Times New Roman" w:cs="Times New Roman" w:eastAsia="Times New Roman" w:hint="default"/>
                <w:sz w:val="15"/>
                <w:szCs w:val="15"/>
              </w:rPr>
            </w:pPr>
            <w:r>
              <w:rPr>
                <w:rFonts w:ascii="Times New Roman"/>
                <w:sz w:val="15"/>
              </w:rPr>
              <w:t>0.0811</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left="103" w:right="0"/>
              <w:jc w:val="left"/>
              <w:rPr>
                <w:rFonts w:ascii="Times New Roman" w:hAnsi="Times New Roman" w:cs="Times New Roman" w:eastAsia="Times New Roman" w:hint="default"/>
                <w:sz w:val="15"/>
                <w:szCs w:val="15"/>
              </w:rPr>
            </w:pPr>
            <w:r>
              <w:rPr>
                <w:rFonts w:ascii="Times New Roman"/>
                <w:sz w:val="15"/>
              </w:rPr>
              <w:t>15,738.52</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left="103" w:right="0"/>
              <w:jc w:val="left"/>
              <w:rPr>
                <w:rFonts w:ascii="Times New Roman" w:hAnsi="Times New Roman" w:cs="Times New Roman" w:eastAsia="Times New Roman" w:hint="default"/>
                <w:sz w:val="15"/>
                <w:szCs w:val="15"/>
              </w:rPr>
            </w:pPr>
            <w:r>
              <w:rPr>
                <w:rFonts w:ascii="Times New Roman"/>
                <w:sz w:val="15"/>
              </w:rPr>
              <w:t>4,461.00</w:t>
            </w:r>
          </w:p>
        </w:tc>
        <w:tc>
          <w:tcPr>
            <w:tcW w:w="7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left="103" w:right="0"/>
              <w:jc w:val="left"/>
              <w:rPr>
                <w:rFonts w:ascii="Times New Roman" w:hAnsi="Times New Roman" w:cs="Times New Roman" w:eastAsia="Times New Roman" w:hint="default"/>
                <w:sz w:val="15"/>
                <w:szCs w:val="15"/>
              </w:rPr>
            </w:pPr>
            <w:r>
              <w:rPr>
                <w:rFonts w:ascii="Times New Roman"/>
                <w:sz w:val="15"/>
              </w:rPr>
              <w:t>0.0813</w:t>
            </w:r>
          </w:p>
        </w:tc>
        <w:tc>
          <w:tcPr>
            <w:tcW w:w="11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8"/>
              <w:ind w:left="103" w:right="0"/>
              <w:jc w:val="left"/>
              <w:rPr>
                <w:rFonts w:ascii="Times New Roman" w:hAnsi="Times New Roman" w:cs="Times New Roman" w:eastAsia="Times New Roman" w:hint="default"/>
                <w:sz w:val="15"/>
                <w:szCs w:val="15"/>
              </w:rPr>
            </w:pPr>
            <w:r>
              <w:rPr>
                <w:rFonts w:ascii="Times New Roman"/>
                <w:sz w:val="15"/>
              </w:rPr>
              <w:t>362.50</w:t>
            </w:r>
          </w:p>
        </w:tc>
      </w:tr>
      <w:tr>
        <w:trPr>
          <w:trHeight w:val="322" w:hRule="exact"/>
        </w:trPr>
        <w:tc>
          <w:tcPr>
            <w:tcW w:w="15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3"/>
              <w:ind w:left="27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277"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left="103" w:right="0"/>
              <w:jc w:val="left"/>
              <w:rPr>
                <w:rFonts w:ascii="Times New Roman" w:hAnsi="Times New Roman" w:cs="Times New Roman" w:eastAsia="Times New Roman" w:hint="default"/>
                <w:sz w:val="15"/>
                <w:szCs w:val="15"/>
              </w:rPr>
            </w:pPr>
            <w:r>
              <w:rPr>
                <w:rFonts w:ascii="Times New Roman"/>
                <w:sz w:val="15"/>
              </w:rPr>
              <w:t>44,850.34</w:t>
            </w:r>
          </w:p>
        </w:tc>
        <w:tc>
          <w:tcPr>
            <w:tcW w:w="1133"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11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8"/>
              <w:ind w:left="103" w:right="0"/>
              <w:jc w:val="left"/>
              <w:rPr>
                <w:rFonts w:ascii="Times New Roman" w:hAnsi="Times New Roman" w:cs="Times New Roman" w:eastAsia="Times New Roman" w:hint="default"/>
                <w:sz w:val="15"/>
                <w:szCs w:val="15"/>
              </w:rPr>
            </w:pPr>
            <w:r>
              <w:rPr>
                <w:rFonts w:ascii="Times New Roman"/>
                <w:sz w:val="15"/>
              </w:rPr>
              <w:t>13,113.43</w:t>
            </w:r>
          </w:p>
        </w:tc>
      </w:tr>
      <w:tr>
        <w:trPr>
          <w:trHeight w:val="324" w:hRule="exact"/>
        </w:trPr>
        <w:tc>
          <w:tcPr>
            <w:tcW w:w="15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6"/>
              <w:ind w:left="122" w:right="0"/>
              <w:jc w:val="left"/>
              <w:rPr>
                <w:rFonts w:ascii="宋体" w:hAnsi="宋体" w:cs="宋体" w:eastAsia="宋体" w:hint="default"/>
                <w:sz w:val="15"/>
                <w:szCs w:val="15"/>
              </w:rPr>
            </w:pPr>
            <w:r>
              <w:rPr>
                <w:rFonts w:ascii="宋体" w:hAnsi="宋体" w:cs="宋体" w:eastAsia="宋体" w:hint="default"/>
                <w:sz w:val="15"/>
                <w:szCs w:val="15"/>
              </w:rPr>
              <w:t>银行存款</w:t>
            </w:r>
          </w:p>
        </w:tc>
        <w:tc>
          <w:tcPr>
            <w:tcW w:w="1277"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1189"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15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3"/>
              <w:ind w:left="273" w:right="0"/>
              <w:jc w:val="left"/>
              <w:rPr>
                <w:rFonts w:ascii="宋体" w:hAnsi="宋体" w:cs="宋体" w:eastAsia="宋体" w:hint="default"/>
                <w:sz w:val="15"/>
                <w:szCs w:val="15"/>
              </w:rPr>
            </w:pPr>
            <w:r>
              <w:rPr>
                <w:rFonts w:ascii="宋体" w:hAnsi="宋体" w:cs="宋体" w:eastAsia="宋体" w:hint="default"/>
                <w:sz w:val="15"/>
                <w:szCs w:val="15"/>
              </w:rPr>
              <w:t>人民币</w:t>
            </w:r>
          </w:p>
        </w:tc>
        <w:tc>
          <w:tcPr>
            <w:tcW w:w="1277"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left="103" w:right="0"/>
              <w:jc w:val="left"/>
              <w:rPr>
                <w:rFonts w:ascii="Times New Roman" w:hAnsi="Times New Roman" w:cs="Times New Roman" w:eastAsia="Times New Roman" w:hint="default"/>
                <w:sz w:val="15"/>
                <w:szCs w:val="15"/>
              </w:rPr>
            </w:pPr>
            <w:r>
              <w:rPr>
                <w:rFonts w:ascii="Times New Roman"/>
                <w:sz w:val="15"/>
              </w:rPr>
              <w:t>917,537,435.47</w:t>
            </w:r>
          </w:p>
        </w:tc>
        <w:tc>
          <w:tcPr>
            <w:tcW w:w="1133"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11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8"/>
              <w:ind w:left="103" w:right="0"/>
              <w:jc w:val="left"/>
              <w:rPr>
                <w:rFonts w:ascii="Times New Roman" w:hAnsi="Times New Roman" w:cs="Times New Roman" w:eastAsia="Times New Roman" w:hint="default"/>
                <w:sz w:val="15"/>
                <w:szCs w:val="15"/>
              </w:rPr>
            </w:pPr>
            <w:r>
              <w:rPr>
                <w:rFonts w:ascii="Times New Roman"/>
                <w:sz w:val="15"/>
              </w:rPr>
              <w:t>168,374,095.86</w:t>
            </w:r>
          </w:p>
        </w:tc>
      </w:tr>
      <w:tr>
        <w:trPr>
          <w:trHeight w:val="322" w:hRule="exact"/>
        </w:trPr>
        <w:tc>
          <w:tcPr>
            <w:tcW w:w="15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其中：活期存款</w:t>
            </w:r>
          </w:p>
        </w:tc>
        <w:tc>
          <w:tcPr>
            <w:tcW w:w="1277"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left="103" w:right="0"/>
              <w:jc w:val="left"/>
              <w:rPr>
                <w:rFonts w:ascii="Times New Roman" w:hAnsi="Times New Roman" w:cs="Times New Roman" w:eastAsia="Times New Roman" w:hint="default"/>
                <w:sz w:val="15"/>
                <w:szCs w:val="15"/>
              </w:rPr>
            </w:pPr>
            <w:r>
              <w:rPr>
                <w:rFonts w:ascii="Times New Roman"/>
                <w:sz w:val="15"/>
              </w:rPr>
              <w:t>152,666,067.02</w:t>
            </w:r>
          </w:p>
        </w:tc>
        <w:tc>
          <w:tcPr>
            <w:tcW w:w="1133"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11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8"/>
              <w:ind w:left="103" w:right="0"/>
              <w:jc w:val="left"/>
              <w:rPr>
                <w:rFonts w:ascii="Times New Roman" w:hAnsi="Times New Roman" w:cs="Times New Roman" w:eastAsia="Times New Roman" w:hint="default"/>
                <w:sz w:val="15"/>
                <w:szCs w:val="15"/>
              </w:rPr>
            </w:pPr>
            <w:r>
              <w:rPr>
                <w:rFonts w:ascii="Times New Roman"/>
                <w:sz w:val="15"/>
              </w:rPr>
              <w:t>34,208,315.81</w:t>
            </w:r>
          </w:p>
        </w:tc>
      </w:tr>
      <w:tr>
        <w:trPr>
          <w:trHeight w:val="322" w:hRule="exact"/>
        </w:trPr>
        <w:tc>
          <w:tcPr>
            <w:tcW w:w="15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3"/>
              <w:ind w:left="573" w:right="0"/>
              <w:jc w:val="left"/>
              <w:rPr>
                <w:rFonts w:ascii="宋体" w:hAnsi="宋体" w:cs="宋体" w:eastAsia="宋体" w:hint="default"/>
                <w:sz w:val="15"/>
                <w:szCs w:val="15"/>
              </w:rPr>
            </w:pPr>
            <w:r>
              <w:rPr>
                <w:rFonts w:ascii="宋体" w:hAnsi="宋体" w:cs="宋体" w:eastAsia="宋体" w:hint="default"/>
                <w:sz w:val="15"/>
                <w:szCs w:val="15"/>
              </w:rPr>
              <w:t>定期存款</w:t>
            </w:r>
          </w:p>
        </w:tc>
        <w:tc>
          <w:tcPr>
            <w:tcW w:w="1277"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left="103" w:right="0"/>
              <w:jc w:val="left"/>
              <w:rPr>
                <w:rFonts w:ascii="Times New Roman" w:hAnsi="Times New Roman" w:cs="Times New Roman" w:eastAsia="Times New Roman" w:hint="default"/>
                <w:sz w:val="15"/>
                <w:szCs w:val="15"/>
              </w:rPr>
            </w:pPr>
            <w:r>
              <w:rPr>
                <w:rFonts w:ascii="Times New Roman"/>
                <w:sz w:val="15"/>
              </w:rPr>
              <w:t>764,871,368.45</w:t>
            </w:r>
          </w:p>
        </w:tc>
        <w:tc>
          <w:tcPr>
            <w:tcW w:w="1133"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11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8"/>
              <w:ind w:left="103" w:right="0"/>
              <w:jc w:val="left"/>
              <w:rPr>
                <w:rFonts w:ascii="Times New Roman" w:hAnsi="Times New Roman" w:cs="Times New Roman" w:eastAsia="Times New Roman" w:hint="default"/>
                <w:sz w:val="15"/>
                <w:szCs w:val="15"/>
              </w:rPr>
            </w:pPr>
            <w:r>
              <w:rPr>
                <w:rFonts w:ascii="Times New Roman"/>
                <w:sz w:val="15"/>
              </w:rPr>
              <w:t>134,165,780.05</w:t>
            </w:r>
          </w:p>
        </w:tc>
      </w:tr>
      <w:tr>
        <w:trPr>
          <w:trHeight w:val="322" w:hRule="exact"/>
        </w:trPr>
        <w:tc>
          <w:tcPr>
            <w:tcW w:w="15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3"/>
              <w:ind w:left="273" w:right="0"/>
              <w:jc w:val="left"/>
              <w:rPr>
                <w:rFonts w:ascii="宋体" w:hAnsi="宋体" w:cs="宋体" w:eastAsia="宋体" w:hint="default"/>
                <w:sz w:val="15"/>
                <w:szCs w:val="15"/>
              </w:rPr>
            </w:pPr>
            <w:r>
              <w:rPr>
                <w:rFonts w:ascii="宋体" w:hAnsi="宋体" w:cs="宋体" w:eastAsia="宋体" w:hint="default"/>
                <w:sz w:val="15"/>
                <w:szCs w:val="15"/>
              </w:rPr>
              <w:t>日元</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left="103" w:right="0"/>
              <w:jc w:val="left"/>
              <w:rPr>
                <w:rFonts w:ascii="Times New Roman" w:hAnsi="Times New Roman" w:cs="Times New Roman" w:eastAsia="Times New Roman" w:hint="default"/>
                <w:sz w:val="15"/>
                <w:szCs w:val="15"/>
              </w:rPr>
            </w:pPr>
            <w:r>
              <w:rPr>
                <w:rFonts w:ascii="Times New Roman"/>
                <w:sz w:val="15"/>
              </w:rPr>
              <w:t>232,287,366.00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right="81"/>
              <w:jc w:val="center"/>
              <w:rPr>
                <w:rFonts w:ascii="Times New Roman" w:hAnsi="Times New Roman" w:cs="Times New Roman" w:eastAsia="Times New Roman" w:hint="default"/>
                <w:sz w:val="15"/>
                <w:szCs w:val="15"/>
              </w:rPr>
            </w:pPr>
            <w:r>
              <w:rPr>
                <w:rFonts w:ascii="Times New Roman"/>
                <w:sz w:val="15"/>
              </w:rPr>
              <w:t>0.0811</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left="103" w:right="0"/>
              <w:jc w:val="left"/>
              <w:rPr>
                <w:rFonts w:ascii="Times New Roman" w:hAnsi="Times New Roman" w:cs="Times New Roman" w:eastAsia="Times New Roman" w:hint="default"/>
                <w:sz w:val="15"/>
                <w:szCs w:val="15"/>
              </w:rPr>
            </w:pPr>
            <w:r>
              <w:rPr>
                <w:rFonts w:ascii="Times New Roman"/>
                <w:sz w:val="15"/>
              </w:rPr>
              <w:t>18,839,202.25</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left="103" w:right="0"/>
              <w:jc w:val="left"/>
              <w:rPr>
                <w:rFonts w:ascii="Times New Roman" w:hAnsi="Times New Roman" w:cs="Times New Roman" w:eastAsia="Times New Roman" w:hint="default"/>
                <w:sz w:val="15"/>
                <w:szCs w:val="15"/>
              </w:rPr>
            </w:pPr>
            <w:r>
              <w:rPr>
                <w:rFonts w:ascii="Times New Roman"/>
                <w:sz w:val="15"/>
              </w:rPr>
              <w:t>34,249,048.00</w:t>
            </w:r>
          </w:p>
        </w:tc>
        <w:tc>
          <w:tcPr>
            <w:tcW w:w="7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left="103" w:right="0"/>
              <w:jc w:val="left"/>
              <w:rPr>
                <w:rFonts w:ascii="Times New Roman" w:hAnsi="Times New Roman" w:cs="Times New Roman" w:eastAsia="Times New Roman" w:hint="default"/>
                <w:sz w:val="15"/>
                <w:szCs w:val="15"/>
              </w:rPr>
            </w:pPr>
            <w:r>
              <w:rPr>
                <w:rFonts w:ascii="Times New Roman"/>
                <w:sz w:val="15"/>
              </w:rPr>
              <w:t>0.0813</w:t>
            </w:r>
          </w:p>
        </w:tc>
        <w:tc>
          <w:tcPr>
            <w:tcW w:w="11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8"/>
              <w:ind w:left="103" w:right="0"/>
              <w:jc w:val="left"/>
              <w:rPr>
                <w:rFonts w:ascii="Times New Roman" w:hAnsi="Times New Roman" w:cs="Times New Roman" w:eastAsia="Times New Roman" w:hint="default"/>
                <w:sz w:val="15"/>
                <w:szCs w:val="15"/>
              </w:rPr>
            </w:pPr>
            <w:r>
              <w:rPr>
                <w:rFonts w:ascii="Times New Roman"/>
                <w:sz w:val="15"/>
              </w:rPr>
              <w:t>2,783,077.64</w:t>
            </w:r>
          </w:p>
        </w:tc>
      </w:tr>
      <w:tr>
        <w:trPr>
          <w:trHeight w:val="322" w:hRule="exact"/>
        </w:trPr>
        <w:tc>
          <w:tcPr>
            <w:tcW w:w="15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3"/>
              <w:ind w:left="273" w:right="0"/>
              <w:jc w:val="left"/>
              <w:rPr>
                <w:rFonts w:ascii="宋体" w:hAnsi="宋体" w:cs="宋体" w:eastAsia="宋体" w:hint="default"/>
                <w:sz w:val="15"/>
                <w:szCs w:val="15"/>
              </w:rPr>
            </w:pPr>
            <w:r>
              <w:rPr>
                <w:rFonts w:ascii="宋体" w:hAnsi="宋体" w:cs="宋体" w:eastAsia="宋体" w:hint="default"/>
                <w:sz w:val="15"/>
                <w:szCs w:val="15"/>
              </w:rPr>
              <w:t>美元</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left="103" w:right="0"/>
              <w:jc w:val="left"/>
              <w:rPr>
                <w:rFonts w:ascii="Times New Roman" w:hAnsi="Times New Roman" w:cs="Times New Roman" w:eastAsia="Times New Roman" w:hint="default"/>
                <w:sz w:val="15"/>
                <w:szCs w:val="15"/>
              </w:rPr>
            </w:pPr>
            <w:r>
              <w:rPr>
                <w:rFonts w:ascii="Times New Roman"/>
                <w:sz w:val="15"/>
              </w:rPr>
              <w:t>38,813.35</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right="76"/>
              <w:jc w:val="center"/>
              <w:rPr>
                <w:rFonts w:ascii="Times New Roman" w:hAnsi="Times New Roman" w:cs="Times New Roman" w:eastAsia="Times New Roman" w:hint="default"/>
                <w:sz w:val="15"/>
                <w:szCs w:val="15"/>
              </w:rPr>
            </w:pPr>
            <w:r>
              <w:rPr>
                <w:rFonts w:ascii="Times New Roman"/>
                <w:sz w:val="15"/>
              </w:rPr>
              <w:t>6.3000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left="103" w:right="0"/>
              <w:jc w:val="left"/>
              <w:rPr>
                <w:rFonts w:ascii="Times New Roman" w:hAnsi="Times New Roman" w:cs="Times New Roman" w:eastAsia="Times New Roman" w:hint="default"/>
                <w:sz w:val="15"/>
                <w:szCs w:val="15"/>
              </w:rPr>
            </w:pPr>
            <w:r>
              <w:rPr>
                <w:rFonts w:ascii="Times New Roman"/>
                <w:sz w:val="15"/>
              </w:rPr>
              <w:t>244,524.11</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left="103" w:right="0"/>
              <w:jc w:val="left"/>
              <w:rPr>
                <w:rFonts w:ascii="Times New Roman" w:hAnsi="Times New Roman" w:cs="Times New Roman" w:eastAsia="Times New Roman" w:hint="default"/>
                <w:sz w:val="15"/>
                <w:szCs w:val="15"/>
              </w:rPr>
            </w:pPr>
            <w:r>
              <w:rPr>
                <w:rFonts w:ascii="Times New Roman"/>
                <w:sz w:val="15"/>
              </w:rPr>
              <w:t>56,603.37</w:t>
            </w:r>
          </w:p>
        </w:tc>
        <w:tc>
          <w:tcPr>
            <w:tcW w:w="7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left="103" w:right="0"/>
              <w:jc w:val="left"/>
              <w:rPr>
                <w:rFonts w:ascii="Times New Roman" w:hAnsi="Times New Roman" w:cs="Times New Roman" w:eastAsia="Times New Roman" w:hint="default"/>
                <w:sz w:val="15"/>
                <w:szCs w:val="15"/>
              </w:rPr>
            </w:pPr>
            <w:r>
              <w:rPr>
                <w:rFonts w:ascii="Times New Roman"/>
                <w:sz w:val="15"/>
              </w:rPr>
              <w:t>6.6227</w:t>
            </w:r>
          </w:p>
        </w:tc>
        <w:tc>
          <w:tcPr>
            <w:tcW w:w="11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8"/>
              <w:ind w:left="103" w:right="0"/>
              <w:jc w:val="left"/>
              <w:rPr>
                <w:rFonts w:ascii="Times New Roman" w:hAnsi="Times New Roman" w:cs="Times New Roman" w:eastAsia="Times New Roman" w:hint="default"/>
                <w:sz w:val="15"/>
                <w:szCs w:val="15"/>
              </w:rPr>
            </w:pPr>
            <w:r>
              <w:rPr>
                <w:rFonts w:ascii="Times New Roman"/>
                <w:sz w:val="15"/>
              </w:rPr>
              <w:t>374,867.14</w:t>
            </w:r>
          </w:p>
        </w:tc>
      </w:tr>
      <w:tr>
        <w:trPr>
          <w:trHeight w:val="324" w:hRule="exact"/>
        </w:trPr>
        <w:tc>
          <w:tcPr>
            <w:tcW w:w="15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6"/>
              <w:ind w:left="27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277"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left="103" w:right="0"/>
              <w:jc w:val="left"/>
              <w:rPr>
                <w:rFonts w:ascii="Times New Roman" w:hAnsi="Times New Roman" w:cs="Times New Roman" w:eastAsia="Times New Roman" w:hint="default"/>
                <w:sz w:val="15"/>
                <w:szCs w:val="15"/>
              </w:rPr>
            </w:pPr>
            <w:r>
              <w:rPr>
                <w:rFonts w:ascii="Times New Roman"/>
                <w:sz w:val="15"/>
              </w:rPr>
              <w:t>936,621,161.83</w:t>
            </w:r>
          </w:p>
        </w:tc>
        <w:tc>
          <w:tcPr>
            <w:tcW w:w="1133"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11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1"/>
              <w:ind w:left="103" w:right="0"/>
              <w:jc w:val="left"/>
              <w:rPr>
                <w:rFonts w:ascii="Times New Roman" w:hAnsi="Times New Roman" w:cs="Times New Roman" w:eastAsia="Times New Roman" w:hint="default"/>
                <w:sz w:val="15"/>
                <w:szCs w:val="15"/>
              </w:rPr>
            </w:pPr>
            <w:r>
              <w:rPr>
                <w:rFonts w:ascii="Times New Roman"/>
                <w:sz w:val="15"/>
              </w:rPr>
              <w:t>171,532,040.64</w:t>
            </w:r>
          </w:p>
        </w:tc>
      </w:tr>
      <w:tr>
        <w:trPr>
          <w:trHeight w:val="331" w:hRule="exact"/>
        </w:trPr>
        <w:tc>
          <w:tcPr>
            <w:tcW w:w="157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277" w:type="dxa"/>
            <w:tcBorders>
              <w:top w:val="dotted" w:sz="4" w:space="0" w:color="000000"/>
              <w:left w:val="dotted" w:sz="4" w:space="0" w:color="000000"/>
              <w:bottom w:val="single" w:sz="12" w:space="0" w:color="000000"/>
              <w:right w:val="dotted" w:sz="4" w:space="0" w:color="000000"/>
            </w:tcBorders>
          </w:tcPr>
          <w:p>
            <w:pPr/>
          </w:p>
        </w:tc>
        <w:tc>
          <w:tcPr>
            <w:tcW w:w="708" w:type="dxa"/>
            <w:tcBorders>
              <w:top w:val="dotted" w:sz="4" w:space="0" w:color="000000"/>
              <w:left w:val="dotted" w:sz="4" w:space="0" w:color="000000"/>
              <w:bottom w:val="single" w:sz="12" w:space="0" w:color="000000"/>
              <w:right w:val="dotted" w:sz="4" w:space="0" w:color="000000"/>
            </w:tcBorders>
          </w:tcPr>
          <w:p>
            <w:pP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8"/>
              <w:ind w:left="103" w:right="0"/>
              <w:jc w:val="left"/>
              <w:rPr>
                <w:rFonts w:ascii="Times New Roman" w:hAnsi="Times New Roman" w:cs="Times New Roman" w:eastAsia="Times New Roman" w:hint="default"/>
                <w:sz w:val="15"/>
                <w:szCs w:val="15"/>
              </w:rPr>
            </w:pPr>
            <w:r>
              <w:rPr>
                <w:rFonts w:ascii="Times New Roman"/>
                <w:sz w:val="15"/>
              </w:rPr>
              <w:t>936,666,012.17</w:t>
            </w:r>
          </w:p>
        </w:tc>
        <w:tc>
          <w:tcPr>
            <w:tcW w:w="1133" w:type="dxa"/>
            <w:tcBorders>
              <w:top w:val="dotted" w:sz="4" w:space="0" w:color="000000"/>
              <w:left w:val="dotted" w:sz="4" w:space="0" w:color="000000"/>
              <w:bottom w:val="single" w:sz="12" w:space="0" w:color="000000"/>
              <w:right w:val="dotted" w:sz="4" w:space="0" w:color="000000"/>
            </w:tcBorders>
          </w:tcPr>
          <w:p>
            <w:pPr/>
          </w:p>
        </w:tc>
        <w:tc>
          <w:tcPr>
            <w:tcW w:w="797" w:type="dxa"/>
            <w:tcBorders>
              <w:top w:val="dotted" w:sz="4" w:space="0" w:color="000000"/>
              <w:left w:val="dotted" w:sz="4" w:space="0" w:color="000000"/>
              <w:bottom w:val="single" w:sz="12" w:space="0" w:color="000000"/>
              <w:right w:val="dotted" w:sz="4" w:space="0" w:color="000000"/>
            </w:tcBorders>
          </w:tcPr>
          <w:p>
            <w:pPr/>
          </w:p>
        </w:tc>
        <w:tc>
          <w:tcPr>
            <w:tcW w:w="118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8"/>
              <w:ind w:left="103" w:right="0"/>
              <w:jc w:val="left"/>
              <w:rPr>
                <w:rFonts w:ascii="Times New Roman" w:hAnsi="Times New Roman" w:cs="Times New Roman" w:eastAsia="Times New Roman" w:hint="default"/>
                <w:sz w:val="15"/>
                <w:szCs w:val="15"/>
              </w:rPr>
            </w:pPr>
            <w:r>
              <w:rPr>
                <w:rFonts w:ascii="Times New Roman"/>
                <w:sz w:val="15"/>
              </w:rPr>
              <w:t>171,545,154.07</w:t>
            </w:r>
          </w:p>
        </w:tc>
      </w:tr>
    </w:tbl>
    <w:p>
      <w:pPr>
        <w:spacing w:line="240" w:lineRule="auto" w:before="2"/>
        <w:rPr>
          <w:rFonts w:ascii="宋体" w:hAnsi="宋体" w:cs="宋体" w:eastAsia="宋体" w:hint="default"/>
          <w:b/>
          <w:bCs/>
          <w:sz w:val="20"/>
          <w:szCs w:val="20"/>
        </w:rPr>
      </w:pPr>
    </w:p>
    <w:p>
      <w:pPr>
        <w:tabs>
          <w:tab w:pos="980" w:val="left" w:leader="none"/>
        </w:tabs>
        <w:spacing w:before="36"/>
        <w:ind w:left="140" w:right="182"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z w:val="21"/>
          <w:szCs w:val="21"/>
        </w:rPr>
        <w:t>应收票据</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24"/>
          <w:pgSz w:w="11910" w:h="16840"/>
          <w:pgMar w:footer="980" w:header="0" w:top="1140" w:bottom="1160" w:left="1660" w:right="1600"/>
          <w:pgNumType w:start="111"/>
        </w:sectPr>
      </w:pPr>
    </w:p>
    <w:p>
      <w:pPr>
        <w:spacing w:line="240" w:lineRule="auto" w:before="11"/>
        <w:rPr>
          <w:rFonts w:ascii="宋体" w:hAnsi="宋体" w:cs="宋体" w:eastAsia="宋体" w:hint="default"/>
          <w:b/>
          <w:bCs/>
          <w:sz w:val="25"/>
          <w:szCs w:val="25"/>
        </w:rPr>
      </w:pPr>
    </w:p>
    <w:p>
      <w:pPr>
        <w:tabs>
          <w:tab w:pos="1395" w:val="left" w:leader="none"/>
        </w:tabs>
        <w:spacing w:before="36"/>
        <w:ind w:left="858" w:right="15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tab/>
        <w:t>应收票据的分类</w:t>
      </w:r>
      <w:r>
        <w:rPr>
          <w:rFonts w:ascii="宋体" w:hAnsi="宋体" w:cs="宋体" w:eastAsia="宋体" w:hint="default"/>
          <w:sz w:val="21"/>
          <w:szCs w:val="21"/>
        </w:rPr>
      </w:r>
    </w:p>
    <w:p>
      <w:pPr>
        <w:spacing w:line="240" w:lineRule="auto" w:before="4"/>
        <w:rPr>
          <w:rFonts w:ascii="宋体" w:hAnsi="宋体" w:cs="宋体" w:eastAsia="宋体" w:hint="default"/>
          <w:b/>
          <w:bCs/>
          <w:sz w:val="29"/>
          <w:szCs w:val="29"/>
        </w:rPr>
      </w:pPr>
    </w:p>
    <w:tbl>
      <w:tblPr>
        <w:tblW w:w="0" w:type="auto"/>
        <w:jc w:val="left"/>
        <w:tblInd w:w="682" w:type="dxa"/>
        <w:tblLayout w:type="fixed"/>
        <w:tblCellMar>
          <w:top w:w="0" w:type="dxa"/>
          <w:left w:w="0" w:type="dxa"/>
          <w:bottom w:w="0" w:type="dxa"/>
          <w:right w:w="0" w:type="dxa"/>
        </w:tblCellMar>
        <w:tblLook w:val="01E0"/>
      </w:tblPr>
      <w:tblGrid>
        <w:gridCol w:w="2948"/>
        <w:gridCol w:w="2362"/>
        <w:gridCol w:w="2458"/>
      </w:tblGrid>
      <w:tr>
        <w:trPr>
          <w:trHeight w:val="394" w:hRule="exact"/>
        </w:trPr>
        <w:tc>
          <w:tcPr>
            <w:tcW w:w="294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8"/>
              <w:ind w:right="968"/>
              <w:jc w:val="right"/>
              <w:rPr>
                <w:rFonts w:ascii="宋体" w:hAnsi="宋体" w:cs="宋体" w:eastAsia="宋体" w:hint="default"/>
                <w:sz w:val="21"/>
                <w:szCs w:val="21"/>
              </w:rPr>
            </w:pPr>
            <w:r>
              <w:rPr>
                <w:rFonts w:ascii="宋体" w:hAnsi="宋体" w:cs="宋体" w:eastAsia="宋体" w:hint="default"/>
                <w:sz w:val="21"/>
                <w:szCs w:val="21"/>
              </w:rPr>
              <w:t>种类</w:t>
            </w:r>
          </w:p>
        </w:tc>
        <w:tc>
          <w:tcPr>
            <w:tcW w:w="236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8"/>
              <w:ind w:left="66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45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8"/>
              <w:ind w:left="669"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84"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51"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3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669" w:right="0"/>
              <w:jc w:val="left"/>
              <w:rPr>
                <w:rFonts w:ascii="Times New Roman" w:hAnsi="Times New Roman" w:cs="Times New Roman" w:eastAsia="Times New Roman" w:hint="default"/>
                <w:sz w:val="21"/>
                <w:szCs w:val="21"/>
              </w:rPr>
            </w:pPr>
            <w:r>
              <w:rPr>
                <w:rFonts w:ascii="Times New Roman"/>
                <w:sz w:val="21"/>
              </w:rPr>
              <w:t>10,466,951.37</w:t>
            </w:r>
          </w:p>
        </w:tc>
        <w:tc>
          <w:tcPr>
            <w:tcW w:w="24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left="669" w:right="0"/>
              <w:jc w:val="left"/>
              <w:rPr>
                <w:rFonts w:ascii="Times New Roman" w:hAnsi="Times New Roman" w:cs="Times New Roman" w:eastAsia="Times New Roman" w:hint="default"/>
                <w:sz w:val="21"/>
                <w:szCs w:val="21"/>
              </w:rPr>
            </w:pPr>
            <w:r>
              <w:rPr>
                <w:rFonts w:ascii="Times New Roman"/>
                <w:sz w:val="21"/>
              </w:rPr>
              <w:t>3,827,292.55</w:t>
            </w:r>
          </w:p>
        </w:tc>
      </w:tr>
      <w:tr>
        <w:trPr>
          <w:trHeight w:val="396" w:hRule="exact"/>
        </w:trPr>
        <w:tc>
          <w:tcPr>
            <w:tcW w:w="294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8"/>
              <w:ind w:right="968"/>
              <w:jc w:val="right"/>
              <w:rPr>
                <w:rFonts w:ascii="宋体" w:hAnsi="宋体" w:cs="宋体" w:eastAsia="宋体" w:hint="default"/>
                <w:sz w:val="21"/>
                <w:szCs w:val="21"/>
              </w:rPr>
            </w:pPr>
            <w:r>
              <w:rPr>
                <w:rFonts w:ascii="宋体" w:hAnsi="宋体" w:cs="宋体" w:eastAsia="宋体" w:hint="default"/>
                <w:sz w:val="21"/>
                <w:szCs w:val="21"/>
              </w:rPr>
              <w:t>合计</w:t>
            </w:r>
          </w:p>
        </w:tc>
        <w:tc>
          <w:tcPr>
            <w:tcW w:w="23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5"/>
              <w:ind w:left="669" w:right="0"/>
              <w:jc w:val="left"/>
              <w:rPr>
                <w:rFonts w:ascii="Times New Roman" w:hAnsi="Times New Roman" w:cs="Times New Roman" w:eastAsia="Times New Roman" w:hint="default"/>
                <w:sz w:val="21"/>
                <w:szCs w:val="21"/>
              </w:rPr>
            </w:pPr>
            <w:r>
              <w:rPr>
                <w:rFonts w:ascii="Times New Roman"/>
                <w:sz w:val="21"/>
              </w:rPr>
              <w:t>10,466,951.37</w:t>
            </w:r>
          </w:p>
        </w:tc>
        <w:tc>
          <w:tcPr>
            <w:tcW w:w="245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5"/>
              <w:ind w:left="669" w:right="0"/>
              <w:jc w:val="left"/>
              <w:rPr>
                <w:rFonts w:ascii="Times New Roman" w:hAnsi="Times New Roman" w:cs="Times New Roman" w:eastAsia="Times New Roman" w:hint="default"/>
                <w:sz w:val="21"/>
                <w:szCs w:val="21"/>
              </w:rPr>
            </w:pPr>
            <w:r>
              <w:rPr>
                <w:rFonts w:ascii="Times New Roman"/>
                <w:sz w:val="21"/>
              </w:rPr>
              <w:t>3,827,292.55</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tabs>
          <w:tab w:pos="1395" w:val="left" w:leader="none"/>
        </w:tabs>
        <w:spacing w:before="0"/>
        <w:ind w:left="858" w:right="15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t>无已质押的应收票据。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tabs>
          <w:tab w:pos="1395" w:val="left" w:leader="none"/>
        </w:tabs>
        <w:spacing w:line="350" w:lineRule="auto" w:before="0"/>
        <w:ind w:left="1395" w:right="163" w:hanging="538"/>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tab/>
      </w:r>
      <w:r>
        <w:rPr>
          <w:rFonts w:ascii="宋体" w:hAnsi="宋体" w:cs="宋体" w:eastAsia="宋体" w:hint="default"/>
          <w:b/>
          <w:bCs/>
          <w:spacing w:val="2"/>
          <w:sz w:val="21"/>
          <w:szCs w:val="21"/>
        </w:rPr>
        <w:t>无因出票人无力履约而将票据转为应收账款的票据，以及期末公司已经背书</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b/>
          <w:bCs/>
          <w:sz w:val="21"/>
          <w:szCs w:val="21"/>
        </w:rPr>
        <w:t>给他方但尚未到期的票据情况。</w:t>
      </w:r>
      <w:r>
        <w:rPr>
          <w:rFonts w:ascii="宋体" w:hAnsi="宋体" w:cs="宋体" w:eastAsia="宋体" w:hint="default"/>
          <w:sz w:val="21"/>
          <w:szCs w:val="21"/>
        </w:rPr>
      </w:r>
    </w:p>
    <w:p>
      <w:pPr>
        <w:spacing w:line="240" w:lineRule="auto" w:before="12"/>
        <w:rPr>
          <w:rFonts w:ascii="宋体" w:hAnsi="宋体" w:cs="宋体" w:eastAsia="宋体" w:hint="default"/>
          <w:b/>
          <w:bCs/>
          <w:sz w:val="28"/>
          <w:szCs w:val="28"/>
        </w:rPr>
      </w:pPr>
    </w:p>
    <w:p>
      <w:pPr>
        <w:tabs>
          <w:tab w:pos="1395" w:val="left" w:leader="none"/>
        </w:tabs>
        <w:spacing w:before="0"/>
        <w:ind w:left="858" w:right="159"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tab/>
        <w:t>期末无已贴现或质押的商业承兑票据。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tabs>
          <w:tab w:pos="980" w:val="left" w:leader="none"/>
          <w:tab w:pos="1395" w:val="left" w:leader="none"/>
        </w:tabs>
        <w:spacing w:line="561" w:lineRule="auto" w:before="0"/>
        <w:ind w:left="140" w:right="141" w:firstLine="717"/>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tab/>
        <w:t>期末应收票据中无持本公司</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b/>
          <w:bCs/>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w:t>
      </w:r>
      <w:r>
        <w:rPr>
          <w:rFonts w:ascii="宋体" w:hAnsi="宋体" w:cs="宋体" w:eastAsia="宋体" w:hint="default"/>
          <w:b/>
          <w:bCs/>
          <w:spacing w:val="-1"/>
          <w:sz w:val="21"/>
          <w:szCs w:val="21"/>
        </w:rPr>
        <w:t>)</w:t>
        <w:tab/>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tabs>
          <w:tab w:pos="1395" w:val="left" w:leader="none"/>
        </w:tabs>
        <w:spacing w:before="0"/>
        <w:ind w:left="858" w:right="15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tab/>
        <w:t>应收利息</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0"/>
          <w:szCs w:val="10"/>
        </w:rPr>
      </w:pPr>
    </w:p>
    <w:tbl>
      <w:tblPr>
        <w:tblW w:w="0" w:type="auto"/>
        <w:jc w:val="left"/>
        <w:tblInd w:w="661" w:type="dxa"/>
        <w:tblLayout w:type="fixed"/>
        <w:tblCellMar>
          <w:top w:w="0" w:type="dxa"/>
          <w:left w:w="0" w:type="dxa"/>
          <w:bottom w:w="0" w:type="dxa"/>
          <w:right w:w="0" w:type="dxa"/>
        </w:tblCellMar>
        <w:tblLook w:val="01E0"/>
      </w:tblPr>
      <w:tblGrid>
        <w:gridCol w:w="1957"/>
        <w:gridCol w:w="1440"/>
        <w:gridCol w:w="1440"/>
        <w:gridCol w:w="1440"/>
        <w:gridCol w:w="1493"/>
      </w:tblGrid>
      <w:tr>
        <w:trPr>
          <w:trHeight w:val="394" w:hRule="exact"/>
        </w:trPr>
        <w:tc>
          <w:tcPr>
            <w:tcW w:w="195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9"/>
              <w:ind w:right="692"/>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44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35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4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3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4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3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9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9"/>
              <w:ind w:left="38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84" w:hRule="exact"/>
        </w:trPr>
        <w:tc>
          <w:tcPr>
            <w:tcW w:w="1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right="747"/>
              <w:jc w:val="right"/>
              <w:rPr>
                <w:rFonts w:ascii="宋体" w:hAnsi="宋体" w:cs="宋体" w:eastAsia="宋体" w:hint="default"/>
                <w:sz w:val="18"/>
                <w:szCs w:val="18"/>
              </w:rPr>
            </w:pPr>
            <w:r>
              <w:rPr>
                <w:rFonts w:ascii="宋体" w:hAnsi="宋体" w:cs="宋体" w:eastAsia="宋体" w:hint="default"/>
                <w:sz w:val="18"/>
                <w:szCs w:val="18"/>
              </w:rPr>
              <w:t>定期存款利息</w:t>
            </w:r>
          </w:p>
        </w:tc>
        <w:tc>
          <w:tcPr>
            <w:tcW w:w="1440" w:type="dxa"/>
            <w:tcBorders>
              <w:top w:val="dotted" w:sz="4" w:space="0" w:color="000000"/>
              <w:left w:val="dotted" w:sz="4" w:space="0" w:color="000000"/>
              <w:bottom w:val="dotted" w:sz="4" w:space="0" w:color="000000"/>
              <w:right w:val="dotted" w:sz="4" w:space="0" w:color="000000"/>
            </w:tcBorders>
          </w:tcPr>
          <w:p>
            <w:pPr/>
          </w:p>
        </w:tc>
        <w:tc>
          <w:tcPr>
            <w:tcW w:w="14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15,648,713.09</w:t>
            </w:r>
          </w:p>
        </w:tc>
        <w:tc>
          <w:tcPr>
            <w:tcW w:w="1440" w:type="dxa"/>
            <w:tcBorders>
              <w:top w:val="dotted" w:sz="4" w:space="0" w:color="000000"/>
              <w:left w:val="dotted" w:sz="4" w:space="0" w:color="000000"/>
              <w:bottom w:val="dotted" w:sz="4" w:space="0" w:color="000000"/>
              <w:right w:val="dotted" w:sz="4" w:space="0" w:color="000000"/>
            </w:tcBorders>
          </w:tcPr>
          <w:p>
            <w:pPr/>
          </w:p>
        </w:tc>
        <w:tc>
          <w:tcPr>
            <w:tcW w:w="14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left="345" w:right="0"/>
              <w:jc w:val="left"/>
              <w:rPr>
                <w:rFonts w:ascii="Times New Roman" w:hAnsi="Times New Roman" w:cs="Times New Roman" w:eastAsia="Times New Roman" w:hint="default"/>
                <w:sz w:val="18"/>
                <w:szCs w:val="18"/>
              </w:rPr>
            </w:pPr>
            <w:r>
              <w:rPr>
                <w:rFonts w:ascii="Times New Roman"/>
                <w:sz w:val="18"/>
              </w:rPr>
              <w:t>15,648,713.09</w:t>
            </w:r>
          </w:p>
        </w:tc>
      </w:tr>
      <w:tr>
        <w:trPr>
          <w:trHeight w:val="396" w:hRule="exact"/>
        </w:trPr>
        <w:tc>
          <w:tcPr>
            <w:tcW w:w="195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2"/>
              <w:ind w:right="692"/>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40" w:type="dxa"/>
            <w:tcBorders>
              <w:top w:val="dotted" w:sz="4" w:space="0" w:color="000000"/>
              <w:left w:val="dotted" w:sz="4" w:space="0" w:color="000000"/>
              <w:bottom w:val="single" w:sz="12" w:space="0" w:color="000000"/>
              <w:right w:val="dotted" w:sz="4" w:space="0" w:color="000000"/>
            </w:tcBorders>
          </w:tcPr>
          <w:p>
            <w:pPr/>
          </w:p>
        </w:tc>
        <w:tc>
          <w:tcPr>
            <w:tcW w:w="14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15,648,713.09</w:t>
            </w:r>
          </w:p>
        </w:tc>
        <w:tc>
          <w:tcPr>
            <w:tcW w:w="1440" w:type="dxa"/>
            <w:tcBorders>
              <w:top w:val="dotted" w:sz="4" w:space="0" w:color="000000"/>
              <w:left w:val="dotted" w:sz="4" w:space="0" w:color="000000"/>
              <w:bottom w:val="single" w:sz="12" w:space="0" w:color="000000"/>
              <w:right w:val="dotted" w:sz="4" w:space="0" w:color="000000"/>
            </w:tcBorders>
          </w:tcPr>
          <w:p>
            <w:pPr/>
          </w:p>
        </w:tc>
        <w:tc>
          <w:tcPr>
            <w:tcW w:w="149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4"/>
              <w:ind w:left="345" w:right="0"/>
              <w:jc w:val="left"/>
              <w:rPr>
                <w:rFonts w:ascii="Times New Roman" w:hAnsi="Times New Roman" w:cs="Times New Roman" w:eastAsia="Times New Roman" w:hint="default"/>
                <w:sz w:val="18"/>
                <w:szCs w:val="18"/>
              </w:rPr>
            </w:pPr>
            <w:r>
              <w:rPr>
                <w:rFonts w:ascii="Times New Roman"/>
                <w:sz w:val="18"/>
              </w:rPr>
              <w:t>15,648,713.09</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tabs>
          <w:tab w:pos="1395" w:val="left" w:leader="none"/>
        </w:tabs>
        <w:spacing w:before="0"/>
        <w:ind w:left="858" w:right="15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t>期末应收利息中无逾期利息</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tabs>
          <w:tab w:pos="1395" w:val="left" w:leader="none"/>
        </w:tabs>
        <w:spacing w:before="0"/>
        <w:ind w:left="858" w:right="159"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tab/>
        <w:t>期末应收利息中无持本公司</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tabs>
          <w:tab w:pos="1395" w:val="left" w:leader="none"/>
        </w:tabs>
        <w:spacing w:line="350" w:lineRule="auto" w:before="0"/>
        <w:ind w:left="1400" w:right="151" w:hanging="543"/>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tab/>
        <w:t>应收利息的说明：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5"/>
          <w:w w:val="100"/>
          <w:sz w:val="21"/>
          <w:szCs w:val="21"/>
        </w:rPr>
        <w:t>期末尚未使用的募集资金以定期存款方式存放在监管募集资金账户中，本公司</w:t>
      </w:r>
      <w:r>
        <w:rPr>
          <w:rFonts w:ascii="宋体" w:hAnsi="宋体" w:cs="宋体" w:eastAsia="宋体" w:hint="default"/>
          <w:w w:val="100"/>
          <w:sz w:val="21"/>
          <w:szCs w:val="21"/>
        </w:rPr>
        <w:t> </w:t>
      </w:r>
      <w:r>
        <w:rPr>
          <w:rFonts w:ascii="宋体" w:hAnsi="宋体" w:cs="宋体" w:eastAsia="宋体" w:hint="default"/>
          <w:sz w:val="21"/>
          <w:szCs w:val="21"/>
        </w:rPr>
        <w:t>管理层承诺将持有至存款到期日。期末根据定期存款的固定利率计提了归属</w:t>
      </w:r>
      <w:r>
        <w:rPr>
          <w:rFonts w:ascii="宋体" w:hAnsi="宋体" w:cs="宋体" w:eastAsia="宋体" w:hint="default"/>
          <w:w w:val="100"/>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年度的存款利息收入。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tabs>
          <w:tab w:pos="980" w:val="left" w:leader="none"/>
        </w:tabs>
        <w:spacing w:before="0"/>
        <w:ind w:left="140" w:right="159"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1"/>
          <w:szCs w:val="21"/>
        </w:rPr>
        <w:t>应收账款</w:t>
      </w:r>
      <w:r>
        <w:rPr>
          <w:rFonts w:ascii="宋体" w:hAnsi="宋体" w:cs="宋体" w:eastAsia="宋体" w:hint="default"/>
          <w:sz w:val="21"/>
          <w:szCs w:val="21"/>
        </w:rPr>
      </w:r>
    </w:p>
    <w:p>
      <w:pPr>
        <w:tabs>
          <w:tab w:pos="1395" w:val="left" w:leader="none"/>
        </w:tabs>
        <w:spacing w:before="142"/>
        <w:ind w:left="858" w:right="15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tab/>
        <w:t>应收账款账龄分析</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980" w:top="1140" w:bottom="1160" w:left="1660" w:right="1640"/>
        </w:sectPr>
      </w:pPr>
    </w:p>
    <w:p>
      <w:pPr>
        <w:spacing w:line="240" w:lineRule="auto" w:before="6"/>
        <w:rPr>
          <w:rFonts w:ascii="宋体" w:hAnsi="宋体" w:cs="宋体" w:eastAsia="宋体" w:hint="default"/>
          <w:b/>
          <w:bCs/>
          <w:sz w:val="21"/>
          <w:szCs w:val="21"/>
        </w:rPr>
      </w:pPr>
    </w:p>
    <w:tbl>
      <w:tblPr>
        <w:tblW w:w="0" w:type="auto"/>
        <w:jc w:val="left"/>
        <w:tblInd w:w="217" w:type="dxa"/>
        <w:tblLayout w:type="fixed"/>
        <w:tblCellMar>
          <w:top w:w="0" w:type="dxa"/>
          <w:left w:w="0" w:type="dxa"/>
          <w:bottom w:w="0" w:type="dxa"/>
          <w:right w:w="0" w:type="dxa"/>
        </w:tblCellMar>
        <w:tblLook w:val="01E0"/>
      </w:tblPr>
      <w:tblGrid>
        <w:gridCol w:w="1469"/>
        <w:gridCol w:w="1275"/>
        <w:gridCol w:w="852"/>
        <w:gridCol w:w="1133"/>
        <w:gridCol w:w="852"/>
        <w:gridCol w:w="1133"/>
        <w:gridCol w:w="850"/>
        <w:gridCol w:w="1066"/>
        <w:gridCol w:w="1061"/>
      </w:tblGrid>
      <w:tr>
        <w:trPr>
          <w:trHeight w:val="394" w:hRule="exact"/>
        </w:trPr>
        <w:tc>
          <w:tcPr>
            <w:tcW w:w="146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账龄</w:t>
            </w:r>
          </w:p>
        </w:tc>
        <w:tc>
          <w:tcPr>
            <w:tcW w:w="4112" w:type="dxa"/>
            <w:gridSpan w:val="4"/>
            <w:tcBorders>
              <w:top w:val="single" w:sz="12" w:space="0" w:color="000000"/>
              <w:left w:val="dotted" w:sz="4" w:space="0" w:color="000000"/>
              <w:bottom w:val="dotted" w:sz="4" w:space="0" w:color="000000"/>
              <w:right w:val="dotted" w:sz="4" w:space="0" w:color="000000"/>
            </w:tcBorders>
          </w:tcPr>
          <w:p>
            <w:pPr>
              <w:pStyle w:val="TableParagraph"/>
              <w:spacing w:line="240" w:lineRule="auto" w:before="67"/>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109"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67"/>
              <w:ind w:right="5"/>
              <w:jc w:val="center"/>
              <w:rPr>
                <w:rFonts w:ascii="宋体" w:hAnsi="宋体" w:cs="宋体" w:eastAsia="宋体" w:hint="default"/>
                <w:sz w:val="15"/>
                <w:szCs w:val="15"/>
              </w:rPr>
            </w:pPr>
            <w:r>
              <w:rPr>
                <w:rFonts w:ascii="宋体" w:hAnsi="宋体" w:cs="宋体" w:eastAsia="宋体" w:hint="default"/>
                <w:sz w:val="15"/>
                <w:szCs w:val="15"/>
              </w:rPr>
              <w:t>年初余额</w:t>
            </w:r>
          </w:p>
        </w:tc>
      </w:tr>
      <w:tr>
        <w:trPr>
          <w:trHeight w:val="387" w:hRule="exact"/>
        </w:trPr>
        <w:tc>
          <w:tcPr>
            <w:tcW w:w="1469" w:type="dxa"/>
            <w:vMerge/>
            <w:tcBorders>
              <w:left w:val="nil" w:sz="6" w:space="0" w:color="auto"/>
              <w:right w:val="dotted" w:sz="4" w:space="0" w:color="000000"/>
            </w:tcBorders>
          </w:tcPr>
          <w:p>
            <w:pPr/>
          </w:p>
        </w:tc>
        <w:tc>
          <w:tcPr>
            <w:tcW w:w="212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left="2"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98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98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1"/>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2126"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before="67"/>
              <w:ind w:right="0"/>
              <w:jc w:val="center"/>
              <w:rPr>
                <w:rFonts w:ascii="宋体" w:hAnsi="宋体" w:cs="宋体" w:eastAsia="宋体" w:hint="default"/>
                <w:sz w:val="15"/>
                <w:szCs w:val="15"/>
              </w:rPr>
            </w:pPr>
            <w:r>
              <w:rPr>
                <w:rFonts w:ascii="宋体" w:hAnsi="宋体" w:cs="宋体" w:eastAsia="宋体" w:hint="default"/>
                <w:sz w:val="15"/>
                <w:szCs w:val="15"/>
              </w:rPr>
              <w:t>坏账准备</w:t>
            </w:r>
          </w:p>
        </w:tc>
      </w:tr>
      <w:tr>
        <w:trPr>
          <w:trHeight w:val="384" w:hRule="exact"/>
        </w:trPr>
        <w:tc>
          <w:tcPr>
            <w:tcW w:w="1469" w:type="dxa"/>
            <w:vMerge/>
            <w:tcBorders>
              <w:left w:val="nil" w:sz="6" w:space="0" w:color="auto"/>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103" w:right="0"/>
              <w:jc w:val="left"/>
              <w:rPr>
                <w:rFonts w:ascii="宋体" w:hAnsi="宋体" w:cs="宋体" w:eastAsia="宋体" w:hint="default"/>
                <w:sz w:val="15"/>
                <w:szCs w:val="15"/>
              </w:rPr>
            </w:pPr>
            <w:r>
              <w:rPr>
                <w:rFonts w:ascii="宋体" w:hAnsi="宋体" w:cs="宋体" w:eastAsia="宋体" w:hint="default"/>
                <w:spacing w:val="-4"/>
                <w:sz w:val="15"/>
                <w:szCs w:val="15"/>
              </w:rPr>
              <w:t>比例（</w:t>
            </w:r>
            <w:r>
              <w:rPr>
                <w:rFonts w:ascii="Times New Roman" w:hAnsi="Times New Roman" w:cs="Times New Roman" w:eastAsia="Times New Roman" w:hint="default"/>
                <w:spacing w:val="-4"/>
                <w:sz w:val="15"/>
                <w:szCs w:val="15"/>
              </w:rPr>
              <w:t>%</w:t>
            </w:r>
            <w:r>
              <w:rPr>
                <w:rFonts w:ascii="宋体" w:hAnsi="宋体" w:cs="宋体" w:eastAsia="宋体" w:hint="default"/>
                <w:spacing w:val="-4"/>
                <w:sz w:val="15"/>
                <w:szCs w:val="15"/>
              </w:rPr>
              <w:t>）</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26"/>
              <w:jc w:val="right"/>
              <w:rPr>
                <w:rFonts w:ascii="宋体" w:hAnsi="宋体" w:cs="宋体" w:eastAsia="宋体" w:hint="default"/>
                <w:sz w:val="15"/>
                <w:szCs w:val="15"/>
              </w:rPr>
            </w:pPr>
            <w:r>
              <w:rPr>
                <w:rFonts w:ascii="宋体" w:hAnsi="宋体" w:cs="宋体" w:eastAsia="宋体" w:hint="default"/>
                <w:spacing w:val="-5"/>
                <w:sz w:val="15"/>
                <w:szCs w:val="15"/>
              </w:rPr>
              <w:t>比例（</w:t>
            </w:r>
            <w:r>
              <w:rPr>
                <w:rFonts w:ascii="Times New Roman" w:hAnsi="Times New Roman" w:cs="Times New Roman" w:eastAsia="Times New Roman" w:hint="default"/>
                <w:spacing w:val="-5"/>
                <w:sz w:val="15"/>
                <w:szCs w:val="15"/>
              </w:rPr>
              <w:t>%</w:t>
            </w:r>
            <w:r>
              <w:rPr>
                <w:rFonts w:ascii="宋体" w:hAnsi="宋体" w:cs="宋体" w:eastAsia="宋体" w:hint="default"/>
                <w:spacing w:val="-5"/>
                <w:sz w:val="15"/>
                <w:szCs w:val="15"/>
              </w:rPr>
              <w:t>）</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2"/>
              <w:jc w:val="center"/>
              <w:rPr>
                <w:rFonts w:ascii="宋体" w:hAnsi="宋体" w:cs="宋体" w:eastAsia="宋体" w:hint="default"/>
                <w:sz w:val="15"/>
                <w:szCs w:val="15"/>
              </w:rPr>
            </w:pPr>
            <w:r>
              <w:rPr>
                <w:rFonts w:ascii="宋体" w:hAnsi="宋体" w:cs="宋体" w:eastAsia="宋体" w:hint="default"/>
                <w:sz w:val="15"/>
                <w:szCs w:val="15"/>
              </w:rPr>
              <w:t>金额</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26"/>
              <w:jc w:val="right"/>
              <w:rPr>
                <w:rFonts w:ascii="宋体" w:hAnsi="宋体" w:cs="宋体" w:eastAsia="宋体" w:hint="default"/>
                <w:sz w:val="15"/>
                <w:szCs w:val="15"/>
              </w:rPr>
            </w:pPr>
            <w:r>
              <w:rPr>
                <w:rFonts w:ascii="宋体" w:hAnsi="宋体" w:cs="宋体" w:eastAsia="宋体" w:hint="default"/>
                <w:spacing w:val="-5"/>
                <w:sz w:val="15"/>
                <w:szCs w:val="15"/>
              </w:rPr>
              <w:t>比例（</w:t>
            </w:r>
            <w:r>
              <w:rPr>
                <w:rFonts w:ascii="Times New Roman" w:hAnsi="Times New Roman" w:cs="Times New Roman" w:eastAsia="Times New Roman" w:hint="default"/>
                <w:spacing w:val="-5"/>
                <w:sz w:val="15"/>
                <w:szCs w:val="15"/>
              </w:rPr>
              <w:t>%</w:t>
            </w:r>
            <w:r>
              <w:rPr>
                <w:rFonts w:ascii="宋体" w:hAnsi="宋体" w:cs="宋体" w:eastAsia="宋体" w:hint="default"/>
                <w:spacing w:val="-5"/>
                <w:sz w:val="15"/>
                <w:szCs w:val="15"/>
              </w:rPr>
              <w:t>）</w:t>
            </w:r>
          </w:p>
        </w:tc>
        <w:tc>
          <w:tcPr>
            <w:tcW w:w="10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28"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right="55"/>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384" w:hRule="exact"/>
        </w:trPr>
        <w:tc>
          <w:tcPr>
            <w:tcW w:w="14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 </w:t>
            </w:r>
            <w:r>
              <w:rPr>
                <w:rFonts w:ascii="宋体" w:hAnsi="宋体" w:cs="宋体" w:eastAsia="宋体" w:hint="default"/>
                <w:sz w:val="15"/>
                <w:szCs w:val="15"/>
              </w:rPr>
              <w:t>年）</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spacing w:val="-1"/>
                <w:sz w:val="15"/>
              </w:rPr>
              <w:t>125,615,952.84</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left="400" w:right="0"/>
              <w:jc w:val="left"/>
              <w:rPr>
                <w:rFonts w:ascii="Times New Roman" w:hAnsi="Times New Roman" w:cs="Times New Roman" w:eastAsia="Times New Roman" w:hint="default"/>
                <w:sz w:val="15"/>
                <w:szCs w:val="15"/>
              </w:rPr>
            </w:pPr>
            <w:r>
              <w:rPr>
                <w:rFonts w:ascii="Times New Roman"/>
                <w:sz w:val="15"/>
              </w:rPr>
              <w:t>88.69</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left="130" w:right="0"/>
              <w:jc w:val="center"/>
              <w:rPr>
                <w:rFonts w:ascii="Times New Roman" w:hAnsi="Times New Roman" w:cs="Times New Roman" w:eastAsia="Times New Roman" w:hint="default"/>
                <w:sz w:val="15"/>
                <w:szCs w:val="15"/>
              </w:rPr>
            </w:pPr>
            <w:r>
              <w:rPr>
                <w:rFonts w:ascii="Times New Roman"/>
                <w:sz w:val="15"/>
              </w:rPr>
              <w:t>6,280,797.65</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2"/>
              <w:jc w:val="right"/>
              <w:rPr>
                <w:rFonts w:ascii="Times New Roman" w:hAnsi="Times New Roman" w:cs="Times New Roman" w:eastAsia="Times New Roman" w:hint="default"/>
                <w:sz w:val="15"/>
                <w:szCs w:val="15"/>
              </w:rPr>
            </w:pPr>
            <w:r>
              <w:rPr>
                <w:rFonts w:ascii="Times New Roman"/>
                <w:spacing w:val="-1"/>
                <w:sz w:val="15"/>
              </w:rPr>
              <w:t>5.00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3"/>
              <w:jc w:val="right"/>
              <w:rPr>
                <w:rFonts w:ascii="Times New Roman" w:hAnsi="Times New Roman" w:cs="Times New Roman" w:eastAsia="Times New Roman" w:hint="default"/>
                <w:sz w:val="15"/>
                <w:szCs w:val="15"/>
              </w:rPr>
            </w:pPr>
            <w:r>
              <w:rPr>
                <w:rFonts w:ascii="Times New Roman"/>
                <w:spacing w:val="-1"/>
                <w:sz w:val="15"/>
              </w:rPr>
              <w:t>76,236,025.35</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90.93</w:t>
            </w:r>
          </w:p>
        </w:tc>
        <w:tc>
          <w:tcPr>
            <w:tcW w:w="10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left="67" w:right="0"/>
              <w:jc w:val="center"/>
              <w:rPr>
                <w:rFonts w:ascii="Times New Roman" w:hAnsi="Times New Roman" w:cs="Times New Roman" w:eastAsia="Times New Roman" w:hint="default"/>
                <w:sz w:val="15"/>
                <w:szCs w:val="15"/>
              </w:rPr>
            </w:pPr>
            <w:r>
              <w:rPr>
                <w:rFonts w:ascii="Times New Roman"/>
                <w:sz w:val="15"/>
              </w:rPr>
              <w:t>3,811,801.26</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15"/>
                <w:szCs w:val="15"/>
              </w:rPr>
            </w:pPr>
            <w:r>
              <w:rPr>
                <w:rFonts w:ascii="Times New Roman"/>
                <w:spacing w:val="-1"/>
                <w:sz w:val="15"/>
              </w:rPr>
              <w:t>5.00</w:t>
            </w:r>
          </w:p>
        </w:tc>
      </w:tr>
      <w:tr>
        <w:trPr>
          <w:trHeight w:val="384" w:hRule="exact"/>
        </w:trPr>
        <w:tc>
          <w:tcPr>
            <w:tcW w:w="14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年（含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 </w:t>
            </w:r>
            <w:r>
              <w:rPr>
                <w:rFonts w:ascii="宋体" w:hAnsi="宋体" w:cs="宋体" w:eastAsia="宋体" w:hint="default"/>
                <w:sz w:val="15"/>
                <w:szCs w:val="15"/>
              </w:rPr>
              <w:t>年）</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spacing w:val="-1"/>
                <w:sz w:val="15"/>
              </w:rPr>
              <w:t>10,682,122.09</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left="477" w:right="0"/>
              <w:jc w:val="left"/>
              <w:rPr>
                <w:rFonts w:ascii="Times New Roman" w:hAnsi="Times New Roman" w:cs="Times New Roman" w:eastAsia="Times New Roman" w:hint="default"/>
                <w:sz w:val="15"/>
                <w:szCs w:val="15"/>
              </w:rPr>
            </w:pPr>
            <w:r>
              <w:rPr>
                <w:rFonts w:ascii="Times New Roman"/>
                <w:sz w:val="15"/>
              </w:rPr>
              <w:t>7.54</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left="130" w:right="0"/>
              <w:jc w:val="center"/>
              <w:rPr>
                <w:rFonts w:ascii="Times New Roman" w:hAnsi="Times New Roman" w:cs="Times New Roman" w:eastAsia="Times New Roman" w:hint="default"/>
                <w:sz w:val="15"/>
                <w:szCs w:val="15"/>
              </w:rPr>
            </w:pPr>
            <w:r>
              <w:rPr>
                <w:rFonts w:ascii="Times New Roman"/>
                <w:sz w:val="15"/>
              </w:rPr>
              <w:t>5,341,061.05</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2"/>
              <w:jc w:val="right"/>
              <w:rPr>
                <w:rFonts w:ascii="Times New Roman" w:hAnsi="Times New Roman" w:cs="Times New Roman" w:eastAsia="Times New Roman" w:hint="default"/>
                <w:sz w:val="15"/>
                <w:szCs w:val="15"/>
              </w:rPr>
            </w:pPr>
            <w:r>
              <w:rPr>
                <w:rFonts w:ascii="Times New Roman"/>
                <w:spacing w:val="-1"/>
                <w:sz w:val="15"/>
              </w:rPr>
              <w:t>50.00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2"/>
              <w:jc w:val="right"/>
              <w:rPr>
                <w:rFonts w:ascii="Times New Roman" w:hAnsi="Times New Roman" w:cs="Times New Roman" w:eastAsia="Times New Roman" w:hint="default"/>
                <w:sz w:val="15"/>
                <w:szCs w:val="15"/>
              </w:rPr>
            </w:pPr>
            <w:r>
              <w:rPr>
                <w:rFonts w:ascii="Times New Roman"/>
                <w:spacing w:val="-1"/>
                <w:sz w:val="15"/>
              </w:rPr>
              <w:t>4,332,059.40</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5.17</w:t>
            </w:r>
          </w:p>
        </w:tc>
        <w:tc>
          <w:tcPr>
            <w:tcW w:w="10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left="62" w:right="0"/>
              <w:jc w:val="center"/>
              <w:rPr>
                <w:rFonts w:ascii="Times New Roman" w:hAnsi="Times New Roman" w:cs="Times New Roman" w:eastAsia="Times New Roman" w:hint="default"/>
                <w:sz w:val="15"/>
                <w:szCs w:val="15"/>
              </w:rPr>
            </w:pPr>
            <w:r>
              <w:rPr>
                <w:rFonts w:ascii="Times New Roman"/>
                <w:sz w:val="15"/>
              </w:rPr>
              <w:t>2,166,029.70</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15"/>
                <w:szCs w:val="15"/>
              </w:rPr>
            </w:pPr>
            <w:r>
              <w:rPr>
                <w:rFonts w:ascii="Times New Roman"/>
                <w:spacing w:val="-1"/>
                <w:sz w:val="15"/>
              </w:rPr>
              <w:t>50.00</w:t>
            </w:r>
          </w:p>
        </w:tc>
      </w:tr>
      <w:tr>
        <w:trPr>
          <w:trHeight w:val="384" w:hRule="exact"/>
        </w:trPr>
        <w:tc>
          <w:tcPr>
            <w:tcW w:w="14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2-3 </w:t>
            </w:r>
            <w:r>
              <w:rPr>
                <w:rFonts w:ascii="宋体" w:hAnsi="宋体" w:cs="宋体" w:eastAsia="宋体" w:hint="default"/>
                <w:sz w:val="15"/>
                <w:szCs w:val="15"/>
              </w:rPr>
              <w:t>年（含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 </w:t>
            </w:r>
            <w:r>
              <w:rPr>
                <w:rFonts w:ascii="宋体" w:hAnsi="宋体" w:cs="宋体" w:eastAsia="宋体" w:hint="default"/>
                <w:sz w:val="15"/>
                <w:szCs w:val="15"/>
              </w:rPr>
              <w:t>年）</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spacing w:val="-1"/>
                <w:sz w:val="15"/>
              </w:rPr>
              <w:t>2,593,354.68</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left="477" w:right="0"/>
              <w:jc w:val="left"/>
              <w:rPr>
                <w:rFonts w:ascii="Times New Roman" w:hAnsi="Times New Roman" w:cs="Times New Roman" w:eastAsia="Times New Roman" w:hint="default"/>
                <w:sz w:val="15"/>
                <w:szCs w:val="15"/>
              </w:rPr>
            </w:pPr>
            <w:r>
              <w:rPr>
                <w:rFonts w:ascii="Times New Roman"/>
                <w:sz w:val="15"/>
              </w:rPr>
              <w:t>1.83</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left="130" w:right="0"/>
              <w:jc w:val="center"/>
              <w:rPr>
                <w:rFonts w:ascii="Times New Roman" w:hAnsi="Times New Roman" w:cs="Times New Roman" w:eastAsia="Times New Roman" w:hint="default"/>
                <w:sz w:val="15"/>
                <w:szCs w:val="15"/>
              </w:rPr>
            </w:pPr>
            <w:r>
              <w:rPr>
                <w:rFonts w:ascii="Times New Roman"/>
                <w:sz w:val="15"/>
              </w:rPr>
              <w:t>2,593,354.68</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2"/>
              <w:jc w:val="right"/>
              <w:rPr>
                <w:rFonts w:ascii="Times New Roman" w:hAnsi="Times New Roman" w:cs="Times New Roman" w:eastAsia="Times New Roman" w:hint="default"/>
                <w:sz w:val="15"/>
                <w:szCs w:val="15"/>
              </w:rPr>
            </w:pPr>
            <w:r>
              <w:rPr>
                <w:rFonts w:ascii="Times New Roman"/>
                <w:spacing w:val="-1"/>
                <w:sz w:val="15"/>
              </w:rPr>
              <w:t>100.00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3"/>
              <w:jc w:val="right"/>
              <w:rPr>
                <w:rFonts w:ascii="Times New Roman" w:hAnsi="Times New Roman" w:cs="Times New Roman" w:eastAsia="Times New Roman" w:hint="default"/>
                <w:sz w:val="15"/>
                <w:szCs w:val="15"/>
              </w:rPr>
            </w:pPr>
            <w:r>
              <w:rPr>
                <w:rFonts w:ascii="Times New Roman"/>
                <w:spacing w:val="-1"/>
                <w:sz w:val="15"/>
              </w:rPr>
              <w:t>1,558,472.20</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1.86</w:t>
            </w:r>
          </w:p>
        </w:tc>
        <w:tc>
          <w:tcPr>
            <w:tcW w:w="10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left="62" w:right="0"/>
              <w:jc w:val="center"/>
              <w:rPr>
                <w:rFonts w:ascii="Times New Roman" w:hAnsi="Times New Roman" w:cs="Times New Roman" w:eastAsia="Times New Roman" w:hint="default"/>
                <w:sz w:val="15"/>
                <w:szCs w:val="15"/>
              </w:rPr>
            </w:pPr>
            <w:r>
              <w:rPr>
                <w:rFonts w:ascii="Times New Roman"/>
                <w:sz w:val="15"/>
              </w:rPr>
              <w:t>1,558,472.20</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15"/>
                <w:szCs w:val="15"/>
              </w:rPr>
            </w:pPr>
            <w:r>
              <w:rPr>
                <w:rFonts w:ascii="Times New Roman"/>
                <w:spacing w:val="-1"/>
                <w:sz w:val="15"/>
              </w:rPr>
              <w:t>100.00</w:t>
            </w:r>
          </w:p>
        </w:tc>
      </w:tr>
      <w:tr>
        <w:trPr>
          <w:trHeight w:val="384" w:hRule="exact"/>
        </w:trPr>
        <w:tc>
          <w:tcPr>
            <w:tcW w:w="14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年以上</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spacing w:val="-1"/>
                <w:sz w:val="15"/>
              </w:rPr>
              <w:t>2,741,793.90</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left="477" w:right="0"/>
              <w:jc w:val="left"/>
              <w:rPr>
                <w:rFonts w:ascii="Times New Roman" w:hAnsi="Times New Roman" w:cs="Times New Roman" w:eastAsia="Times New Roman" w:hint="default"/>
                <w:sz w:val="15"/>
                <w:szCs w:val="15"/>
              </w:rPr>
            </w:pPr>
            <w:r>
              <w:rPr>
                <w:rFonts w:ascii="Times New Roman"/>
                <w:sz w:val="15"/>
              </w:rPr>
              <w:t>1.94</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left="130" w:right="0"/>
              <w:jc w:val="center"/>
              <w:rPr>
                <w:rFonts w:ascii="Times New Roman" w:hAnsi="Times New Roman" w:cs="Times New Roman" w:eastAsia="Times New Roman" w:hint="default"/>
                <w:sz w:val="15"/>
                <w:szCs w:val="15"/>
              </w:rPr>
            </w:pPr>
            <w:r>
              <w:rPr>
                <w:rFonts w:ascii="Times New Roman"/>
                <w:sz w:val="15"/>
              </w:rPr>
              <w:t>2,741,793.90</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2"/>
              <w:jc w:val="right"/>
              <w:rPr>
                <w:rFonts w:ascii="Times New Roman" w:hAnsi="Times New Roman" w:cs="Times New Roman" w:eastAsia="Times New Roman" w:hint="default"/>
                <w:sz w:val="15"/>
                <w:szCs w:val="15"/>
              </w:rPr>
            </w:pPr>
            <w:r>
              <w:rPr>
                <w:rFonts w:ascii="Times New Roman"/>
                <w:spacing w:val="-1"/>
                <w:sz w:val="15"/>
              </w:rPr>
              <w:t>100.00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3"/>
              <w:jc w:val="right"/>
              <w:rPr>
                <w:rFonts w:ascii="Times New Roman" w:hAnsi="Times New Roman" w:cs="Times New Roman" w:eastAsia="Times New Roman" w:hint="default"/>
                <w:sz w:val="15"/>
                <w:szCs w:val="15"/>
              </w:rPr>
            </w:pPr>
            <w:r>
              <w:rPr>
                <w:rFonts w:ascii="Times New Roman"/>
                <w:spacing w:val="-1"/>
                <w:sz w:val="15"/>
              </w:rPr>
              <w:t>1,715,266.04</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2.04</w:t>
            </w:r>
          </w:p>
        </w:tc>
        <w:tc>
          <w:tcPr>
            <w:tcW w:w="10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left="62" w:right="0"/>
              <w:jc w:val="center"/>
              <w:rPr>
                <w:rFonts w:ascii="Times New Roman" w:hAnsi="Times New Roman" w:cs="Times New Roman" w:eastAsia="Times New Roman" w:hint="default"/>
                <w:sz w:val="15"/>
                <w:szCs w:val="15"/>
              </w:rPr>
            </w:pPr>
            <w:r>
              <w:rPr>
                <w:rFonts w:ascii="Times New Roman"/>
                <w:sz w:val="15"/>
              </w:rPr>
              <w:t>1,715,266.04</w:t>
            </w:r>
          </w:p>
        </w:tc>
        <w:tc>
          <w:tcPr>
            <w:tcW w:w="1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15"/>
                <w:szCs w:val="15"/>
              </w:rPr>
            </w:pPr>
            <w:r>
              <w:rPr>
                <w:rFonts w:ascii="Times New Roman"/>
                <w:spacing w:val="-1"/>
                <w:sz w:val="15"/>
              </w:rPr>
              <w:t>100.00</w:t>
            </w:r>
          </w:p>
        </w:tc>
      </w:tr>
      <w:tr>
        <w:trPr>
          <w:trHeight w:val="396" w:hRule="exact"/>
        </w:trPr>
        <w:tc>
          <w:tcPr>
            <w:tcW w:w="146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7"/>
              <w:ind w:left="19"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pacing w:val="-1"/>
                <w:sz w:val="15"/>
              </w:rPr>
              <w:t>141,633,223.51</w:t>
            </w:r>
          </w:p>
        </w:tc>
        <w:tc>
          <w:tcPr>
            <w:tcW w:w="8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2"/>
              <w:ind w:left="326" w:right="0"/>
              <w:jc w:val="left"/>
              <w:rPr>
                <w:rFonts w:ascii="Times New Roman" w:hAnsi="Times New Roman" w:cs="Times New Roman" w:eastAsia="Times New Roman" w:hint="default"/>
                <w:sz w:val="15"/>
                <w:szCs w:val="15"/>
              </w:rPr>
            </w:pPr>
            <w:r>
              <w:rPr>
                <w:rFonts w:ascii="Times New Roman"/>
                <w:sz w:val="15"/>
              </w:rPr>
              <w:t>100.00</w:t>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2"/>
              <w:ind w:left="55" w:right="0"/>
              <w:jc w:val="center"/>
              <w:rPr>
                <w:rFonts w:ascii="Times New Roman" w:hAnsi="Times New Roman" w:cs="Times New Roman" w:eastAsia="Times New Roman" w:hint="default"/>
                <w:sz w:val="15"/>
                <w:szCs w:val="15"/>
              </w:rPr>
            </w:pPr>
            <w:r>
              <w:rPr>
                <w:rFonts w:ascii="Times New Roman"/>
                <w:sz w:val="15"/>
              </w:rPr>
              <w:t>16,957,007.28</w:t>
            </w:r>
          </w:p>
        </w:tc>
        <w:tc>
          <w:tcPr>
            <w:tcW w:w="852" w:type="dxa"/>
            <w:tcBorders>
              <w:top w:val="dotted" w:sz="4" w:space="0" w:color="000000"/>
              <w:left w:val="dotted" w:sz="4" w:space="0" w:color="000000"/>
              <w:bottom w:val="single" w:sz="12" w:space="0" w:color="000000"/>
              <w:right w:val="dotted" w:sz="4" w:space="0" w:color="000000"/>
            </w:tcBorders>
          </w:tcPr>
          <w:p>
            <w:pP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2"/>
              <w:ind w:right="102"/>
              <w:jc w:val="right"/>
              <w:rPr>
                <w:rFonts w:ascii="Times New Roman" w:hAnsi="Times New Roman" w:cs="Times New Roman" w:eastAsia="Times New Roman" w:hint="default"/>
                <w:sz w:val="15"/>
                <w:szCs w:val="15"/>
              </w:rPr>
            </w:pPr>
            <w:r>
              <w:rPr>
                <w:rFonts w:ascii="Times New Roman"/>
                <w:spacing w:val="-1"/>
                <w:sz w:val="15"/>
              </w:rPr>
              <w:t>83,841,822.99</w:t>
            </w: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2"/>
              <w:ind w:left="323" w:right="0"/>
              <w:jc w:val="left"/>
              <w:rPr>
                <w:rFonts w:ascii="Times New Roman" w:hAnsi="Times New Roman" w:cs="Times New Roman" w:eastAsia="Times New Roman" w:hint="default"/>
                <w:sz w:val="15"/>
                <w:szCs w:val="15"/>
              </w:rPr>
            </w:pPr>
            <w:r>
              <w:rPr>
                <w:rFonts w:ascii="Times New Roman"/>
                <w:sz w:val="15"/>
              </w:rPr>
              <w:t>100.00</w:t>
            </w:r>
          </w:p>
        </w:tc>
        <w:tc>
          <w:tcPr>
            <w:tcW w:w="10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2"/>
              <w:ind w:left="115" w:right="0"/>
              <w:jc w:val="center"/>
              <w:rPr>
                <w:rFonts w:ascii="Times New Roman" w:hAnsi="Times New Roman" w:cs="Times New Roman" w:eastAsia="Times New Roman" w:hint="default"/>
                <w:sz w:val="15"/>
                <w:szCs w:val="15"/>
              </w:rPr>
            </w:pPr>
            <w:r>
              <w:rPr>
                <w:rFonts w:ascii="Times New Roman"/>
                <w:sz w:val="15"/>
              </w:rPr>
              <w:t>9,251,569.20</w:t>
            </w:r>
          </w:p>
        </w:tc>
        <w:tc>
          <w:tcPr>
            <w:tcW w:w="1061"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tabs>
          <w:tab w:pos="1395" w:val="left" w:leader="none"/>
        </w:tabs>
        <w:spacing w:before="0"/>
        <w:ind w:left="858" w:right="234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t>应收账款按种类披露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3"/>
          <w:szCs w:val="13"/>
        </w:rPr>
      </w:pPr>
    </w:p>
    <w:tbl>
      <w:tblPr>
        <w:tblW w:w="0" w:type="auto"/>
        <w:jc w:val="left"/>
        <w:tblInd w:w="217" w:type="dxa"/>
        <w:tblLayout w:type="fixed"/>
        <w:tblCellMar>
          <w:top w:w="0" w:type="dxa"/>
          <w:left w:w="0" w:type="dxa"/>
          <w:bottom w:w="0" w:type="dxa"/>
          <w:right w:w="0" w:type="dxa"/>
        </w:tblCellMar>
        <w:tblLook w:val="01E0"/>
      </w:tblPr>
      <w:tblGrid>
        <w:gridCol w:w="1483"/>
        <w:gridCol w:w="1371"/>
        <w:gridCol w:w="734"/>
        <w:gridCol w:w="1366"/>
        <w:gridCol w:w="739"/>
        <w:gridCol w:w="1255"/>
        <w:gridCol w:w="733"/>
        <w:gridCol w:w="1253"/>
        <w:gridCol w:w="746"/>
      </w:tblGrid>
      <w:tr>
        <w:trPr>
          <w:trHeight w:val="396" w:hRule="exact"/>
        </w:trPr>
        <w:tc>
          <w:tcPr>
            <w:tcW w:w="1483"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2"/>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211" w:type="dxa"/>
            <w:gridSpan w:val="4"/>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7"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4" w:hRule="exact"/>
        </w:trPr>
        <w:tc>
          <w:tcPr>
            <w:tcW w:w="1483" w:type="dxa"/>
            <w:vMerge/>
            <w:tcBorders>
              <w:left w:val="nil" w:sz="6" w:space="0" w:color="auto"/>
              <w:right w:val="dotted" w:sz="4" w:space="0" w:color="000000"/>
            </w:tcBorders>
          </w:tcPr>
          <w:p>
            <w:pPr/>
          </w:p>
        </w:tc>
        <w:tc>
          <w:tcPr>
            <w:tcW w:w="210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6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0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68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8"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9"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58" w:hRule="exact"/>
        </w:trPr>
        <w:tc>
          <w:tcPr>
            <w:tcW w:w="1483" w:type="dxa"/>
            <w:vMerge/>
            <w:tcBorders>
              <w:left w:val="nil" w:sz="6" w:space="0" w:color="auto"/>
              <w:bottom w:val="dotted" w:sz="4" w:space="0" w:color="000000"/>
              <w:right w:val="dotted" w:sz="4" w:space="0" w:color="000000"/>
            </w:tcBorders>
          </w:tcPr>
          <w:p>
            <w:pPr/>
          </w:p>
        </w:tc>
        <w:tc>
          <w:tcPr>
            <w:tcW w:w="13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8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3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8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39"/>
              <w:ind w:left="11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8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39"/>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7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18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39"/>
              <w:ind w:left="1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507" w:hRule="exact"/>
        </w:trPr>
        <w:tc>
          <w:tcPr>
            <w:tcW w:w="1483" w:type="dxa"/>
            <w:tcBorders>
              <w:top w:val="dotted" w:sz="4" w:space="0" w:color="000000"/>
              <w:left w:val="nil" w:sz="6" w:space="0" w:color="auto"/>
              <w:bottom w:val="dotted" w:sz="4" w:space="0" w:color="000000"/>
              <w:right w:val="dotted" w:sz="4" w:space="0" w:color="000000"/>
            </w:tcBorders>
          </w:tcPr>
          <w:p>
            <w:pPr>
              <w:pStyle w:val="TableParagraph"/>
              <w:spacing w:line="381" w:lineRule="auto" w:before="39"/>
              <w:ind w:left="122" w:right="97"/>
              <w:jc w:val="both"/>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55"/>
                <w:sz w:val="18"/>
                <w:szCs w:val="18"/>
              </w:rPr>
              <w:t> </w:t>
            </w: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金</w:t>
            </w:r>
            <w:r>
              <w:rPr>
                <w:rFonts w:ascii="宋体" w:hAnsi="宋体" w:cs="宋体" w:eastAsia="宋体" w:hint="default"/>
                <w:spacing w:val="-57"/>
                <w:sz w:val="18"/>
                <w:szCs w:val="18"/>
              </w:rPr>
              <w:t> </w:t>
            </w:r>
            <w:r>
              <w:rPr>
                <w:rFonts w:ascii="宋体" w:hAnsi="宋体" w:cs="宋体" w:eastAsia="宋体" w:hint="default"/>
                <w:sz w:val="18"/>
                <w:szCs w:val="18"/>
              </w:rPr>
              <w:t>额</w:t>
            </w:r>
            <w:r>
              <w:rPr>
                <w:rFonts w:ascii="宋体" w:hAnsi="宋体" w:cs="宋体" w:eastAsia="宋体" w:hint="default"/>
                <w:spacing w:val="-55"/>
                <w:sz w:val="18"/>
                <w:szCs w:val="18"/>
              </w:rPr>
              <w:t> </w:t>
            </w:r>
            <w:r>
              <w:rPr>
                <w:rFonts w:ascii="宋体" w:hAnsi="宋体" w:cs="宋体" w:eastAsia="宋体" w:hint="default"/>
                <w:sz w:val="18"/>
                <w:szCs w:val="18"/>
              </w:rPr>
              <w:t>重</w:t>
            </w:r>
            <w:r>
              <w:rPr>
                <w:rFonts w:ascii="宋体" w:hAnsi="宋体" w:cs="宋体" w:eastAsia="宋体" w:hint="default"/>
                <w:spacing w:val="-55"/>
                <w:sz w:val="18"/>
                <w:szCs w:val="18"/>
              </w:rPr>
              <w:t> </w:t>
            </w:r>
            <w:r>
              <w:rPr>
                <w:rFonts w:ascii="宋体" w:hAnsi="宋体" w:cs="宋体" w:eastAsia="宋体" w:hint="default"/>
                <w:sz w:val="18"/>
                <w:szCs w:val="18"/>
              </w:rPr>
              <w:t>大</w:t>
            </w:r>
            <w:r>
              <w:rPr>
                <w:rFonts w:ascii="宋体" w:hAnsi="宋体" w:cs="宋体" w:eastAsia="宋体" w:hint="default"/>
                <w:sz w:val="18"/>
                <w:szCs w:val="18"/>
              </w:rPr>
              <w:t> 并</w:t>
            </w:r>
            <w:r>
              <w:rPr>
                <w:rFonts w:ascii="宋体" w:hAnsi="宋体" w:cs="宋体" w:eastAsia="宋体" w:hint="default"/>
                <w:spacing w:val="-55"/>
                <w:sz w:val="18"/>
                <w:szCs w:val="18"/>
              </w:rPr>
              <w:t> </w:t>
            </w:r>
            <w:r>
              <w:rPr>
                <w:rFonts w:ascii="宋体" w:hAnsi="宋体" w:cs="宋体" w:eastAsia="宋体" w:hint="default"/>
                <w:sz w:val="18"/>
                <w:szCs w:val="18"/>
              </w:rPr>
              <w:t>单</w:t>
            </w:r>
            <w:r>
              <w:rPr>
                <w:rFonts w:ascii="宋体" w:hAnsi="宋体" w:cs="宋体" w:eastAsia="宋体" w:hint="default"/>
                <w:spacing w:val="-55"/>
                <w:sz w:val="18"/>
                <w:szCs w:val="18"/>
              </w:rPr>
              <w:t> </w:t>
            </w:r>
            <w:r>
              <w:rPr>
                <w:rFonts w:ascii="宋体" w:hAnsi="宋体" w:cs="宋体" w:eastAsia="宋体" w:hint="default"/>
                <w:sz w:val="18"/>
                <w:szCs w:val="18"/>
              </w:rPr>
              <w:t>项</w:t>
            </w:r>
            <w:r>
              <w:rPr>
                <w:rFonts w:ascii="宋体" w:hAnsi="宋体" w:cs="宋体" w:eastAsia="宋体" w:hint="default"/>
                <w:spacing w:val="-57"/>
                <w:sz w:val="18"/>
                <w:szCs w:val="18"/>
              </w:rPr>
              <w:t> </w:t>
            </w:r>
            <w:r>
              <w:rPr>
                <w:rFonts w:ascii="宋体" w:hAnsi="宋体" w:cs="宋体" w:eastAsia="宋体" w:hint="default"/>
                <w:sz w:val="18"/>
                <w:szCs w:val="18"/>
              </w:rPr>
              <w:t>计</w:t>
            </w:r>
            <w:r>
              <w:rPr>
                <w:rFonts w:ascii="宋体" w:hAnsi="宋体" w:cs="宋体" w:eastAsia="宋体" w:hint="default"/>
                <w:spacing w:val="-55"/>
                <w:sz w:val="18"/>
                <w:szCs w:val="18"/>
              </w:rPr>
              <w:t> </w:t>
            </w:r>
            <w:r>
              <w:rPr>
                <w:rFonts w:ascii="宋体" w:hAnsi="宋体" w:cs="宋体" w:eastAsia="宋体" w:hint="default"/>
                <w:sz w:val="18"/>
                <w:szCs w:val="18"/>
              </w:rPr>
              <w:t>提</w:t>
            </w:r>
            <w:r>
              <w:rPr>
                <w:rFonts w:ascii="宋体" w:hAnsi="宋体" w:cs="宋体" w:eastAsia="宋体" w:hint="default"/>
                <w:spacing w:val="-55"/>
                <w:sz w:val="18"/>
                <w:szCs w:val="18"/>
              </w:rPr>
              <w:t> </w:t>
            </w:r>
            <w:r>
              <w:rPr>
                <w:rFonts w:ascii="宋体" w:hAnsi="宋体" w:cs="宋体" w:eastAsia="宋体" w:hint="default"/>
                <w:sz w:val="18"/>
                <w:szCs w:val="18"/>
              </w:rPr>
              <w:t>坏</w:t>
            </w:r>
            <w:r>
              <w:rPr>
                <w:rFonts w:ascii="宋体" w:hAnsi="宋体" w:cs="宋体" w:eastAsia="宋体" w:hint="default"/>
                <w:sz w:val="18"/>
                <w:szCs w:val="18"/>
              </w:rPr>
              <w:t> 账</w:t>
            </w:r>
            <w:r>
              <w:rPr>
                <w:rFonts w:ascii="宋体" w:hAnsi="宋体" w:cs="宋体" w:eastAsia="宋体" w:hint="default"/>
                <w:spacing w:val="-55"/>
                <w:sz w:val="18"/>
                <w:szCs w:val="18"/>
              </w:rPr>
              <w:t> </w:t>
            </w:r>
            <w:r>
              <w:rPr>
                <w:rFonts w:ascii="宋体" w:hAnsi="宋体" w:cs="宋体" w:eastAsia="宋体" w:hint="default"/>
                <w:sz w:val="18"/>
                <w:szCs w:val="18"/>
              </w:rPr>
              <w:t>准</w:t>
            </w:r>
            <w:r>
              <w:rPr>
                <w:rFonts w:ascii="宋体" w:hAnsi="宋体" w:cs="宋体" w:eastAsia="宋体" w:hint="default"/>
                <w:spacing w:val="-55"/>
                <w:sz w:val="18"/>
                <w:szCs w:val="18"/>
              </w:rPr>
              <w:t> </w:t>
            </w:r>
            <w:r>
              <w:rPr>
                <w:rFonts w:ascii="宋体" w:hAnsi="宋体" w:cs="宋体" w:eastAsia="宋体" w:hint="default"/>
                <w:sz w:val="18"/>
                <w:szCs w:val="18"/>
              </w:rPr>
              <w:t>备</w:t>
            </w:r>
            <w:r>
              <w:rPr>
                <w:rFonts w:ascii="宋体" w:hAnsi="宋体" w:cs="宋体" w:eastAsia="宋体" w:hint="default"/>
                <w:spacing w:val="-57"/>
                <w:sz w:val="18"/>
                <w:szCs w:val="18"/>
              </w:rPr>
              <w:t> </w:t>
            </w:r>
            <w:r>
              <w:rPr>
                <w:rFonts w:ascii="宋体" w:hAnsi="宋体" w:cs="宋体" w:eastAsia="宋体" w:hint="default"/>
                <w:sz w:val="18"/>
                <w:szCs w:val="18"/>
              </w:rPr>
              <w:t>的</w:t>
            </w:r>
            <w:r>
              <w:rPr>
                <w:rFonts w:ascii="宋体" w:hAnsi="宋体" w:cs="宋体" w:eastAsia="宋体" w:hint="default"/>
                <w:spacing w:val="-55"/>
                <w:sz w:val="18"/>
                <w:szCs w:val="18"/>
              </w:rPr>
              <w:t> </w:t>
            </w:r>
            <w:r>
              <w:rPr>
                <w:rFonts w:ascii="宋体" w:hAnsi="宋体" w:cs="宋体" w:eastAsia="宋体" w:hint="default"/>
                <w:sz w:val="18"/>
                <w:szCs w:val="18"/>
              </w:rPr>
              <w:t>应</w:t>
            </w:r>
            <w:r>
              <w:rPr>
                <w:rFonts w:ascii="宋体" w:hAnsi="宋体" w:cs="宋体" w:eastAsia="宋体" w:hint="default"/>
                <w:spacing w:val="-55"/>
                <w:sz w:val="18"/>
                <w:szCs w:val="18"/>
              </w:rPr>
              <w:t> </w:t>
            </w:r>
            <w:r>
              <w:rPr>
                <w:rFonts w:ascii="宋体" w:hAnsi="宋体" w:cs="宋体" w:eastAsia="宋体" w:hint="default"/>
                <w:sz w:val="18"/>
                <w:szCs w:val="18"/>
              </w:rPr>
              <w:t>收</w:t>
            </w:r>
            <w:r>
              <w:rPr>
                <w:rFonts w:ascii="宋体" w:hAnsi="宋体" w:cs="宋体" w:eastAsia="宋体" w:hint="default"/>
                <w:sz w:val="18"/>
                <w:szCs w:val="18"/>
              </w:rPr>
              <w:t> 账款</w:t>
            </w:r>
          </w:p>
        </w:tc>
        <w:tc>
          <w:tcPr>
            <w:tcW w:w="1371" w:type="dxa"/>
            <w:tcBorders>
              <w:top w:val="dotted" w:sz="4" w:space="0" w:color="000000"/>
              <w:left w:val="dotted" w:sz="4" w:space="0" w:color="000000"/>
              <w:bottom w:val="dotted" w:sz="4" w:space="0" w:color="000000"/>
              <w:right w:val="dotted" w:sz="4" w:space="0" w:color="000000"/>
            </w:tcBorders>
          </w:tcPr>
          <w:p>
            <w:pPr/>
          </w:p>
        </w:tc>
        <w:tc>
          <w:tcPr>
            <w:tcW w:w="734"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dotted" w:sz="4" w:space="0" w:color="000000"/>
            </w:tcBorders>
          </w:tcPr>
          <w:p>
            <w:pPr/>
          </w:p>
        </w:tc>
        <w:tc>
          <w:tcPr>
            <w:tcW w:w="739" w:type="dxa"/>
            <w:tcBorders>
              <w:top w:val="dotted" w:sz="4" w:space="0" w:color="000000"/>
              <w:left w:val="dotted" w:sz="4" w:space="0" w:color="000000"/>
              <w:bottom w:val="dotted" w:sz="4" w:space="0" w:color="000000"/>
              <w:right w:val="dotted" w:sz="4" w:space="0" w:color="000000"/>
            </w:tcBorders>
          </w:tcPr>
          <w:p>
            <w:pPr/>
          </w:p>
        </w:tc>
        <w:tc>
          <w:tcPr>
            <w:tcW w:w="1255" w:type="dxa"/>
            <w:tcBorders>
              <w:top w:val="dotted" w:sz="4" w:space="0" w:color="000000"/>
              <w:left w:val="dotted" w:sz="4" w:space="0" w:color="000000"/>
              <w:bottom w:val="dotted" w:sz="4" w:space="0" w:color="000000"/>
              <w:right w:val="dotted" w:sz="4" w:space="0" w:color="000000"/>
            </w:tcBorders>
          </w:tcPr>
          <w:p>
            <w:pPr/>
          </w:p>
        </w:tc>
        <w:tc>
          <w:tcPr>
            <w:tcW w:w="733"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
        </w:tc>
        <w:tc>
          <w:tcPr>
            <w:tcW w:w="746" w:type="dxa"/>
            <w:tcBorders>
              <w:top w:val="dotted" w:sz="4" w:space="0" w:color="000000"/>
              <w:left w:val="dotted" w:sz="4" w:space="0" w:color="000000"/>
              <w:bottom w:val="dotted" w:sz="4" w:space="0" w:color="000000"/>
              <w:right w:val="nil" w:sz="6" w:space="0" w:color="auto"/>
            </w:tcBorders>
          </w:tcPr>
          <w:p>
            <w:pPr/>
          </w:p>
        </w:tc>
      </w:tr>
      <w:tr>
        <w:trPr>
          <w:trHeight w:val="1133" w:hRule="exact"/>
        </w:trPr>
        <w:tc>
          <w:tcPr>
            <w:tcW w:w="1483" w:type="dxa"/>
            <w:tcBorders>
              <w:top w:val="dotted" w:sz="4" w:space="0" w:color="000000"/>
              <w:left w:val="nil" w:sz="6" w:space="0" w:color="auto"/>
              <w:bottom w:val="dotted" w:sz="4" w:space="0" w:color="000000"/>
              <w:right w:val="dotted" w:sz="4" w:space="0" w:color="000000"/>
            </w:tcBorders>
          </w:tcPr>
          <w:p>
            <w:pPr>
              <w:pStyle w:val="TableParagraph"/>
              <w:spacing w:line="381" w:lineRule="auto" w:before="39"/>
              <w:ind w:left="122" w:right="97"/>
              <w:jc w:val="both"/>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55"/>
                <w:sz w:val="18"/>
                <w:szCs w:val="18"/>
              </w:rPr>
              <w:t> </w:t>
            </w:r>
            <w:r>
              <w:rPr>
                <w:rFonts w:ascii="宋体" w:hAnsi="宋体" w:cs="宋体" w:eastAsia="宋体" w:hint="default"/>
                <w:sz w:val="18"/>
                <w:szCs w:val="18"/>
              </w:rPr>
              <w:t>组</w:t>
            </w:r>
            <w:r>
              <w:rPr>
                <w:rFonts w:ascii="宋体" w:hAnsi="宋体" w:cs="宋体" w:eastAsia="宋体" w:hint="default"/>
                <w:spacing w:val="-55"/>
                <w:sz w:val="18"/>
                <w:szCs w:val="18"/>
              </w:rPr>
              <w:t> </w:t>
            </w:r>
            <w:r>
              <w:rPr>
                <w:rFonts w:ascii="宋体" w:hAnsi="宋体" w:cs="宋体" w:eastAsia="宋体" w:hint="default"/>
                <w:sz w:val="18"/>
                <w:szCs w:val="18"/>
              </w:rPr>
              <w:t>合</w:t>
            </w:r>
            <w:r>
              <w:rPr>
                <w:rFonts w:ascii="宋体" w:hAnsi="宋体" w:cs="宋体" w:eastAsia="宋体" w:hint="default"/>
                <w:spacing w:val="-57"/>
                <w:sz w:val="18"/>
                <w:szCs w:val="18"/>
              </w:rPr>
              <w:t> </w:t>
            </w:r>
            <w:r>
              <w:rPr>
                <w:rFonts w:ascii="宋体" w:hAnsi="宋体" w:cs="宋体" w:eastAsia="宋体" w:hint="default"/>
                <w:sz w:val="18"/>
                <w:szCs w:val="18"/>
              </w:rPr>
              <w:t>计</w:t>
            </w:r>
            <w:r>
              <w:rPr>
                <w:rFonts w:ascii="宋体" w:hAnsi="宋体" w:cs="宋体" w:eastAsia="宋体" w:hint="default"/>
                <w:spacing w:val="-55"/>
                <w:sz w:val="18"/>
                <w:szCs w:val="18"/>
              </w:rPr>
              <w:t> </w:t>
            </w:r>
            <w:r>
              <w:rPr>
                <w:rFonts w:ascii="宋体" w:hAnsi="宋体" w:cs="宋体" w:eastAsia="宋体" w:hint="default"/>
                <w:sz w:val="18"/>
                <w:szCs w:val="18"/>
              </w:rPr>
              <w:t>提</w:t>
            </w:r>
            <w:r>
              <w:rPr>
                <w:rFonts w:ascii="宋体" w:hAnsi="宋体" w:cs="宋体" w:eastAsia="宋体" w:hint="default"/>
                <w:spacing w:val="-55"/>
                <w:sz w:val="18"/>
                <w:szCs w:val="18"/>
              </w:rPr>
              <w:t> </w:t>
            </w:r>
            <w:r>
              <w:rPr>
                <w:rFonts w:ascii="宋体" w:hAnsi="宋体" w:cs="宋体" w:eastAsia="宋体" w:hint="default"/>
                <w:sz w:val="18"/>
                <w:szCs w:val="18"/>
              </w:rPr>
              <w:t>坏</w:t>
            </w:r>
            <w:r>
              <w:rPr>
                <w:rFonts w:ascii="宋体" w:hAnsi="宋体" w:cs="宋体" w:eastAsia="宋体" w:hint="default"/>
                <w:sz w:val="18"/>
                <w:szCs w:val="18"/>
              </w:rPr>
              <w:t> 账</w:t>
            </w:r>
            <w:r>
              <w:rPr>
                <w:rFonts w:ascii="宋体" w:hAnsi="宋体" w:cs="宋体" w:eastAsia="宋体" w:hint="default"/>
                <w:spacing w:val="-55"/>
                <w:sz w:val="18"/>
                <w:szCs w:val="18"/>
              </w:rPr>
              <w:t> </w:t>
            </w:r>
            <w:r>
              <w:rPr>
                <w:rFonts w:ascii="宋体" w:hAnsi="宋体" w:cs="宋体" w:eastAsia="宋体" w:hint="default"/>
                <w:sz w:val="18"/>
                <w:szCs w:val="18"/>
              </w:rPr>
              <w:t>准</w:t>
            </w:r>
            <w:r>
              <w:rPr>
                <w:rFonts w:ascii="宋体" w:hAnsi="宋体" w:cs="宋体" w:eastAsia="宋体" w:hint="default"/>
                <w:spacing w:val="-55"/>
                <w:sz w:val="18"/>
                <w:szCs w:val="18"/>
              </w:rPr>
              <w:t> </w:t>
            </w:r>
            <w:r>
              <w:rPr>
                <w:rFonts w:ascii="宋体" w:hAnsi="宋体" w:cs="宋体" w:eastAsia="宋体" w:hint="default"/>
                <w:sz w:val="18"/>
                <w:szCs w:val="18"/>
              </w:rPr>
              <w:t>备</w:t>
            </w:r>
            <w:r>
              <w:rPr>
                <w:rFonts w:ascii="宋体" w:hAnsi="宋体" w:cs="宋体" w:eastAsia="宋体" w:hint="default"/>
                <w:spacing w:val="-57"/>
                <w:sz w:val="18"/>
                <w:szCs w:val="18"/>
              </w:rPr>
              <w:t> </w:t>
            </w:r>
            <w:r>
              <w:rPr>
                <w:rFonts w:ascii="宋体" w:hAnsi="宋体" w:cs="宋体" w:eastAsia="宋体" w:hint="default"/>
                <w:sz w:val="18"/>
                <w:szCs w:val="18"/>
              </w:rPr>
              <w:t>的</w:t>
            </w:r>
            <w:r>
              <w:rPr>
                <w:rFonts w:ascii="宋体" w:hAnsi="宋体" w:cs="宋体" w:eastAsia="宋体" w:hint="default"/>
                <w:spacing w:val="-55"/>
                <w:sz w:val="18"/>
                <w:szCs w:val="18"/>
              </w:rPr>
              <w:t> </w:t>
            </w:r>
            <w:r>
              <w:rPr>
                <w:rFonts w:ascii="宋体" w:hAnsi="宋体" w:cs="宋体" w:eastAsia="宋体" w:hint="default"/>
                <w:sz w:val="18"/>
                <w:szCs w:val="18"/>
              </w:rPr>
              <w:t>应</w:t>
            </w:r>
            <w:r>
              <w:rPr>
                <w:rFonts w:ascii="宋体" w:hAnsi="宋体" w:cs="宋体" w:eastAsia="宋体" w:hint="default"/>
                <w:spacing w:val="-55"/>
                <w:sz w:val="18"/>
                <w:szCs w:val="18"/>
              </w:rPr>
              <w:t> </w:t>
            </w:r>
            <w:r>
              <w:rPr>
                <w:rFonts w:ascii="宋体" w:hAnsi="宋体" w:cs="宋体" w:eastAsia="宋体" w:hint="default"/>
                <w:sz w:val="18"/>
                <w:szCs w:val="18"/>
              </w:rPr>
              <w:t>收</w:t>
            </w:r>
            <w:r>
              <w:rPr>
                <w:rFonts w:ascii="宋体" w:hAnsi="宋体" w:cs="宋体" w:eastAsia="宋体" w:hint="default"/>
                <w:sz w:val="18"/>
                <w:szCs w:val="18"/>
              </w:rPr>
              <w:t> 账款</w:t>
            </w:r>
          </w:p>
        </w:tc>
        <w:tc>
          <w:tcPr>
            <w:tcW w:w="1371" w:type="dxa"/>
            <w:tcBorders>
              <w:top w:val="dotted" w:sz="4" w:space="0" w:color="000000"/>
              <w:left w:val="dotted" w:sz="4" w:space="0" w:color="000000"/>
              <w:bottom w:val="dotted" w:sz="4" w:space="0" w:color="000000"/>
              <w:right w:val="dotted" w:sz="4" w:space="0" w:color="000000"/>
            </w:tcBorders>
          </w:tcPr>
          <w:p>
            <w:pPr/>
          </w:p>
        </w:tc>
        <w:tc>
          <w:tcPr>
            <w:tcW w:w="734"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dotted" w:sz="4" w:space="0" w:color="000000"/>
            </w:tcBorders>
          </w:tcPr>
          <w:p>
            <w:pPr/>
          </w:p>
        </w:tc>
        <w:tc>
          <w:tcPr>
            <w:tcW w:w="739" w:type="dxa"/>
            <w:tcBorders>
              <w:top w:val="dotted" w:sz="4" w:space="0" w:color="000000"/>
              <w:left w:val="dotted" w:sz="4" w:space="0" w:color="000000"/>
              <w:bottom w:val="dotted" w:sz="4" w:space="0" w:color="000000"/>
              <w:right w:val="dotted" w:sz="4" w:space="0" w:color="000000"/>
            </w:tcBorders>
          </w:tcPr>
          <w:p>
            <w:pPr/>
          </w:p>
        </w:tc>
        <w:tc>
          <w:tcPr>
            <w:tcW w:w="1255" w:type="dxa"/>
            <w:tcBorders>
              <w:top w:val="dotted" w:sz="4" w:space="0" w:color="000000"/>
              <w:left w:val="dotted" w:sz="4" w:space="0" w:color="000000"/>
              <w:bottom w:val="dotted" w:sz="4" w:space="0" w:color="000000"/>
              <w:right w:val="dotted" w:sz="4" w:space="0" w:color="000000"/>
            </w:tcBorders>
          </w:tcPr>
          <w:p>
            <w:pPr/>
          </w:p>
        </w:tc>
        <w:tc>
          <w:tcPr>
            <w:tcW w:w="733"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
        </w:tc>
        <w:tc>
          <w:tcPr>
            <w:tcW w:w="746" w:type="dxa"/>
            <w:tcBorders>
              <w:top w:val="dotted" w:sz="4" w:space="0" w:color="000000"/>
              <w:left w:val="dotted" w:sz="4" w:space="0" w:color="000000"/>
              <w:bottom w:val="dotted" w:sz="4" w:space="0" w:color="000000"/>
              <w:right w:val="nil" w:sz="6" w:space="0" w:color="auto"/>
            </w:tcBorders>
          </w:tcPr>
          <w:p>
            <w:pPr/>
          </w:p>
        </w:tc>
      </w:tr>
      <w:tr>
        <w:trPr>
          <w:trHeight w:val="386" w:hRule="exact"/>
        </w:trPr>
        <w:tc>
          <w:tcPr>
            <w:tcW w:w="14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3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left="28" w:right="0"/>
              <w:jc w:val="center"/>
              <w:rPr>
                <w:rFonts w:ascii="Times New Roman" w:hAnsi="Times New Roman" w:cs="Times New Roman" w:eastAsia="Times New Roman" w:hint="default"/>
                <w:sz w:val="18"/>
                <w:szCs w:val="18"/>
              </w:rPr>
            </w:pPr>
            <w:r>
              <w:rPr>
                <w:rFonts w:ascii="Times New Roman"/>
                <w:sz w:val="18"/>
              </w:rPr>
              <w:t>141,633,223.51</w:t>
            </w:r>
          </w:p>
        </w:tc>
        <w:tc>
          <w:tcPr>
            <w:tcW w:w="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left="24" w:right="0"/>
              <w:jc w:val="center"/>
              <w:rPr>
                <w:rFonts w:ascii="Times New Roman" w:hAnsi="Times New Roman" w:cs="Times New Roman" w:eastAsia="Times New Roman" w:hint="default"/>
                <w:sz w:val="18"/>
                <w:szCs w:val="18"/>
              </w:rPr>
            </w:pPr>
            <w:r>
              <w:rPr>
                <w:rFonts w:ascii="Times New Roman"/>
                <w:sz w:val="18"/>
              </w:rPr>
              <w:t>100.00</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left="114" w:right="0"/>
              <w:jc w:val="center"/>
              <w:rPr>
                <w:rFonts w:ascii="Times New Roman" w:hAnsi="Times New Roman" w:cs="Times New Roman" w:eastAsia="Times New Roman" w:hint="default"/>
                <w:sz w:val="18"/>
                <w:szCs w:val="18"/>
              </w:rPr>
            </w:pPr>
            <w:r>
              <w:rPr>
                <w:rFonts w:ascii="Times New Roman"/>
                <w:sz w:val="18"/>
              </w:rPr>
              <w:t>16,957,007.28</w:t>
            </w:r>
          </w:p>
        </w:tc>
        <w:tc>
          <w:tcPr>
            <w:tcW w:w="7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left="125" w:right="0"/>
              <w:jc w:val="center"/>
              <w:rPr>
                <w:rFonts w:ascii="Times New Roman" w:hAnsi="Times New Roman" w:cs="Times New Roman" w:eastAsia="Times New Roman" w:hint="default"/>
                <w:sz w:val="18"/>
                <w:szCs w:val="18"/>
              </w:rPr>
            </w:pPr>
            <w:r>
              <w:rPr>
                <w:rFonts w:ascii="Times New Roman"/>
                <w:sz w:val="18"/>
              </w:rPr>
              <w:t>11.97</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left="4" w:right="0"/>
              <w:jc w:val="center"/>
              <w:rPr>
                <w:rFonts w:ascii="Times New Roman" w:hAnsi="Times New Roman" w:cs="Times New Roman" w:eastAsia="Times New Roman" w:hint="default"/>
                <w:sz w:val="18"/>
                <w:szCs w:val="18"/>
              </w:rPr>
            </w:pPr>
            <w:r>
              <w:rPr>
                <w:rFonts w:ascii="Times New Roman"/>
                <w:sz w:val="18"/>
              </w:rPr>
              <w:t>83,841,822.99</w:t>
            </w:r>
          </w:p>
        </w:tc>
        <w:tc>
          <w:tcPr>
            <w:tcW w:w="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left="122" w:right="0"/>
              <w:jc w:val="left"/>
              <w:rPr>
                <w:rFonts w:ascii="Times New Roman" w:hAnsi="Times New Roman" w:cs="Times New Roman" w:eastAsia="Times New Roman" w:hint="default"/>
                <w:sz w:val="18"/>
                <w:szCs w:val="18"/>
              </w:rPr>
            </w:pPr>
            <w:r>
              <w:rPr>
                <w:rFonts w:ascii="Times New Roman"/>
                <w:sz w:val="18"/>
              </w:rPr>
              <w:t>100.00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9,251,569.20</w:t>
            </w:r>
          </w:p>
        </w:tc>
        <w:tc>
          <w:tcPr>
            <w:tcW w:w="7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4"/>
              <w:ind w:right="107"/>
              <w:jc w:val="right"/>
              <w:rPr>
                <w:rFonts w:ascii="Times New Roman" w:hAnsi="Times New Roman" w:cs="Times New Roman" w:eastAsia="Times New Roman" w:hint="default"/>
                <w:sz w:val="18"/>
                <w:szCs w:val="18"/>
              </w:rPr>
            </w:pPr>
            <w:r>
              <w:rPr>
                <w:rFonts w:ascii="Times New Roman"/>
                <w:spacing w:val="-2"/>
                <w:sz w:val="18"/>
              </w:rPr>
              <w:t>11.03</w:t>
            </w:r>
          </w:p>
        </w:tc>
      </w:tr>
      <w:tr>
        <w:trPr>
          <w:trHeight w:val="384" w:hRule="exact"/>
        </w:trPr>
        <w:tc>
          <w:tcPr>
            <w:tcW w:w="14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3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28" w:right="0"/>
              <w:jc w:val="center"/>
              <w:rPr>
                <w:rFonts w:ascii="Times New Roman" w:hAnsi="Times New Roman" w:cs="Times New Roman" w:eastAsia="Times New Roman" w:hint="default"/>
                <w:sz w:val="18"/>
                <w:szCs w:val="18"/>
              </w:rPr>
            </w:pPr>
            <w:r>
              <w:rPr>
                <w:rFonts w:ascii="Times New Roman"/>
                <w:sz w:val="18"/>
              </w:rPr>
              <w:t>141,633,223.51</w:t>
            </w:r>
          </w:p>
        </w:tc>
        <w:tc>
          <w:tcPr>
            <w:tcW w:w="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24" w:right="0"/>
              <w:jc w:val="center"/>
              <w:rPr>
                <w:rFonts w:ascii="Times New Roman" w:hAnsi="Times New Roman" w:cs="Times New Roman" w:eastAsia="Times New Roman" w:hint="default"/>
                <w:sz w:val="18"/>
                <w:szCs w:val="18"/>
              </w:rPr>
            </w:pPr>
            <w:r>
              <w:rPr>
                <w:rFonts w:ascii="Times New Roman"/>
                <w:sz w:val="18"/>
              </w:rPr>
              <w:t>100.00</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114" w:right="0"/>
              <w:jc w:val="center"/>
              <w:rPr>
                <w:rFonts w:ascii="Times New Roman" w:hAnsi="Times New Roman" w:cs="Times New Roman" w:eastAsia="Times New Roman" w:hint="default"/>
                <w:sz w:val="18"/>
                <w:szCs w:val="18"/>
              </w:rPr>
            </w:pPr>
            <w:r>
              <w:rPr>
                <w:rFonts w:ascii="Times New Roman"/>
                <w:sz w:val="18"/>
              </w:rPr>
              <w:t>16,957,007.28</w:t>
            </w:r>
          </w:p>
        </w:tc>
        <w:tc>
          <w:tcPr>
            <w:tcW w:w="7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125" w:right="0"/>
              <w:jc w:val="center"/>
              <w:rPr>
                <w:rFonts w:ascii="Times New Roman" w:hAnsi="Times New Roman" w:cs="Times New Roman" w:eastAsia="Times New Roman" w:hint="default"/>
                <w:sz w:val="18"/>
                <w:szCs w:val="18"/>
              </w:rPr>
            </w:pPr>
            <w:r>
              <w:rPr>
                <w:rFonts w:ascii="Times New Roman"/>
                <w:sz w:val="18"/>
              </w:rPr>
              <w:t>11.97</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4" w:right="0"/>
              <w:jc w:val="center"/>
              <w:rPr>
                <w:rFonts w:ascii="Times New Roman" w:hAnsi="Times New Roman" w:cs="Times New Roman" w:eastAsia="Times New Roman" w:hint="default"/>
                <w:sz w:val="18"/>
                <w:szCs w:val="18"/>
              </w:rPr>
            </w:pPr>
            <w:r>
              <w:rPr>
                <w:rFonts w:ascii="Times New Roman"/>
                <w:sz w:val="18"/>
              </w:rPr>
              <w:t>83,841,822.99</w:t>
            </w:r>
          </w:p>
        </w:tc>
        <w:tc>
          <w:tcPr>
            <w:tcW w:w="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122" w:right="0"/>
              <w:jc w:val="left"/>
              <w:rPr>
                <w:rFonts w:ascii="Times New Roman" w:hAnsi="Times New Roman" w:cs="Times New Roman" w:eastAsia="Times New Roman" w:hint="default"/>
                <w:sz w:val="18"/>
                <w:szCs w:val="18"/>
              </w:rPr>
            </w:pPr>
            <w:r>
              <w:rPr>
                <w:rFonts w:ascii="Times New Roman"/>
                <w:sz w:val="18"/>
              </w:rPr>
              <w:t>100.00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9,251,569.20</w:t>
            </w:r>
          </w:p>
        </w:tc>
        <w:tc>
          <w:tcPr>
            <w:tcW w:w="7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8"/>
                <w:szCs w:val="18"/>
              </w:rPr>
            </w:pPr>
            <w:r>
              <w:rPr>
                <w:rFonts w:ascii="Times New Roman"/>
                <w:spacing w:val="-2"/>
                <w:sz w:val="18"/>
              </w:rPr>
              <w:t>11.03</w:t>
            </w:r>
          </w:p>
        </w:tc>
      </w:tr>
      <w:tr>
        <w:trPr>
          <w:trHeight w:val="1507" w:hRule="exact"/>
        </w:trPr>
        <w:tc>
          <w:tcPr>
            <w:tcW w:w="1483" w:type="dxa"/>
            <w:tcBorders>
              <w:top w:val="dotted" w:sz="4" w:space="0" w:color="000000"/>
              <w:left w:val="nil" w:sz="6" w:space="0" w:color="auto"/>
              <w:bottom w:val="dotted" w:sz="4" w:space="0" w:color="000000"/>
              <w:right w:val="dotted" w:sz="4" w:space="0" w:color="000000"/>
            </w:tcBorders>
          </w:tcPr>
          <w:p>
            <w:pPr>
              <w:pStyle w:val="TableParagraph"/>
              <w:spacing w:line="381" w:lineRule="auto" w:before="39"/>
              <w:ind w:left="122" w:right="97"/>
              <w:jc w:val="both"/>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54"/>
                <w:sz w:val="18"/>
                <w:szCs w:val="18"/>
              </w:rPr>
              <w:t> </w:t>
            </w: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金</w:t>
            </w:r>
            <w:r>
              <w:rPr>
                <w:rFonts w:ascii="宋体" w:hAnsi="宋体" w:cs="宋体" w:eastAsia="宋体" w:hint="default"/>
                <w:spacing w:val="-57"/>
                <w:sz w:val="18"/>
                <w:szCs w:val="18"/>
              </w:rPr>
              <w:t> </w:t>
            </w:r>
            <w:r>
              <w:rPr>
                <w:rFonts w:ascii="宋体" w:hAnsi="宋体" w:cs="宋体" w:eastAsia="宋体" w:hint="default"/>
                <w:sz w:val="18"/>
                <w:szCs w:val="18"/>
              </w:rPr>
              <w:t>额</w:t>
            </w:r>
            <w:r>
              <w:rPr>
                <w:rFonts w:ascii="宋体" w:hAnsi="宋体" w:cs="宋体" w:eastAsia="宋体" w:hint="default"/>
                <w:spacing w:val="-55"/>
                <w:sz w:val="18"/>
                <w:szCs w:val="18"/>
              </w:rPr>
              <w:t> </w:t>
            </w:r>
            <w:r>
              <w:rPr>
                <w:rFonts w:ascii="宋体" w:hAnsi="宋体" w:cs="宋体" w:eastAsia="宋体" w:hint="default"/>
                <w:sz w:val="18"/>
                <w:szCs w:val="18"/>
              </w:rPr>
              <w:t>虽</w:t>
            </w:r>
            <w:r>
              <w:rPr>
                <w:rFonts w:ascii="宋体" w:hAnsi="宋体" w:cs="宋体" w:eastAsia="宋体" w:hint="default"/>
                <w:spacing w:val="-55"/>
                <w:sz w:val="18"/>
                <w:szCs w:val="18"/>
              </w:rPr>
              <w:t> </w:t>
            </w:r>
            <w:r>
              <w:rPr>
                <w:rFonts w:ascii="宋体" w:hAnsi="宋体" w:cs="宋体" w:eastAsia="宋体" w:hint="default"/>
                <w:sz w:val="18"/>
                <w:szCs w:val="18"/>
              </w:rPr>
              <w:t>不</w:t>
            </w:r>
            <w:r>
              <w:rPr>
                <w:rFonts w:ascii="宋体" w:hAnsi="宋体" w:cs="宋体" w:eastAsia="宋体" w:hint="default"/>
                <w:sz w:val="18"/>
                <w:szCs w:val="18"/>
              </w:rPr>
              <w:t> 重</w:t>
            </w:r>
            <w:r>
              <w:rPr>
                <w:rFonts w:ascii="宋体" w:hAnsi="宋体" w:cs="宋体" w:eastAsia="宋体" w:hint="default"/>
                <w:spacing w:val="-55"/>
                <w:sz w:val="18"/>
                <w:szCs w:val="18"/>
              </w:rPr>
              <w:t> </w:t>
            </w:r>
            <w:r>
              <w:rPr>
                <w:rFonts w:ascii="宋体" w:hAnsi="宋体" w:cs="宋体" w:eastAsia="宋体" w:hint="default"/>
                <w:sz w:val="18"/>
                <w:szCs w:val="18"/>
              </w:rPr>
              <w:t>大</w:t>
            </w:r>
            <w:r>
              <w:rPr>
                <w:rFonts w:ascii="宋体" w:hAnsi="宋体" w:cs="宋体" w:eastAsia="宋体" w:hint="default"/>
                <w:spacing w:val="-55"/>
                <w:sz w:val="18"/>
                <w:szCs w:val="18"/>
              </w:rPr>
              <w:t> </w:t>
            </w:r>
            <w:r>
              <w:rPr>
                <w:rFonts w:ascii="宋体" w:hAnsi="宋体" w:cs="宋体" w:eastAsia="宋体" w:hint="default"/>
                <w:sz w:val="18"/>
                <w:szCs w:val="18"/>
              </w:rPr>
              <w:t>但</w:t>
            </w:r>
            <w:r>
              <w:rPr>
                <w:rFonts w:ascii="宋体" w:hAnsi="宋体" w:cs="宋体" w:eastAsia="宋体" w:hint="default"/>
                <w:spacing w:val="-57"/>
                <w:sz w:val="18"/>
                <w:szCs w:val="18"/>
              </w:rPr>
              <w:t> </w:t>
            </w:r>
            <w:r>
              <w:rPr>
                <w:rFonts w:ascii="宋体" w:hAnsi="宋体" w:cs="宋体" w:eastAsia="宋体" w:hint="default"/>
                <w:sz w:val="18"/>
                <w:szCs w:val="18"/>
              </w:rPr>
              <w:t>单</w:t>
            </w:r>
            <w:r>
              <w:rPr>
                <w:rFonts w:ascii="宋体" w:hAnsi="宋体" w:cs="宋体" w:eastAsia="宋体" w:hint="default"/>
                <w:spacing w:val="-55"/>
                <w:sz w:val="18"/>
                <w:szCs w:val="18"/>
              </w:rPr>
              <w:t> </w:t>
            </w: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计</w:t>
            </w:r>
            <w:r>
              <w:rPr>
                <w:rFonts w:ascii="宋体" w:hAnsi="宋体" w:cs="宋体" w:eastAsia="宋体" w:hint="default"/>
                <w:sz w:val="18"/>
                <w:szCs w:val="18"/>
              </w:rPr>
              <w:t> 提</w:t>
            </w:r>
            <w:r>
              <w:rPr>
                <w:rFonts w:ascii="宋体" w:hAnsi="宋体" w:cs="宋体" w:eastAsia="宋体" w:hint="default"/>
                <w:spacing w:val="-55"/>
                <w:sz w:val="18"/>
                <w:szCs w:val="18"/>
              </w:rPr>
              <w:t> </w:t>
            </w:r>
            <w:r>
              <w:rPr>
                <w:rFonts w:ascii="宋体" w:hAnsi="宋体" w:cs="宋体" w:eastAsia="宋体" w:hint="default"/>
                <w:sz w:val="18"/>
                <w:szCs w:val="18"/>
              </w:rPr>
              <w:t>坏</w:t>
            </w:r>
            <w:r>
              <w:rPr>
                <w:rFonts w:ascii="宋体" w:hAnsi="宋体" w:cs="宋体" w:eastAsia="宋体" w:hint="default"/>
                <w:spacing w:val="-55"/>
                <w:sz w:val="18"/>
                <w:szCs w:val="18"/>
              </w:rPr>
              <w:t> </w:t>
            </w:r>
            <w:r>
              <w:rPr>
                <w:rFonts w:ascii="宋体" w:hAnsi="宋体" w:cs="宋体" w:eastAsia="宋体" w:hint="default"/>
                <w:sz w:val="18"/>
                <w:szCs w:val="18"/>
              </w:rPr>
              <w:t>账</w:t>
            </w:r>
            <w:r>
              <w:rPr>
                <w:rFonts w:ascii="宋体" w:hAnsi="宋体" w:cs="宋体" w:eastAsia="宋体" w:hint="default"/>
                <w:spacing w:val="-57"/>
                <w:sz w:val="18"/>
                <w:szCs w:val="18"/>
              </w:rPr>
              <w:t> </w:t>
            </w:r>
            <w:r>
              <w:rPr>
                <w:rFonts w:ascii="宋体" w:hAnsi="宋体" w:cs="宋体" w:eastAsia="宋体" w:hint="default"/>
                <w:sz w:val="18"/>
                <w:szCs w:val="18"/>
              </w:rPr>
              <w:t>准</w:t>
            </w:r>
            <w:r>
              <w:rPr>
                <w:rFonts w:ascii="宋体" w:hAnsi="宋体" w:cs="宋体" w:eastAsia="宋体" w:hint="default"/>
                <w:spacing w:val="-55"/>
                <w:sz w:val="18"/>
                <w:szCs w:val="18"/>
              </w:rPr>
              <w:t> </w:t>
            </w:r>
            <w:r>
              <w:rPr>
                <w:rFonts w:ascii="宋体" w:hAnsi="宋体" w:cs="宋体" w:eastAsia="宋体" w:hint="default"/>
                <w:sz w:val="18"/>
                <w:szCs w:val="18"/>
              </w:rPr>
              <w:t>备</w:t>
            </w:r>
            <w:r>
              <w:rPr>
                <w:rFonts w:ascii="宋体" w:hAnsi="宋体" w:cs="宋体" w:eastAsia="宋体" w:hint="default"/>
                <w:spacing w:val="-55"/>
                <w:sz w:val="18"/>
                <w:szCs w:val="18"/>
              </w:rPr>
              <w:t> </w:t>
            </w:r>
            <w:r>
              <w:rPr>
                <w:rFonts w:ascii="宋体" w:hAnsi="宋体" w:cs="宋体" w:eastAsia="宋体" w:hint="default"/>
                <w:sz w:val="18"/>
                <w:szCs w:val="18"/>
              </w:rPr>
              <w:t>的</w:t>
            </w:r>
            <w:r>
              <w:rPr>
                <w:rFonts w:ascii="宋体" w:hAnsi="宋体" w:cs="宋体" w:eastAsia="宋体" w:hint="default"/>
                <w:sz w:val="18"/>
                <w:szCs w:val="18"/>
              </w:rPr>
              <w:t> 应收账款</w:t>
            </w:r>
          </w:p>
        </w:tc>
        <w:tc>
          <w:tcPr>
            <w:tcW w:w="1371" w:type="dxa"/>
            <w:tcBorders>
              <w:top w:val="dotted" w:sz="4" w:space="0" w:color="000000"/>
              <w:left w:val="dotted" w:sz="4" w:space="0" w:color="000000"/>
              <w:bottom w:val="dotted" w:sz="4" w:space="0" w:color="000000"/>
              <w:right w:val="dotted" w:sz="4" w:space="0" w:color="000000"/>
            </w:tcBorders>
          </w:tcPr>
          <w:p>
            <w:pPr/>
          </w:p>
        </w:tc>
        <w:tc>
          <w:tcPr>
            <w:tcW w:w="734"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dotted" w:sz="4" w:space="0" w:color="000000"/>
            </w:tcBorders>
          </w:tcPr>
          <w:p>
            <w:pPr/>
          </w:p>
        </w:tc>
        <w:tc>
          <w:tcPr>
            <w:tcW w:w="739" w:type="dxa"/>
            <w:tcBorders>
              <w:top w:val="dotted" w:sz="4" w:space="0" w:color="000000"/>
              <w:left w:val="dotted" w:sz="4" w:space="0" w:color="000000"/>
              <w:bottom w:val="dotted" w:sz="4" w:space="0" w:color="000000"/>
              <w:right w:val="dotted" w:sz="4" w:space="0" w:color="000000"/>
            </w:tcBorders>
          </w:tcPr>
          <w:p>
            <w:pPr/>
          </w:p>
        </w:tc>
        <w:tc>
          <w:tcPr>
            <w:tcW w:w="1255" w:type="dxa"/>
            <w:tcBorders>
              <w:top w:val="dotted" w:sz="4" w:space="0" w:color="000000"/>
              <w:left w:val="dotted" w:sz="4" w:space="0" w:color="000000"/>
              <w:bottom w:val="dotted" w:sz="4" w:space="0" w:color="000000"/>
              <w:right w:val="dotted" w:sz="4" w:space="0" w:color="000000"/>
            </w:tcBorders>
          </w:tcPr>
          <w:p>
            <w:pPr/>
          </w:p>
        </w:tc>
        <w:tc>
          <w:tcPr>
            <w:tcW w:w="733"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
        </w:tc>
        <w:tc>
          <w:tcPr>
            <w:tcW w:w="746" w:type="dxa"/>
            <w:tcBorders>
              <w:top w:val="dotted" w:sz="4" w:space="0" w:color="000000"/>
              <w:left w:val="dotted" w:sz="4" w:space="0" w:color="000000"/>
              <w:bottom w:val="dotted" w:sz="4" w:space="0" w:color="000000"/>
              <w:right w:val="nil" w:sz="6" w:space="0" w:color="auto"/>
            </w:tcBorders>
          </w:tcPr>
          <w:p>
            <w:pPr/>
          </w:p>
        </w:tc>
      </w:tr>
      <w:tr>
        <w:trPr>
          <w:trHeight w:val="396" w:hRule="exact"/>
        </w:trPr>
        <w:tc>
          <w:tcPr>
            <w:tcW w:w="148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9"/>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left="28" w:right="0"/>
              <w:jc w:val="center"/>
              <w:rPr>
                <w:rFonts w:ascii="Times New Roman" w:hAnsi="Times New Roman" w:cs="Times New Roman" w:eastAsia="Times New Roman" w:hint="default"/>
                <w:sz w:val="18"/>
                <w:szCs w:val="18"/>
              </w:rPr>
            </w:pPr>
            <w:r>
              <w:rPr>
                <w:rFonts w:ascii="Times New Roman"/>
                <w:sz w:val="18"/>
              </w:rPr>
              <w:t>141,633,223.51</w:t>
            </w:r>
          </w:p>
        </w:tc>
        <w:tc>
          <w:tcPr>
            <w:tcW w:w="7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left="24" w:right="0"/>
              <w:jc w:val="center"/>
              <w:rPr>
                <w:rFonts w:ascii="Times New Roman" w:hAnsi="Times New Roman" w:cs="Times New Roman" w:eastAsia="Times New Roman" w:hint="default"/>
                <w:sz w:val="18"/>
                <w:szCs w:val="18"/>
              </w:rPr>
            </w:pPr>
            <w:r>
              <w:rPr>
                <w:rFonts w:ascii="Times New Roman"/>
                <w:sz w:val="18"/>
              </w:rPr>
              <w:t>100.00</w:t>
            </w:r>
          </w:p>
        </w:tc>
        <w:tc>
          <w:tcPr>
            <w:tcW w:w="13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left="114" w:right="0"/>
              <w:jc w:val="center"/>
              <w:rPr>
                <w:rFonts w:ascii="Times New Roman" w:hAnsi="Times New Roman" w:cs="Times New Roman" w:eastAsia="Times New Roman" w:hint="default"/>
                <w:sz w:val="18"/>
                <w:szCs w:val="18"/>
              </w:rPr>
            </w:pPr>
            <w:r>
              <w:rPr>
                <w:rFonts w:ascii="Times New Roman"/>
                <w:sz w:val="18"/>
              </w:rPr>
              <w:t>16,957,007.28</w:t>
            </w:r>
          </w:p>
        </w:tc>
        <w:tc>
          <w:tcPr>
            <w:tcW w:w="739" w:type="dxa"/>
            <w:tcBorders>
              <w:top w:val="dotted" w:sz="4" w:space="0" w:color="000000"/>
              <w:left w:val="dotted" w:sz="4" w:space="0" w:color="000000"/>
              <w:bottom w:val="single" w:sz="12" w:space="0" w:color="000000"/>
              <w:right w:val="dotted" w:sz="4" w:space="0" w:color="000000"/>
            </w:tcBorders>
          </w:tcPr>
          <w:p>
            <w:pPr/>
          </w:p>
        </w:tc>
        <w:tc>
          <w:tcPr>
            <w:tcW w:w="12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left="4" w:right="0"/>
              <w:jc w:val="center"/>
              <w:rPr>
                <w:rFonts w:ascii="Times New Roman" w:hAnsi="Times New Roman" w:cs="Times New Roman" w:eastAsia="Times New Roman" w:hint="default"/>
                <w:sz w:val="18"/>
                <w:szCs w:val="18"/>
              </w:rPr>
            </w:pPr>
            <w:r>
              <w:rPr>
                <w:rFonts w:ascii="Times New Roman"/>
                <w:sz w:val="18"/>
              </w:rPr>
              <w:t>83,841,822.99</w:t>
            </w:r>
          </w:p>
        </w:tc>
        <w:tc>
          <w:tcPr>
            <w:tcW w:w="7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left="122" w:right="0"/>
              <w:jc w:val="left"/>
              <w:rPr>
                <w:rFonts w:ascii="Times New Roman" w:hAnsi="Times New Roman" w:cs="Times New Roman" w:eastAsia="Times New Roman" w:hint="default"/>
                <w:sz w:val="18"/>
                <w:szCs w:val="18"/>
              </w:rPr>
            </w:pPr>
            <w:r>
              <w:rPr>
                <w:rFonts w:ascii="Times New Roman"/>
                <w:sz w:val="18"/>
              </w:rPr>
              <w:t>100.00</w:t>
            </w: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9,251,569.20</w:t>
            </w:r>
          </w:p>
        </w:tc>
        <w:tc>
          <w:tcPr>
            <w:tcW w:w="746"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9"/>
          <w:szCs w:val="29"/>
        </w:rPr>
      </w:pPr>
    </w:p>
    <w:p>
      <w:pPr>
        <w:spacing w:line="314" w:lineRule="auto" w:before="36"/>
        <w:ind w:left="874" w:right="2345" w:hanging="17"/>
        <w:jc w:val="left"/>
        <w:rPr>
          <w:rFonts w:ascii="宋体" w:hAnsi="宋体" w:cs="宋体" w:eastAsia="宋体" w:hint="default"/>
          <w:sz w:val="21"/>
          <w:szCs w:val="21"/>
        </w:rPr>
      </w:pPr>
      <w:r>
        <w:rPr>
          <w:rFonts w:ascii="宋体" w:hAnsi="宋体" w:cs="宋体" w:eastAsia="宋体" w:hint="default"/>
          <w:sz w:val="21"/>
          <w:szCs w:val="21"/>
        </w:rPr>
        <w:t>应收账款种类的说明：</w:t>
      </w:r>
      <w:r>
        <w:rPr>
          <w:rFonts w:ascii="宋体" w:hAnsi="宋体" w:cs="宋体" w:eastAsia="宋体" w:hint="default"/>
          <w:w w:val="100"/>
          <w:sz w:val="21"/>
          <w:szCs w:val="21"/>
        </w:rPr>
        <w:t> </w:t>
      </w:r>
      <w:r>
        <w:rPr>
          <w:rFonts w:ascii="宋体" w:hAnsi="宋体" w:cs="宋体" w:eastAsia="宋体" w:hint="default"/>
          <w:spacing w:val="-2"/>
          <w:sz w:val="21"/>
          <w:szCs w:val="21"/>
        </w:rPr>
        <w:t>组合中，采用账龄分析法计提坏账准备的应收账款：</w:t>
      </w:r>
    </w:p>
    <w:p>
      <w:pPr>
        <w:spacing w:line="240" w:lineRule="auto" w:before="10"/>
        <w:rPr>
          <w:rFonts w:ascii="宋体" w:hAnsi="宋体" w:cs="宋体" w:eastAsia="宋体" w:hint="default"/>
          <w:sz w:val="25"/>
          <w:szCs w:val="25"/>
        </w:rPr>
      </w:pPr>
    </w:p>
    <w:tbl>
      <w:tblPr>
        <w:tblW w:w="0" w:type="auto"/>
        <w:jc w:val="left"/>
        <w:tblInd w:w="725" w:type="dxa"/>
        <w:tblLayout w:type="fixed"/>
        <w:tblCellMar>
          <w:top w:w="0" w:type="dxa"/>
          <w:left w:w="0" w:type="dxa"/>
          <w:bottom w:w="0" w:type="dxa"/>
          <w:right w:w="0" w:type="dxa"/>
        </w:tblCellMar>
        <w:tblLook w:val="01E0"/>
      </w:tblPr>
      <w:tblGrid>
        <w:gridCol w:w="1186"/>
        <w:gridCol w:w="3570"/>
        <w:gridCol w:w="3257"/>
      </w:tblGrid>
      <w:tr>
        <w:trPr>
          <w:trHeight w:val="391" w:hRule="exact"/>
        </w:trPr>
        <w:tc>
          <w:tcPr>
            <w:tcW w:w="1186" w:type="dxa"/>
            <w:tcBorders>
              <w:top w:val="single" w:sz="12" w:space="0" w:color="000000"/>
              <w:left w:val="nil" w:sz="6" w:space="0" w:color="auto"/>
              <w:bottom w:val="single" w:sz="12" w:space="0" w:color="000000"/>
              <w:right w:val="dotted" w:sz="4"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570" w:type="dxa"/>
            <w:tcBorders>
              <w:top w:val="single" w:sz="12" w:space="0" w:color="000000"/>
              <w:left w:val="dotted" w:sz="4" w:space="0" w:color="000000"/>
              <w:bottom w:val="single" w:sz="12" w:space="0" w:color="000000"/>
              <w:right w:val="dotted"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57" w:type="dxa"/>
            <w:tcBorders>
              <w:top w:val="single" w:sz="12" w:space="0" w:color="000000"/>
              <w:left w:val="dotted" w:sz="4" w:space="0" w:color="000000"/>
              <w:bottom w:val="single" w:sz="12" w:space="0" w:color="000000"/>
              <w:right w:val="nil" w:sz="6" w:space="0" w:color="auto"/>
            </w:tcBorders>
          </w:tcPr>
          <w:p>
            <w:pPr>
              <w:pStyle w:val="TableParagraph"/>
              <w:spacing w:line="240" w:lineRule="auto" w:before="77"/>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bl>
    <w:p>
      <w:pPr>
        <w:spacing w:after="0" w:line="240" w:lineRule="auto"/>
        <w:jc w:val="center"/>
        <w:rPr>
          <w:rFonts w:ascii="宋体" w:hAnsi="宋体" w:cs="宋体" w:eastAsia="宋体" w:hint="default"/>
          <w:sz w:val="18"/>
          <w:szCs w:val="18"/>
        </w:rPr>
        <w:sectPr>
          <w:pgSz w:w="11910" w:h="16840"/>
          <w:pgMar w:header="0" w:footer="980" w:top="1140" w:bottom="1160" w:left="1660" w:right="180"/>
        </w:sectPr>
      </w:pPr>
    </w:p>
    <w:p>
      <w:pPr>
        <w:spacing w:line="240" w:lineRule="auto" w:before="6"/>
        <w:rPr>
          <w:rFonts w:ascii="宋体" w:hAnsi="宋体" w:cs="宋体" w:eastAsia="宋体" w:hint="default"/>
          <w:sz w:val="21"/>
          <w:szCs w:val="21"/>
        </w:rPr>
      </w:pPr>
    </w:p>
    <w:tbl>
      <w:tblPr>
        <w:tblW w:w="0" w:type="auto"/>
        <w:jc w:val="left"/>
        <w:tblInd w:w="711" w:type="dxa"/>
        <w:tblLayout w:type="fixed"/>
        <w:tblCellMar>
          <w:top w:w="0" w:type="dxa"/>
          <w:left w:w="0" w:type="dxa"/>
          <w:bottom w:w="0" w:type="dxa"/>
          <w:right w:w="0" w:type="dxa"/>
        </w:tblCellMar>
        <w:tblLook w:val="01E0"/>
      </w:tblPr>
      <w:tblGrid>
        <w:gridCol w:w="1200"/>
        <w:gridCol w:w="1366"/>
        <w:gridCol w:w="859"/>
        <w:gridCol w:w="1344"/>
        <w:gridCol w:w="1265"/>
        <w:gridCol w:w="804"/>
        <w:gridCol w:w="1189"/>
      </w:tblGrid>
      <w:tr>
        <w:trPr>
          <w:trHeight w:val="382" w:hRule="exact"/>
        </w:trPr>
        <w:tc>
          <w:tcPr>
            <w:tcW w:w="1200" w:type="dxa"/>
            <w:vMerge w:val="restart"/>
            <w:tcBorders>
              <w:top w:val="single" w:sz="12" w:space="0" w:color="000000"/>
              <w:left w:val="nil" w:sz="6" w:space="0" w:color="auto"/>
              <w:right w:val="dotted" w:sz="4" w:space="0" w:color="000000"/>
            </w:tcBorders>
          </w:tcPr>
          <w:p>
            <w:pPr/>
          </w:p>
        </w:tc>
        <w:tc>
          <w:tcPr>
            <w:tcW w:w="2225"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80"/>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44"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69"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80"/>
              <w:ind w:left="66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9"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30" w:hRule="exact"/>
        </w:trPr>
        <w:tc>
          <w:tcPr>
            <w:tcW w:w="1200" w:type="dxa"/>
            <w:vMerge/>
            <w:tcBorders>
              <w:left w:val="nil" w:sz="6" w:space="0" w:color="auto"/>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left="2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24"/>
              <w:ind w:left="1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44" w:type="dxa"/>
            <w:vMerge/>
            <w:tcBorders>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8"/>
              <w:ind w:left="21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24"/>
              <w:ind w:left="14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89" w:type="dxa"/>
            <w:vMerge/>
            <w:tcBorders>
              <w:left w:val="dotted" w:sz="4" w:space="0" w:color="000000"/>
              <w:bottom w:val="dotted" w:sz="4" w:space="0" w:color="000000"/>
              <w:right w:val="nil" w:sz="6" w:space="0" w:color="auto"/>
            </w:tcBorders>
          </w:tcPr>
          <w:p>
            <w:pPr/>
          </w:p>
        </w:tc>
      </w:tr>
      <w:tr>
        <w:trPr>
          <w:trHeight w:val="370" w:hRule="exact"/>
        </w:trPr>
        <w:tc>
          <w:tcPr>
            <w:tcW w:w="12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125,615,952.84</w:t>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88.69</w:t>
            </w:r>
          </w:p>
        </w:tc>
        <w:tc>
          <w:tcPr>
            <w:tcW w:w="13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6,280,797.65</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76,236,025.35</w:t>
            </w:r>
          </w:p>
        </w:tc>
        <w:tc>
          <w:tcPr>
            <w:tcW w:w="8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90.93</w:t>
            </w:r>
          </w:p>
        </w:tc>
        <w:tc>
          <w:tcPr>
            <w:tcW w:w="11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3,811,801.26</w:t>
            </w:r>
          </w:p>
        </w:tc>
      </w:tr>
      <w:tr>
        <w:trPr>
          <w:trHeight w:val="370" w:hRule="exact"/>
        </w:trPr>
        <w:tc>
          <w:tcPr>
            <w:tcW w:w="12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10,682,122.09</w:t>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7.54</w:t>
            </w:r>
          </w:p>
        </w:tc>
        <w:tc>
          <w:tcPr>
            <w:tcW w:w="13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5,341,061.05</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4,332,059.40</w:t>
            </w:r>
          </w:p>
        </w:tc>
        <w:tc>
          <w:tcPr>
            <w:tcW w:w="8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5.17</w:t>
            </w:r>
          </w:p>
        </w:tc>
        <w:tc>
          <w:tcPr>
            <w:tcW w:w="11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2,166,029.70</w:t>
            </w:r>
          </w:p>
        </w:tc>
      </w:tr>
      <w:tr>
        <w:trPr>
          <w:trHeight w:val="370" w:hRule="exact"/>
        </w:trPr>
        <w:tc>
          <w:tcPr>
            <w:tcW w:w="12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2,593,354.68</w:t>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1.83</w:t>
            </w:r>
          </w:p>
        </w:tc>
        <w:tc>
          <w:tcPr>
            <w:tcW w:w="13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2,593,354.68</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1,558,472.20</w:t>
            </w:r>
          </w:p>
        </w:tc>
        <w:tc>
          <w:tcPr>
            <w:tcW w:w="8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1.86</w:t>
            </w:r>
          </w:p>
        </w:tc>
        <w:tc>
          <w:tcPr>
            <w:tcW w:w="11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1,558,472.20</w:t>
            </w:r>
          </w:p>
        </w:tc>
      </w:tr>
      <w:tr>
        <w:trPr>
          <w:trHeight w:val="370" w:hRule="exact"/>
        </w:trPr>
        <w:tc>
          <w:tcPr>
            <w:tcW w:w="12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2,741,793.90</w:t>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1.94</w:t>
            </w:r>
          </w:p>
        </w:tc>
        <w:tc>
          <w:tcPr>
            <w:tcW w:w="13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2,741,793.90</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1,715,266.04</w:t>
            </w:r>
          </w:p>
        </w:tc>
        <w:tc>
          <w:tcPr>
            <w:tcW w:w="8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2.04</w:t>
            </w:r>
          </w:p>
        </w:tc>
        <w:tc>
          <w:tcPr>
            <w:tcW w:w="11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1,715,266.04</w:t>
            </w:r>
          </w:p>
        </w:tc>
      </w:tr>
      <w:tr>
        <w:trPr>
          <w:trHeight w:val="382" w:hRule="exact"/>
        </w:trPr>
        <w:tc>
          <w:tcPr>
            <w:tcW w:w="120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0"/>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141,633,223.51</w:t>
            </w:r>
          </w:p>
        </w:tc>
        <w:tc>
          <w:tcPr>
            <w:tcW w:w="85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16,957,007.28</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83,841,822.99</w:t>
            </w:r>
          </w:p>
        </w:tc>
        <w:tc>
          <w:tcPr>
            <w:tcW w:w="8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18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spacing w:val="-1"/>
                <w:sz w:val="18"/>
              </w:rPr>
              <w:t>9,251,569.20</w:t>
            </w:r>
          </w:p>
        </w:tc>
      </w:tr>
    </w:tbl>
    <w:p>
      <w:pPr>
        <w:spacing w:line="240" w:lineRule="auto" w:before="0"/>
        <w:rPr>
          <w:rFonts w:ascii="宋体" w:hAnsi="宋体" w:cs="宋体" w:eastAsia="宋体" w:hint="default"/>
          <w:sz w:val="28"/>
          <w:szCs w:val="28"/>
        </w:rPr>
      </w:pPr>
    </w:p>
    <w:p>
      <w:pPr>
        <w:tabs>
          <w:tab w:pos="1395" w:val="left" w:leader="none"/>
        </w:tabs>
        <w:spacing w:before="36"/>
        <w:ind w:left="858" w:right="31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tab/>
        <w:t>本期转回或收回应收账款情况</w:t>
      </w:r>
      <w:r>
        <w:rPr>
          <w:rFonts w:ascii="宋体" w:hAnsi="宋体" w:cs="宋体" w:eastAsia="宋体" w:hint="default"/>
          <w:sz w:val="21"/>
          <w:szCs w:val="21"/>
        </w:rPr>
      </w:r>
    </w:p>
    <w:p>
      <w:pPr>
        <w:spacing w:line="240" w:lineRule="auto" w:before="3"/>
        <w:rPr>
          <w:rFonts w:ascii="宋体" w:hAnsi="宋体" w:cs="宋体" w:eastAsia="宋体" w:hint="default"/>
          <w:b/>
          <w:bCs/>
          <w:sz w:val="3"/>
          <w:szCs w:val="3"/>
        </w:rPr>
      </w:pPr>
    </w:p>
    <w:tbl>
      <w:tblPr>
        <w:tblW w:w="0" w:type="auto"/>
        <w:jc w:val="left"/>
        <w:tblInd w:w="721" w:type="dxa"/>
        <w:tblLayout w:type="fixed"/>
        <w:tblCellMar>
          <w:top w:w="0" w:type="dxa"/>
          <w:left w:w="0" w:type="dxa"/>
          <w:bottom w:w="0" w:type="dxa"/>
          <w:right w:w="0" w:type="dxa"/>
        </w:tblCellMar>
        <w:tblLook w:val="01E0"/>
      </w:tblPr>
      <w:tblGrid>
        <w:gridCol w:w="2955"/>
        <w:gridCol w:w="1030"/>
        <w:gridCol w:w="1575"/>
        <w:gridCol w:w="1186"/>
        <w:gridCol w:w="1313"/>
      </w:tblGrid>
      <w:tr>
        <w:trPr>
          <w:trHeight w:val="1102" w:hRule="exact"/>
        </w:trPr>
        <w:tc>
          <w:tcPr>
            <w:tcW w:w="2955"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4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03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367" w:lineRule="auto"/>
              <w:ind w:left="240" w:right="149" w:hanging="92"/>
              <w:jc w:val="left"/>
              <w:rPr>
                <w:rFonts w:ascii="宋体" w:hAnsi="宋体" w:cs="宋体" w:eastAsia="宋体" w:hint="default"/>
                <w:sz w:val="18"/>
                <w:szCs w:val="18"/>
              </w:rPr>
            </w:pPr>
            <w:r>
              <w:rPr>
                <w:rFonts w:ascii="宋体" w:hAnsi="宋体" w:cs="宋体" w:eastAsia="宋体" w:hint="default"/>
                <w:sz w:val="18"/>
                <w:szCs w:val="18"/>
              </w:rPr>
              <w:t>转回或收 回原因</w:t>
            </w:r>
          </w:p>
        </w:tc>
        <w:tc>
          <w:tcPr>
            <w:tcW w:w="157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367" w:lineRule="auto"/>
              <w:ind w:left="511" w:right="153" w:hanging="361"/>
              <w:jc w:val="left"/>
              <w:rPr>
                <w:rFonts w:ascii="宋体" w:hAnsi="宋体" w:cs="宋体" w:eastAsia="宋体" w:hint="default"/>
                <w:sz w:val="18"/>
                <w:szCs w:val="18"/>
              </w:rPr>
            </w:pPr>
            <w:r>
              <w:rPr>
                <w:rFonts w:ascii="宋体" w:hAnsi="宋体" w:cs="宋体" w:eastAsia="宋体" w:hint="default"/>
                <w:sz w:val="18"/>
                <w:szCs w:val="18"/>
              </w:rPr>
              <w:t>确定原坏账准备 的依据</w:t>
            </w:r>
          </w:p>
        </w:tc>
        <w:tc>
          <w:tcPr>
            <w:tcW w:w="118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367" w:lineRule="auto"/>
              <w:ind w:left="407" w:right="137" w:hanging="272"/>
              <w:jc w:val="left"/>
              <w:rPr>
                <w:rFonts w:ascii="宋体" w:hAnsi="宋体" w:cs="宋体" w:eastAsia="宋体" w:hint="default"/>
                <w:sz w:val="18"/>
                <w:szCs w:val="18"/>
              </w:rPr>
            </w:pPr>
            <w:r>
              <w:rPr>
                <w:rFonts w:ascii="宋体" w:hAnsi="宋体" w:cs="宋体" w:eastAsia="宋体" w:hint="default"/>
                <w:sz w:val="18"/>
                <w:szCs w:val="18"/>
              </w:rPr>
              <w:t>转回或收回 金额</w:t>
            </w:r>
          </w:p>
        </w:tc>
        <w:tc>
          <w:tcPr>
            <w:tcW w:w="131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0"/>
              <w:ind w:left="110" w:right="0"/>
              <w:jc w:val="left"/>
              <w:rPr>
                <w:rFonts w:ascii="宋体" w:hAnsi="宋体" w:cs="宋体" w:eastAsia="宋体" w:hint="default"/>
                <w:sz w:val="18"/>
                <w:szCs w:val="18"/>
              </w:rPr>
            </w:pPr>
            <w:r>
              <w:rPr>
                <w:rFonts w:ascii="宋体" w:hAnsi="宋体" w:cs="宋体" w:eastAsia="宋体" w:hint="default"/>
                <w:sz w:val="18"/>
                <w:szCs w:val="18"/>
              </w:rPr>
              <w:t>转回或收回前</w:t>
            </w:r>
          </w:p>
          <w:p>
            <w:pPr>
              <w:pStyle w:val="TableParagraph"/>
              <w:spacing w:line="360" w:lineRule="atLeast"/>
              <w:ind w:left="199" w:right="116" w:hanging="90"/>
              <w:jc w:val="left"/>
              <w:rPr>
                <w:rFonts w:ascii="宋体" w:hAnsi="宋体" w:cs="宋体" w:eastAsia="宋体" w:hint="default"/>
                <w:sz w:val="18"/>
                <w:szCs w:val="18"/>
              </w:rPr>
            </w:pPr>
            <w:r>
              <w:rPr>
                <w:rFonts w:ascii="宋体" w:hAnsi="宋体" w:cs="宋体" w:eastAsia="宋体" w:hint="default"/>
                <w:sz w:val="18"/>
                <w:szCs w:val="18"/>
              </w:rPr>
              <w:t>累计已计提坏 账准备金额</w:t>
            </w:r>
          </w:p>
        </w:tc>
      </w:tr>
      <w:tr>
        <w:trPr>
          <w:trHeight w:val="1090" w:hRule="exact"/>
        </w:trPr>
        <w:tc>
          <w:tcPr>
            <w:tcW w:w="2955" w:type="dxa"/>
            <w:tcBorders>
              <w:top w:val="dotted" w:sz="4" w:space="0" w:color="000000"/>
              <w:left w:val="nil" w:sz="6" w:space="0" w:color="auto"/>
              <w:bottom w:val="dotted" w:sz="4" w:space="0" w:color="000000"/>
              <w:right w:val="dotted" w:sz="4" w:space="0" w:color="000000"/>
            </w:tcBorders>
          </w:tcPr>
          <w:p>
            <w:pPr>
              <w:pStyle w:val="TableParagraph"/>
              <w:spacing w:line="360" w:lineRule="exact"/>
              <w:ind w:left="122" w:right="104"/>
              <w:jc w:val="both"/>
              <w:rPr>
                <w:rFonts w:ascii="宋体" w:hAnsi="宋体" w:cs="宋体" w:eastAsia="宋体" w:hint="default"/>
                <w:sz w:val="18"/>
                <w:szCs w:val="18"/>
              </w:rPr>
            </w:pPr>
            <w:r>
              <w:rPr>
                <w:rFonts w:ascii="宋体" w:hAnsi="宋体" w:cs="宋体" w:eastAsia="宋体" w:hint="default"/>
                <w:sz w:val="18"/>
                <w:szCs w:val="18"/>
              </w:rPr>
              <w:t>浙江盾安人工环境设备股份有限公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司和佳通轮胎（中国）投资有限公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司等</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家客户</w:t>
            </w:r>
          </w:p>
        </w:tc>
        <w:tc>
          <w:tcPr>
            <w:tcW w:w="10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客户还款</w:t>
            </w:r>
          </w:p>
        </w:tc>
        <w:tc>
          <w:tcPr>
            <w:tcW w:w="15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按会计政策</w:t>
            </w:r>
          </w:p>
        </w:tc>
        <w:tc>
          <w:tcPr>
            <w:tcW w:w="11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1,648,092.69</w:t>
            </w:r>
          </w:p>
        </w:tc>
        <w:tc>
          <w:tcPr>
            <w:tcW w:w="131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824,046.35</w:t>
            </w:r>
          </w:p>
        </w:tc>
      </w:tr>
      <w:tr>
        <w:trPr>
          <w:trHeight w:val="730" w:hRule="exact"/>
        </w:trPr>
        <w:tc>
          <w:tcPr>
            <w:tcW w:w="29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卓越动力软件（北京）有限公司等</w:t>
            </w:r>
          </w:p>
          <w:p>
            <w:pPr>
              <w:pStyle w:val="TableParagraph"/>
              <w:spacing w:line="240" w:lineRule="auto" w:before="12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家客户</w:t>
            </w:r>
          </w:p>
        </w:tc>
        <w:tc>
          <w:tcPr>
            <w:tcW w:w="10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客户还款</w:t>
            </w:r>
          </w:p>
        </w:tc>
        <w:tc>
          <w:tcPr>
            <w:tcW w:w="15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按会计政策</w:t>
            </w:r>
          </w:p>
        </w:tc>
        <w:tc>
          <w:tcPr>
            <w:tcW w:w="11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168,500.00</w:t>
            </w:r>
          </w:p>
        </w:tc>
        <w:tc>
          <w:tcPr>
            <w:tcW w:w="13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168,500.00</w:t>
            </w:r>
          </w:p>
        </w:tc>
      </w:tr>
      <w:tr>
        <w:trPr>
          <w:trHeight w:val="370" w:hRule="exact"/>
        </w:trPr>
        <w:tc>
          <w:tcPr>
            <w:tcW w:w="29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陕西重型汽车有限公司</w:t>
            </w:r>
          </w:p>
        </w:tc>
        <w:tc>
          <w:tcPr>
            <w:tcW w:w="10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客户还款</w:t>
            </w:r>
          </w:p>
        </w:tc>
        <w:tc>
          <w:tcPr>
            <w:tcW w:w="15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按会计政策</w:t>
            </w:r>
          </w:p>
        </w:tc>
        <w:tc>
          <w:tcPr>
            <w:tcW w:w="11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322,500.00</w:t>
            </w:r>
          </w:p>
        </w:tc>
        <w:tc>
          <w:tcPr>
            <w:tcW w:w="13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08"/>
              <w:jc w:val="right"/>
              <w:rPr>
                <w:rFonts w:ascii="Times New Roman" w:hAnsi="Times New Roman" w:cs="Times New Roman" w:eastAsia="Times New Roman" w:hint="default"/>
                <w:sz w:val="18"/>
                <w:szCs w:val="18"/>
              </w:rPr>
            </w:pPr>
            <w:r>
              <w:rPr>
                <w:rFonts w:ascii="Times New Roman"/>
                <w:spacing w:val="-1"/>
                <w:sz w:val="18"/>
              </w:rPr>
              <w:t>322,500.00</w:t>
            </w:r>
          </w:p>
        </w:tc>
      </w:tr>
      <w:tr>
        <w:trPr>
          <w:trHeight w:val="382" w:hRule="exact"/>
        </w:trPr>
        <w:tc>
          <w:tcPr>
            <w:tcW w:w="295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7"/>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030" w:type="dxa"/>
            <w:tcBorders>
              <w:top w:val="dotted" w:sz="4" w:space="0" w:color="000000"/>
              <w:left w:val="dotted" w:sz="4" w:space="0" w:color="000000"/>
              <w:bottom w:val="single" w:sz="12" w:space="0" w:color="000000"/>
              <w:right w:val="dotted" w:sz="4" w:space="0" w:color="000000"/>
            </w:tcBorders>
          </w:tcPr>
          <w:p>
            <w:pPr/>
          </w:p>
        </w:tc>
        <w:tc>
          <w:tcPr>
            <w:tcW w:w="1575" w:type="dxa"/>
            <w:tcBorders>
              <w:top w:val="dotted" w:sz="4" w:space="0" w:color="000000"/>
              <w:left w:val="dotted" w:sz="4" w:space="0" w:color="000000"/>
              <w:bottom w:val="single" w:sz="12" w:space="0" w:color="000000"/>
              <w:right w:val="dotted" w:sz="4" w:space="0" w:color="000000"/>
            </w:tcBorders>
          </w:tcPr>
          <w:p>
            <w:pPr/>
          </w:p>
        </w:tc>
        <w:tc>
          <w:tcPr>
            <w:tcW w:w="118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2,139,092.69</w:t>
            </w:r>
          </w:p>
        </w:tc>
        <w:tc>
          <w:tcPr>
            <w:tcW w:w="131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0"/>
              <w:ind w:right="108"/>
              <w:jc w:val="right"/>
              <w:rPr>
                <w:rFonts w:ascii="Times New Roman" w:hAnsi="Times New Roman" w:cs="Times New Roman" w:eastAsia="Times New Roman" w:hint="default"/>
                <w:sz w:val="18"/>
                <w:szCs w:val="18"/>
              </w:rPr>
            </w:pPr>
            <w:r>
              <w:rPr>
                <w:rFonts w:ascii="Times New Roman"/>
                <w:spacing w:val="-1"/>
                <w:sz w:val="18"/>
              </w:rPr>
              <w:t>1,315,046.35</w:t>
            </w:r>
          </w:p>
        </w:tc>
      </w:tr>
    </w:tbl>
    <w:p>
      <w:pPr>
        <w:spacing w:line="240" w:lineRule="auto" w:before="0"/>
        <w:rPr>
          <w:rFonts w:ascii="宋体" w:hAnsi="宋体" w:cs="宋体" w:eastAsia="宋体" w:hint="default"/>
          <w:b/>
          <w:bCs/>
          <w:sz w:val="28"/>
          <w:szCs w:val="28"/>
        </w:rPr>
      </w:pPr>
    </w:p>
    <w:p>
      <w:pPr>
        <w:tabs>
          <w:tab w:pos="1395" w:val="left" w:leader="none"/>
        </w:tabs>
        <w:spacing w:before="36"/>
        <w:ind w:left="858" w:right="318"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tab/>
        <w:t>期末应收账款中无持本公司</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tabs>
          <w:tab w:pos="1395" w:val="left" w:leader="none"/>
        </w:tabs>
        <w:spacing w:before="0"/>
        <w:ind w:left="858" w:right="318"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tab/>
        <w:t>应收账款中欠款金额前五名单位情况</w:t>
      </w:r>
      <w:r>
        <w:rPr>
          <w:rFonts w:ascii="宋体" w:hAnsi="宋体" w:cs="宋体" w:eastAsia="宋体" w:hint="default"/>
          <w:sz w:val="21"/>
          <w:szCs w:val="21"/>
        </w:rPr>
      </w:r>
    </w:p>
    <w:p>
      <w:pPr>
        <w:spacing w:line="240" w:lineRule="auto" w:before="3"/>
        <w:rPr>
          <w:rFonts w:ascii="宋体" w:hAnsi="宋体" w:cs="宋体" w:eastAsia="宋体" w:hint="default"/>
          <w:b/>
          <w:bCs/>
          <w:sz w:val="3"/>
          <w:szCs w:val="3"/>
        </w:rPr>
      </w:pPr>
    </w:p>
    <w:tbl>
      <w:tblPr>
        <w:tblW w:w="0" w:type="auto"/>
        <w:jc w:val="left"/>
        <w:tblInd w:w="661" w:type="dxa"/>
        <w:tblLayout w:type="fixed"/>
        <w:tblCellMar>
          <w:top w:w="0" w:type="dxa"/>
          <w:left w:w="0" w:type="dxa"/>
          <w:bottom w:w="0" w:type="dxa"/>
          <w:right w:w="0" w:type="dxa"/>
        </w:tblCellMar>
        <w:tblLook w:val="01E0"/>
      </w:tblPr>
      <w:tblGrid>
        <w:gridCol w:w="3010"/>
        <w:gridCol w:w="991"/>
        <w:gridCol w:w="1258"/>
        <w:gridCol w:w="1863"/>
        <w:gridCol w:w="991"/>
      </w:tblGrid>
      <w:tr>
        <w:trPr>
          <w:trHeight w:val="1099" w:hRule="exact"/>
        </w:trPr>
        <w:tc>
          <w:tcPr>
            <w:tcW w:w="3010"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6"/>
              <w:ind w:left="16" w:right="0"/>
              <w:jc w:val="center"/>
              <w:rPr>
                <w:rFonts w:ascii="宋体" w:hAnsi="宋体" w:cs="宋体" w:eastAsia="宋体" w:hint="default"/>
                <w:sz w:val="15"/>
                <w:szCs w:val="15"/>
              </w:rPr>
            </w:pPr>
            <w:r>
              <w:rPr>
                <w:rFonts w:ascii="宋体" w:hAnsi="宋体" w:cs="宋体" w:eastAsia="宋体" w:hint="default"/>
                <w:sz w:val="15"/>
                <w:szCs w:val="15"/>
              </w:rPr>
              <w:t>单位名称</w:t>
            </w:r>
          </w:p>
        </w:tc>
        <w:tc>
          <w:tcPr>
            <w:tcW w:w="99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439" w:lineRule="auto" w:before="109"/>
              <w:ind w:left="340" w:right="187" w:hanging="152"/>
              <w:jc w:val="left"/>
              <w:rPr>
                <w:rFonts w:ascii="宋体" w:hAnsi="宋体" w:cs="宋体" w:eastAsia="宋体" w:hint="default"/>
                <w:sz w:val="15"/>
                <w:szCs w:val="15"/>
              </w:rPr>
            </w:pPr>
            <w:r>
              <w:rPr>
                <w:rFonts w:ascii="宋体" w:hAnsi="宋体" w:cs="宋体" w:eastAsia="宋体" w:hint="default"/>
                <w:sz w:val="15"/>
                <w:szCs w:val="15"/>
              </w:rPr>
              <w:t>与本公司</w:t>
            </w:r>
            <w:r>
              <w:rPr>
                <w:rFonts w:ascii="宋体" w:hAnsi="宋体" w:cs="宋体" w:eastAsia="宋体" w:hint="default"/>
                <w:w w:val="100"/>
                <w:sz w:val="15"/>
                <w:szCs w:val="15"/>
              </w:rPr>
              <w:t> </w:t>
            </w:r>
            <w:r>
              <w:rPr>
                <w:rFonts w:ascii="宋体" w:hAnsi="宋体" w:cs="宋体" w:eastAsia="宋体" w:hint="default"/>
                <w:sz w:val="15"/>
                <w:szCs w:val="15"/>
              </w:rPr>
              <w:t>关系</w:t>
            </w:r>
          </w:p>
        </w:tc>
        <w:tc>
          <w:tcPr>
            <w:tcW w:w="12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6"/>
              <w:ind w:left="324"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86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6"/>
              <w:ind w:right="0"/>
              <w:jc w:val="center"/>
              <w:rPr>
                <w:rFonts w:ascii="宋体" w:hAnsi="宋体" w:cs="宋体" w:eastAsia="宋体" w:hint="default"/>
                <w:sz w:val="15"/>
                <w:szCs w:val="15"/>
              </w:rPr>
            </w:pPr>
            <w:r>
              <w:rPr>
                <w:rFonts w:ascii="宋体" w:hAnsi="宋体" w:cs="宋体" w:eastAsia="宋体" w:hint="default"/>
                <w:sz w:val="15"/>
                <w:szCs w:val="15"/>
              </w:rPr>
              <w:t>账龄</w:t>
            </w:r>
          </w:p>
        </w:tc>
        <w:tc>
          <w:tcPr>
            <w:tcW w:w="991" w:type="dxa"/>
            <w:tcBorders>
              <w:top w:val="single" w:sz="12" w:space="0" w:color="000000"/>
              <w:left w:val="dotted" w:sz="4" w:space="0" w:color="000000"/>
              <w:bottom w:val="dotted" w:sz="4" w:space="0" w:color="000000"/>
              <w:right w:val="nil" w:sz="6" w:space="0" w:color="auto"/>
            </w:tcBorders>
          </w:tcPr>
          <w:p>
            <w:pPr>
              <w:pStyle w:val="TableParagraph"/>
              <w:spacing w:line="360" w:lineRule="exact"/>
              <w:ind w:left="115" w:right="115"/>
              <w:jc w:val="center"/>
              <w:rPr>
                <w:rFonts w:ascii="Times New Roman" w:hAnsi="Times New Roman" w:cs="Times New Roman" w:eastAsia="Times New Roman" w:hint="default"/>
                <w:sz w:val="15"/>
                <w:szCs w:val="15"/>
              </w:rPr>
            </w:pPr>
            <w:r>
              <w:rPr>
                <w:rFonts w:ascii="宋体" w:hAnsi="宋体" w:cs="宋体" w:eastAsia="宋体" w:hint="default"/>
                <w:spacing w:val="-1"/>
                <w:sz w:val="15"/>
                <w:szCs w:val="15"/>
              </w:rPr>
              <w:t>占应收账款</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总额的</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r>
      <w:tr>
        <w:trPr>
          <w:trHeight w:val="370" w:hRule="exact"/>
        </w:trPr>
        <w:tc>
          <w:tcPr>
            <w:tcW w:w="30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3"/>
              <w:ind w:left="199" w:right="0"/>
              <w:jc w:val="left"/>
              <w:rPr>
                <w:rFonts w:ascii="宋体" w:hAnsi="宋体" w:cs="宋体" w:eastAsia="宋体" w:hint="default"/>
                <w:sz w:val="15"/>
                <w:szCs w:val="15"/>
              </w:rPr>
            </w:pPr>
            <w:r>
              <w:rPr>
                <w:rFonts w:ascii="宋体" w:hAnsi="宋体" w:cs="宋体" w:eastAsia="宋体" w:hint="default"/>
                <w:sz w:val="15"/>
                <w:szCs w:val="15"/>
              </w:rPr>
              <w:t>日立（上海）贸易有限公司</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3"/>
              <w:ind w:left="103" w:right="0"/>
              <w:jc w:val="left"/>
              <w:rPr>
                <w:rFonts w:ascii="宋体" w:hAnsi="宋体" w:cs="宋体" w:eastAsia="宋体" w:hint="default"/>
                <w:sz w:val="15"/>
                <w:szCs w:val="15"/>
              </w:rPr>
            </w:pPr>
            <w:r>
              <w:rPr>
                <w:rFonts w:ascii="宋体" w:hAnsi="宋体" w:cs="宋体" w:eastAsia="宋体" w:hint="default"/>
                <w:sz w:val="15"/>
                <w:szCs w:val="15"/>
              </w:rPr>
              <w:t>客户</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283" w:right="0"/>
              <w:jc w:val="left"/>
              <w:rPr>
                <w:rFonts w:ascii="Times New Roman" w:hAnsi="Times New Roman" w:cs="Times New Roman" w:eastAsia="Times New Roman" w:hint="default"/>
                <w:sz w:val="15"/>
                <w:szCs w:val="15"/>
              </w:rPr>
            </w:pPr>
            <w:r>
              <w:rPr>
                <w:rFonts w:ascii="Times New Roman"/>
                <w:sz w:val="15"/>
              </w:rPr>
              <w:t>15,970,012.01</w:t>
            </w: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3"/>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年以内</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2"/>
                <w:sz w:val="15"/>
              </w:rPr>
              <w:t>11.28</w:t>
            </w:r>
          </w:p>
        </w:tc>
      </w:tr>
      <w:tr>
        <w:trPr>
          <w:trHeight w:val="372" w:hRule="exact"/>
        </w:trPr>
        <w:tc>
          <w:tcPr>
            <w:tcW w:w="30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5"/>
              <w:ind w:left="199" w:right="0"/>
              <w:jc w:val="left"/>
              <w:rPr>
                <w:rFonts w:ascii="宋体" w:hAnsi="宋体" w:cs="宋体" w:eastAsia="宋体" w:hint="default"/>
                <w:sz w:val="15"/>
                <w:szCs w:val="15"/>
              </w:rPr>
            </w:pPr>
            <w:r>
              <w:rPr>
                <w:rFonts w:ascii="宋体" w:hAnsi="宋体" w:cs="宋体" w:eastAsia="宋体" w:hint="default"/>
                <w:sz w:val="15"/>
                <w:szCs w:val="15"/>
              </w:rPr>
              <w:t>富士通（中国）信息系统有限公司</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5"/>
              <w:ind w:left="103" w:right="0"/>
              <w:jc w:val="left"/>
              <w:rPr>
                <w:rFonts w:ascii="宋体" w:hAnsi="宋体" w:cs="宋体" w:eastAsia="宋体" w:hint="default"/>
                <w:sz w:val="15"/>
                <w:szCs w:val="15"/>
              </w:rPr>
            </w:pPr>
            <w:r>
              <w:rPr>
                <w:rFonts w:ascii="宋体" w:hAnsi="宋体" w:cs="宋体" w:eastAsia="宋体" w:hint="default"/>
                <w:sz w:val="15"/>
                <w:szCs w:val="15"/>
              </w:rPr>
              <w:t>客户</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1"/>
                <w:szCs w:val="11"/>
              </w:rPr>
            </w:pPr>
          </w:p>
          <w:p>
            <w:pPr>
              <w:pStyle w:val="TableParagraph"/>
              <w:spacing w:line="240" w:lineRule="auto"/>
              <w:ind w:left="357" w:right="0"/>
              <w:jc w:val="left"/>
              <w:rPr>
                <w:rFonts w:ascii="Times New Roman" w:hAnsi="Times New Roman" w:cs="Times New Roman" w:eastAsia="Times New Roman" w:hint="default"/>
                <w:sz w:val="15"/>
                <w:szCs w:val="15"/>
              </w:rPr>
            </w:pPr>
            <w:r>
              <w:rPr>
                <w:rFonts w:ascii="Times New Roman"/>
                <w:sz w:val="15"/>
              </w:rPr>
              <w:t>7,751,722.75</w:t>
            </w: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5"/>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年以内</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1"/>
                <w:szCs w:val="11"/>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5.47</w:t>
            </w:r>
          </w:p>
        </w:tc>
      </w:tr>
      <w:tr>
        <w:trPr>
          <w:trHeight w:val="370" w:hRule="exact"/>
        </w:trPr>
        <w:tc>
          <w:tcPr>
            <w:tcW w:w="30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3"/>
              <w:ind w:left="199" w:right="0"/>
              <w:jc w:val="left"/>
              <w:rPr>
                <w:rFonts w:ascii="宋体" w:hAnsi="宋体" w:cs="宋体" w:eastAsia="宋体" w:hint="default"/>
                <w:sz w:val="15"/>
                <w:szCs w:val="15"/>
              </w:rPr>
            </w:pPr>
            <w:r>
              <w:rPr>
                <w:rFonts w:ascii="宋体" w:hAnsi="宋体" w:cs="宋体" w:eastAsia="宋体" w:hint="default"/>
                <w:sz w:val="15"/>
                <w:szCs w:val="15"/>
              </w:rPr>
              <w:t>松下电器（中国）有限公司上海分公司</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3"/>
              <w:ind w:left="103" w:right="0"/>
              <w:jc w:val="left"/>
              <w:rPr>
                <w:rFonts w:ascii="宋体" w:hAnsi="宋体" w:cs="宋体" w:eastAsia="宋体" w:hint="default"/>
                <w:sz w:val="15"/>
                <w:szCs w:val="15"/>
              </w:rPr>
            </w:pPr>
            <w:r>
              <w:rPr>
                <w:rFonts w:ascii="宋体" w:hAnsi="宋体" w:cs="宋体" w:eastAsia="宋体" w:hint="default"/>
                <w:sz w:val="15"/>
                <w:szCs w:val="15"/>
              </w:rPr>
              <w:t>客户</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357" w:right="0"/>
              <w:jc w:val="left"/>
              <w:rPr>
                <w:rFonts w:ascii="Times New Roman" w:hAnsi="Times New Roman" w:cs="Times New Roman" w:eastAsia="Times New Roman" w:hint="default"/>
                <w:sz w:val="15"/>
                <w:szCs w:val="15"/>
              </w:rPr>
            </w:pPr>
            <w:r>
              <w:rPr>
                <w:rFonts w:ascii="Times New Roman"/>
                <w:sz w:val="15"/>
              </w:rPr>
              <w:t>6,819,862.45</w:t>
            </w: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3"/>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年以内至</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4.82</w:t>
            </w:r>
          </w:p>
        </w:tc>
      </w:tr>
      <w:tr>
        <w:trPr>
          <w:trHeight w:val="370" w:hRule="exact"/>
        </w:trPr>
        <w:tc>
          <w:tcPr>
            <w:tcW w:w="30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3"/>
              <w:ind w:left="199" w:right="0"/>
              <w:jc w:val="left"/>
              <w:rPr>
                <w:rFonts w:ascii="宋体" w:hAnsi="宋体" w:cs="宋体" w:eastAsia="宋体" w:hint="default"/>
                <w:sz w:val="15"/>
                <w:szCs w:val="15"/>
              </w:rPr>
            </w:pPr>
            <w:r>
              <w:rPr>
                <w:rFonts w:ascii="宋体" w:hAnsi="宋体" w:cs="宋体" w:eastAsia="宋体" w:hint="default"/>
                <w:sz w:val="15"/>
                <w:szCs w:val="15"/>
              </w:rPr>
              <w:t>北京医药集团有限责任公司</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3"/>
              <w:ind w:left="103" w:right="0"/>
              <w:jc w:val="left"/>
              <w:rPr>
                <w:rFonts w:ascii="宋体" w:hAnsi="宋体" w:cs="宋体" w:eastAsia="宋体" w:hint="default"/>
                <w:sz w:val="15"/>
                <w:szCs w:val="15"/>
              </w:rPr>
            </w:pPr>
            <w:r>
              <w:rPr>
                <w:rFonts w:ascii="宋体" w:hAnsi="宋体" w:cs="宋体" w:eastAsia="宋体" w:hint="default"/>
                <w:sz w:val="15"/>
                <w:szCs w:val="15"/>
              </w:rPr>
              <w:t>客户</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357" w:right="0"/>
              <w:jc w:val="left"/>
              <w:rPr>
                <w:rFonts w:ascii="Times New Roman" w:hAnsi="Times New Roman" w:cs="Times New Roman" w:eastAsia="Times New Roman" w:hint="default"/>
                <w:sz w:val="15"/>
                <w:szCs w:val="15"/>
              </w:rPr>
            </w:pPr>
            <w:r>
              <w:rPr>
                <w:rFonts w:ascii="Times New Roman"/>
                <w:sz w:val="15"/>
              </w:rPr>
              <w:t>5,649,822.60</w:t>
            </w: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3"/>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年以内至</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3.99</w:t>
            </w:r>
          </w:p>
        </w:tc>
      </w:tr>
      <w:tr>
        <w:trPr>
          <w:trHeight w:val="382" w:hRule="exact"/>
        </w:trPr>
        <w:tc>
          <w:tcPr>
            <w:tcW w:w="301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3"/>
              <w:ind w:left="199" w:right="0"/>
              <w:jc w:val="left"/>
              <w:rPr>
                <w:rFonts w:ascii="宋体" w:hAnsi="宋体" w:cs="宋体" w:eastAsia="宋体" w:hint="default"/>
                <w:sz w:val="15"/>
                <w:szCs w:val="15"/>
              </w:rPr>
            </w:pPr>
            <w:r>
              <w:rPr>
                <w:rFonts w:ascii="宋体" w:hAnsi="宋体" w:cs="宋体" w:eastAsia="宋体" w:hint="default"/>
                <w:sz w:val="15"/>
                <w:szCs w:val="15"/>
              </w:rPr>
              <w:t>佳通轮胎（中国）投资有限公司</w:t>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3"/>
              <w:ind w:left="103" w:right="0"/>
              <w:jc w:val="left"/>
              <w:rPr>
                <w:rFonts w:ascii="宋体" w:hAnsi="宋体" w:cs="宋体" w:eastAsia="宋体" w:hint="default"/>
                <w:sz w:val="15"/>
                <w:szCs w:val="15"/>
              </w:rPr>
            </w:pPr>
            <w:r>
              <w:rPr>
                <w:rFonts w:ascii="宋体" w:hAnsi="宋体" w:cs="宋体" w:eastAsia="宋体" w:hint="default"/>
                <w:sz w:val="15"/>
                <w:szCs w:val="15"/>
              </w:rPr>
              <w:t>客户</w:t>
            </w:r>
          </w:p>
        </w:tc>
        <w:tc>
          <w:tcPr>
            <w:tcW w:w="12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357" w:right="0"/>
              <w:jc w:val="left"/>
              <w:rPr>
                <w:rFonts w:ascii="Times New Roman" w:hAnsi="Times New Roman" w:cs="Times New Roman" w:eastAsia="Times New Roman" w:hint="default"/>
                <w:sz w:val="15"/>
                <w:szCs w:val="15"/>
              </w:rPr>
            </w:pPr>
            <w:r>
              <w:rPr>
                <w:rFonts w:ascii="Times New Roman"/>
                <w:sz w:val="15"/>
              </w:rPr>
              <w:t>5,561,217.01</w:t>
            </w:r>
          </w:p>
        </w:tc>
        <w:tc>
          <w:tcPr>
            <w:tcW w:w="18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3"/>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年以内至</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年以上</w:t>
            </w:r>
          </w:p>
        </w:tc>
        <w:tc>
          <w:tcPr>
            <w:tcW w:w="99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3.93</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tabs>
          <w:tab w:pos="980" w:val="left" w:leader="none"/>
          <w:tab w:pos="1395" w:val="left" w:leader="none"/>
        </w:tabs>
        <w:spacing w:line="604" w:lineRule="auto" w:before="0"/>
        <w:ind w:left="140" w:right="4787" w:firstLine="717"/>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w:t>
        <w:tab/>
      </w:r>
      <w:r>
        <w:rPr>
          <w:rFonts w:ascii="宋体" w:hAnsi="宋体" w:cs="宋体" w:eastAsia="宋体" w:hint="default"/>
          <w:b/>
          <w:bCs/>
          <w:spacing w:val="-1"/>
          <w:sz w:val="21"/>
          <w:szCs w:val="21"/>
        </w:rPr>
        <w:t>期末无应收关联方账款的情况</w:t>
      </w:r>
      <w:r>
        <w:rPr>
          <w:rFonts w:ascii="宋体" w:hAnsi="宋体" w:cs="宋体" w:eastAsia="宋体" w:hint="default"/>
          <w:b/>
          <w:bCs/>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五</w:t>
      </w:r>
      <w:r>
        <w:rPr>
          <w:rFonts w:ascii="宋体" w:hAnsi="宋体" w:cs="宋体" w:eastAsia="宋体" w:hint="default"/>
          <w:b/>
          <w:bCs/>
          <w:spacing w:val="-1"/>
          <w:sz w:val="21"/>
          <w:szCs w:val="21"/>
        </w:rPr>
        <w:t>)</w:t>
        <w:tab/>
      </w:r>
      <w:r>
        <w:rPr>
          <w:rFonts w:ascii="宋体" w:hAnsi="宋体" w:cs="宋体" w:eastAsia="宋体" w:hint="default"/>
          <w:b/>
          <w:bCs/>
          <w:sz w:val="21"/>
          <w:szCs w:val="21"/>
        </w:rPr>
        <w:t>其他应收款</w:t>
      </w:r>
      <w:r>
        <w:rPr>
          <w:rFonts w:ascii="宋体" w:hAnsi="宋体" w:cs="宋体" w:eastAsia="宋体" w:hint="default"/>
          <w:sz w:val="21"/>
          <w:szCs w:val="21"/>
        </w:rPr>
      </w:r>
    </w:p>
    <w:p>
      <w:pPr>
        <w:spacing w:after="0" w:line="604" w:lineRule="auto"/>
        <w:jc w:val="left"/>
        <w:rPr>
          <w:rFonts w:ascii="宋体" w:hAnsi="宋体" w:cs="宋体" w:eastAsia="宋体" w:hint="default"/>
          <w:sz w:val="21"/>
          <w:szCs w:val="21"/>
        </w:rPr>
        <w:sectPr>
          <w:pgSz w:w="11910" w:h="16840"/>
          <w:pgMar w:header="0" w:footer="980" w:top="1140" w:bottom="1160" w:left="1660" w:right="1320"/>
        </w:sectPr>
      </w:pPr>
    </w:p>
    <w:p>
      <w:pPr>
        <w:spacing w:line="240" w:lineRule="auto" w:before="11"/>
        <w:rPr>
          <w:rFonts w:ascii="宋体" w:hAnsi="宋体" w:cs="宋体" w:eastAsia="宋体" w:hint="default"/>
          <w:b/>
          <w:bCs/>
          <w:sz w:val="25"/>
          <w:szCs w:val="25"/>
        </w:rPr>
      </w:pPr>
    </w:p>
    <w:p>
      <w:pPr>
        <w:tabs>
          <w:tab w:pos="1395" w:val="left" w:leader="none"/>
        </w:tabs>
        <w:spacing w:before="36"/>
        <w:ind w:left="858" w:right="1826"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tab/>
        <w:t>其他应收款账龄分析</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394" w:type="dxa"/>
        <w:tblLayout w:type="fixed"/>
        <w:tblCellMar>
          <w:top w:w="0" w:type="dxa"/>
          <w:left w:w="0" w:type="dxa"/>
          <w:bottom w:w="0" w:type="dxa"/>
          <w:right w:w="0" w:type="dxa"/>
        </w:tblCellMar>
        <w:tblLook w:val="01E0"/>
      </w:tblPr>
      <w:tblGrid>
        <w:gridCol w:w="1433"/>
        <w:gridCol w:w="1301"/>
        <w:gridCol w:w="737"/>
        <w:gridCol w:w="1260"/>
        <w:gridCol w:w="734"/>
        <w:gridCol w:w="1260"/>
        <w:gridCol w:w="735"/>
        <w:gridCol w:w="1219"/>
        <w:gridCol w:w="734"/>
      </w:tblGrid>
      <w:tr>
        <w:trPr>
          <w:trHeight w:val="394" w:hRule="exact"/>
        </w:trPr>
        <w:tc>
          <w:tcPr>
            <w:tcW w:w="1433"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1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33" w:type="dxa"/>
            <w:gridSpan w:val="4"/>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49"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39"/>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4" w:hRule="exact"/>
        </w:trPr>
        <w:tc>
          <w:tcPr>
            <w:tcW w:w="1433" w:type="dxa"/>
            <w:vMerge/>
            <w:tcBorders>
              <w:left w:val="nil" w:sz="6" w:space="0" w:color="auto"/>
              <w:right w:val="dotted" w:sz="4" w:space="0" w:color="000000"/>
            </w:tcBorders>
          </w:tcPr>
          <w:p>
            <w:pPr/>
          </w:p>
        </w:tc>
        <w:tc>
          <w:tcPr>
            <w:tcW w:w="2038"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65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6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9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6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4"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61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58" w:hRule="exact"/>
        </w:trPr>
        <w:tc>
          <w:tcPr>
            <w:tcW w:w="1433" w:type="dxa"/>
            <w:vMerge/>
            <w:tcBorders>
              <w:left w:val="nil" w:sz="6" w:space="0" w:color="auto"/>
              <w:bottom w:val="dotted" w:sz="4" w:space="0" w:color="000000"/>
              <w:right w:val="dotted" w:sz="4" w:space="0" w:color="000000"/>
            </w:tcBorders>
          </w:tcPr>
          <w:p>
            <w:pP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8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3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8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39"/>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8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39"/>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18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39"/>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61" w:hRule="exact"/>
        </w:trPr>
        <w:tc>
          <w:tcPr>
            <w:tcW w:w="14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1</w:t>
            </w:r>
          </w:p>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11,617,762.20</w:t>
            </w:r>
          </w:p>
        </w:tc>
        <w:tc>
          <w:tcPr>
            <w:tcW w:w="7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84.33</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580,888.11</w:t>
            </w:r>
          </w:p>
        </w:tc>
        <w:tc>
          <w:tcPr>
            <w:tcW w:w="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5,647,191.36</w:t>
            </w:r>
          </w:p>
        </w:tc>
        <w:tc>
          <w:tcPr>
            <w:tcW w:w="7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79.17</w:t>
            </w:r>
          </w:p>
        </w:tc>
        <w:tc>
          <w:tcPr>
            <w:tcW w:w="12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131,078.42</w:t>
            </w:r>
          </w:p>
        </w:tc>
        <w:tc>
          <w:tcPr>
            <w:tcW w:w="7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2.32</w:t>
            </w:r>
          </w:p>
        </w:tc>
      </w:tr>
      <w:tr>
        <w:trPr>
          <w:trHeight w:val="384" w:hRule="exact"/>
        </w:trPr>
        <w:tc>
          <w:tcPr>
            <w:tcW w:w="14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75"/>
                <w:sz w:val="18"/>
                <w:szCs w:val="18"/>
              </w:rPr>
              <w:t>年</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876,313.38</w:t>
            </w:r>
          </w:p>
        </w:tc>
        <w:tc>
          <w:tcPr>
            <w:tcW w:w="7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2"/>
              <w:jc w:val="right"/>
              <w:rPr>
                <w:rFonts w:ascii="Times New Roman" w:hAnsi="Times New Roman" w:cs="Times New Roman" w:eastAsia="Times New Roman" w:hint="default"/>
                <w:sz w:val="18"/>
                <w:szCs w:val="18"/>
              </w:rPr>
            </w:pPr>
            <w:r>
              <w:rPr>
                <w:rFonts w:ascii="Times New Roman"/>
                <w:spacing w:val="-1"/>
                <w:sz w:val="18"/>
              </w:rPr>
              <w:t>6.36</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438,156.69</w:t>
            </w:r>
          </w:p>
        </w:tc>
        <w:tc>
          <w:tcPr>
            <w:tcW w:w="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2"/>
              <w:jc w:val="right"/>
              <w:rPr>
                <w:rFonts w:ascii="Times New Roman" w:hAnsi="Times New Roman" w:cs="Times New Roman" w:eastAsia="Times New Roman" w:hint="default"/>
                <w:sz w:val="18"/>
                <w:szCs w:val="18"/>
              </w:rPr>
            </w:pPr>
            <w:r>
              <w:rPr>
                <w:rFonts w:ascii="Times New Roman"/>
                <w:sz w:val="18"/>
              </w:rPr>
              <w:t>50.00</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336,885.10</w:t>
            </w:r>
          </w:p>
        </w:tc>
        <w:tc>
          <w:tcPr>
            <w:tcW w:w="7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4.72</w:t>
            </w:r>
          </w:p>
        </w:tc>
        <w:tc>
          <w:tcPr>
            <w:tcW w:w="12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168,442.55</w:t>
            </w:r>
          </w:p>
        </w:tc>
        <w:tc>
          <w:tcPr>
            <w:tcW w:w="7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8"/>
                <w:szCs w:val="18"/>
              </w:rPr>
            </w:pPr>
            <w:r>
              <w:rPr>
                <w:rFonts w:ascii="Times New Roman"/>
                <w:sz w:val="18"/>
              </w:rPr>
              <w:t>50.00</w:t>
            </w:r>
          </w:p>
        </w:tc>
      </w:tr>
      <w:tr>
        <w:trPr>
          <w:trHeight w:val="384" w:hRule="exact"/>
        </w:trPr>
        <w:tc>
          <w:tcPr>
            <w:tcW w:w="14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75"/>
                <w:sz w:val="18"/>
                <w:szCs w:val="18"/>
              </w:rPr>
              <w:t>年</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256,885.10</w:t>
            </w:r>
          </w:p>
        </w:tc>
        <w:tc>
          <w:tcPr>
            <w:tcW w:w="7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2"/>
              <w:jc w:val="right"/>
              <w:rPr>
                <w:rFonts w:ascii="Times New Roman" w:hAnsi="Times New Roman" w:cs="Times New Roman" w:eastAsia="Times New Roman" w:hint="default"/>
                <w:sz w:val="18"/>
                <w:szCs w:val="18"/>
              </w:rPr>
            </w:pPr>
            <w:r>
              <w:rPr>
                <w:rFonts w:ascii="Times New Roman"/>
                <w:spacing w:val="-1"/>
                <w:sz w:val="18"/>
              </w:rPr>
              <w:t>1.86</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256,885.10</w:t>
            </w:r>
          </w:p>
        </w:tc>
        <w:tc>
          <w:tcPr>
            <w:tcW w:w="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492,395.40</w:t>
            </w:r>
          </w:p>
        </w:tc>
        <w:tc>
          <w:tcPr>
            <w:tcW w:w="7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6.90</w:t>
            </w:r>
          </w:p>
        </w:tc>
        <w:tc>
          <w:tcPr>
            <w:tcW w:w="12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492,395.40</w:t>
            </w:r>
          </w:p>
        </w:tc>
        <w:tc>
          <w:tcPr>
            <w:tcW w:w="7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84" w:hRule="exact"/>
        </w:trPr>
        <w:tc>
          <w:tcPr>
            <w:tcW w:w="14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1,025,746.07</w:t>
            </w:r>
          </w:p>
        </w:tc>
        <w:tc>
          <w:tcPr>
            <w:tcW w:w="7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2"/>
              <w:jc w:val="right"/>
              <w:rPr>
                <w:rFonts w:ascii="Times New Roman" w:hAnsi="Times New Roman" w:cs="Times New Roman" w:eastAsia="Times New Roman" w:hint="default"/>
                <w:sz w:val="18"/>
                <w:szCs w:val="18"/>
              </w:rPr>
            </w:pPr>
            <w:r>
              <w:rPr>
                <w:rFonts w:ascii="Times New Roman"/>
                <w:spacing w:val="-1"/>
                <w:sz w:val="18"/>
              </w:rPr>
              <w:t>7.45</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1,025,746.07</w:t>
            </w:r>
          </w:p>
        </w:tc>
        <w:tc>
          <w:tcPr>
            <w:tcW w:w="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656,687.03</w:t>
            </w:r>
          </w:p>
        </w:tc>
        <w:tc>
          <w:tcPr>
            <w:tcW w:w="7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9.21</w:t>
            </w:r>
          </w:p>
        </w:tc>
        <w:tc>
          <w:tcPr>
            <w:tcW w:w="12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656,687.03</w:t>
            </w:r>
          </w:p>
        </w:tc>
        <w:tc>
          <w:tcPr>
            <w:tcW w:w="7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7" w:hRule="exact"/>
        </w:trPr>
        <w:tc>
          <w:tcPr>
            <w:tcW w:w="143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9"/>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0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13,776,706.75</w:t>
            </w:r>
          </w:p>
        </w:tc>
        <w:tc>
          <w:tcPr>
            <w:tcW w:w="7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2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2,301,675.97</w:t>
            </w:r>
          </w:p>
        </w:tc>
        <w:tc>
          <w:tcPr>
            <w:tcW w:w="734" w:type="dxa"/>
            <w:tcBorders>
              <w:top w:val="dotted" w:sz="4" w:space="0" w:color="000000"/>
              <w:left w:val="dotted" w:sz="4" w:space="0" w:color="000000"/>
              <w:bottom w:val="single" w:sz="12" w:space="0" w:color="000000"/>
              <w:right w:val="dotted" w:sz="4" w:space="0" w:color="000000"/>
            </w:tcBorders>
          </w:tcPr>
          <w:p>
            <w:pPr/>
          </w:p>
        </w:tc>
        <w:tc>
          <w:tcPr>
            <w:tcW w:w="12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7,133,158.89</w:t>
            </w:r>
          </w:p>
        </w:tc>
        <w:tc>
          <w:tcPr>
            <w:tcW w:w="7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2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1,448,603.40</w:t>
            </w:r>
          </w:p>
        </w:tc>
        <w:tc>
          <w:tcPr>
            <w:tcW w:w="734"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tabs>
          <w:tab w:pos="1395" w:val="left" w:leader="none"/>
        </w:tabs>
        <w:spacing w:before="36"/>
        <w:ind w:left="858" w:right="182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t>其他应收款按种类披露：</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425" w:type="dxa"/>
        <w:tblLayout w:type="fixed"/>
        <w:tblCellMar>
          <w:top w:w="0" w:type="dxa"/>
          <w:left w:w="0" w:type="dxa"/>
          <w:bottom w:w="0" w:type="dxa"/>
          <w:right w:w="0" w:type="dxa"/>
        </w:tblCellMar>
        <w:tblLook w:val="01E0"/>
      </w:tblPr>
      <w:tblGrid>
        <w:gridCol w:w="1260"/>
        <w:gridCol w:w="1275"/>
        <w:gridCol w:w="852"/>
        <w:gridCol w:w="1097"/>
        <w:gridCol w:w="888"/>
        <w:gridCol w:w="1133"/>
        <w:gridCol w:w="853"/>
        <w:gridCol w:w="1044"/>
        <w:gridCol w:w="938"/>
      </w:tblGrid>
      <w:tr>
        <w:trPr>
          <w:trHeight w:val="396" w:hRule="exact"/>
        </w:trPr>
        <w:tc>
          <w:tcPr>
            <w:tcW w:w="126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种类</w:t>
            </w:r>
          </w:p>
        </w:tc>
        <w:tc>
          <w:tcPr>
            <w:tcW w:w="4112" w:type="dxa"/>
            <w:gridSpan w:val="4"/>
            <w:tcBorders>
              <w:top w:val="single" w:sz="12" w:space="0" w:color="000000"/>
              <w:left w:val="dotted" w:sz="4" w:space="0" w:color="000000"/>
              <w:bottom w:val="dotted" w:sz="4" w:space="0" w:color="000000"/>
              <w:right w:val="dotted" w:sz="4" w:space="0" w:color="000000"/>
            </w:tcBorders>
          </w:tcPr>
          <w:p>
            <w:pPr>
              <w:pStyle w:val="TableParagraph"/>
              <w:spacing w:line="240" w:lineRule="auto" w:before="67"/>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968"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67"/>
              <w:ind w:right="3"/>
              <w:jc w:val="center"/>
              <w:rPr>
                <w:rFonts w:ascii="宋体" w:hAnsi="宋体" w:cs="宋体" w:eastAsia="宋体" w:hint="default"/>
                <w:sz w:val="15"/>
                <w:szCs w:val="15"/>
              </w:rPr>
            </w:pPr>
            <w:r>
              <w:rPr>
                <w:rFonts w:ascii="宋体" w:hAnsi="宋体" w:cs="宋体" w:eastAsia="宋体" w:hint="default"/>
                <w:sz w:val="15"/>
                <w:szCs w:val="15"/>
              </w:rPr>
              <w:t>年初余额</w:t>
            </w:r>
          </w:p>
        </w:tc>
      </w:tr>
      <w:tr>
        <w:trPr>
          <w:trHeight w:val="384" w:hRule="exact"/>
        </w:trPr>
        <w:tc>
          <w:tcPr>
            <w:tcW w:w="1260" w:type="dxa"/>
            <w:vMerge/>
            <w:tcBorders>
              <w:left w:val="nil" w:sz="6" w:space="0" w:color="auto"/>
              <w:right w:val="dotted" w:sz="4" w:space="0" w:color="000000"/>
            </w:tcBorders>
          </w:tcPr>
          <w:p>
            <w:pPr/>
          </w:p>
        </w:tc>
        <w:tc>
          <w:tcPr>
            <w:tcW w:w="212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2"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98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98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3"/>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982"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0"/>
              <w:jc w:val="center"/>
              <w:rPr>
                <w:rFonts w:ascii="宋体" w:hAnsi="宋体" w:cs="宋体" w:eastAsia="宋体" w:hint="default"/>
                <w:sz w:val="15"/>
                <w:szCs w:val="15"/>
              </w:rPr>
            </w:pPr>
            <w:r>
              <w:rPr>
                <w:rFonts w:ascii="宋体" w:hAnsi="宋体" w:cs="宋体" w:eastAsia="宋体" w:hint="default"/>
                <w:sz w:val="15"/>
                <w:szCs w:val="15"/>
              </w:rPr>
              <w:t>坏账准备</w:t>
            </w:r>
          </w:p>
        </w:tc>
      </w:tr>
      <w:tr>
        <w:trPr>
          <w:trHeight w:val="384" w:hRule="exact"/>
        </w:trPr>
        <w:tc>
          <w:tcPr>
            <w:tcW w:w="1260" w:type="dxa"/>
            <w:vMerge/>
            <w:tcBorders>
              <w:left w:val="nil" w:sz="6" w:space="0" w:color="auto"/>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103" w:right="0"/>
              <w:jc w:val="left"/>
              <w:rPr>
                <w:rFonts w:ascii="宋体" w:hAnsi="宋体" w:cs="宋体" w:eastAsia="宋体" w:hint="default"/>
                <w:sz w:val="15"/>
                <w:szCs w:val="15"/>
              </w:rPr>
            </w:pPr>
            <w:r>
              <w:rPr>
                <w:rFonts w:ascii="宋体" w:hAnsi="宋体" w:cs="宋体" w:eastAsia="宋体" w:hint="default"/>
                <w:spacing w:val="-4"/>
                <w:sz w:val="15"/>
                <w:szCs w:val="15"/>
              </w:rPr>
              <w:t>比例（</w:t>
            </w:r>
            <w:r>
              <w:rPr>
                <w:rFonts w:ascii="Times New Roman" w:hAnsi="Times New Roman" w:cs="Times New Roman" w:eastAsia="Times New Roman" w:hint="default"/>
                <w:spacing w:val="-4"/>
                <w:sz w:val="15"/>
                <w:szCs w:val="15"/>
              </w:rPr>
              <w:t>%</w:t>
            </w:r>
            <w:r>
              <w:rPr>
                <w:rFonts w:ascii="宋体" w:hAnsi="宋体" w:cs="宋体" w:eastAsia="宋体" w:hint="default"/>
                <w:spacing w:val="-4"/>
                <w:sz w:val="15"/>
                <w:szCs w:val="15"/>
              </w:rPr>
              <w:t>）</w:t>
            </w:r>
          </w:p>
        </w:tc>
        <w:tc>
          <w:tcPr>
            <w:tcW w:w="10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8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47"/>
              <w:jc w:val="right"/>
              <w:rPr>
                <w:rFonts w:ascii="宋体" w:hAnsi="宋体" w:cs="宋体" w:eastAsia="宋体" w:hint="default"/>
                <w:sz w:val="15"/>
                <w:szCs w:val="15"/>
              </w:rPr>
            </w:pPr>
            <w:r>
              <w:rPr>
                <w:rFonts w:ascii="宋体" w:hAnsi="宋体" w:cs="宋体" w:eastAsia="宋体" w:hint="default"/>
                <w:spacing w:val="-1"/>
                <w:sz w:val="15"/>
                <w:szCs w:val="15"/>
              </w:rPr>
              <w:t>比例（</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2"/>
              <w:jc w:val="center"/>
              <w:rPr>
                <w:rFonts w:ascii="宋体" w:hAnsi="宋体" w:cs="宋体" w:eastAsia="宋体" w:hint="default"/>
                <w:sz w:val="15"/>
                <w:szCs w:val="15"/>
              </w:rPr>
            </w:pPr>
            <w:r>
              <w:rPr>
                <w:rFonts w:ascii="宋体" w:hAnsi="宋体" w:cs="宋体" w:eastAsia="宋体" w:hint="default"/>
                <w:sz w:val="15"/>
                <w:szCs w:val="15"/>
              </w:rPr>
              <w:t>金额</w:t>
            </w:r>
          </w:p>
        </w:tc>
        <w:tc>
          <w:tcPr>
            <w:tcW w:w="8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26"/>
              <w:jc w:val="right"/>
              <w:rPr>
                <w:rFonts w:ascii="宋体" w:hAnsi="宋体" w:cs="宋体" w:eastAsia="宋体" w:hint="default"/>
                <w:sz w:val="15"/>
                <w:szCs w:val="15"/>
              </w:rPr>
            </w:pPr>
            <w:r>
              <w:rPr>
                <w:rFonts w:ascii="宋体" w:hAnsi="宋体" w:cs="宋体" w:eastAsia="宋体" w:hint="default"/>
                <w:spacing w:val="-4"/>
                <w:sz w:val="15"/>
                <w:szCs w:val="15"/>
              </w:rPr>
              <w:t>比例（</w:t>
            </w:r>
            <w:r>
              <w:rPr>
                <w:rFonts w:ascii="Times New Roman" w:hAnsi="Times New Roman" w:cs="Times New Roman" w:eastAsia="Times New Roman" w:hint="default"/>
                <w:spacing w:val="-4"/>
                <w:sz w:val="15"/>
                <w:szCs w:val="15"/>
              </w:rPr>
              <w:t>%</w:t>
            </w:r>
            <w:r>
              <w:rPr>
                <w:rFonts w:ascii="宋体" w:hAnsi="宋体" w:cs="宋体" w:eastAsia="宋体" w:hint="default"/>
                <w:spacing w:val="-4"/>
                <w:sz w:val="15"/>
                <w:szCs w:val="15"/>
              </w:rPr>
              <w:t>）</w:t>
            </w:r>
          </w:p>
        </w:tc>
        <w:tc>
          <w:tcPr>
            <w:tcW w:w="10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9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1"/>
              <w:jc w:val="right"/>
              <w:rPr>
                <w:rFonts w:ascii="宋体" w:hAnsi="宋体" w:cs="宋体" w:eastAsia="宋体" w:hint="default"/>
                <w:sz w:val="15"/>
                <w:szCs w:val="15"/>
              </w:rPr>
            </w:pPr>
            <w:r>
              <w:rPr>
                <w:rFonts w:ascii="宋体" w:hAnsi="宋体" w:cs="宋体" w:eastAsia="宋体" w:hint="default"/>
                <w:spacing w:val="-1"/>
                <w:sz w:val="15"/>
                <w:szCs w:val="15"/>
              </w:rPr>
              <w:t>比例（</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r>
          </w:p>
        </w:tc>
      </w:tr>
      <w:tr>
        <w:trPr>
          <w:trHeight w:val="1507" w:hRule="exact"/>
        </w:trPr>
        <w:tc>
          <w:tcPr>
            <w:tcW w:w="1260" w:type="dxa"/>
            <w:tcBorders>
              <w:top w:val="dotted" w:sz="4" w:space="0" w:color="000000"/>
              <w:left w:val="nil" w:sz="6" w:space="0" w:color="auto"/>
              <w:bottom w:val="dotted" w:sz="4" w:space="0" w:color="000000"/>
              <w:right w:val="dotted" w:sz="4" w:space="0" w:color="000000"/>
            </w:tcBorders>
          </w:tcPr>
          <w:p>
            <w:pPr>
              <w:pStyle w:val="TableParagraph"/>
              <w:spacing w:line="458" w:lineRule="auto" w:before="65"/>
              <w:ind w:left="122" w:right="99"/>
              <w:jc w:val="both"/>
              <w:rPr>
                <w:rFonts w:ascii="宋体" w:hAnsi="宋体" w:cs="宋体" w:eastAsia="宋体" w:hint="default"/>
                <w:sz w:val="15"/>
                <w:szCs w:val="15"/>
              </w:rPr>
            </w:pPr>
            <w:r>
              <w:rPr>
                <w:rFonts w:ascii="宋体" w:hAnsi="宋体" w:cs="宋体" w:eastAsia="宋体" w:hint="default"/>
                <w:sz w:val="15"/>
                <w:szCs w:val="15"/>
              </w:rPr>
              <w:t>单</w:t>
            </w:r>
            <w:r>
              <w:rPr>
                <w:rFonts w:ascii="宋体" w:hAnsi="宋体" w:cs="宋体" w:eastAsia="宋体" w:hint="default"/>
                <w:spacing w:val="-48"/>
                <w:sz w:val="15"/>
                <w:szCs w:val="15"/>
              </w:rPr>
              <w:t> </w:t>
            </w:r>
            <w:r>
              <w:rPr>
                <w:rFonts w:ascii="宋体" w:hAnsi="宋体" w:cs="宋体" w:eastAsia="宋体" w:hint="default"/>
                <w:sz w:val="15"/>
                <w:szCs w:val="15"/>
              </w:rPr>
              <w:t>项</w:t>
            </w:r>
            <w:r>
              <w:rPr>
                <w:rFonts w:ascii="宋体" w:hAnsi="宋体" w:cs="宋体" w:eastAsia="宋体" w:hint="default"/>
                <w:spacing w:val="-51"/>
                <w:sz w:val="15"/>
                <w:szCs w:val="15"/>
              </w:rPr>
              <w:t> </w:t>
            </w:r>
            <w:r>
              <w:rPr>
                <w:rFonts w:ascii="宋体" w:hAnsi="宋体" w:cs="宋体" w:eastAsia="宋体" w:hint="default"/>
                <w:sz w:val="15"/>
                <w:szCs w:val="15"/>
              </w:rPr>
              <w:t>金</w:t>
            </w:r>
            <w:r>
              <w:rPr>
                <w:rFonts w:ascii="宋体" w:hAnsi="宋体" w:cs="宋体" w:eastAsia="宋体" w:hint="default"/>
                <w:spacing w:val="-51"/>
                <w:sz w:val="15"/>
                <w:szCs w:val="15"/>
              </w:rPr>
              <w:t> </w:t>
            </w:r>
            <w:r>
              <w:rPr>
                <w:rFonts w:ascii="宋体" w:hAnsi="宋体" w:cs="宋体" w:eastAsia="宋体" w:hint="default"/>
                <w:sz w:val="15"/>
                <w:szCs w:val="15"/>
              </w:rPr>
              <w:t>额</w:t>
            </w:r>
            <w:r>
              <w:rPr>
                <w:rFonts w:ascii="宋体" w:hAnsi="宋体" w:cs="宋体" w:eastAsia="宋体" w:hint="default"/>
                <w:spacing w:val="-51"/>
                <w:sz w:val="15"/>
                <w:szCs w:val="15"/>
              </w:rPr>
              <w:t> </w:t>
            </w:r>
            <w:r>
              <w:rPr>
                <w:rFonts w:ascii="宋体" w:hAnsi="宋体" w:cs="宋体" w:eastAsia="宋体" w:hint="default"/>
                <w:sz w:val="15"/>
                <w:szCs w:val="15"/>
              </w:rPr>
              <w:t>重</w:t>
            </w:r>
            <w:r>
              <w:rPr>
                <w:rFonts w:ascii="宋体" w:hAnsi="宋体" w:cs="宋体" w:eastAsia="宋体" w:hint="default"/>
                <w:spacing w:val="-48"/>
                <w:sz w:val="15"/>
                <w:szCs w:val="15"/>
              </w:rPr>
              <w:t> </w:t>
            </w:r>
            <w:r>
              <w:rPr>
                <w:rFonts w:ascii="宋体" w:hAnsi="宋体" w:cs="宋体" w:eastAsia="宋体" w:hint="default"/>
                <w:sz w:val="15"/>
                <w:szCs w:val="15"/>
              </w:rPr>
              <w:t>大</w:t>
            </w:r>
            <w:r>
              <w:rPr>
                <w:rFonts w:ascii="宋体" w:hAnsi="宋体" w:cs="宋体" w:eastAsia="宋体" w:hint="default"/>
                <w:w w:val="100"/>
                <w:sz w:val="15"/>
                <w:szCs w:val="15"/>
              </w:rPr>
              <w:t> </w:t>
            </w:r>
            <w:r>
              <w:rPr>
                <w:rFonts w:ascii="宋体" w:hAnsi="宋体" w:cs="宋体" w:eastAsia="宋体" w:hint="default"/>
                <w:sz w:val="15"/>
                <w:szCs w:val="15"/>
              </w:rPr>
              <w:t>并</w:t>
            </w:r>
            <w:r>
              <w:rPr>
                <w:rFonts w:ascii="宋体" w:hAnsi="宋体" w:cs="宋体" w:eastAsia="宋体" w:hint="default"/>
                <w:spacing w:val="-48"/>
                <w:sz w:val="15"/>
                <w:szCs w:val="15"/>
              </w:rPr>
              <w:t> </w:t>
            </w:r>
            <w:r>
              <w:rPr>
                <w:rFonts w:ascii="宋体" w:hAnsi="宋体" w:cs="宋体" w:eastAsia="宋体" w:hint="default"/>
                <w:sz w:val="15"/>
                <w:szCs w:val="15"/>
              </w:rPr>
              <w:t>单</w:t>
            </w:r>
            <w:r>
              <w:rPr>
                <w:rFonts w:ascii="宋体" w:hAnsi="宋体" w:cs="宋体" w:eastAsia="宋体" w:hint="default"/>
                <w:spacing w:val="-51"/>
                <w:sz w:val="15"/>
                <w:szCs w:val="15"/>
              </w:rPr>
              <w:t> </w:t>
            </w:r>
            <w:r>
              <w:rPr>
                <w:rFonts w:ascii="宋体" w:hAnsi="宋体" w:cs="宋体" w:eastAsia="宋体" w:hint="default"/>
                <w:sz w:val="15"/>
                <w:szCs w:val="15"/>
              </w:rPr>
              <w:t>项</w:t>
            </w:r>
            <w:r>
              <w:rPr>
                <w:rFonts w:ascii="宋体" w:hAnsi="宋体" w:cs="宋体" w:eastAsia="宋体" w:hint="default"/>
                <w:spacing w:val="-51"/>
                <w:sz w:val="15"/>
                <w:szCs w:val="15"/>
              </w:rPr>
              <w:t> </w:t>
            </w:r>
            <w:r>
              <w:rPr>
                <w:rFonts w:ascii="宋体" w:hAnsi="宋体" w:cs="宋体" w:eastAsia="宋体" w:hint="default"/>
                <w:sz w:val="15"/>
                <w:szCs w:val="15"/>
              </w:rPr>
              <w:t>计</w:t>
            </w:r>
            <w:r>
              <w:rPr>
                <w:rFonts w:ascii="宋体" w:hAnsi="宋体" w:cs="宋体" w:eastAsia="宋体" w:hint="default"/>
                <w:spacing w:val="-51"/>
                <w:sz w:val="15"/>
                <w:szCs w:val="15"/>
              </w:rPr>
              <w:t> </w:t>
            </w:r>
            <w:r>
              <w:rPr>
                <w:rFonts w:ascii="宋体" w:hAnsi="宋体" w:cs="宋体" w:eastAsia="宋体" w:hint="default"/>
                <w:sz w:val="15"/>
                <w:szCs w:val="15"/>
              </w:rPr>
              <w:t>提</w:t>
            </w:r>
            <w:r>
              <w:rPr>
                <w:rFonts w:ascii="宋体" w:hAnsi="宋体" w:cs="宋体" w:eastAsia="宋体" w:hint="default"/>
                <w:spacing w:val="-48"/>
                <w:sz w:val="15"/>
                <w:szCs w:val="15"/>
              </w:rPr>
              <w:t> </w:t>
            </w:r>
            <w:r>
              <w:rPr>
                <w:rFonts w:ascii="宋体" w:hAnsi="宋体" w:cs="宋体" w:eastAsia="宋体" w:hint="default"/>
                <w:sz w:val="15"/>
                <w:szCs w:val="15"/>
              </w:rPr>
              <w:t>坏</w:t>
            </w:r>
            <w:r>
              <w:rPr>
                <w:rFonts w:ascii="宋体" w:hAnsi="宋体" w:cs="宋体" w:eastAsia="宋体" w:hint="default"/>
                <w:w w:val="100"/>
                <w:sz w:val="15"/>
                <w:szCs w:val="15"/>
              </w:rPr>
              <w:t> </w:t>
            </w:r>
            <w:r>
              <w:rPr>
                <w:rFonts w:ascii="宋体" w:hAnsi="宋体" w:cs="宋体" w:eastAsia="宋体" w:hint="default"/>
                <w:sz w:val="15"/>
                <w:szCs w:val="15"/>
              </w:rPr>
              <w:t>账</w:t>
            </w:r>
            <w:r>
              <w:rPr>
                <w:rFonts w:ascii="宋体" w:hAnsi="宋体" w:cs="宋体" w:eastAsia="宋体" w:hint="default"/>
                <w:spacing w:val="-48"/>
                <w:sz w:val="15"/>
                <w:szCs w:val="15"/>
              </w:rPr>
              <w:t> </w:t>
            </w:r>
            <w:r>
              <w:rPr>
                <w:rFonts w:ascii="宋体" w:hAnsi="宋体" w:cs="宋体" w:eastAsia="宋体" w:hint="default"/>
                <w:sz w:val="15"/>
                <w:szCs w:val="15"/>
              </w:rPr>
              <w:t>准</w:t>
            </w:r>
            <w:r>
              <w:rPr>
                <w:rFonts w:ascii="宋体" w:hAnsi="宋体" w:cs="宋体" w:eastAsia="宋体" w:hint="default"/>
                <w:spacing w:val="-51"/>
                <w:sz w:val="15"/>
                <w:szCs w:val="15"/>
              </w:rPr>
              <w:t> </w:t>
            </w:r>
            <w:r>
              <w:rPr>
                <w:rFonts w:ascii="宋体" w:hAnsi="宋体" w:cs="宋体" w:eastAsia="宋体" w:hint="default"/>
                <w:sz w:val="15"/>
                <w:szCs w:val="15"/>
              </w:rPr>
              <w:t>备</w:t>
            </w:r>
            <w:r>
              <w:rPr>
                <w:rFonts w:ascii="宋体" w:hAnsi="宋体" w:cs="宋体" w:eastAsia="宋体" w:hint="default"/>
                <w:spacing w:val="-51"/>
                <w:sz w:val="15"/>
                <w:szCs w:val="15"/>
              </w:rPr>
              <w:t> </w:t>
            </w:r>
            <w:r>
              <w:rPr>
                <w:rFonts w:ascii="宋体" w:hAnsi="宋体" w:cs="宋体" w:eastAsia="宋体" w:hint="default"/>
                <w:sz w:val="15"/>
                <w:szCs w:val="15"/>
              </w:rPr>
              <w:t>的</w:t>
            </w:r>
            <w:r>
              <w:rPr>
                <w:rFonts w:ascii="宋体" w:hAnsi="宋体" w:cs="宋体" w:eastAsia="宋体" w:hint="default"/>
                <w:spacing w:val="-51"/>
                <w:sz w:val="15"/>
                <w:szCs w:val="15"/>
              </w:rPr>
              <w:t> </w:t>
            </w:r>
            <w:r>
              <w:rPr>
                <w:rFonts w:ascii="宋体" w:hAnsi="宋体" w:cs="宋体" w:eastAsia="宋体" w:hint="default"/>
                <w:sz w:val="15"/>
                <w:szCs w:val="15"/>
              </w:rPr>
              <w:t>其</w:t>
            </w:r>
            <w:r>
              <w:rPr>
                <w:rFonts w:ascii="宋体" w:hAnsi="宋体" w:cs="宋体" w:eastAsia="宋体" w:hint="default"/>
                <w:spacing w:val="-48"/>
                <w:sz w:val="15"/>
                <w:szCs w:val="15"/>
              </w:rPr>
              <w:t> </w:t>
            </w:r>
            <w:r>
              <w:rPr>
                <w:rFonts w:ascii="宋体" w:hAnsi="宋体" w:cs="宋体" w:eastAsia="宋体" w:hint="default"/>
                <w:sz w:val="15"/>
                <w:szCs w:val="15"/>
              </w:rPr>
              <w:t>他</w:t>
            </w:r>
            <w:r>
              <w:rPr>
                <w:rFonts w:ascii="宋体" w:hAnsi="宋体" w:cs="宋体" w:eastAsia="宋体" w:hint="default"/>
                <w:w w:val="100"/>
                <w:sz w:val="15"/>
                <w:szCs w:val="15"/>
              </w:rPr>
              <w:t> </w:t>
            </w:r>
            <w:r>
              <w:rPr>
                <w:rFonts w:ascii="宋体" w:hAnsi="宋体" w:cs="宋体" w:eastAsia="宋体" w:hint="default"/>
                <w:sz w:val="15"/>
                <w:szCs w:val="15"/>
              </w:rPr>
              <w:t>应收款</w:t>
            </w:r>
          </w:p>
        </w:tc>
        <w:tc>
          <w:tcPr>
            <w:tcW w:w="1275"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
        </w:tc>
        <w:tc>
          <w:tcPr>
            <w:tcW w:w="1097" w:type="dxa"/>
            <w:tcBorders>
              <w:top w:val="dotted" w:sz="4" w:space="0" w:color="000000"/>
              <w:left w:val="dotted" w:sz="4" w:space="0" w:color="000000"/>
              <w:bottom w:val="dotted" w:sz="4" w:space="0" w:color="000000"/>
              <w:right w:val="dotted" w:sz="4" w:space="0" w:color="000000"/>
            </w:tcBorders>
          </w:tcPr>
          <w:p>
            <w:pPr/>
          </w:p>
        </w:tc>
        <w:tc>
          <w:tcPr>
            <w:tcW w:w="888"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2"/>
              <w:ind w:right="103"/>
              <w:jc w:val="right"/>
              <w:rPr>
                <w:rFonts w:ascii="Times New Roman" w:hAnsi="Times New Roman" w:cs="Times New Roman" w:eastAsia="Times New Roman" w:hint="default"/>
                <w:sz w:val="15"/>
                <w:szCs w:val="15"/>
              </w:rPr>
            </w:pPr>
            <w:r>
              <w:rPr>
                <w:rFonts w:ascii="Times New Roman"/>
                <w:spacing w:val="-1"/>
                <w:sz w:val="15"/>
              </w:rPr>
              <w:t>3,025,623.00</w:t>
            </w:r>
          </w:p>
        </w:tc>
        <w:tc>
          <w:tcPr>
            <w:tcW w:w="8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pacing w:val="-1"/>
                <w:sz w:val="15"/>
              </w:rPr>
              <w:t>42.42</w:t>
            </w:r>
          </w:p>
        </w:tc>
        <w:tc>
          <w:tcPr>
            <w:tcW w:w="1044"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nil" w:sz="6" w:space="0" w:color="auto"/>
            </w:tcBorders>
          </w:tcPr>
          <w:p>
            <w:pPr/>
          </w:p>
        </w:tc>
      </w:tr>
      <w:tr>
        <w:trPr>
          <w:trHeight w:val="1133" w:hRule="exact"/>
        </w:trPr>
        <w:tc>
          <w:tcPr>
            <w:tcW w:w="1260" w:type="dxa"/>
            <w:tcBorders>
              <w:top w:val="dotted" w:sz="4" w:space="0" w:color="000000"/>
              <w:left w:val="nil" w:sz="6" w:space="0" w:color="auto"/>
              <w:bottom w:val="dotted" w:sz="4" w:space="0" w:color="000000"/>
              <w:right w:val="dotted" w:sz="4" w:space="0" w:color="000000"/>
            </w:tcBorders>
          </w:tcPr>
          <w:p>
            <w:pPr>
              <w:pStyle w:val="TableParagraph"/>
              <w:spacing w:line="458" w:lineRule="auto" w:before="65"/>
              <w:ind w:left="122" w:right="99"/>
              <w:jc w:val="both"/>
              <w:rPr>
                <w:rFonts w:ascii="宋体" w:hAnsi="宋体" w:cs="宋体" w:eastAsia="宋体" w:hint="default"/>
                <w:sz w:val="15"/>
                <w:szCs w:val="15"/>
              </w:rPr>
            </w:pPr>
            <w:r>
              <w:rPr>
                <w:rFonts w:ascii="宋体" w:hAnsi="宋体" w:cs="宋体" w:eastAsia="宋体" w:hint="default"/>
                <w:sz w:val="15"/>
                <w:szCs w:val="15"/>
              </w:rPr>
              <w:t>按</w:t>
            </w:r>
            <w:r>
              <w:rPr>
                <w:rFonts w:ascii="宋体" w:hAnsi="宋体" w:cs="宋体" w:eastAsia="宋体" w:hint="default"/>
                <w:spacing w:val="-48"/>
                <w:sz w:val="15"/>
                <w:szCs w:val="15"/>
              </w:rPr>
              <w:t> </w:t>
            </w:r>
            <w:r>
              <w:rPr>
                <w:rFonts w:ascii="宋体" w:hAnsi="宋体" w:cs="宋体" w:eastAsia="宋体" w:hint="default"/>
                <w:sz w:val="15"/>
                <w:szCs w:val="15"/>
              </w:rPr>
              <w:t>组</w:t>
            </w:r>
            <w:r>
              <w:rPr>
                <w:rFonts w:ascii="宋体" w:hAnsi="宋体" w:cs="宋体" w:eastAsia="宋体" w:hint="default"/>
                <w:spacing w:val="-51"/>
                <w:sz w:val="15"/>
                <w:szCs w:val="15"/>
              </w:rPr>
              <w:t> </w:t>
            </w:r>
            <w:r>
              <w:rPr>
                <w:rFonts w:ascii="宋体" w:hAnsi="宋体" w:cs="宋体" w:eastAsia="宋体" w:hint="default"/>
                <w:sz w:val="15"/>
                <w:szCs w:val="15"/>
              </w:rPr>
              <w:t>合</w:t>
            </w:r>
            <w:r>
              <w:rPr>
                <w:rFonts w:ascii="宋体" w:hAnsi="宋体" w:cs="宋体" w:eastAsia="宋体" w:hint="default"/>
                <w:spacing w:val="-51"/>
                <w:sz w:val="15"/>
                <w:szCs w:val="15"/>
              </w:rPr>
              <w:t> </w:t>
            </w:r>
            <w:r>
              <w:rPr>
                <w:rFonts w:ascii="宋体" w:hAnsi="宋体" w:cs="宋体" w:eastAsia="宋体" w:hint="default"/>
                <w:sz w:val="15"/>
                <w:szCs w:val="15"/>
              </w:rPr>
              <w:t>计</w:t>
            </w:r>
            <w:r>
              <w:rPr>
                <w:rFonts w:ascii="宋体" w:hAnsi="宋体" w:cs="宋体" w:eastAsia="宋体" w:hint="default"/>
                <w:spacing w:val="-51"/>
                <w:sz w:val="15"/>
                <w:szCs w:val="15"/>
              </w:rPr>
              <w:t> </w:t>
            </w:r>
            <w:r>
              <w:rPr>
                <w:rFonts w:ascii="宋体" w:hAnsi="宋体" w:cs="宋体" w:eastAsia="宋体" w:hint="default"/>
                <w:sz w:val="15"/>
                <w:szCs w:val="15"/>
              </w:rPr>
              <w:t>提</w:t>
            </w:r>
            <w:r>
              <w:rPr>
                <w:rFonts w:ascii="宋体" w:hAnsi="宋体" w:cs="宋体" w:eastAsia="宋体" w:hint="default"/>
                <w:spacing w:val="-48"/>
                <w:sz w:val="15"/>
                <w:szCs w:val="15"/>
              </w:rPr>
              <w:t> </w:t>
            </w:r>
            <w:r>
              <w:rPr>
                <w:rFonts w:ascii="宋体" w:hAnsi="宋体" w:cs="宋体" w:eastAsia="宋体" w:hint="default"/>
                <w:sz w:val="15"/>
                <w:szCs w:val="15"/>
              </w:rPr>
              <w:t>坏</w:t>
            </w:r>
            <w:r>
              <w:rPr>
                <w:rFonts w:ascii="宋体" w:hAnsi="宋体" w:cs="宋体" w:eastAsia="宋体" w:hint="default"/>
                <w:w w:val="100"/>
                <w:sz w:val="15"/>
                <w:szCs w:val="15"/>
              </w:rPr>
              <w:t> </w:t>
            </w:r>
            <w:r>
              <w:rPr>
                <w:rFonts w:ascii="宋体" w:hAnsi="宋体" w:cs="宋体" w:eastAsia="宋体" w:hint="default"/>
                <w:sz w:val="15"/>
                <w:szCs w:val="15"/>
              </w:rPr>
              <w:t>账</w:t>
            </w:r>
            <w:r>
              <w:rPr>
                <w:rFonts w:ascii="宋体" w:hAnsi="宋体" w:cs="宋体" w:eastAsia="宋体" w:hint="default"/>
                <w:spacing w:val="-48"/>
                <w:sz w:val="15"/>
                <w:szCs w:val="15"/>
              </w:rPr>
              <w:t> </w:t>
            </w:r>
            <w:r>
              <w:rPr>
                <w:rFonts w:ascii="宋体" w:hAnsi="宋体" w:cs="宋体" w:eastAsia="宋体" w:hint="default"/>
                <w:sz w:val="15"/>
                <w:szCs w:val="15"/>
              </w:rPr>
              <w:t>准</w:t>
            </w:r>
            <w:r>
              <w:rPr>
                <w:rFonts w:ascii="宋体" w:hAnsi="宋体" w:cs="宋体" w:eastAsia="宋体" w:hint="default"/>
                <w:spacing w:val="-51"/>
                <w:sz w:val="15"/>
                <w:szCs w:val="15"/>
              </w:rPr>
              <w:t> </w:t>
            </w:r>
            <w:r>
              <w:rPr>
                <w:rFonts w:ascii="宋体" w:hAnsi="宋体" w:cs="宋体" w:eastAsia="宋体" w:hint="default"/>
                <w:sz w:val="15"/>
                <w:szCs w:val="15"/>
              </w:rPr>
              <w:t>备</w:t>
            </w:r>
            <w:r>
              <w:rPr>
                <w:rFonts w:ascii="宋体" w:hAnsi="宋体" w:cs="宋体" w:eastAsia="宋体" w:hint="default"/>
                <w:spacing w:val="-51"/>
                <w:sz w:val="15"/>
                <w:szCs w:val="15"/>
              </w:rPr>
              <w:t> </w:t>
            </w:r>
            <w:r>
              <w:rPr>
                <w:rFonts w:ascii="宋体" w:hAnsi="宋体" w:cs="宋体" w:eastAsia="宋体" w:hint="default"/>
                <w:sz w:val="15"/>
                <w:szCs w:val="15"/>
              </w:rPr>
              <w:t>的</w:t>
            </w:r>
            <w:r>
              <w:rPr>
                <w:rFonts w:ascii="宋体" w:hAnsi="宋体" w:cs="宋体" w:eastAsia="宋体" w:hint="default"/>
                <w:spacing w:val="-51"/>
                <w:sz w:val="15"/>
                <w:szCs w:val="15"/>
              </w:rPr>
              <w:t> </w:t>
            </w:r>
            <w:r>
              <w:rPr>
                <w:rFonts w:ascii="宋体" w:hAnsi="宋体" w:cs="宋体" w:eastAsia="宋体" w:hint="default"/>
                <w:sz w:val="15"/>
                <w:szCs w:val="15"/>
              </w:rPr>
              <w:t>其</w:t>
            </w:r>
            <w:r>
              <w:rPr>
                <w:rFonts w:ascii="宋体" w:hAnsi="宋体" w:cs="宋体" w:eastAsia="宋体" w:hint="default"/>
                <w:spacing w:val="-48"/>
                <w:sz w:val="15"/>
                <w:szCs w:val="15"/>
              </w:rPr>
              <w:t> </w:t>
            </w:r>
            <w:r>
              <w:rPr>
                <w:rFonts w:ascii="宋体" w:hAnsi="宋体" w:cs="宋体" w:eastAsia="宋体" w:hint="default"/>
                <w:sz w:val="15"/>
                <w:szCs w:val="15"/>
              </w:rPr>
              <w:t>他</w:t>
            </w:r>
            <w:r>
              <w:rPr>
                <w:rFonts w:ascii="宋体" w:hAnsi="宋体" w:cs="宋体" w:eastAsia="宋体" w:hint="default"/>
                <w:w w:val="100"/>
                <w:sz w:val="15"/>
                <w:szCs w:val="15"/>
              </w:rPr>
              <w:t> </w:t>
            </w:r>
            <w:r>
              <w:rPr>
                <w:rFonts w:ascii="宋体" w:hAnsi="宋体" w:cs="宋体" w:eastAsia="宋体" w:hint="default"/>
                <w:sz w:val="15"/>
                <w:szCs w:val="15"/>
              </w:rPr>
              <w:t>应收款</w:t>
            </w:r>
          </w:p>
        </w:tc>
        <w:tc>
          <w:tcPr>
            <w:tcW w:w="1275"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
        </w:tc>
        <w:tc>
          <w:tcPr>
            <w:tcW w:w="1097" w:type="dxa"/>
            <w:tcBorders>
              <w:top w:val="dotted" w:sz="4" w:space="0" w:color="000000"/>
              <w:left w:val="dotted" w:sz="4" w:space="0" w:color="000000"/>
              <w:bottom w:val="dotted" w:sz="4" w:space="0" w:color="000000"/>
              <w:right w:val="dotted" w:sz="4" w:space="0" w:color="000000"/>
            </w:tcBorders>
          </w:tcPr>
          <w:p>
            <w:pPr/>
          </w:p>
        </w:tc>
        <w:tc>
          <w:tcPr>
            <w:tcW w:w="888"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8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1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组合</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1</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spacing w:val="-1"/>
                <w:sz w:val="15"/>
              </w:rPr>
              <w:t>13,776,706.75</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left="326" w:right="0"/>
              <w:jc w:val="left"/>
              <w:rPr>
                <w:rFonts w:ascii="Times New Roman" w:hAnsi="Times New Roman" w:cs="Times New Roman" w:eastAsia="Times New Roman" w:hint="default"/>
                <w:sz w:val="15"/>
                <w:szCs w:val="15"/>
              </w:rPr>
            </w:pPr>
            <w:r>
              <w:rPr>
                <w:rFonts w:ascii="Times New Roman"/>
                <w:sz w:val="15"/>
              </w:rPr>
              <w:t>100.00</w:t>
            </w:r>
          </w:p>
        </w:tc>
        <w:tc>
          <w:tcPr>
            <w:tcW w:w="10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2,301,675.97</w:t>
            </w:r>
          </w:p>
        </w:tc>
        <w:tc>
          <w:tcPr>
            <w:tcW w:w="8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16.71</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3"/>
              <w:jc w:val="right"/>
              <w:rPr>
                <w:rFonts w:ascii="Times New Roman" w:hAnsi="Times New Roman" w:cs="Times New Roman" w:eastAsia="Times New Roman" w:hint="default"/>
                <w:sz w:val="15"/>
                <w:szCs w:val="15"/>
              </w:rPr>
            </w:pPr>
            <w:r>
              <w:rPr>
                <w:rFonts w:ascii="Times New Roman"/>
                <w:spacing w:val="-1"/>
                <w:sz w:val="15"/>
              </w:rPr>
              <w:t>4,107,535.89</w:t>
            </w:r>
          </w:p>
        </w:tc>
        <w:tc>
          <w:tcPr>
            <w:tcW w:w="8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57.58</w:t>
            </w:r>
          </w:p>
        </w:tc>
        <w:tc>
          <w:tcPr>
            <w:tcW w:w="10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left="40" w:right="0"/>
              <w:jc w:val="center"/>
              <w:rPr>
                <w:rFonts w:ascii="Times New Roman" w:hAnsi="Times New Roman" w:cs="Times New Roman" w:eastAsia="Times New Roman" w:hint="default"/>
                <w:sz w:val="15"/>
                <w:szCs w:val="15"/>
              </w:rPr>
            </w:pPr>
            <w:r>
              <w:rPr>
                <w:rFonts w:ascii="Times New Roman"/>
                <w:sz w:val="15"/>
              </w:rPr>
              <w:t>1,448,603.40</w:t>
            </w:r>
          </w:p>
        </w:tc>
        <w:tc>
          <w:tcPr>
            <w:tcW w:w="9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15"/>
                <w:szCs w:val="15"/>
              </w:rPr>
            </w:pPr>
            <w:r>
              <w:rPr>
                <w:rFonts w:ascii="Times New Roman"/>
                <w:spacing w:val="-1"/>
                <w:sz w:val="15"/>
              </w:rPr>
              <w:t>35.27</w:t>
            </w:r>
          </w:p>
        </w:tc>
      </w:tr>
      <w:tr>
        <w:trPr>
          <w:trHeight w:val="386" w:hRule="exact"/>
        </w:trPr>
        <w:tc>
          <w:tcPr>
            <w:tcW w:w="1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7"/>
              <w:ind w:left="122" w:right="0"/>
              <w:jc w:val="left"/>
              <w:rPr>
                <w:rFonts w:ascii="宋体" w:hAnsi="宋体" w:cs="宋体" w:eastAsia="宋体" w:hint="default"/>
                <w:sz w:val="15"/>
                <w:szCs w:val="15"/>
              </w:rPr>
            </w:pPr>
            <w:r>
              <w:rPr>
                <w:rFonts w:ascii="宋体" w:hAnsi="宋体" w:cs="宋体" w:eastAsia="宋体" w:hint="default"/>
                <w:sz w:val="15"/>
                <w:szCs w:val="15"/>
              </w:rPr>
              <w:t>组合小计</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pacing w:val="-1"/>
                <w:sz w:val="15"/>
              </w:rPr>
              <w:t>13,776,706.75</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2"/>
              <w:ind w:left="326" w:right="0"/>
              <w:jc w:val="left"/>
              <w:rPr>
                <w:rFonts w:ascii="Times New Roman" w:hAnsi="Times New Roman" w:cs="Times New Roman" w:eastAsia="Times New Roman" w:hint="default"/>
                <w:sz w:val="15"/>
                <w:szCs w:val="15"/>
              </w:rPr>
            </w:pPr>
            <w:r>
              <w:rPr>
                <w:rFonts w:ascii="Times New Roman"/>
                <w:sz w:val="15"/>
              </w:rPr>
              <w:t>100.00</w:t>
            </w:r>
          </w:p>
        </w:tc>
        <w:tc>
          <w:tcPr>
            <w:tcW w:w="10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2,301,675.97</w:t>
            </w:r>
          </w:p>
        </w:tc>
        <w:tc>
          <w:tcPr>
            <w:tcW w:w="8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16.71</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spacing w:val="-1"/>
                <w:sz w:val="15"/>
              </w:rPr>
              <w:t>4,107,535.89</w:t>
            </w:r>
          </w:p>
        </w:tc>
        <w:tc>
          <w:tcPr>
            <w:tcW w:w="8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57.58</w:t>
            </w:r>
          </w:p>
        </w:tc>
        <w:tc>
          <w:tcPr>
            <w:tcW w:w="10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2"/>
              <w:ind w:left="41" w:right="0"/>
              <w:jc w:val="center"/>
              <w:rPr>
                <w:rFonts w:ascii="Times New Roman" w:hAnsi="Times New Roman" w:cs="Times New Roman" w:eastAsia="Times New Roman" w:hint="default"/>
                <w:sz w:val="15"/>
                <w:szCs w:val="15"/>
              </w:rPr>
            </w:pPr>
            <w:r>
              <w:rPr>
                <w:rFonts w:ascii="Times New Roman"/>
                <w:sz w:val="15"/>
              </w:rPr>
              <w:t>1,448,603.40</w:t>
            </w:r>
          </w:p>
        </w:tc>
        <w:tc>
          <w:tcPr>
            <w:tcW w:w="9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2"/>
              <w:ind w:right="105"/>
              <w:jc w:val="right"/>
              <w:rPr>
                <w:rFonts w:ascii="Times New Roman" w:hAnsi="Times New Roman" w:cs="Times New Roman" w:eastAsia="Times New Roman" w:hint="default"/>
                <w:sz w:val="15"/>
                <w:szCs w:val="15"/>
              </w:rPr>
            </w:pPr>
            <w:r>
              <w:rPr>
                <w:rFonts w:ascii="Times New Roman"/>
                <w:spacing w:val="-1"/>
                <w:sz w:val="15"/>
              </w:rPr>
              <w:t>35.27</w:t>
            </w:r>
          </w:p>
        </w:tc>
      </w:tr>
      <w:tr>
        <w:trPr>
          <w:trHeight w:val="1507" w:hRule="exact"/>
        </w:trPr>
        <w:tc>
          <w:tcPr>
            <w:tcW w:w="1260" w:type="dxa"/>
            <w:tcBorders>
              <w:top w:val="dotted" w:sz="4" w:space="0" w:color="000000"/>
              <w:left w:val="nil" w:sz="6" w:space="0" w:color="auto"/>
              <w:bottom w:val="dotted" w:sz="4" w:space="0" w:color="000000"/>
              <w:right w:val="dotted" w:sz="4" w:space="0" w:color="000000"/>
            </w:tcBorders>
          </w:tcPr>
          <w:p>
            <w:pPr>
              <w:pStyle w:val="TableParagraph"/>
              <w:spacing w:line="458" w:lineRule="auto" w:before="65"/>
              <w:ind w:left="122" w:right="99"/>
              <w:jc w:val="both"/>
              <w:rPr>
                <w:rFonts w:ascii="宋体" w:hAnsi="宋体" w:cs="宋体" w:eastAsia="宋体" w:hint="default"/>
                <w:sz w:val="15"/>
                <w:szCs w:val="15"/>
              </w:rPr>
            </w:pPr>
            <w:r>
              <w:rPr>
                <w:rFonts w:ascii="宋体" w:hAnsi="宋体" w:cs="宋体" w:eastAsia="宋体" w:hint="default"/>
                <w:sz w:val="15"/>
                <w:szCs w:val="15"/>
              </w:rPr>
              <w:t>单</w:t>
            </w:r>
            <w:r>
              <w:rPr>
                <w:rFonts w:ascii="宋体" w:hAnsi="宋体" w:cs="宋体" w:eastAsia="宋体" w:hint="default"/>
                <w:spacing w:val="-48"/>
                <w:sz w:val="15"/>
                <w:szCs w:val="15"/>
              </w:rPr>
              <w:t> </w:t>
            </w:r>
            <w:r>
              <w:rPr>
                <w:rFonts w:ascii="宋体" w:hAnsi="宋体" w:cs="宋体" w:eastAsia="宋体" w:hint="default"/>
                <w:sz w:val="15"/>
                <w:szCs w:val="15"/>
              </w:rPr>
              <w:t>项</w:t>
            </w:r>
            <w:r>
              <w:rPr>
                <w:rFonts w:ascii="宋体" w:hAnsi="宋体" w:cs="宋体" w:eastAsia="宋体" w:hint="default"/>
                <w:spacing w:val="-51"/>
                <w:sz w:val="15"/>
                <w:szCs w:val="15"/>
              </w:rPr>
              <w:t> </w:t>
            </w:r>
            <w:r>
              <w:rPr>
                <w:rFonts w:ascii="宋体" w:hAnsi="宋体" w:cs="宋体" w:eastAsia="宋体" w:hint="default"/>
                <w:sz w:val="15"/>
                <w:szCs w:val="15"/>
              </w:rPr>
              <w:t>金</w:t>
            </w:r>
            <w:r>
              <w:rPr>
                <w:rFonts w:ascii="宋体" w:hAnsi="宋体" w:cs="宋体" w:eastAsia="宋体" w:hint="default"/>
                <w:spacing w:val="-51"/>
                <w:sz w:val="15"/>
                <w:szCs w:val="15"/>
              </w:rPr>
              <w:t> </w:t>
            </w:r>
            <w:r>
              <w:rPr>
                <w:rFonts w:ascii="宋体" w:hAnsi="宋体" w:cs="宋体" w:eastAsia="宋体" w:hint="default"/>
                <w:sz w:val="15"/>
                <w:szCs w:val="15"/>
              </w:rPr>
              <w:t>额</w:t>
            </w:r>
            <w:r>
              <w:rPr>
                <w:rFonts w:ascii="宋体" w:hAnsi="宋体" w:cs="宋体" w:eastAsia="宋体" w:hint="default"/>
                <w:spacing w:val="-51"/>
                <w:sz w:val="15"/>
                <w:szCs w:val="15"/>
              </w:rPr>
              <w:t> </w:t>
            </w:r>
            <w:r>
              <w:rPr>
                <w:rFonts w:ascii="宋体" w:hAnsi="宋体" w:cs="宋体" w:eastAsia="宋体" w:hint="default"/>
                <w:sz w:val="15"/>
                <w:szCs w:val="15"/>
              </w:rPr>
              <w:t>虽</w:t>
            </w:r>
            <w:r>
              <w:rPr>
                <w:rFonts w:ascii="宋体" w:hAnsi="宋体" w:cs="宋体" w:eastAsia="宋体" w:hint="default"/>
                <w:spacing w:val="-48"/>
                <w:sz w:val="15"/>
                <w:szCs w:val="15"/>
              </w:rPr>
              <w:t> </w:t>
            </w:r>
            <w:r>
              <w:rPr>
                <w:rFonts w:ascii="宋体" w:hAnsi="宋体" w:cs="宋体" w:eastAsia="宋体" w:hint="default"/>
                <w:sz w:val="15"/>
                <w:szCs w:val="15"/>
              </w:rPr>
              <w:t>不</w:t>
            </w:r>
            <w:r>
              <w:rPr>
                <w:rFonts w:ascii="宋体" w:hAnsi="宋体" w:cs="宋体" w:eastAsia="宋体" w:hint="default"/>
                <w:w w:val="100"/>
                <w:sz w:val="15"/>
                <w:szCs w:val="15"/>
              </w:rPr>
              <w:t> </w:t>
            </w:r>
            <w:r>
              <w:rPr>
                <w:rFonts w:ascii="宋体" w:hAnsi="宋体" w:cs="宋体" w:eastAsia="宋体" w:hint="default"/>
                <w:sz w:val="15"/>
                <w:szCs w:val="15"/>
              </w:rPr>
              <w:t>重</w:t>
            </w:r>
            <w:r>
              <w:rPr>
                <w:rFonts w:ascii="宋体" w:hAnsi="宋体" w:cs="宋体" w:eastAsia="宋体" w:hint="default"/>
                <w:spacing w:val="-48"/>
                <w:sz w:val="15"/>
                <w:szCs w:val="15"/>
              </w:rPr>
              <w:t> </w:t>
            </w:r>
            <w:r>
              <w:rPr>
                <w:rFonts w:ascii="宋体" w:hAnsi="宋体" w:cs="宋体" w:eastAsia="宋体" w:hint="default"/>
                <w:sz w:val="15"/>
                <w:szCs w:val="15"/>
              </w:rPr>
              <w:t>大</w:t>
            </w:r>
            <w:r>
              <w:rPr>
                <w:rFonts w:ascii="宋体" w:hAnsi="宋体" w:cs="宋体" w:eastAsia="宋体" w:hint="default"/>
                <w:spacing w:val="-51"/>
                <w:sz w:val="15"/>
                <w:szCs w:val="15"/>
              </w:rPr>
              <w:t> </w:t>
            </w:r>
            <w:r>
              <w:rPr>
                <w:rFonts w:ascii="宋体" w:hAnsi="宋体" w:cs="宋体" w:eastAsia="宋体" w:hint="default"/>
                <w:sz w:val="15"/>
                <w:szCs w:val="15"/>
              </w:rPr>
              <w:t>但</w:t>
            </w:r>
            <w:r>
              <w:rPr>
                <w:rFonts w:ascii="宋体" w:hAnsi="宋体" w:cs="宋体" w:eastAsia="宋体" w:hint="default"/>
                <w:spacing w:val="-51"/>
                <w:sz w:val="15"/>
                <w:szCs w:val="15"/>
              </w:rPr>
              <w:t> </w:t>
            </w:r>
            <w:r>
              <w:rPr>
                <w:rFonts w:ascii="宋体" w:hAnsi="宋体" w:cs="宋体" w:eastAsia="宋体" w:hint="default"/>
                <w:sz w:val="15"/>
                <w:szCs w:val="15"/>
              </w:rPr>
              <w:t>单</w:t>
            </w:r>
            <w:r>
              <w:rPr>
                <w:rFonts w:ascii="宋体" w:hAnsi="宋体" w:cs="宋体" w:eastAsia="宋体" w:hint="default"/>
                <w:spacing w:val="-51"/>
                <w:sz w:val="15"/>
                <w:szCs w:val="15"/>
              </w:rPr>
              <w:t> </w:t>
            </w:r>
            <w:r>
              <w:rPr>
                <w:rFonts w:ascii="宋体" w:hAnsi="宋体" w:cs="宋体" w:eastAsia="宋体" w:hint="default"/>
                <w:sz w:val="15"/>
                <w:szCs w:val="15"/>
              </w:rPr>
              <w:t>项</w:t>
            </w:r>
            <w:r>
              <w:rPr>
                <w:rFonts w:ascii="宋体" w:hAnsi="宋体" w:cs="宋体" w:eastAsia="宋体" w:hint="default"/>
                <w:spacing w:val="-48"/>
                <w:sz w:val="15"/>
                <w:szCs w:val="15"/>
              </w:rPr>
              <w:t> </w:t>
            </w:r>
            <w:r>
              <w:rPr>
                <w:rFonts w:ascii="宋体" w:hAnsi="宋体" w:cs="宋体" w:eastAsia="宋体" w:hint="default"/>
                <w:sz w:val="15"/>
                <w:szCs w:val="15"/>
              </w:rPr>
              <w:t>计</w:t>
            </w:r>
            <w:r>
              <w:rPr>
                <w:rFonts w:ascii="宋体" w:hAnsi="宋体" w:cs="宋体" w:eastAsia="宋体" w:hint="default"/>
                <w:w w:val="100"/>
                <w:sz w:val="15"/>
                <w:szCs w:val="15"/>
              </w:rPr>
              <w:t> </w:t>
            </w:r>
            <w:r>
              <w:rPr>
                <w:rFonts w:ascii="宋体" w:hAnsi="宋体" w:cs="宋体" w:eastAsia="宋体" w:hint="default"/>
                <w:sz w:val="15"/>
                <w:szCs w:val="15"/>
              </w:rPr>
              <w:t>提</w:t>
            </w:r>
            <w:r>
              <w:rPr>
                <w:rFonts w:ascii="宋体" w:hAnsi="宋体" w:cs="宋体" w:eastAsia="宋体" w:hint="default"/>
                <w:spacing w:val="-48"/>
                <w:sz w:val="15"/>
                <w:szCs w:val="15"/>
              </w:rPr>
              <w:t> </w:t>
            </w:r>
            <w:r>
              <w:rPr>
                <w:rFonts w:ascii="宋体" w:hAnsi="宋体" w:cs="宋体" w:eastAsia="宋体" w:hint="default"/>
                <w:sz w:val="15"/>
                <w:szCs w:val="15"/>
              </w:rPr>
              <w:t>坏</w:t>
            </w:r>
            <w:r>
              <w:rPr>
                <w:rFonts w:ascii="宋体" w:hAnsi="宋体" w:cs="宋体" w:eastAsia="宋体" w:hint="default"/>
                <w:spacing w:val="-51"/>
                <w:sz w:val="15"/>
                <w:szCs w:val="15"/>
              </w:rPr>
              <w:t> </w:t>
            </w:r>
            <w:r>
              <w:rPr>
                <w:rFonts w:ascii="宋体" w:hAnsi="宋体" w:cs="宋体" w:eastAsia="宋体" w:hint="default"/>
                <w:sz w:val="15"/>
                <w:szCs w:val="15"/>
              </w:rPr>
              <w:t>账</w:t>
            </w:r>
            <w:r>
              <w:rPr>
                <w:rFonts w:ascii="宋体" w:hAnsi="宋体" w:cs="宋体" w:eastAsia="宋体" w:hint="default"/>
                <w:spacing w:val="-51"/>
                <w:sz w:val="15"/>
                <w:szCs w:val="15"/>
              </w:rPr>
              <w:t> </w:t>
            </w:r>
            <w:r>
              <w:rPr>
                <w:rFonts w:ascii="宋体" w:hAnsi="宋体" w:cs="宋体" w:eastAsia="宋体" w:hint="default"/>
                <w:sz w:val="15"/>
                <w:szCs w:val="15"/>
              </w:rPr>
              <w:t>准</w:t>
            </w:r>
            <w:r>
              <w:rPr>
                <w:rFonts w:ascii="宋体" w:hAnsi="宋体" w:cs="宋体" w:eastAsia="宋体" w:hint="default"/>
                <w:spacing w:val="-51"/>
                <w:sz w:val="15"/>
                <w:szCs w:val="15"/>
              </w:rPr>
              <w:t> </w:t>
            </w:r>
            <w:r>
              <w:rPr>
                <w:rFonts w:ascii="宋体" w:hAnsi="宋体" w:cs="宋体" w:eastAsia="宋体" w:hint="default"/>
                <w:sz w:val="15"/>
                <w:szCs w:val="15"/>
              </w:rPr>
              <w:t>备</w:t>
            </w:r>
            <w:r>
              <w:rPr>
                <w:rFonts w:ascii="宋体" w:hAnsi="宋体" w:cs="宋体" w:eastAsia="宋体" w:hint="default"/>
                <w:spacing w:val="-48"/>
                <w:sz w:val="15"/>
                <w:szCs w:val="15"/>
              </w:rPr>
              <w:t> </w:t>
            </w:r>
            <w:r>
              <w:rPr>
                <w:rFonts w:ascii="宋体" w:hAnsi="宋体" w:cs="宋体" w:eastAsia="宋体" w:hint="default"/>
                <w:sz w:val="15"/>
                <w:szCs w:val="15"/>
              </w:rPr>
              <w:t>的</w:t>
            </w:r>
            <w:r>
              <w:rPr>
                <w:rFonts w:ascii="宋体" w:hAnsi="宋体" w:cs="宋体" w:eastAsia="宋体" w:hint="default"/>
                <w:w w:val="100"/>
                <w:sz w:val="15"/>
                <w:szCs w:val="15"/>
              </w:rPr>
              <w:t> </w:t>
            </w:r>
            <w:r>
              <w:rPr>
                <w:rFonts w:ascii="宋体" w:hAnsi="宋体" w:cs="宋体" w:eastAsia="宋体" w:hint="default"/>
                <w:sz w:val="15"/>
                <w:szCs w:val="15"/>
              </w:rPr>
              <w:t>其他应收款</w:t>
            </w:r>
          </w:p>
        </w:tc>
        <w:tc>
          <w:tcPr>
            <w:tcW w:w="1275"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
        </w:tc>
        <w:tc>
          <w:tcPr>
            <w:tcW w:w="1097" w:type="dxa"/>
            <w:tcBorders>
              <w:top w:val="dotted" w:sz="4" w:space="0" w:color="000000"/>
              <w:left w:val="dotted" w:sz="4" w:space="0" w:color="000000"/>
              <w:bottom w:val="dotted" w:sz="4" w:space="0" w:color="000000"/>
              <w:right w:val="dotted" w:sz="4" w:space="0" w:color="000000"/>
            </w:tcBorders>
          </w:tcPr>
          <w:p>
            <w:pPr/>
          </w:p>
        </w:tc>
        <w:tc>
          <w:tcPr>
            <w:tcW w:w="888"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8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nil" w:sz="6" w:space="0" w:color="auto"/>
            </w:tcBorders>
          </w:tcPr>
          <w:p>
            <w:pPr/>
          </w:p>
        </w:tc>
      </w:tr>
      <w:tr>
        <w:trPr>
          <w:trHeight w:val="394" w:hRule="exact"/>
        </w:trPr>
        <w:tc>
          <w:tcPr>
            <w:tcW w:w="126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5"/>
              <w:ind w:left="2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spacing w:val="-1"/>
                <w:sz w:val="15"/>
              </w:rPr>
              <w:t>13,776,706.75</w:t>
            </w:r>
          </w:p>
        </w:tc>
        <w:tc>
          <w:tcPr>
            <w:tcW w:w="8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left="326" w:right="0"/>
              <w:jc w:val="left"/>
              <w:rPr>
                <w:rFonts w:ascii="Times New Roman" w:hAnsi="Times New Roman" w:cs="Times New Roman" w:eastAsia="Times New Roman" w:hint="default"/>
                <w:sz w:val="15"/>
                <w:szCs w:val="15"/>
              </w:rPr>
            </w:pPr>
            <w:r>
              <w:rPr>
                <w:rFonts w:ascii="Times New Roman"/>
                <w:sz w:val="15"/>
              </w:rPr>
              <w:t>100.00</w:t>
            </w:r>
          </w:p>
        </w:tc>
        <w:tc>
          <w:tcPr>
            <w:tcW w:w="10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2,301,675.97</w:t>
            </w:r>
          </w:p>
        </w:tc>
        <w:tc>
          <w:tcPr>
            <w:tcW w:w="888" w:type="dxa"/>
            <w:tcBorders>
              <w:top w:val="dotted" w:sz="4" w:space="0" w:color="000000"/>
              <w:left w:val="dotted" w:sz="4" w:space="0" w:color="000000"/>
              <w:bottom w:val="single" w:sz="12" w:space="0" w:color="000000"/>
              <w:right w:val="dotted" w:sz="4" w:space="0" w:color="000000"/>
            </w:tcBorders>
          </w:tcPr>
          <w:p>
            <w:pP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right="103"/>
              <w:jc w:val="right"/>
              <w:rPr>
                <w:rFonts w:ascii="Times New Roman" w:hAnsi="Times New Roman" w:cs="Times New Roman" w:eastAsia="Times New Roman" w:hint="default"/>
                <w:sz w:val="15"/>
                <w:szCs w:val="15"/>
              </w:rPr>
            </w:pPr>
            <w:r>
              <w:rPr>
                <w:rFonts w:ascii="Times New Roman"/>
                <w:spacing w:val="-1"/>
                <w:sz w:val="15"/>
              </w:rPr>
              <w:t>7,133,158.89</w:t>
            </w:r>
          </w:p>
        </w:tc>
        <w:tc>
          <w:tcPr>
            <w:tcW w:w="8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left="326" w:right="0"/>
              <w:jc w:val="left"/>
              <w:rPr>
                <w:rFonts w:ascii="Times New Roman" w:hAnsi="Times New Roman" w:cs="Times New Roman" w:eastAsia="Times New Roman" w:hint="default"/>
                <w:sz w:val="15"/>
                <w:szCs w:val="15"/>
              </w:rPr>
            </w:pPr>
            <w:r>
              <w:rPr>
                <w:rFonts w:ascii="Times New Roman"/>
                <w:sz w:val="15"/>
              </w:rPr>
              <w:t>100.00</w:t>
            </w:r>
          </w:p>
        </w:tc>
        <w:tc>
          <w:tcPr>
            <w:tcW w:w="10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left="41" w:right="0"/>
              <w:jc w:val="center"/>
              <w:rPr>
                <w:rFonts w:ascii="Times New Roman" w:hAnsi="Times New Roman" w:cs="Times New Roman" w:eastAsia="Times New Roman" w:hint="default"/>
                <w:sz w:val="15"/>
                <w:szCs w:val="15"/>
              </w:rPr>
            </w:pPr>
            <w:r>
              <w:rPr>
                <w:rFonts w:ascii="Times New Roman"/>
                <w:sz w:val="15"/>
              </w:rPr>
              <w:t>1,448,603.40</w:t>
            </w:r>
          </w:p>
        </w:tc>
        <w:tc>
          <w:tcPr>
            <w:tcW w:w="938"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spacing w:line="350" w:lineRule="auto" w:before="0"/>
        <w:ind w:left="858" w:right="1826" w:firstLine="0"/>
        <w:jc w:val="left"/>
        <w:rPr>
          <w:rFonts w:ascii="宋体" w:hAnsi="宋体" w:cs="宋体" w:eastAsia="宋体" w:hint="default"/>
          <w:sz w:val="21"/>
          <w:szCs w:val="21"/>
        </w:rPr>
      </w:pPr>
      <w:r>
        <w:rPr>
          <w:rFonts w:ascii="宋体" w:hAnsi="宋体" w:cs="宋体" w:eastAsia="宋体" w:hint="default"/>
          <w:sz w:val="21"/>
          <w:szCs w:val="21"/>
        </w:rPr>
        <w:t>其他应收款种类的说明：</w:t>
      </w:r>
      <w:r>
        <w:rPr>
          <w:rFonts w:ascii="宋体" w:hAnsi="宋体" w:cs="宋体" w:eastAsia="宋体" w:hint="default"/>
          <w:w w:val="100"/>
          <w:sz w:val="21"/>
          <w:szCs w:val="21"/>
        </w:rPr>
        <w:t> </w:t>
      </w:r>
      <w:r>
        <w:rPr>
          <w:rFonts w:ascii="宋体" w:hAnsi="宋体" w:cs="宋体" w:eastAsia="宋体" w:hint="default"/>
          <w:spacing w:val="-2"/>
          <w:sz w:val="21"/>
          <w:szCs w:val="21"/>
        </w:rPr>
        <w:t>组合中，采用账龄分析法计提坏账准备的其他应收款：</w:t>
      </w:r>
    </w:p>
    <w:p>
      <w:pPr>
        <w:spacing w:line="240" w:lineRule="auto" w:before="8"/>
        <w:rPr>
          <w:rFonts w:ascii="宋体" w:hAnsi="宋体" w:cs="宋体" w:eastAsia="宋体" w:hint="default"/>
          <w:sz w:val="22"/>
          <w:szCs w:val="22"/>
        </w:rPr>
      </w:pPr>
    </w:p>
    <w:tbl>
      <w:tblPr>
        <w:tblW w:w="0" w:type="auto"/>
        <w:jc w:val="left"/>
        <w:tblInd w:w="725" w:type="dxa"/>
        <w:tblLayout w:type="fixed"/>
        <w:tblCellMar>
          <w:top w:w="0" w:type="dxa"/>
          <w:left w:w="0" w:type="dxa"/>
          <w:bottom w:w="0" w:type="dxa"/>
          <w:right w:w="0" w:type="dxa"/>
        </w:tblCellMar>
        <w:tblLook w:val="01E0"/>
      </w:tblPr>
      <w:tblGrid>
        <w:gridCol w:w="1550"/>
        <w:gridCol w:w="2530"/>
        <w:gridCol w:w="1248"/>
        <w:gridCol w:w="2216"/>
        <w:gridCol w:w="1250"/>
      </w:tblGrid>
      <w:tr>
        <w:trPr>
          <w:trHeight w:val="394" w:hRule="exact"/>
        </w:trPr>
        <w:tc>
          <w:tcPr>
            <w:tcW w:w="1550" w:type="dxa"/>
            <w:vMerge w:val="restart"/>
            <w:tcBorders>
              <w:top w:val="single" w:sz="12" w:space="0" w:color="000000"/>
              <w:left w:val="nil" w:sz="6" w:space="0" w:color="auto"/>
              <w:right w:val="dotted"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779"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66"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39"/>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96" w:hRule="exact"/>
        </w:trPr>
        <w:tc>
          <w:tcPr>
            <w:tcW w:w="1550" w:type="dxa"/>
            <w:vMerge/>
            <w:tcBorders>
              <w:left w:val="nil" w:sz="6" w:space="0" w:color="auto"/>
              <w:bottom w:val="single" w:sz="12" w:space="0" w:color="000000"/>
              <w:right w:val="dotted" w:sz="4" w:space="0" w:color="000000"/>
            </w:tcBorders>
          </w:tcPr>
          <w:p>
            <w:pPr/>
          </w:p>
        </w:tc>
        <w:tc>
          <w:tcPr>
            <w:tcW w:w="25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4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9"/>
              <w:ind w:left="2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9"/>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5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9"/>
              <w:ind w:left="259"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40"/>
          <w:pgMar w:header="0" w:footer="980" w:top="1140" w:bottom="1160" w:left="1660" w:right="280"/>
        </w:sectPr>
      </w:pPr>
    </w:p>
    <w:p>
      <w:pPr>
        <w:spacing w:line="240" w:lineRule="auto" w:before="6"/>
        <w:rPr>
          <w:rFonts w:ascii="宋体" w:hAnsi="宋体" w:cs="宋体" w:eastAsia="宋体" w:hint="default"/>
          <w:sz w:val="21"/>
          <w:szCs w:val="21"/>
        </w:rPr>
      </w:pPr>
    </w:p>
    <w:tbl>
      <w:tblPr>
        <w:tblW w:w="0" w:type="auto"/>
        <w:jc w:val="left"/>
        <w:tblInd w:w="711" w:type="dxa"/>
        <w:tblLayout w:type="fixed"/>
        <w:tblCellMar>
          <w:top w:w="0" w:type="dxa"/>
          <w:left w:w="0" w:type="dxa"/>
          <w:bottom w:w="0" w:type="dxa"/>
          <w:right w:w="0" w:type="dxa"/>
        </w:tblCellMar>
        <w:tblLook w:val="01E0"/>
      </w:tblPr>
      <w:tblGrid>
        <w:gridCol w:w="1565"/>
        <w:gridCol w:w="1678"/>
        <w:gridCol w:w="852"/>
        <w:gridCol w:w="1248"/>
        <w:gridCol w:w="1366"/>
        <w:gridCol w:w="850"/>
        <w:gridCol w:w="1250"/>
      </w:tblGrid>
      <w:tr>
        <w:trPr>
          <w:trHeight w:val="768" w:hRule="exact"/>
        </w:trPr>
        <w:tc>
          <w:tcPr>
            <w:tcW w:w="1565" w:type="dxa"/>
            <w:tcBorders>
              <w:top w:val="single" w:sz="12" w:space="0" w:color="000000"/>
              <w:left w:val="nil" w:sz="6" w:space="0" w:color="auto"/>
              <w:bottom w:val="dotted" w:sz="4" w:space="0" w:color="000000"/>
              <w:right w:val="dotted" w:sz="4" w:space="0" w:color="000000"/>
            </w:tcBorders>
          </w:tcPr>
          <w:p>
            <w:pPr/>
          </w:p>
        </w:tc>
        <w:tc>
          <w:tcPr>
            <w:tcW w:w="167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left="2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37"/>
              <w:ind w:left="1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48" w:type="dxa"/>
            <w:tcBorders>
              <w:top w:val="single" w:sz="12" w:space="0" w:color="000000"/>
              <w:left w:val="dotted" w:sz="4" w:space="0" w:color="000000"/>
              <w:bottom w:val="dotted" w:sz="4" w:space="0" w:color="000000"/>
              <w:right w:val="dotted" w:sz="4" w:space="0" w:color="000000"/>
            </w:tcBorders>
          </w:tcPr>
          <w:p>
            <w:pPr/>
          </w:p>
        </w:tc>
        <w:tc>
          <w:tcPr>
            <w:tcW w:w="136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left="2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37"/>
              <w:ind w:left="1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50" w:type="dxa"/>
            <w:tcBorders>
              <w:top w:val="single" w:sz="12" w:space="0" w:color="000000"/>
              <w:left w:val="dotted" w:sz="4" w:space="0" w:color="000000"/>
              <w:bottom w:val="dotted" w:sz="4" w:space="0" w:color="000000"/>
              <w:right w:val="nil" w:sz="6" w:space="0" w:color="auto"/>
            </w:tcBorders>
          </w:tcPr>
          <w:p>
            <w:pPr/>
          </w:p>
        </w:tc>
      </w:tr>
      <w:tr>
        <w:trPr>
          <w:trHeight w:val="386" w:hRule="exact"/>
        </w:trPr>
        <w:tc>
          <w:tcPr>
            <w:tcW w:w="15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11,617,762.20</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z w:val="18"/>
              </w:rPr>
              <w:t>84.33</w:t>
            </w:r>
          </w:p>
        </w:tc>
        <w:tc>
          <w:tcPr>
            <w:tcW w:w="12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580,888.11</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2,621,568.36</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z w:val="18"/>
              </w:rPr>
              <w:t>36.75</w:t>
            </w:r>
          </w:p>
        </w:tc>
        <w:tc>
          <w:tcPr>
            <w:tcW w:w="12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131,078.42</w:t>
            </w:r>
          </w:p>
        </w:tc>
      </w:tr>
      <w:tr>
        <w:trPr>
          <w:trHeight w:val="384" w:hRule="exact"/>
        </w:trPr>
        <w:tc>
          <w:tcPr>
            <w:tcW w:w="15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876,313.38</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6.36</w:t>
            </w:r>
          </w:p>
        </w:tc>
        <w:tc>
          <w:tcPr>
            <w:tcW w:w="12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438,156.69</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336,885.10</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4.72</w:t>
            </w:r>
          </w:p>
        </w:tc>
        <w:tc>
          <w:tcPr>
            <w:tcW w:w="12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168,442.55</w:t>
            </w:r>
          </w:p>
        </w:tc>
      </w:tr>
      <w:tr>
        <w:trPr>
          <w:trHeight w:val="384" w:hRule="exact"/>
        </w:trPr>
        <w:tc>
          <w:tcPr>
            <w:tcW w:w="15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256,885.10</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1.86</w:t>
            </w:r>
          </w:p>
        </w:tc>
        <w:tc>
          <w:tcPr>
            <w:tcW w:w="12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256,885.10</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492,395.40</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6.90</w:t>
            </w:r>
          </w:p>
        </w:tc>
        <w:tc>
          <w:tcPr>
            <w:tcW w:w="12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492,395.40</w:t>
            </w:r>
          </w:p>
        </w:tc>
      </w:tr>
      <w:tr>
        <w:trPr>
          <w:trHeight w:val="384" w:hRule="exact"/>
        </w:trPr>
        <w:tc>
          <w:tcPr>
            <w:tcW w:w="15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1,025,746.07</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7.45</w:t>
            </w:r>
          </w:p>
        </w:tc>
        <w:tc>
          <w:tcPr>
            <w:tcW w:w="12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1,025,746.07</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656,687.03</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9.21</w:t>
            </w:r>
          </w:p>
        </w:tc>
        <w:tc>
          <w:tcPr>
            <w:tcW w:w="12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656,687.03</w:t>
            </w:r>
          </w:p>
        </w:tc>
      </w:tr>
      <w:tr>
        <w:trPr>
          <w:trHeight w:val="396" w:hRule="exact"/>
        </w:trPr>
        <w:tc>
          <w:tcPr>
            <w:tcW w:w="156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9"/>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13,776,706.75</w:t>
            </w:r>
          </w:p>
        </w:tc>
        <w:tc>
          <w:tcPr>
            <w:tcW w:w="8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4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2,301,675.97</w:t>
            </w:r>
          </w:p>
        </w:tc>
        <w:tc>
          <w:tcPr>
            <w:tcW w:w="13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4,107,535.89</w:t>
            </w: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57.58</w:t>
            </w:r>
          </w:p>
        </w:tc>
        <w:tc>
          <w:tcPr>
            <w:tcW w:w="125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1,448,603.40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tabs>
          <w:tab w:pos="1395" w:val="left" w:leader="none"/>
        </w:tabs>
        <w:spacing w:before="0"/>
        <w:ind w:left="85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tab/>
        <w:t>期末其他应收款中无持本公司</w:t>
      </w:r>
      <w:r>
        <w:rPr>
          <w:rFonts w:ascii="宋体" w:hAnsi="宋体" w:cs="宋体" w:eastAsia="宋体" w:hint="default"/>
          <w:b/>
          <w:bCs/>
          <w:spacing w:val="-43"/>
          <w:sz w:val="21"/>
          <w:szCs w:val="21"/>
        </w:rPr>
        <w:t> </w:t>
      </w:r>
      <w:r>
        <w:rPr>
          <w:rFonts w:ascii="宋体" w:hAnsi="宋体" w:cs="宋体" w:eastAsia="宋体" w:hint="default"/>
          <w:b/>
          <w:bCs/>
          <w:spacing w:val="-10"/>
          <w:sz w:val="21"/>
          <w:szCs w:val="21"/>
        </w:rPr>
        <w:t>5</w:t>
      </w:r>
      <w:r>
        <w:rPr>
          <w:rFonts w:ascii="宋体" w:hAnsi="宋体" w:cs="宋体" w:eastAsia="宋体" w:hint="default"/>
          <w:b/>
          <w:bCs/>
          <w:spacing w:val="-10"/>
          <w:sz w:val="21"/>
          <w:szCs w:val="21"/>
        </w:rPr>
        <w:t>％以上（含</w:t>
      </w:r>
      <w:r>
        <w:rPr>
          <w:rFonts w:ascii="宋体" w:hAnsi="宋体" w:cs="宋体" w:eastAsia="宋体" w:hint="default"/>
          <w:b/>
          <w:bCs/>
          <w:spacing w:val="-43"/>
          <w:sz w:val="21"/>
          <w:szCs w:val="21"/>
        </w:rPr>
        <w:t> </w:t>
      </w:r>
      <w:r>
        <w:rPr>
          <w:rFonts w:ascii="宋体" w:hAnsi="宋体" w:cs="宋体" w:eastAsia="宋体" w:hint="default"/>
          <w:b/>
          <w:bCs/>
          <w:spacing w:val="-5"/>
          <w:sz w:val="21"/>
          <w:szCs w:val="21"/>
        </w:rPr>
        <w:t>5</w:t>
      </w:r>
      <w:r>
        <w:rPr>
          <w:rFonts w:ascii="宋体" w:hAnsi="宋体" w:cs="宋体" w:eastAsia="宋体" w:hint="default"/>
          <w:b/>
          <w:bCs/>
          <w:spacing w:val="-5"/>
          <w:sz w:val="21"/>
          <w:szCs w:val="21"/>
        </w:rPr>
        <w:t>％）表决权股份的股东单位欠款。</w:t>
      </w:r>
      <w:r>
        <w:rPr>
          <w:rFonts w:ascii="宋体" w:hAnsi="宋体" w:cs="宋体" w:eastAsia="宋体" w:hint="default"/>
          <w:spacing w:val="-5"/>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tabs>
          <w:tab w:pos="1395" w:val="left" w:leader="none"/>
        </w:tabs>
        <w:spacing w:before="0"/>
        <w:ind w:left="85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tab/>
        <w:t>其他应收款金额前五名单位情况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tbl>
      <w:tblPr>
        <w:tblW w:w="0" w:type="auto"/>
        <w:jc w:val="left"/>
        <w:tblInd w:w="678" w:type="dxa"/>
        <w:tblLayout w:type="fixed"/>
        <w:tblCellMar>
          <w:top w:w="0" w:type="dxa"/>
          <w:left w:w="0" w:type="dxa"/>
          <w:bottom w:w="0" w:type="dxa"/>
          <w:right w:w="0" w:type="dxa"/>
        </w:tblCellMar>
        <w:tblLook w:val="01E0"/>
      </w:tblPr>
      <w:tblGrid>
        <w:gridCol w:w="3418"/>
        <w:gridCol w:w="838"/>
        <w:gridCol w:w="1148"/>
        <w:gridCol w:w="991"/>
        <w:gridCol w:w="1059"/>
        <w:gridCol w:w="1447"/>
      </w:tblGrid>
      <w:tr>
        <w:trPr>
          <w:trHeight w:val="1142" w:hRule="exact"/>
        </w:trPr>
        <w:tc>
          <w:tcPr>
            <w:tcW w:w="3418"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83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381" w:lineRule="auto"/>
              <w:ind w:left="144" w:right="143"/>
              <w:jc w:val="left"/>
              <w:rPr>
                <w:rFonts w:ascii="宋体" w:hAnsi="宋体" w:cs="宋体" w:eastAsia="宋体" w:hint="default"/>
                <w:sz w:val="18"/>
                <w:szCs w:val="18"/>
              </w:rPr>
            </w:pPr>
            <w:r>
              <w:rPr>
                <w:rFonts w:ascii="宋体" w:hAnsi="宋体" w:cs="宋体" w:eastAsia="宋体" w:hint="default"/>
                <w:sz w:val="18"/>
                <w:szCs w:val="18"/>
              </w:rPr>
              <w:t>与本公 司关系</w:t>
            </w:r>
          </w:p>
        </w:tc>
        <w:tc>
          <w:tcPr>
            <w:tcW w:w="114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059" w:type="dxa"/>
            <w:tcBorders>
              <w:top w:val="single" w:sz="12" w:space="0" w:color="000000"/>
              <w:left w:val="dotted" w:sz="4" w:space="0" w:color="000000"/>
              <w:bottom w:val="dotted" w:sz="4" w:space="0" w:color="000000"/>
              <w:right w:val="dotted" w:sz="4" w:space="0" w:color="000000"/>
            </w:tcBorders>
          </w:tcPr>
          <w:p>
            <w:pPr>
              <w:pStyle w:val="TableParagraph"/>
              <w:spacing w:line="381" w:lineRule="auto" w:before="39"/>
              <w:ind w:left="119" w:right="118"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占其他应 收款总额 的比例</w:t>
            </w:r>
            <w:r>
              <w:rPr>
                <w:rFonts w:ascii="Times New Roman" w:hAnsi="Times New Roman" w:cs="Times New Roman" w:eastAsia="Times New Roman" w:hint="default"/>
                <w:sz w:val="18"/>
                <w:szCs w:val="18"/>
              </w:rPr>
              <w:t>(%)</w:t>
            </w:r>
          </w:p>
        </w:tc>
        <w:tc>
          <w:tcPr>
            <w:tcW w:w="1447"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384" w:hRule="exact"/>
        </w:trPr>
        <w:tc>
          <w:tcPr>
            <w:tcW w:w="34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213" w:right="0"/>
              <w:jc w:val="left"/>
              <w:rPr>
                <w:rFonts w:ascii="宋体" w:hAnsi="宋体" w:cs="宋体" w:eastAsia="宋体" w:hint="default"/>
                <w:sz w:val="18"/>
                <w:szCs w:val="18"/>
              </w:rPr>
            </w:pPr>
            <w:r>
              <w:rPr>
                <w:rFonts w:ascii="宋体" w:hAnsi="宋体" w:cs="宋体" w:eastAsia="宋体" w:hint="default"/>
                <w:sz w:val="18"/>
                <w:szCs w:val="18"/>
              </w:rPr>
              <w:t>日立</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贸易有限公司</w:t>
            </w:r>
          </w:p>
        </w:tc>
        <w:tc>
          <w:tcPr>
            <w:tcW w:w="8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1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223" w:right="0"/>
              <w:jc w:val="left"/>
              <w:rPr>
                <w:rFonts w:ascii="Times New Roman" w:hAnsi="Times New Roman" w:cs="Times New Roman" w:eastAsia="Times New Roman" w:hint="default"/>
                <w:sz w:val="18"/>
                <w:szCs w:val="18"/>
              </w:rPr>
            </w:pPr>
            <w:r>
              <w:rPr>
                <w:rFonts w:ascii="Times New Roman"/>
                <w:sz w:val="18"/>
              </w:rPr>
              <w:t>851,887.42</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0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6.18</w:t>
            </w:r>
          </w:p>
        </w:tc>
        <w:tc>
          <w:tcPr>
            <w:tcW w:w="14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项目代垫款</w:t>
            </w:r>
          </w:p>
        </w:tc>
      </w:tr>
      <w:tr>
        <w:trPr>
          <w:trHeight w:val="386" w:hRule="exact"/>
        </w:trPr>
        <w:tc>
          <w:tcPr>
            <w:tcW w:w="34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213" w:right="0"/>
              <w:jc w:val="left"/>
              <w:rPr>
                <w:rFonts w:ascii="宋体" w:hAnsi="宋体" w:cs="宋体" w:eastAsia="宋体" w:hint="default"/>
                <w:sz w:val="18"/>
                <w:szCs w:val="18"/>
              </w:rPr>
            </w:pPr>
            <w:r>
              <w:rPr>
                <w:rFonts w:ascii="宋体" w:hAnsi="宋体" w:cs="宋体" w:eastAsia="宋体" w:hint="default"/>
                <w:sz w:val="18"/>
                <w:szCs w:val="18"/>
              </w:rPr>
              <w:t>大栄不動産</w:t>
            </w:r>
          </w:p>
        </w:tc>
        <w:tc>
          <w:tcPr>
            <w:tcW w:w="8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出租方</w:t>
            </w:r>
          </w:p>
        </w:tc>
        <w:tc>
          <w:tcPr>
            <w:tcW w:w="11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left="223" w:right="0"/>
              <w:jc w:val="left"/>
              <w:rPr>
                <w:rFonts w:ascii="Times New Roman" w:hAnsi="Times New Roman" w:cs="Times New Roman" w:eastAsia="Times New Roman" w:hint="default"/>
                <w:sz w:val="18"/>
                <w:szCs w:val="18"/>
              </w:rPr>
            </w:pPr>
            <w:r>
              <w:rPr>
                <w:rFonts w:ascii="Times New Roman"/>
                <w:sz w:val="18"/>
              </w:rPr>
              <w:t>458,273.47</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0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3.33</w:t>
            </w:r>
          </w:p>
        </w:tc>
        <w:tc>
          <w:tcPr>
            <w:tcW w:w="14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房租押金</w:t>
            </w:r>
          </w:p>
        </w:tc>
      </w:tr>
      <w:tr>
        <w:trPr>
          <w:trHeight w:val="384" w:hRule="exact"/>
        </w:trPr>
        <w:tc>
          <w:tcPr>
            <w:tcW w:w="34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213" w:right="0"/>
              <w:jc w:val="left"/>
              <w:rPr>
                <w:rFonts w:ascii="宋体" w:hAnsi="宋体" w:cs="宋体" w:eastAsia="宋体" w:hint="default"/>
                <w:sz w:val="18"/>
                <w:szCs w:val="18"/>
              </w:rPr>
            </w:pPr>
            <w:r>
              <w:rPr>
                <w:rFonts w:ascii="宋体" w:hAnsi="宋体" w:cs="宋体" w:eastAsia="宋体" w:hint="default"/>
                <w:sz w:val="18"/>
                <w:szCs w:val="18"/>
              </w:rPr>
              <w:t>徐州徐工斗山发动机有限公司</w:t>
            </w:r>
          </w:p>
        </w:tc>
        <w:tc>
          <w:tcPr>
            <w:tcW w:w="8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1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223" w:right="0"/>
              <w:jc w:val="left"/>
              <w:rPr>
                <w:rFonts w:ascii="Times New Roman" w:hAnsi="Times New Roman" w:cs="Times New Roman" w:eastAsia="Times New Roman" w:hint="default"/>
                <w:sz w:val="18"/>
                <w:szCs w:val="18"/>
              </w:rPr>
            </w:pPr>
            <w:r>
              <w:rPr>
                <w:rFonts w:ascii="Times New Roman"/>
                <w:sz w:val="18"/>
              </w:rPr>
              <w:t>300,000.00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0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2.18</w:t>
            </w:r>
          </w:p>
        </w:tc>
        <w:tc>
          <w:tcPr>
            <w:tcW w:w="14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384" w:hRule="exact"/>
        </w:trPr>
        <w:tc>
          <w:tcPr>
            <w:tcW w:w="34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213" w:right="0"/>
              <w:jc w:val="left"/>
              <w:rPr>
                <w:rFonts w:ascii="宋体" w:hAnsi="宋体" w:cs="宋体" w:eastAsia="宋体" w:hint="default"/>
                <w:sz w:val="18"/>
                <w:szCs w:val="18"/>
              </w:rPr>
            </w:pPr>
            <w:r>
              <w:rPr>
                <w:rFonts w:ascii="宋体" w:hAnsi="宋体" w:cs="宋体" w:eastAsia="宋体" w:hint="default"/>
                <w:sz w:val="18"/>
                <w:szCs w:val="18"/>
              </w:rPr>
              <w:t>松下电器（中国）有限公司上海分公司</w:t>
            </w:r>
          </w:p>
        </w:tc>
        <w:tc>
          <w:tcPr>
            <w:tcW w:w="8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1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223" w:right="0"/>
              <w:jc w:val="left"/>
              <w:rPr>
                <w:rFonts w:ascii="Times New Roman" w:hAnsi="Times New Roman" w:cs="Times New Roman" w:eastAsia="Times New Roman" w:hint="default"/>
                <w:sz w:val="18"/>
                <w:szCs w:val="18"/>
              </w:rPr>
            </w:pPr>
            <w:r>
              <w:rPr>
                <w:rFonts w:ascii="Times New Roman"/>
                <w:sz w:val="18"/>
              </w:rPr>
              <w:t>298,050.77</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0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2.16</w:t>
            </w:r>
          </w:p>
        </w:tc>
        <w:tc>
          <w:tcPr>
            <w:tcW w:w="14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项目代垫款</w:t>
            </w:r>
          </w:p>
        </w:tc>
      </w:tr>
      <w:tr>
        <w:trPr>
          <w:trHeight w:val="396" w:hRule="exact"/>
        </w:trPr>
        <w:tc>
          <w:tcPr>
            <w:tcW w:w="341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9"/>
              <w:ind w:left="213" w:right="0"/>
              <w:jc w:val="left"/>
              <w:rPr>
                <w:rFonts w:ascii="宋体" w:hAnsi="宋体" w:cs="宋体" w:eastAsia="宋体" w:hint="default"/>
                <w:sz w:val="18"/>
                <w:szCs w:val="18"/>
              </w:rPr>
            </w:pPr>
            <w:r>
              <w:rPr>
                <w:rFonts w:ascii="宋体" w:hAnsi="宋体" w:cs="宋体" w:eastAsia="宋体" w:hint="default"/>
                <w:sz w:val="18"/>
                <w:szCs w:val="18"/>
              </w:rPr>
              <w:t>降旗显英</w:t>
            </w:r>
          </w:p>
        </w:tc>
        <w:tc>
          <w:tcPr>
            <w:tcW w:w="8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出租人</w:t>
            </w:r>
          </w:p>
        </w:tc>
        <w:tc>
          <w:tcPr>
            <w:tcW w:w="114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left="223" w:right="0"/>
              <w:jc w:val="left"/>
              <w:rPr>
                <w:rFonts w:ascii="Times New Roman" w:hAnsi="Times New Roman" w:cs="Times New Roman" w:eastAsia="Times New Roman" w:hint="default"/>
                <w:sz w:val="18"/>
                <w:szCs w:val="18"/>
              </w:rPr>
            </w:pPr>
            <w:r>
              <w:rPr>
                <w:rFonts w:ascii="Times New Roman"/>
                <w:sz w:val="18"/>
              </w:rPr>
              <w:t>237,806.97</w:t>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5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1.73</w:t>
            </w:r>
          </w:p>
        </w:tc>
        <w:tc>
          <w:tcPr>
            <w:tcW w:w="144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房租押金</w:t>
            </w:r>
          </w:p>
        </w:tc>
      </w:tr>
    </w:tbl>
    <w:p>
      <w:pPr>
        <w:spacing w:line="240" w:lineRule="auto" w:before="3"/>
        <w:rPr>
          <w:rFonts w:ascii="宋体" w:hAnsi="宋体" w:cs="宋体" w:eastAsia="宋体" w:hint="default"/>
          <w:b/>
          <w:bCs/>
          <w:sz w:val="28"/>
          <w:szCs w:val="28"/>
        </w:rPr>
      </w:pPr>
    </w:p>
    <w:p>
      <w:pPr>
        <w:tabs>
          <w:tab w:pos="1395" w:val="left" w:leader="none"/>
        </w:tabs>
        <w:spacing w:before="36"/>
        <w:ind w:left="85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tab/>
        <w:t>期末无应收关联方账款情况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tabs>
          <w:tab w:pos="980" w:val="left" w:leader="none"/>
        </w:tabs>
        <w:spacing w:before="157"/>
        <w:ind w:left="140"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六</w:t>
      </w:r>
      <w:r>
        <w:rPr>
          <w:rFonts w:ascii="宋体" w:hAnsi="宋体" w:cs="宋体" w:eastAsia="宋体" w:hint="default"/>
          <w:b/>
          <w:bCs/>
          <w:spacing w:val="-1"/>
          <w:sz w:val="21"/>
          <w:szCs w:val="21"/>
        </w:rPr>
        <w:t>)</w:t>
        <w:tab/>
      </w:r>
      <w:r>
        <w:rPr>
          <w:rFonts w:ascii="宋体" w:hAnsi="宋体" w:cs="宋体" w:eastAsia="宋体" w:hint="default"/>
          <w:b/>
          <w:bCs/>
          <w:sz w:val="21"/>
          <w:szCs w:val="21"/>
        </w:rPr>
        <w:t>预付款项</w:t>
      </w:r>
      <w:r>
        <w:rPr>
          <w:rFonts w:ascii="宋体" w:hAnsi="宋体" w:cs="宋体" w:eastAsia="宋体" w:hint="default"/>
          <w:sz w:val="21"/>
          <w:szCs w:val="21"/>
        </w:rPr>
      </w:r>
    </w:p>
    <w:p>
      <w:pPr>
        <w:tabs>
          <w:tab w:pos="1395" w:val="left" w:leader="none"/>
        </w:tabs>
        <w:spacing w:before="142"/>
        <w:ind w:left="85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tab/>
        <w:t>预付款项按账龄列示</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711" w:type="dxa"/>
        <w:tblLayout w:type="fixed"/>
        <w:tblCellMar>
          <w:top w:w="0" w:type="dxa"/>
          <w:left w:w="0" w:type="dxa"/>
          <w:bottom w:w="0" w:type="dxa"/>
          <w:right w:w="0" w:type="dxa"/>
        </w:tblCellMar>
        <w:tblLook w:val="01E0"/>
      </w:tblPr>
      <w:tblGrid>
        <w:gridCol w:w="1966"/>
        <w:gridCol w:w="1985"/>
        <w:gridCol w:w="1632"/>
        <w:gridCol w:w="1981"/>
        <w:gridCol w:w="1279"/>
      </w:tblGrid>
      <w:tr>
        <w:trPr>
          <w:trHeight w:val="394" w:hRule="exact"/>
        </w:trPr>
        <w:tc>
          <w:tcPr>
            <w:tcW w:w="1966" w:type="dxa"/>
            <w:vMerge w:val="restart"/>
            <w:tcBorders>
              <w:top w:val="single" w:sz="12" w:space="0" w:color="000000"/>
              <w:left w:val="nil" w:sz="6" w:space="0" w:color="auto"/>
              <w:right w:val="dotted"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617"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0"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39"/>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4" w:hRule="exact"/>
        </w:trPr>
        <w:tc>
          <w:tcPr>
            <w:tcW w:w="1966" w:type="dxa"/>
            <w:vMerge/>
            <w:tcBorders>
              <w:left w:val="nil" w:sz="6" w:space="0" w:color="auto"/>
              <w:bottom w:val="dotted" w:sz="4" w:space="0" w:color="000000"/>
              <w:right w:val="dotted" w:sz="4" w:space="0" w:color="000000"/>
            </w:tcBorders>
          </w:tcPr>
          <w:p>
            <w:pP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49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9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6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84" w:hRule="exact"/>
        </w:trPr>
        <w:tc>
          <w:tcPr>
            <w:tcW w:w="19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9,806,457.52</w:t>
            </w:r>
          </w:p>
        </w:tc>
        <w:tc>
          <w:tcPr>
            <w:tcW w:w="16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9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4,534,626.70</w:t>
            </w:r>
          </w:p>
        </w:tc>
        <w:tc>
          <w:tcPr>
            <w:tcW w:w="12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196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9,806,457.52</w:t>
            </w:r>
          </w:p>
        </w:tc>
        <w:tc>
          <w:tcPr>
            <w:tcW w:w="16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98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4,534,626.70</w:t>
            </w:r>
          </w:p>
        </w:tc>
        <w:tc>
          <w:tcPr>
            <w:tcW w:w="127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tabs>
          <w:tab w:pos="1395" w:val="left" w:leader="none"/>
        </w:tabs>
        <w:spacing w:before="36"/>
        <w:ind w:left="85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t>预付款项金额前五名单位情况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tbl>
      <w:tblPr>
        <w:tblW w:w="0" w:type="auto"/>
        <w:jc w:val="left"/>
        <w:tblInd w:w="661" w:type="dxa"/>
        <w:tblLayout w:type="fixed"/>
        <w:tblCellMar>
          <w:top w:w="0" w:type="dxa"/>
          <w:left w:w="0" w:type="dxa"/>
          <w:bottom w:w="0" w:type="dxa"/>
          <w:right w:w="0" w:type="dxa"/>
        </w:tblCellMar>
        <w:tblLook w:val="01E0"/>
      </w:tblPr>
      <w:tblGrid>
        <w:gridCol w:w="3037"/>
        <w:gridCol w:w="1575"/>
        <w:gridCol w:w="1260"/>
        <w:gridCol w:w="946"/>
        <w:gridCol w:w="1155"/>
      </w:tblGrid>
      <w:tr>
        <w:trPr>
          <w:trHeight w:val="394" w:hRule="exact"/>
        </w:trPr>
        <w:tc>
          <w:tcPr>
            <w:tcW w:w="303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9"/>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7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24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2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94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15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9"/>
              <w:ind w:left="120"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84" w:hRule="exact"/>
        </w:trPr>
        <w:tc>
          <w:tcPr>
            <w:tcW w:w="30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武汉光谷软件园有限公司</w:t>
            </w:r>
          </w:p>
        </w:tc>
        <w:tc>
          <w:tcPr>
            <w:tcW w:w="15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z w:val="18"/>
                <w:szCs w:val="18"/>
              </w:rPr>
              <w:t>房屋出售方</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98" w:right="0"/>
              <w:jc w:val="center"/>
              <w:rPr>
                <w:rFonts w:ascii="Times New Roman" w:hAnsi="Times New Roman" w:cs="Times New Roman" w:eastAsia="Times New Roman" w:hint="default"/>
                <w:sz w:val="18"/>
                <w:szCs w:val="18"/>
              </w:rPr>
            </w:pPr>
            <w:r>
              <w:rPr>
                <w:rFonts w:ascii="Times New Roman"/>
                <w:sz w:val="18"/>
              </w:rPr>
              <w:t>4,882,350.30</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396" w:hRule="exact"/>
        </w:trPr>
        <w:tc>
          <w:tcPr>
            <w:tcW w:w="30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pacing w:val="-5"/>
                <w:sz w:val="18"/>
                <w:szCs w:val="18"/>
              </w:rPr>
              <w:t>思爱普（北京）软件系统有限公司上</w:t>
            </w:r>
          </w:p>
        </w:tc>
        <w:tc>
          <w:tcPr>
            <w:tcW w:w="15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2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4"/>
              <w:ind w:left="98" w:right="0"/>
              <w:jc w:val="center"/>
              <w:rPr>
                <w:rFonts w:ascii="Times New Roman" w:hAnsi="Times New Roman" w:cs="Times New Roman" w:eastAsia="Times New Roman" w:hint="default"/>
                <w:sz w:val="18"/>
                <w:szCs w:val="18"/>
              </w:rPr>
            </w:pPr>
            <w:r>
              <w:rPr>
                <w:rFonts w:ascii="Times New Roman"/>
                <w:sz w:val="18"/>
              </w:rPr>
              <w:t>2,842,868.88</w:t>
            </w:r>
          </w:p>
        </w:tc>
        <w:tc>
          <w:tcPr>
            <w:tcW w:w="9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1"/>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5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尚未结算</w:t>
            </w:r>
          </w:p>
        </w:tc>
      </w:tr>
    </w:tbl>
    <w:p>
      <w:pPr>
        <w:spacing w:after="0" w:line="240" w:lineRule="auto"/>
        <w:jc w:val="left"/>
        <w:rPr>
          <w:rFonts w:ascii="宋体" w:hAnsi="宋体" w:cs="宋体" w:eastAsia="宋体" w:hint="default"/>
          <w:sz w:val="18"/>
          <w:szCs w:val="18"/>
        </w:rPr>
        <w:sectPr>
          <w:pgSz w:w="11910" w:h="16840"/>
          <w:pgMar w:header="0" w:footer="980" w:top="1140" w:bottom="1160" w:left="1660" w:right="520"/>
        </w:sectPr>
      </w:pPr>
    </w:p>
    <w:p>
      <w:pPr>
        <w:spacing w:line="240" w:lineRule="auto" w:before="6"/>
        <w:rPr>
          <w:rFonts w:ascii="宋体" w:hAnsi="宋体" w:cs="宋体" w:eastAsia="宋体" w:hint="default"/>
          <w:b/>
          <w:bCs/>
          <w:sz w:val="21"/>
          <w:szCs w:val="21"/>
        </w:rPr>
      </w:pPr>
    </w:p>
    <w:tbl>
      <w:tblPr>
        <w:tblW w:w="0" w:type="auto"/>
        <w:jc w:val="left"/>
        <w:tblInd w:w="661" w:type="dxa"/>
        <w:tblLayout w:type="fixed"/>
        <w:tblCellMar>
          <w:top w:w="0" w:type="dxa"/>
          <w:left w:w="0" w:type="dxa"/>
          <w:bottom w:w="0" w:type="dxa"/>
          <w:right w:w="0" w:type="dxa"/>
        </w:tblCellMar>
        <w:tblLook w:val="01E0"/>
      </w:tblPr>
      <w:tblGrid>
        <w:gridCol w:w="3037"/>
        <w:gridCol w:w="1575"/>
        <w:gridCol w:w="1260"/>
        <w:gridCol w:w="946"/>
        <w:gridCol w:w="1155"/>
      </w:tblGrid>
      <w:tr>
        <w:trPr>
          <w:trHeight w:val="394" w:hRule="exact"/>
        </w:trPr>
        <w:tc>
          <w:tcPr>
            <w:tcW w:w="303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海分公司</w:t>
            </w:r>
          </w:p>
        </w:tc>
        <w:tc>
          <w:tcPr>
            <w:tcW w:w="1575" w:type="dxa"/>
            <w:tcBorders>
              <w:top w:val="single" w:sz="12" w:space="0" w:color="000000"/>
              <w:left w:val="dotted" w:sz="4" w:space="0" w:color="000000"/>
              <w:bottom w:val="dotted" w:sz="4" w:space="0" w:color="000000"/>
              <w:right w:val="dotted" w:sz="4" w:space="0" w:color="000000"/>
            </w:tcBorders>
          </w:tcPr>
          <w:p>
            <w:pPr/>
          </w:p>
        </w:tc>
        <w:tc>
          <w:tcPr>
            <w:tcW w:w="1260" w:type="dxa"/>
            <w:tcBorders>
              <w:top w:val="single" w:sz="12" w:space="0" w:color="000000"/>
              <w:left w:val="dotted" w:sz="4" w:space="0" w:color="000000"/>
              <w:bottom w:val="dotted" w:sz="4" w:space="0" w:color="000000"/>
              <w:right w:val="dotted" w:sz="4" w:space="0" w:color="000000"/>
            </w:tcBorders>
          </w:tcPr>
          <w:p>
            <w:pPr/>
          </w:p>
        </w:tc>
        <w:tc>
          <w:tcPr>
            <w:tcW w:w="946" w:type="dxa"/>
            <w:tcBorders>
              <w:top w:val="single" w:sz="12" w:space="0" w:color="000000"/>
              <w:left w:val="dotted" w:sz="4" w:space="0" w:color="000000"/>
              <w:bottom w:val="dotted" w:sz="4" w:space="0" w:color="000000"/>
              <w:right w:val="dotted" w:sz="4" w:space="0" w:color="000000"/>
            </w:tcBorders>
          </w:tcPr>
          <w:p>
            <w:pPr/>
          </w:p>
        </w:tc>
        <w:tc>
          <w:tcPr>
            <w:tcW w:w="1155" w:type="dxa"/>
            <w:tcBorders>
              <w:top w:val="single" w:sz="12" w:space="0" w:color="000000"/>
              <w:left w:val="dotted" w:sz="4" w:space="0" w:color="000000"/>
              <w:bottom w:val="dotted" w:sz="4" w:space="0" w:color="000000"/>
              <w:right w:val="nil" w:sz="6" w:space="0" w:color="auto"/>
            </w:tcBorders>
          </w:tcPr>
          <w:p>
            <w:pPr/>
          </w:p>
        </w:tc>
      </w:tr>
      <w:tr>
        <w:trPr>
          <w:trHeight w:val="387" w:hRule="exact"/>
        </w:trPr>
        <w:tc>
          <w:tcPr>
            <w:tcW w:w="30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上海青浦区汉得培训学校</w:t>
            </w:r>
          </w:p>
        </w:tc>
        <w:tc>
          <w:tcPr>
            <w:tcW w:w="15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2"/>
              <w:ind w:left="100" w:right="0"/>
              <w:jc w:val="left"/>
              <w:rPr>
                <w:rFonts w:ascii="宋体" w:hAnsi="宋体" w:cs="宋体" w:eastAsia="宋体" w:hint="default"/>
                <w:sz w:val="18"/>
                <w:szCs w:val="18"/>
              </w:rPr>
            </w:pPr>
            <w:r>
              <w:rPr>
                <w:rFonts w:ascii="宋体" w:hAnsi="宋体" w:cs="宋体" w:eastAsia="宋体" w:hint="default"/>
                <w:sz w:val="18"/>
                <w:szCs w:val="18"/>
              </w:rPr>
              <w:t>待成立的子公司</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2"/>
              <w:ind w:left="100" w:right="0"/>
              <w:jc w:val="left"/>
              <w:rPr>
                <w:rFonts w:ascii="宋体" w:hAnsi="宋体" w:cs="宋体" w:eastAsia="宋体" w:hint="default"/>
                <w:sz w:val="18"/>
                <w:szCs w:val="18"/>
              </w:rPr>
            </w:pPr>
            <w:r>
              <w:rPr>
                <w:rFonts w:ascii="宋体" w:hAnsi="宋体" w:cs="宋体" w:eastAsia="宋体" w:hint="default"/>
                <w:sz w:val="18"/>
                <w:szCs w:val="18"/>
              </w:rPr>
              <w:t>手续办理中</w:t>
            </w:r>
          </w:p>
        </w:tc>
      </w:tr>
      <w:tr>
        <w:trPr>
          <w:trHeight w:val="384" w:hRule="exact"/>
        </w:trPr>
        <w:tc>
          <w:tcPr>
            <w:tcW w:w="30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甲骨文</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软件系统有限公司</w:t>
            </w:r>
          </w:p>
        </w:tc>
        <w:tc>
          <w:tcPr>
            <w:tcW w:w="15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950,781.47</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384" w:hRule="exact"/>
        </w:trPr>
        <w:tc>
          <w:tcPr>
            <w:tcW w:w="30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上海乾利合实业有限公司</w:t>
            </w:r>
          </w:p>
        </w:tc>
        <w:tc>
          <w:tcPr>
            <w:tcW w:w="15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z w:val="18"/>
                <w:szCs w:val="18"/>
              </w:rPr>
              <w:t>房屋出租方</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169,846.70</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396" w:hRule="exact"/>
        </w:trPr>
        <w:tc>
          <w:tcPr>
            <w:tcW w:w="30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9"/>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75" w:type="dxa"/>
            <w:tcBorders>
              <w:top w:val="dotted" w:sz="4" w:space="0" w:color="000000"/>
              <w:left w:val="dotted" w:sz="4" w:space="0" w:color="000000"/>
              <w:bottom w:val="single" w:sz="12" w:space="0" w:color="000000"/>
              <w:right w:val="dotted" w:sz="4" w:space="0" w:color="000000"/>
            </w:tcBorders>
          </w:tcPr>
          <w:p>
            <w:pPr/>
          </w:p>
        </w:tc>
        <w:tc>
          <w:tcPr>
            <w:tcW w:w="12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9,845,847.35</w:t>
            </w:r>
          </w:p>
        </w:tc>
        <w:tc>
          <w:tcPr>
            <w:tcW w:w="946" w:type="dxa"/>
            <w:tcBorders>
              <w:top w:val="dotted" w:sz="4" w:space="0" w:color="000000"/>
              <w:left w:val="dotted" w:sz="4" w:space="0" w:color="000000"/>
              <w:bottom w:val="single" w:sz="12" w:space="0" w:color="000000"/>
              <w:right w:val="dotted" w:sz="4" w:space="0" w:color="000000"/>
            </w:tcBorders>
          </w:tcPr>
          <w:p>
            <w:pPr/>
          </w:p>
        </w:tc>
        <w:tc>
          <w:tcPr>
            <w:tcW w:w="1155"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2"/>
          <w:szCs w:val="22"/>
        </w:rPr>
      </w:pPr>
    </w:p>
    <w:p>
      <w:pPr>
        <w:tabs>
          <w:tab w:pos="1395" w:val="left" w:leader="none"/>
        </w:tabs>
        <w:spacing w:before="36"/>
        <w:ind w:left="85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tab/>
        <w:t>期末预付款项中无持本公司</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tabs>
          <w:tab w:pos="980" w:val="left" w:leader="none"/>
        </w:tabs>
        <w:spacing w:before="157"/>
        <w:ind w:left="140"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七</w:t>
      </w:r>
      <w:r>
        <w:rPr>
          <w:rFonts w:ascii="宋体" w:hAnsi="宋体" w:cs="宋体" w:eastAsia="宋体" w:hint="default"/>
          <w:b/>
          <w:bCs/>
          <w:spacing w:val="-1"/>
          <w:sz w:val="21"/>
          <w:szCs w:val="21"/>
        </w:rPr>
        <w:t>)</w:t>
        <w:tab/>
      </w:r>
      <w:r>
        <w:rPr>
          <w:rFonts w:ascii="宋体" w:hAnsi="宋体" w:cs="宋体" w:eastAsia="宋体" w:hint="default"/>
          <w:b/>
          <w:bCs/>
          <w:sz w:val="21"/>
          <w:szCs w:val="21"/>
        </w:rPr>
        <w:t>存货</w:t>
      </w:r>
      <w:r>
        <w:rPr>
          <w:rFonts w:ascii="宋体" w:hAnsi="宋体" w:cs="宋体" w:eastAsia="宋体" w:hint="default"/>
          <w:sz w:val="21"/>
          <w:szCs w:val="21"/>
        </w:rPr>
      </w:r>
    </w:p>
    <w:p>
      <w:pPr>
        <w:tabs>
          <w:tab w:pos="1395" w:val="left" w:leader="none"/>
        </w:tabs>
        <w:spacing w:before="142"/>
        <w:ind w:left="85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tab/>
        <w:t>存货分类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711" w:type="dxa"/>
        <w:tblLayout w:type="fixed"/>
        <w:tblCellMar>
          <w:top w:w="0" w:type="dxa"/>
          <w:left w:w="0" w:type="dxa"/>
          <w:bottom w:w="0" w:type="dxa"/>
          <w:right w:w="0" w:type="dxa"/>
        </w:tblCellMar>
        <w:tblLook w:val="01E0"/>
      </w:tblPr>
      <w:tblGrid>
        <w:gridCol w:w="1562"/>
        <w:gridCol w:w="961"/>
        <w:gridCol w:w="994"/>
        <w:gridCol w:w="992"/>
        <w:gridCol w:w="1102"/>
        <w:gridCol w:w="1135"/>
        <w:gridCol w:w="1133"/>
      </w:tblGrid>
      <w:tr>
        <w:trPr>
          <w:trHeight w:val="394" w:hRule="exact"/>
        </w:trPr>
        <w:tc>
          <w:tcPr>
            <w:tcW w:w="1562" w:type="dxa"/>
            <w:vMerge w:val="restart"/>
            <w:tcBorders>
              <w:top w:val="single" w:sz="12" w:space="0" w:color="000000"/>
              <w:left w:val="nil" w:sz="6" w:space="0" w:color="auto"/>
              <w:right w:val="dotted"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46"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70"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39"/>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4" w:hRule="exact"/>
        </w:trPr>
        <w:tc>
          <w:tcPr>
            <w:tcW w:w="1562" w:type="dxa"/>
            <w:vMerge/>
            <w:tcBorders>
              <w:left w:val="nil" w:sz="6" w:space="0" w:color="auto"/>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2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20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20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84" w:hRule="exact"/>
        </w:trPr>
        <w:tc>
          <w:tcPr>
            <w:tcW w:w="15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961"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992" w:type="dxa"/>
            <w:tcBorders>
              <w:top w:val="dotted" w:sz="4" w:space="0" w:color="000000"/>
              <w:left w:val="dotted" w:sz="4" w:space="0" w:color="000000"/>
              <w:bottom w:val="dotted" w:sz="4" w:space="0" w:color="000000"/>
              <w:right w:val="dotted" w:sz="4" w:space="0" w:color="000000"/>
            </w:tcBorders>
          </w:tcPr>
          <w:p>
            <w:pPr/>
          </w:p>
        </w:tc>
        <w:tc>
          <w:tcPr>
            <w:tcW w:w="11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177" w:right="0"/>
              <w:jc w:val="left"/>
              <w:rPr>
                <w:rFonts w:ascii="Times New Roman" w:hAnsi="Times New Roman" w:cs="Times New Roman" w:eastAsia="Times New Roman" w:hint="default"/>
                <w:sz w:val="18"/>
                <w:szCs w:val="18"/>
              </w:rPr>
            </w:pPr>
            <w:r>
              <w:rPr>
                <w:rFonts w:ascii="Times New Roman"/>
                <w:sz w:val="18"/>
              </w:rPr>
              <w:t>918,012.92</w:t>
            </w:r>
          </w:p>
        </w:tc>
        <w:tc>
          <w:tcPr>
            <w:tcW w:w="1135"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left="209" w:right="0"/>
              <w:jc w:val="left"/>
              <w:rPr>
                <w:rFonts w:ascii="Times New Roman" w:hAnsi="Times New Roman" w:cs="Times New Roman" w:eastAsia="Times New Roman" w:hint="default"/>
                <w:sz w:val="18"/>
                <w:szCs w:val="18"/>
              </w:rPr>
            </w:pPr>
            <w:r>
              <w:rPr>
                <w:rFonts w:ascii="Times New Roman"/>
                <w:sz w:val="18"/>
              </w:rPr>
              <w:t>918,012.92</w:t>
            </w:r>
          </w:p>
        </w:tc>
      </w:tr>
      <w:tr>
        <w:trPr>
          <w:trHeight w:val="396" w:hRule="exact"/>
        </w:trPr>
        <w:tc>
          <w:tcPr>
            <w:tcW w:w="156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61" w:type="dxa"/>
            <w:tcBorders>
              <w:top w:val="dotted" w:sz="4" w:space="0" w:color="000000"/>
              <w:left w:val="dotted" w:sz="4" w:space="0" w:color="000000"/>
              <w:bottom w:val="single" w:sz="12" w:space="0" w:color="000000"/>
              <w:right w:val="dotted" w:sz="4" w:space="0" w:color="000000"/>
            </w:tcBorders>
          </w:tcPr>
          <w:p>
            <w:pPr/>
          </w:p>
        </w:tc>
        <w:tc>
          <w:tcPr>
            <w:tcW w:w="994" w:type="dxa"/>
            <w:tcBorders>
              <w:top w:val="dotted" w:sz="4" w:space="0" w:color="000000"/>
              <w:left w:val="dotted" w:sz="4" w:space="0" w:color="000000"/>
              <w:bottom w:val="single" w:sz="12" w:space="0" w:color="000000"/>
              <w:right w:val="dotted" w:sz="4" w:space="0" w:color="000000"/>
            </w:tcBorders>
          </w:tcPr>
          <w:p>
            <w:pPr/>
          </w:p>
        </w:tc>
        <w:tc>
          <w:tcPr>
            <w:tcW w:w="992" w:type="dxa"/>
            <w:tcBorders>
              <w:top w:val="dotted" w:sz="4" w:space="0" w:color="000000"/>
              <w:left w:val="dotted" w:sz="4" w:space="0" w:color="000000"/>
              <w:bottom w:val="single" w:sz="12" w:space="0" w:color="000000"/>
              <w:right w:val="dotted" w:sz="4" w:space="0" w:color="000000"/>
            </w:tcBorders>
          </w:tcPr>
          <w:p>
            <w:pPr/>
          </w:p>
        </w:tc>
        <w:tc>
          <w:tcPr>
            <w:tcW w:w="11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4"/>
              <w:ind w:left="177" w:right="0"/>
              <w:jc w:val="left"/>
              <w:rPr>
                <w:rFonts w:ascii="Times New Roman" w:hAnsi="Times New Roman" w:cs="Times New Roman" w:eastAsia="Times New Roman" w:hint="default"/>
                <w:sz w:val="18"/>
                <w:szCs w:val="18"/>
              </w:rPr>
            </w:pPr>
            <w:r>
              <w:rPr>
                <w:rFonts w:ascii="Times New Roman"/>
                <w:sz w:val="18"/>
              </w:rPr>
              <w:t>918,012.92</w:t>
            </w:r>
          </w:p>
        </w:tc>
        <w:tc>
          <w:tcPr>
            <w:tcW w:w="1135" w:type="dxa"/>
            <w:tcBorders>
              <w:top w:val="dotted" w:sz="4" w:space="0" w:color="000000"/>
              <w:left w:val="dotted" w:sz="4" w:space="0" w:color="000000"/>
              <w:bottom w:val="single" w:sz="12" w:space="0" w:color="000000"/>
              <w:right w:val="dotted" w:sz="4" w:space="0" w:color="000000"/>
            </w:tcBorders>
          </w:tcPr>
          <w:p>
            <w:pPr/>
          </w:p>
        </w:tc>
        <w:tc>
          <w:tcPr>
            <w:tcW w:w="11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4"/>
              <w:ind w:left="209" w:right="0"/>
              <w:jc w:val="left"/>
              <w:rPr>
                <w:rFonts w:ascii="Times New Roman" w:hAnsi="Times New Roman" w:cs="Times New Roman" w:eastAsia="Times New Roman" w:hint="default"/>
                <w:sz w:val="18"/>
                <w:szCs w:val="18"/>
              </w:rPr>
            </w:pPr>
            <w:r>
              <w:rPr>
                <w:rFonts w:ascii="Times New Roman"/>
                <w:sz w:val="18"/>
              </w:rPr>
              <w:t>918,012.92</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tabs>
          <w:tab w:pos="980" w:val="left" w:leader="none"/>
          <w:tab w:pos="1395" w:val="left" w:leader="none"/>
        </w:tabs>
        <w:spacing w:line="588" w:lineRule="auto" w:before="36"/>
        <w:ind w:left="140" w:right="5361" w:firstLine="717"/>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1"/>
          <w:sz w:val="21"/>
          <w:szCs w:val="21"/>
        </w:rPr>
        <w:t>期末无存货跌价的情况</w:t>
      </w:r>
      <w:r>
        <w:rPr>
          <w:rFonts w:ascii="宋体" w:hAnsi="宋体" w:cs="宋体" w:eastAsia="宋体" w:hint="default"/>
          <w:b/>
          <w:bCs/>
          <w:spacing w:val="-3"/>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八</w:t>
      </w:r>
      <w:r>
        <w:rPr>
          <w:rFonts w:ascii="宋体" w:hAnsi="宋体" w:cs="宋体" w:eastAsia="宋体" w:hint="default"/>
          <w:b/>
          <w:bCs/>
          <w:spacing w:val="-1"/>
          <w:sz w:val="21"/>
          <w:szCs w:val="21"/>
        </w:rPr>
        <w:t>)</w:t>
        <w:tab/>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2"/>
        <w:rPr>
          <w:rFonts w:ascii="宋体" w:hAnsi="宋体" w:cs="宋体" w:eastAsia="宋体" w:hint="default"/>
          <w:b/>
          <w:bCs/>
          <w:sz w:val="15"/>
          <w:szCs w:val="15"/>
        </w:rPr>
      </w:pPr>
    </w:p>
    <w:p>
      <w:pPr>
        <w:spacing w:before="0"/>
        <w:ind w:left="858" w:right="0" w:firstLine="0"/>
        <w:jc w:val="left"/>
        <w:rPr>
          <w:rFonts w:ascii="宋体" w:hAnsi="宋体" w:cs="宋体" w:eastAsia="宋体" w:hint="default"/>
          <w:sz w:val="21"/>
          <w:szCs w:val="21"/>
        </w:rPr>
      </w:pP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0"/>
          <w:szCs w:val="10"/>
        </w:rPr>
      </w:pPr>
    </w:p>
    <w:tbl>
      <w:tblPr>
        <w:tblW w:w="0" w:type="auto"/>
        <w:jc w:val="left"/>
        <w:tblInd w:w="711" w:type="dxa"/>
        <w:tblLayout w:type="fixed"/>
        <w:tblCellMar>
          <w:top w:w="0" w:type="dxa"/>
          <w:left w:w="0" w:type="dxa"/>
          <w:bottom w:w="0" w:type="dxa"/>
          <w:right w:w="0" w:type="dxa"/>
        </w:tblCellMar>
        <w:tblLook w:val="01E0"/>
      </w:tblPr>
      <w:tblGrid>
        <w:gridCol w:w="1957"/>
        <w:gridCol w:w="1277"/>
        <w:gridCol w:w="1013"/>
        <w:gridCol w:w="1212"/>
        <w:gridCol w:w="1274"/>
        <w:gridCol w:w="1277"/>
      </w:tblGrid>
      <w:tr>
        <w:trPr>
          <w:trHeight w:val="394" w:hRule="exact"/>
        </w:trPr>
        <w:tc>
          <w:tcPr>
            <w:tcW w:w="195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9"/>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27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225"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27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27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9"/>
              <w:ind w:left="27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84" w:hRule="exact"/>
        </w:trPr>
        <w:tc>
          <w:tcPr>
            <w:tcW w:w="1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8,939,631.30</w:t>
            </w:r>
          </w:p>
        </w:tc>
        <w:tc>
          <w:tcPr>
            <w:tcW w:w="222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1166" w:right="0"/>
              <w:jc w:val="left"/>
              <w:rPr>
                <w:rFonts w:ascii="Times New Roman" w:hAnsi="Times New Roman" w:cs="Times New Roman" w:eastAsia="Times New Roman" w:hint="default"/>
                <w:sz w:val="18"/>
                <w:szCs w:val="18"/>
              </w:rPr>
            </w:pPr>
            <w:r>
              <w:rPr>
                <w:rFonts w:ascii="Times New Roman"/>
                <w:sz w:val="18"/>
              </w:rPr>
              <w:t>7,350,180.61</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1,372,240.76</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14,917,571.15</w:t>
            </w:r>
          </w:p>
        </w:tc>
      </w:tr>
      <w:tr>
        <w:trPr>
          <w:trHeight w:val="384" w:hRule="exact"/>
        </w:trPr>
        <w:tc>
          <w:tcPr>
            <w:tcW w:w="1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277" w:type="dxa"/>
            <w:tcBorders>
              <w:top w:val="dotted" w:sz="4" w:space="0" w:color="000000"/>
              <w:left w:val="dotted" w:sz="4" w:space="0" w:color="000000"/>
              <w:bottom w:val="dotted" w:sz="4" w:space="0" w:color="000000"/>
              <w:right w:val="dotted" w:sz="4" w:space="0" w:color="000000"/>
            </w:tcBorders>
          </w:tcPr>
          <w:p>
            <w:pPr/>
          </w:p>
        </w:tc>
        <w:tc>
          <w:tcPr>
            <w:tcW w:w="2225" w:type="dxa"/>
            <w:gridSpan w:val="2"/>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386" w:hRule="exact"/>
        </w:trPr>
        <w:tc>
          <w:tcPr>
            <w:tcW w:w="1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63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782,617.92</w:t>
            </w:r>
          </w:p>
        </w:tc>
        <w:tc>
          <w:tcPr>
            <w:tcW w:w="222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left="1301" w:right="0"/>
              <w:jc w:val="left"/>
              <w:rPr>
                <w:rFonts w:ascii="Times New Roman" w:hAnsi="Times New Roman" w:cs="Times New Roman" w:eastAsia="Times New Roman" w:hint="default"/>
                <w:sz w:val="18"/>
                <w:szCs w:val="18"/>
              </w:rPr>
            </w:pPr>
            <w:r>
              <w:rPr>
                <w:rFonts w:ascii="Times New Roman"/>
                <w:sz w:val="18"/>
              </w:rPr>
              <w:t>309,958.34</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88,237.00</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1,004,339.26</w:t>
            </w:r>
          </w:p>
        </w:tc>
      </w:tr>
      <w:tr>
        <w:trPr>
          <w:trHeight w:val="384" w:hRule="exact"/>
        </w:trPr>
        <w:tc>
          <w:tcPr>
            <w:tcW w:w="1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63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827,321.00</w:t>
            </w:r>
          </w:p>
        </w:tc>
        <w:tc>
          <w:tcPr>
            <w:tcW w:w="222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1301" w:right="0"/>
              <w:jc w:val="left"/>
              <w:rPr>
                <w:rFonts w:ascii="Times New Roman" w:hAnsi="Times New Roman" w:cs="Times New Roman" w:eastAsia="Times New Roman" w:hint="default"/>
                <w:sz w:val="18"/>
                <w:szCs w:val="18"/>
              </w:rPr>
            </w:pPr>
            <w:r>
              <w:rPr>
                <w:rFonts w:ascii="Times New Roman"/>
                <w:sz w:val="18"/>
              </w:rPr>
              <w:t>402,700.00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1,230,021.00</w:t>
            </w:r>
          </w:p>
        </w:tc>
      </w:tr>
      <w:tr>
        <w:trPr>
          <w:trHeight w:val="384" w:hRule="exact"/>
        </w:trPr>
        <w:tc>
          <w:tcPr>
            <w:tcW w:w="1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63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7,329,692.38</w:t>
            </w:r>
          </w:p>
        </w:tc>
        <w:tc>
          <w:tcPr>
            <w:tcW w:w="222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1166" w:right="0"/>
              <w:jc w:val="left"/>
              <w:rPr>
                <w:rFonts w:ascii="Times New Roman" w:hAnsi="Times New Roman" w:cs="Times New Roman" w:eastAsia="Times New Roman" w:hint="default"/>
                <w:sz w:val="18"/>
                <w:szCs w:val="18"/>
              </w:rPr>
            </w:pPr>
            <w:r>
              <w:rPr>
                <w:rFonts w:ascii="Times New Roman"/>
                <w:sz w:val="18"/>
              </w:rPr>
              <w:t>6,637,522.27</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1,284,003.76</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12,683,210.89</w:t>
            </w:r>
          </w:p>
        </w:tc>
      </w:tr>
      <w:tr>
        <w:trPr>
          <w:trHeight w:val="384" w:hRule="exact"/>
        </w:trPr>
        <w:tc>
          <w:tcPr>
            <w:tcW w:w="1957" w:type="dxa"/>
            <w:tcBorders>
              <w:top w:val="dotted" w:sz="4" w:space="0" w:color="000000"/>
              <w:left w:val="nil" w:sz="6" w:space="0" w:color="auto"/>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0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41"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2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23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1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5,053,578.78</w:t>
            </w:r>
          </w:p>
        </w:tc>
        <w:tc>
          <w:tcPr>
            <w:tcW w:w="1013"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2,756,379.14</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1,065,052.99</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6,744,904.93</w:t>
            </w:r>
          </w:p>
        </w:tc>
      </w:tr>
      <w:tr>
        <w:trPr>
          <w:trHeight w:val="385" w:hRule="exact"/>
        </w:trPr>
        <w:tc>
          <w:tcPr>
            <w:tcW w:w="1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0"/>
              <w:ind w:left="1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277" w:type="dxa"/>
            <w:tcBorders>
              <w:top w:val="dotted" w:sz="4" w:space="0" w:color="000000"/>
              <w:left w:val="dotted" w:sz="4" w:space="0" w:color="000000"/>
              <w:bottom w:val="dotted" w:sz="4" w:space="0" w:color="000000"/>
              <w:right w:val="dotted" w:sz="4" w:space="0" w:color="000000"/>
            </w:tcBorders>
          </w:tcPr>
          <w:p>
            <w:pPr/>
          </w:p>
        </w:tc>
        <w:tc>
          <w:tcPr>
            <w:tcW w:w="1013"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386" w:hRule="exact"/>
        </w:trPr>
        <w:tc>
          <w:tcPr>
            <w:tcW w:w="1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66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382,390.20</w:t>
            </w:r>
          </w:p>
        </w:tc>
        <w:tc>
          <w:tcPr>
            <w:tcW w:w="1013"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119,717.29</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76,087.71</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426,019.78</w:t>
            </w:r>
          </w:p>
        </w:tc>
      </w:tr>
      <w:tr>
        <w:trPr>
          <w:trHeight w:val="384" w:hRule="exact"/>
        </w:trPr>
        <w:tc>
          <w:tcPr>
            <w:tcW w:w="1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6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393,851.90</w:t>
            </w:r>
          </w:p>
        </w:tc>
        <w:tc>
          <w:tcPr>
            <w:tcW w:w="1013"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167,039.34</w:t>
            </w:r>
          </w:p>
        </w:tc>
        <w:tc>
          <w:tcPr>
            <w:tcW w:w="1274"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560,891.24</w:t>
            </w:r>
          </w:p>
        </w:tc>
      </w:tr>
      <w:tr>
        <w:trPr>
          <w:trHeight w:val="384" w:hRule="exact"/>
        </w:trPr>
        <w:tc>
          <w:tcPr>
            <w:tcW w:w="1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66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4,277,336.68</w:t>
            </w:r>
          </w:p>
        </w:tc>
        <w:tc>
          <w:tcPr>
            <w:tcW w:w="1013"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2,469,622.51</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988,965.28</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5,757,993.91</w:t>
            </w:r>
          </w:p>
        </w:tc>
      </w:tr>
      <w:tr>
        <w:trPr>
          <w:trHeight w:val="470" w:hRule="exact"/>
        </w:trPr>
        <w:tc>
          <w:tcPr>
            <w:tcW w:w="195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75"/>
                <w:sz w:val="18"/>
                <w:szCs w:val="18"/>
              </w:rPr>
              <w:t>、</w:t>
            </w:r>
            <w:r>
              <w:rPr>
                <w:rFonts w:ascii="宋体" w:hAnsi="宋体" w:cs="宋体" w:eastAsia="宋体" w:hint="default"/>
                <w:sz w:val="18"/>
                <w:szCs w:val="18"/>
              </w:rPr>
              <w:t>固定资产账面净值</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3,886,052.52</w:t>
            </w:r>
          </w:p>
        </w:tc>
        <w:tc>
          <w:tcPr>
            <w:tcW w:w="2225" w:type="dxa"/>
            <w:gridSpan w:val="2"/>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0"/>
              <w:ind w:left="1166" w:right="0"/>
              <w:jc w:val="left"/>
              <w:rPr>
                <w:rFonts w:ascii="Times New Roman" w:hAnsi="Times New Roman" w:cs="Times New Roman" w:eastAsia="Times New Roman" w:hint="default"/>
                <w:sz w:val="18"/>
                <w:szCs w:val="18"/>
              </w:rPr>
            </w:pPr>
            <w:r>
              <w:rPr>
                <w:rFonts w:ascii="Times New Roman"/>
                <w:sz w:val="18"/>
              </w:rPr>
              <w:t>7,350,180.61</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3,063,566.91</w:t>
            </w:r>
          </w:p>
        </w:tc>
        <w:tc>
          <w:tcPr>
            <w:tcW w:w="12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8,172,666.22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40" w:bottom="1160" w:left="1660" w:right="1380"/>
        </w:sectPr>
      </w:pPr>
    </w:p>
    <w:p>
      <w:pPr>
        <w:spacing w:line="240" w:lineRule="auto" w:before="6"/>
        <w:rPr>
          <w:rFonts w:ascii="宋体" w:hAnsi="宋体" w:cs="宋体" w:eastAsia="宋体" w:hint="default"/>
          <w:b/>
          <w:bCs/>
          <w:sz w:val="21"/>
          <w:szCs w:val="21"/>
        </w:rPr>
      </w:pPr>
    </w:p>
    <w:tbl>
      <w:tblPr>
        <w:tblW w:w="0" w:type="auto"/>
        <w:jc w:val="left"/>
        <w:tblInd w:w="711" w:type="dxa"/>
        <w:tblLayout w:type="fixed"/>
        <w:tblCellMar>
          <w:top w:w="0" w:type="dxa"/>
          <w:left w:w="0" w:type="dxa"/>
          <w:bottom w:w="0" w:type="dxa"/>
          <w:right w:w="0" w:type="dxa"/>
        </w:tblCellMar>
        <w:tblLook w:val="01E0"/>
      </w:tblPr>
      <w:tblGrid>
        <w:gridCol w:w="1957"/>
        <w:gridCol w:w="1277"/>
        <w:gridCol w:w="2225"/>
        <w:gridCol w:w="1274"/>
        <w:gridCol w:w="1277"/>
      </w:tblGrid>
      <w:tr>
        <w:trPr>
          <w:trHeight w:val="394" w:hRule="exact"/>
        </w:trPr>
        <w:tc>
          <w:tcPr>
            <w:tcW w:w="195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1"/>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left="27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2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27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left="27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1"/>
              <w:ind w:left="27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61" w:hRule="exact"/>
        </w:trPr>
        <w:tc>
          <w:tcPr>
            <w:tcW w:w="1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dotted" w:sz="4" w:space="0" w:color="000000"/>
              <w:left w:val="dotted" w:sz="4" w:space="0" w:color="000000"/>
              <w:bottom w:val="dotted" w:sz="4" w:space="0" w:color="000000"/>
              <w:right w:val="dotted" w:sz="4" w:space="0" w:color="000000"/>
            </w:tcBorders>
          </w:tcPr>
          <w:p>
            <w:pPr/>
          </w:p>
        </w:tc>
        <w:tc>
          <w:tcPr>
            <w:tcW w:w="2225"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1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277" w:type="dxa"/>
            <w:tcBorders>
              <w:top w:val="dotted" w:sz="4" w:space="0" w:color="000000"/>
              <w:left w:val="dotted" w:sz="4" w:space="0" w:color="000000"/>
              <w:bottom w:val="dotted" w:sz="4" w:space="0" w:color="000000"/>
              <w:right w:val="dotted" w:sz="4" w:space="0" w:color="000000"/>
            </w:tcBorders>
          </w:tcPr>
          <w:p>
            <w:pPr/>
          </w:p>
        </w:tc>
        <w:tc>
          <w:tcPr>
            <w:tcW w:w="2225"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1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66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400,227.72</w:t>
            </w:r>
          </w:p>
        </w:tc>
        <w:tc>
          <w:tcPr>
            <w:tcW w:w="22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309,958.34</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131,866.58</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578,319.48</w:t>
            </w:r>
          </w:p>
        </w:tc>
      </w:tr>
      <w:tr>
        <w:trPr>
          <w:trHeight w:val="386" w:hRule="exact"/>
        </w:trPr>
        <w:tc>
          <w:tcPr>
            <w:tcW w:w="1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6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433,469.10</w:t>
            </w:r>
          </w:p>
        </w:tc>
        <w:tc>
          <w:tcPr>
            <w:tcW w:w="22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402,700.00</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167,039.34</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669,129.76</w:t>
            </w:r>
          </w:p>
        </w:tc>
      </w:tr>
      <w:tr>
        <w:trPr>
          <w:trHeight w:val="384" w:hRule="exact"/>
        </w:trPr>
        <w:tc>
          <w:tcPr>
            <w:tcW w:w="1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66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3,052,355.70</w:t>
            </w:r>
          </w:p>
        </w:tc>
        <w:tc>
          <w:tcPr>
            <w:tcW w:w="22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6,637,522.27</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2,764,660.99</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6,925,216.98</w:t>
            </w:r>
          </w:p>
        </w:tc>
      </w:tr>
      <w:tr>
        <w:trPr>
          <w:trHeight w:val="384" w:hRule="exact"/>
        </w:trPr>
        <w:tc>
          <w:tcPr>
            <w:tcW w:w="1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277" w:type="dxa"/>
            <w:tcBorders>
              <w:top w:val="dotted" w:sz="4" w:space="0" w:color="000000"/>
              <w:left w:val="dotted" w:sz="4" w:space="0" w:color="000000"/>
              <w:bottom w:val="dotted" w:sz="4" w:space="0" w:color="000000"/>
              <w:right w:val="dotted" w:sz="4" w:space="0" w:color="000000"/>
            </w:tcBorders>
          </w:tcPr>
          <w:p>
            <w:pPr/>
          </w:p>
        </w:tc>
        <w:tc>
          <w:tcPr>
            <w:tcW w:w="2225"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1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277" w:type="dxa"/>
            <w:tcBorders>
              <w:top w:val="dotted" w:sz="4" w:space="0" w:color="000000"/>
              <w:left w:val="dotted" w:sz="4" w:space="0" w:color="000000"/>
              <w:bottom w:val="dotted" w:sz="4" w:space="0" w:color="000000"/>
              <w:right w:val="dotted" w:sz="4" w:space="0" w:color="000000"/>
            </w:tcBorders>
          </w:tcPr>
          <w:p>
            <w:pPr/>
          </w:p>
        </w:tc>
        <w:tc>
          <w:tcPr>
            <w:tcW w:w="2225"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1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66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277" w:type="dxa"/>
            <w:tcBorders>
              <w:top w:val="dotted" w:sz="4" w:space="0" w:color="000000"/>
              <w:left w:val="dotted" w:sz="4" w:space="0" w:color="000000"/>
              <w:bottom w:val="dotted" w:sz="4" w:space="0" w:color="000000"/>
              <w:right w:val="dotted" w:sz="4" w:space="0" w:color="000000"/>
            </w:tcBorders>
          </w:tcPr>
          <w:p>
            <w:pPr/>
          </w:p>
        </w:tc>
        <w:tc>
          <w:tcPr>
            <w:tcW w:w="2225"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1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6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77" w:type="dxa"/>
            <w:tcBorders>
              <w:top w:val="dotted" w:sz="4" w:space="0" w:color="000000"/>
              <w:left w:val="dotted" w:sz="4" w:space="0" w:color="000000"/>
              <w:bottom w:val="dotted" w:sz="4" w:space="0" w:color="000000"/>
              <w:right w:val="dotted" w:sz="4" w:space="0" w:color="000000"/>
            </w:tcBorders>
          </w:tcPr>
          <w:p>
            <w:pPr/>
          </w:p>
        </w:tc>
        <w:tc>
          <w:tcPr>
            <w:tcW w:w="2225"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387" w:hRule="exact"/>
        </w:trPr>
        <w:tc>
          <w:tcPr>
            <w:tcW w:w="1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66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277" w:type="dxa"/>
            <w:tcBorders>
              <w:top w:val="dotted" w:sz="4" w:space="0" w:color="000000"/>
              <w:left w:val="dotted" w:sz="4" w:space="0" w:color="000000"/>
              <w:bottom w:val="dotted" w:sz="4" w:space="0" w:color="000000"/>
              <w:right w:val="dotted" w:sz="4" w:space="0" w:color="000000"/>
            </w:tcBorders>
          </w:tcPr>
          <w:p>
            <w:pPr/>
          </w:p>
        </w:tc>
        <w:tc>
          <w:tcPr>
            <w:tcW w:w="2225"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758" w:hRule="exact"/>
        </w:trPr>
        <w:tc>
          <w:tcPr>
            <w:tcW w:w="1957" w:type="dxa"/>
            <w:tcBorders>
              <w:top w:val="dotted" w:sz="4" w:space="0" w:color="000000"/>
              <w:left w:val="nil" w:sz="6" w:space="0" w:color="auto"/>
              <w:bottom w:val="dotted" w:sz="4" w:space="0" w:color="000000"/>
              <w:right w:val="dotted" w:sz="4" w:space="0" w:color="000000"/>
            </w:tcBorders>
          </w:tcPr>
          <w:p>
            <w:pPr>
              <w:pStyle w:val="TableParagraph"/>
              <w:spacing w:line="381" w:lineRule="auto" w:before="39"/>
              <w:ind w:left="122" w:right="101"/>
              <w:jc w:val="left"/>
              <w:rPr>
                <w:rFonts w:ascii="宋体" w:hAnsi="宋体" w:cs="宋体" w:eastAsia="宋体" w:hint="default"/>
                <w:sz w:val="18"/>
                <w:szCs w:val="18"/>
              </w:rPr>
            </w:pPr>
            <w:r>
              <w:rPr>
                <w:rFonts w:ascii="宋体" w:hAnsi="宋体" w:cs="宋体" w:eastAsia="宋体" w:hint="default"/>
                <w:spacing w:val="-8"/>
                <w:sz w:val="18"/>
                <w:szCs w:val="18"/>
              </w:rPr>
              <w:t>五、固定资产账面价值</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合计</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3,886,052.52</w:t>
            </w:r>
          </w:p>
        </w:tc>
        <w:tc>
          <w:tcPr>
            <w:tcW w:w="22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7,350,180.61</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3,063,566.91</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8,172,666.22</w:t>
            </w:r>
          </w:p>
        </w:tc>
      </w:tr>
      <w:tr>
        <w:trPr>
          <w:trHeight w:val="384" w:hRule="exact"/>
        </w:trPr>
        <w:tc>
          <w:tcPr>
            <w:tcW w:w="1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277" w:type="dxa"/>
            <w:tcBorders>
              <w:top w:val="dotted" w:sz="4" w:space="0" w:color="000000"/>
              <w:left w:val="dotted" w:sz="4" w:space="0" w:color="000000"/>
              <w:bottom w:val="dotted" w:sz="4" w:space="0" w:color="000000"/>
              <w:right w:val="dotted" w:sz="4" w:space="0" w:color="000000"/>
            </w:tcBorders>
          </w:tcPr>
          <w:p>
            <w:pPr/>
          </w:p>
        </w:tc>
        <w:tc>
          <w:tcPr>
            <w:tcW w:w="2225"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1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66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400,227.72</w:t>
            </w:r>
          </w:p>
        </w:tc>
        <w:tc>
          <w:tcPr>
            <w:tcW w:w="22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309,958.34</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131,866.58</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578,319.48</w:t>
            </w:r>
          </w:p>
        </w:tc>
      </w:tr>
      <w:tr>
        <w:trPr>
          <w:trHeight w:val="384" w:hRule="exact"/>
        </w:trPr>
        <w:tc>
          <w:tcPr>
            <w:tcW w:w="1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6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433,469.10</w:t>
            </w:r>
          </w:p>
        </w:tc>
        <w:tc>
          <w:tcPr>
            <w:tcW w:w="22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402,700.00</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167,039.34</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669,129.76</w:t>
            </w:r>
          </w:p>
        </w:tc>
      </w:tr>
      <w:tr>
        <w:trPr>
          <w:trHeight w:val="396" w:hRule="exact"/>
        </w:trPr>
        <w:tc>
          <w:tcPr>
            <w:tcW w:w="195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9"/>
              <w:ind w:left="66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3,052,355.70</w:t>
            </w:r>
          </w:p>
        </w:tc>
        <w:tc>
          <w:tcPr>
            <w:tcW w:w="22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6,637,522.27</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2,764,660.99</w:t>
            </w:r>
          </w:p>
        </w:tc>
        <w:tc>
          <w:tcPr>
            <w:tcW w:w="12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6,925,216.98</w:t>
            </w:r>
          </w:p>
        </w:tc>
      </w:tr>
    </w:tbl>
    <w:p>
      <w:pPr>
        <w:spacing w:line="314" w:lineRule="auto" w:before="64"/>
        <w:ind w:left="858" w:right="2203" w:firstLine="0"/>
        <w:jc w:val="left"/>
        <w:rPr>
          <w:rFonts w:ascii="宋体" w:hAnsi="宋体" w:cs="宋体" w:eastAsia="宋体" w:hint="default"/>
          <w:sz w:val="21"/>
          <w:szCs w:val="21"/>
        </w:rPr>
      </w:pPr>
      <w:r>
        <w:rPr>
          <w:rFonts w:ascii="宋体" w:hAnsi="宋体" w:cs="宋体" w:eastAsia="宋体" w:hint="default"/>
          <w:sz w:val="21"/>
          <w:szCs w:val="21"/>
        </w:rPr>
        <w:t>本期折旧额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2,756,379.14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r>
        <w:rPr>
          <w:rFonts w:ascii="宋体" w:hAnsi="宋体" w:cs="宋体" w:eastAsia="宋体" w:hint="default"/>
          <w:spacing w:val="-103"/>
          <w:sz w:val="21"/>
          <w:szCs w:val="21"/>
        </w:rPr>
        <w:t> </w:t>
      </w:r>
      <w:r>
        <w:rPr>
          <w:rFonts w:ascii="宋体" w:hAnsi="宋体" w:cs="宋体" w:eastAsia="宋体" w:hint="default"/>
          <w:sz w:val="21"/>
          <w:szCs w:val="21"/>
        </w:rPr>
        <w:t>本期无在建工程转入的固定资产。</w:t>
      </w:r>
      <w:r>
        <w:rPr>
          <w:rFonts w:ascii="宋体" w:hAnsi="宋体" w:cs="宋体" w:eastAsia="宋体" w:hint="default"/>
          <w:w w:val="100"/>
          <w:sz w:val="21"/>
          <w:szCs w:val="21"/>
        </w:rPr>
        <w:t> </w:t>
      </w:r>
      <w:r>
        <w:rPr>
          <w:rFonts w:ascii="宋体" w:hAnsi="宋体" w:cs="宋体" w:eastAsia="宋体" w:hint="default"/>
          <w:spacing w:val="-2"/>
          <w:sz w:val="21"/>
          <w:szCs w:val="21"/>
        </w:rPr>
        <w:t>期末无用于抵押或担保的固定资产。</w:t>
      </w:r>
    </w:p>
    <w:p>
      <w:pPr>
        <w:spacing w:line="240" w:lineRule="auto" w:before="1"/>
        <w:rPr>
          <w:rFonts w:ascii="宋体" w:hAnsi="宋体" w:cs="宋体" w:eastAsia="宋体" w:hint="default"/>
          <w:sz w:val="27"/>
          <w:szCs w:val="27"/>
        </w:rPr>
      </w:pPr>
    </w:p>
    <w:p>
      <w:pPr>
        <w:tabs>
          <w:tab w:pos="980" w:val="left" w:leader="none"/>
        </w:tabs>
        <w:spacing w:line="396" w:lineRule="auto" w:before="0"/>
        <w:ind w:left="848" w:right="6753" w:hanging="708"/>
        <w:jc w:val="left"/>
        <w:rPr>
          <w:rFonts w:ascii="宋体" w:hAnsi="宋体" w:cs="宋体" w:eastAsia="宋体" w:hint="default"/>
          <w:sz w:val="21"/>
          <w:szCs w:val="21"/>
        </w:rPr>
      </w:pPr>
      <w:r>
        <w:rPr/>
        <w:pict>
          <v:shape style="position:absolute;margin-left:116.059998pt;margin-top:41.183662pt;width:401.85pt;height:214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85"/>
                    <w:gridCol w:w="156"/>
                    <w:gridCol w:w="1330"/>
                    <w:gridCol w:w="156"/>
                    <w:gridCol w:w="1150"/>
                    <w:gridCol w:w="156"/>
                    <w:gridCol w:w="1118"/>
                    <w:gridCol w:w="156"/>
                    <w:gridCol w:w="1486"/>
                  </w:tblGrid>
                  <w:tr>
                    <w:trPr>
                      <w:trHeight w:val="396" w:hRule="exact"/>
                    </w:trPr>
                    <w:tc>
                      <w:tcPr>
                        <w:tcW w:w="2441" w:type="dxa"/>
                        <w:gridSpan w:val="2"/>
                        <w:tcBorders>
                          <w:top w:val="single" w:sz="12" w:space="0" w:color="000000"/>
                          <w:left w:val="nil" w:sz="6" w:space="0" w:color="auto"/>
                          <w:bottom w:val="dotted" w:sz="4" w:space="0" w:color="000000"/>
                          <w:right w:val="dotted" w:sz="4" w:space="0" w:color="000000"/>
                        </w:tcBorders>
                      </w:tcPr>
                      <w:p>
                        <w:pPr>
                          <w:pStyle w:val="TableParagraph"/>
                          <w:spacing w:line="240" w:lineRule="auto" w:before="41"/>
                          <w:ind w:left="21"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486"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left="37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06"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left="28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74"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left="27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8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1"/>
                          <w:ind w:left="37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84" w:hRule="exact"/>
                    </w:trPr>
                    <w:tc>
                      <w:tcPr>
                        <w:tcW w:w="2441" w:type="dxa"/>
                        <w:gridSpan w:val="2"/>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、账面原值合计</w:t>
                        </w:r>
                      </w:p>
                    </w:tc>
                    <w:tc>
                      <w:tcPr>
                        <w:tcW w:w="1486"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427" w:right="0"/>
                          <w:jc w:val="left"/>
                          <w:rPr>
                            <w:rFonts w:ascii="Times New Roman" w:hAnsi="Times New Roman" w:cs="Times New Roman" w:eastAsia="Times New Roman" w:hint="default"/>
                            <w:sz w:val="18"/>
                            <w:szCs w:val="18"/>
                          </w:rPr>
                        </w:pPr>
                        <w:r>
                          <w:rPr>
                            <w:rFonts w:ascii="Times New Roman"/>
                            <w:sz w:val="18"/>
                          </w:rPr>
                          <w:t>1,288,085.38</w:t>
                        </w:r>
                      </w:p>
                    </w:tc>
                    <w:tc>
                      <w:tcPr>
                        <w:tcW w:w="1306"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473" w:right="0"/>
                          <w:jc w:val="left"/>
                          <w:rPr>
                            <w:rFonts w:ascii="Times New Roman" w:hAnsi="Times New Roman" w:cs="Times New Roman" w:eastAsia="Times New Roman" w:hint="default"/>
                            <w:sz w:val="18"/>
                            <w:szCs w:val="18"/>
                          </w:rPr>
                        </w:pPr>
                        <w:r>
                          <w:rPr>
                            <w:rFonts w:ascii="Times New Roman"/>
                            <w:sz w:val="18"/>
                          </w:rPr>
                          <w:t>50,000.00</w:t>
                        </w:r>
                      </w:p>
                    </w:tc>
                    <w:tc>
                      <w:tcPr>
                        <w:tcW w:w="1274" w:type="dxa"/>
                        <w:gridSpan w:val="2"/>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left="427" w:right="0"/>
                          <w:jc w:val="left"/>
                          <w:rPr>
                            <w:rFonts w:ascii="Times New Roman" w:hAnsi="Times New Roman" w:cs="Times New Roman" w:eastAsia="Times New Roman" w:hint="default"/>
                            <w:sz w:val="18"/>
                            <w:szCs w:val="18"/>
                          </w:rPr>
                        </w:pPr>
                        <w:r>
                          <w:rPr>
                            <w:rFonts w:ascii="Times New Roman"/>
                            <w:sz w:val="18"/>
                          </w:rPr>
                          <w:t>1,338,085.38</w:t>
                        </w:r>
                      </w:p>
                    </w:tc>
                  </w:tr>
                  <w:tr>
                    <w:trPr>
                      <w:trHeight w:val="384" w:hRule="exact"/>
                    </w:trPr>
                    <w:tc>
                      <w:tcPr>
                        <w:tcW w:w="2441" w:type="dxa"/>
                        <w:gridSpan w:val="2"/>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96"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486"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427" w:right="0"/>
                          <w:jc w:val="left"/>
                          <w:rPr>
                            <w:rFonts w:ascii="Times New Roman" w:hAnsi="Times New Roman" w:cs="Times New Roman" w:eastAsia="Times New Roman" w:hint="default"/>
                            <w:sz w:val="18"/>
                            <w:szCs w:val="18"/>
                          </w:rPr>
                        </w:pPr>
                        <w:r>
                          <w:rPr>
                            <w:rFonts w:ascii="Times New Roman"/>
                            <w:sz w:val="18"/>
                          </w:rPr>
                          <w:t>1,288,085.38</w:t>
                        </w:r>
                      </w:p>
                    </w:tc>
                    <w:tc>
                      <w:tcPr>
                        <w:tcW w:w="1306"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473" w:right="0"/>
                          <w:jc w:val="left"/>
                          <w:rPr>
                            <w:rFonts w:ascii="Times New Roman" w:hAnsi="Times New Roman" w:cs="Times New Roman" w:eastAsia="Times New Roman" w:hint="default"/>
                            <w:sz w:val="18"/>
                            <w:szCs w:val="18"/>
                          </w:rPr>
                        </w:pPr>
                        <w:r>
                          <w:rPr>
                            <w:rFonts w:ascii="Times New Roman"/>
                            <w:sz w:val="18"/>
                          </w:rPr>
                          <w:t>50,000.00</w:t>
                        </w:r>
                      </w:p>
                    </w:tc>
                    <w:tc>
                      <w:tcPr>
                        <w:tcW w:w="1274" w:type="dxa"/>
                        <w:gridSpan w:val="2"/>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left="427" w:right="0"/>
                          <w:jc w:val="left"/>
                          <w:rPr>
                            <w:rFonts w:ascii="Times New Roman" w:hAnsi="Times New Roman" w:cs="Times New Roman" w:eastAsia="Times New Roman" w:hint="default"/>
                            <w:sz w:val="18"/>
                            <w:szCs w:val="18"/>
                          </w:rPr>
                        </w:pPr>
                        <w:r>
                          <w:rPr>
                            <w:rFonts w:ascii="Times New Roman"/>
                            <w:sz w:val="18"/>
                          </w:rPr>
                          <w:t>1,338,085.38</w:t>
                        </w:r>
                      </w:p>
                    </w:tc>
                  </w:tr>
                  <w:tr>
                    <w:trPr>
                      <w:trHeight w:val="384" w:hRule="exact"/>
                    </w:trPr>
                    <w:tc>
                      <w:tcPr>
                        <w:tcW w:w="2441" w:type="dxa"/>
                        <w:gridSpan w:val="2"/>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、累计摊销合计</w:t>
                        </w:r>
                      </w:p>
                    </w:tc>
                    <w:tc>
                      <w:tcPr>
                        <w:tcW w:w="1486"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427" w:right="0"/>
                          <w:jc w:val="left"/>
                          <w:rPr>
                            <w:rFonts w:ascii="Times New Roman" w:hAnsi="Times New Roman" w:cs="Times New Roman" w:eastAsia="Times New Roman" w:hint="default"/>
                            <w:sz w:val="18"/>
                            <w:szCs w:val="18"/>
                          </w:rPr>
                        </w:pPr>
                        <w:r>
                          <w:rPr>
                            <w:rFonts w:ascii="Times New Roman"/>
                            <w:sz w:val="18"/>
                          </w:rPr>
                          <w:t>1,036,203.13</w:t>
                        </w:r>
                      </w:p>
                    </w:tc>
                    <w:tc>
                      <w:tcPr>
                        <w:tcW w:w="1306"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381" w:right="0"/>
                          <w:jc w:val="left"/>
                          <w:rPr>
                            <w:rFonts w:ascii="Times New Roman" w:hAnsi="Times New Roman" w:cs="Times New Roman" w:eastAsia="Times New Roman" w:hint="default"/>
                            <w:sz w:val="18"/>
                            <w:szCs w:val="18"/>
                          </w:rPr>
                        </w:pPr>
                        <w:r>
                          <w:rPr>
                            <w:rFonts w:ascii="Times New Roman"/>
                            <w:sz w:val="18"/>
                          </w:rPr>
                          <w:t>105,413.24</w:t>
                        </w:r>
                      </w:p>
                    </w:tc>
                    <w:tc>
                      <w:tcPr>
                        <w:tcW w:w="1274" w:type="dxa"/>
                        <w:gridSpan w:val="2"/>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left="427" w:right="0"/>
                          <w:jc w:val="left"/>
                          <w:rPr>
                            <w:rFonts w:ascii="Times New Roman" w:hAnsi="Times New Roman" w:cs="Times New Roman" w:eastAsia="Times New Roman" w:hint="default"/>
                            <w:sz w:val="18"/>
                            <w:szCs w:val="18"/>
                          </w:rPr>
                        </w:pPr>
                        <w:r>
                          <w:rPr>
                            <w:rFonts w:ascii="Times New Roman"/>
                            <w:sz w:val="18"/>
                          </w:rPr>
                          <w:t>1,141,616.37</w:t>
                        </w:r>
                      </w:p>
                    </w:tc>
                  </w:tr>
                  <w:tr>
                    <w:trPr>
                      <w:trHeight w:val="386" w:hRule="exact"/>
                    </w:trPr>
                    <w:tc>
                      <w:tcPr>
                        <w:tcW w:w="2441" w:type="dxa"/>
                        <w:gridSpan w:val="2"/>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396"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486"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left="427" w:right="0"/>
                          <w:jc w:val="left"/>
                          <w:rPr>
                            <w:rFonts w:ascii="Times New Roman" w:hAnsi="Times New Roman" w:cs="Times New Roman" w:eastAsia="Times New Roman" w:hint="default"/>
                            <w:sz w:val="18"/>
                            <w:szCs w:val="18"/>
                          </w:rPr>
                        </w:pPr>
                        <w:r>
                          <w:rPr>
                            <w:rFonts w:ascii="Times New Roman"/>
                            <w:sz w:val="18"/>
                          </w:rPr>
                          <w:t>1,036,203.13</w:t>
                        </w:r>
                      </w:p>
                    </w:tc>
                    <w:tc>
                      <w:tcPr>
                        <w:tcW w:w="1306"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left="381" w:right="0"/>
                          <w:jc w:val="left"/>
                          <w:rPr>
                            <w:rFonts w:ascii="Times New Roman" w:hAnsi="Times New Roman" w:cs="Times New Roman" w:eastAsia="Times New Roman" w:hint="default"/>
                            <w:sz w:val="18"/>
                            <w:szCs w:val="18"/>
                          </w:rPr>
                        </w:pPr>
                        <w:r>
                          <w:rPr>
                            <w:rFonts w:ascii="Times New Roman"/>
                            <w:sz w:val="18"/>
                          </w:rPr>
                          <w:t>105,413.24</w:t>
                        </w:r>
                      </w:p>
                    </w:tc>
                    <w:tc>
                      <w:tcPr>
                        <w:tcW w:w="1274" w:type="dxa"/>
                        <w:gridSpan w:val="2"/>
                        <w:tcBorders>
                          <w:top w:val="dotted" w:sz="4" w:space="0" w:color="000000"/>
                          <w:left w:val="dotted" w:sz="4" w:space="0" w:color="000000"/>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4"/>
                          <w:ind w:left="427" w:right="0"/>
                          <w:jc w:val="left"/>
                          <w:rPr>
                            <w:rFonts w:ascii="Times New Roman" w:hAnsi="Times New Roman" w:cs="Times New Roman" w:eastAsia="Times New Roman" w:hint="default"/>
                            <w:sz w:val="18"/>
                            <w:szCs w:val="18"/>
                          </w:rPr>
                        </w:pPr>
                        <w:r>
                          <w:rPr>
                            <w:rFonts w:ascii="Times New Roman"/>
                            <w:sz w:val="18"/>
                          </w:rPr>
                          <w:t>1,141,616.37</w:t>
                        </w:r>
                      </w:p>
                    </w:tc>
                  </w:tr>
                  <w:tr>
                    <w:trPr>
                      <w:trHeight w:val="384" w:hRule="exact"/>
                    </w:trPr>
                    <w:tc>
                      <w:tcPr>
                        <w:tcW w:w="22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、无形资产账面净值合计</w:t>
                        </w:r>
                      </w:p>
                    </w:tc>
                    <w:tc>
                      <w:tcPr>
                        <w:tcW w:w="1486"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561" w:right="0"/>
                          <w:jc w:val="left"/>
                          <w:rPr>
                            <w:rFonts w:ascii="Times New Roman" w:hAnsi="Times New Roman" w:cs="Times New Roman" w:eastAsia="Times New Roman" w:hint="default"/>
                            <w:sz w:val="18"/>
                            <w:szCs w:val="18"/>
                          </w:rPr>
                        </w:pPr>
                        <w:r>
                          <w:rPr>
                            <w:rFonts w:ascii="Times New Roman"/>
                            <w:sz w:val="18"/>
                          </w:rPr>
                          <w:t>251,882.25</w:t>
                        </w:r>
                      </w:p>
                    </w:tc>
                    <w:tc>
                      <w:tcPr>
                        <w:tcW w:w="1306"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472" w:right="0"/>
                          <w:jc w:val="left"/>
                          <w:rPr>
                            <w:rFonts w:ascii="Times New Roman" w:hAnsi="Times New Roman" w:cs="Times New Roman" w:eastAsia="Times New Roman" w:hint="default"/>
                            <w:sz w:val="18"/>
                            <w:szCs w:val="18"/>
                          </w:rPr>
                        </w:pPr>
                        <w:r>
                          <w:rPr>
                            <w:rFonts w:ascii="Times New Roman"/>
                            <w:sz w:val="18"/>
                          </w:rPr>
                          <w:t>50,000.00</w:t>
                        </w:r>
                      </w:p>
                    </w:tc>
                    <w:tc>
                      <w:tcPr>
                        <w:tcW w:w="1274"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347" w:right="0"/>
                          <w:jc w:val="left"/>
                          <w:rPr>
                            <w:rFonts w:ascii="Times New Roman" w:hAnsi="Times New Roman" w:cs="Times New Roman" w:eastAsia="Times New Roman" w:hint="default"/>
                            <w:sz w:val="18"/>
                            <w:szCs w:val="18"/>
                          </w:rPr>
                        </w:pPr>
                        <w:r>
                          <w:rPr>
                            <w:rFonts w:ascii="Times New Roman"/>
                            <w:sz w:val="18"/>
                          </w:rPr>
                          <w:t>105,413.24</w:t>
                        </w:r>
                      </w:p>
                    </w:tc>
                    <w:tc>
                      <w:tcPr>
                        <w:tcW w:w="1642"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left="561" w:right="0"/>
                          <w:jc w:val="left"/>
                          <w:rPr>
                            <w:rFonts w:ascii="Times New Roman" w:hAnsi="Times New Roman" w:cs="Times New Roman" w:eastAsia="Times New Roman" w:hint="default"/>
                            <w:sz w:val="18"/>
                            <w:szCs w:val="18"/>
                          </w:rPr>
                        </w:pPr>
                        <w:r>
                          <w:rPr>
                            <w:rFonts w:ascii="Times New Roman"/>
                            <w:sz w:val="18"/>
                          </w:rPr>
                          <w:t>196,469.01</w:t>
                        </w:r>
                      </w:p>
                    </w:tc>
                  </w:tr>
                  <w:tr>
                    <w:trPr>
                      <w:trHeight w:val="384" w:hRule="exact"/>
                    </w:trPr>
                    <w:tc>
                      <w:tcPr>
                        <w:tcW w:w="22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96"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486"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561" w:right="0"/>
                          <w:jc w:val="left"/>
                          <w:rPr>
                            <w:rFonts w:ascii="Times New Roman" w:hAnsi="Times New Roman" w:cs="Times New Roman" w:eastAsia="Times New Roman" w:hint="default"/>
                            <w:sz w:val="18"/>
                            <w:szCs w:val="18"/>
                          </w:rPr>
                        </w:pPr>
                        <w:r>
                          <w:rPr>
                            <w:rFonts w:ascii="Times New Roman"/>
                            <w:sz w:val="18"/>
                          </w:rPr>
                          <w:t>251,882.25</w:t>
                        </w:r>
                      </w:p>
                    </w:tc>
                    <w:tc>
                      <w:tcPr>
                        <w:tcW w:w="1306"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472" w:right="0"/>
                          <w:jc w:val="left"/>
                          <w:rPr>
                            <w:rFonts w:ascii="Times New Roman" w:hAnsi="Times New Roman" w:cs="Times New Roman" w:eastAsia="Times New Roman" w:hint="default"/>
                            <w:sz w:val="18"/>
                            <w:szCs w:val="18"/>
                          </w:rPr>
                        </w:pPr>
                        <w:r>
                          <w:rPr>
                            <w:rFonts w:ascii="Times New Roman"/>
                            <w:sz w:val="18"/>
                          </w:rPr>
                          <w:t>50,000.00</w:t>
                        </w:r>
                      </w:p>
                    </w:tc>
                    <w:tc>
                      <w:tcPr>
                        <w:tcW w:w="1274"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347" w:right="0"/>
                          <w:jc w:val="left"/>
                          <w:rPr>
                            <w:rFonts w:ascii="Times New Roman" w:hAnsi="Times New Roman" w:cs="Times New Roman" w:eastAsia="Times New Roman" w:hint="default"/>
                            <w:sz w:val="18"/>
                            <w:szCs w:val="18"/>
                          </w:rPr>
                        </w:pPr>
                        <w:r>
                          <w:rPr>
                            <w:rFonts w:ascii="Times New Roman"/>
                            <w:sz w:val="18"/>
                          </w:rPr>
                          <w:t>105,413.24</w:t>
                        </w:r>
                      </w:p>
                    </w:tc>
                    <w:tc>
                      <w:tcPr>
                        <w:tcW w:w="1642"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left="561" w:right="0"/>
                          <w:jc w:val="left"/>
                          <w:rPr>
                            <w:rFonts w:ascii="Times New Roman" w:hAnsi="Times New Roman" w:cs="Times New Roman" w:eastAsia="Times New Roman" w:hint="default"/>
                            <w:sz w:val="18"/>
                            <w:szCs w:val="18"/>
                          </w:rPr>
                        </w:pPr>
                        <w:r>
                          <w:rPr>
                            <w:rFonts w:ascii="Times New Roman"/>
                            <w:sz w:val="18"/>
                          </w:rPr>
                          <w:t>196,469.01</w:t>
                        </w:r>
                      </w:p>
                    </w:tc>
                  </w:tr>
                  <w:tr>
                    <w:trPr>
                      <w:trHeight w:val="385" w:hRule="exact"/>
                    </w:trPr>
                    <w:tc>
                      <w:tcPr>
                        <w:tcW w:w="22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、减值准备合计</w:t>
                        </w:r>
                      </w:p>
                    </w:tc>
                    <w:tc>
                      <w:tcPr>
                        <w:tcW w:w="1486" w:type="dxa"/>
                        <w:gridSpan w:val="2"/>
                        <w:tcBorders>
                          <w:top w:val="dotted" w:sz="4" w:space="0" w:color="000000"/>
                          <w:left w:val="dotted" w:sz="4" w:space="0" w:color="000000"/>
                          <w:bottom w:val="dotted" w:sz="4" w:space="0" w:color="000000"/>
                          <w:right w:val="dotted" w:sz="4" w:space="0" w:color="000000"/>
                        </w:tcBorders>
                      </w:tcPr>
                      <w:p>
                        <w:pPr/>
                      </w:p>
                    </w:tc>
                    <w:tc>
                      <w:tcPr>
                        <w:tcW w:w="1306" w:type="dxa"/>
                        <w:gridSpan w:val="2"/>
                        <w:tcBorders>
                          <w:top w:val="dotted" w:sz="4" w:space="0" w:color="000000"/>
                          <w:left w:val="dotted" w:sz="4" w:space="0" w:color="000000"/>
                          <w:bottom w:val="dotted" w:sz="4" w:space="0" w:color="000000"/>
                          <w:right w:val="dotted" w:sz="4" w:space="0" w:color="000000"/>
                        </w:tcBorders>
                      </w:tcPr>
                      <w:p>
                        <w:pPr/>
                      </w:p>
                    </w:tc>
                    <w:tc>
                      <w:tcPr>
                        <w:tcW w:w="1274" w:type="dxa"/>
                        <w:gridSpan w:val="2"/>
                        <w:tcBorders>
                          <w:top w:val="dotted" w:sz="4" w:space="0" w:color="000000"/>
                          <w:left w:val="dotted" w:sz="4" w:space="0" w:color="000000"/>
                          <w:bottom w:val="dotted" w:sz="4" w:space="0" w:color="000000"/>
                          <w:right w:val="dotted" w:sz="4" w:space="0" w:color="000000"/>
                        </w:tcBorders>
                      </w:tcPr>
                      <w:p>
                        <w:pPr/>
                      </w:p>
                    </w:tc>
                    <w:tc>
                      <w:tcPr>
                        <w:tcW w:w="1642" w:type="dxa"/>
                        <w:gridSpan w:val="2"/>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22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96"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486" w:type="dxa"/>
                        <w:gridSpan w:val="2"/>
                        <w:tcBorders>
                          <w:top w:val="dotted" w:sz="4" w:space="0" w:color="000000"/>
                          <w:left w:val="dotted" w:sz="4" w:space="0" w:color="000000"/>
                          <w:bottom w:val="dotted" w:sz="4" w:space="0" w:color="000000"/>
                          <w:right w:val="dotted" w:sz="4" w:space="0" w:color="000000"/>
                        </w:tcBorders>
                      </w:tcPr>
                      <w:p>
                        <w:pPr/>
                      </w:p>
                    </w:tc>
                    <w:tc>
                      <w:tcPr>
                        <w:tcW w:w="1306" w:type="dxa"/>
                        <w:gridSpan w:val="2"/>
                        <w:tcBorders>
                          <w:top w:val="dotted" w:sz="4" w:space="0" w:color="000000"/>
                          <w:left w:val="dotted" w:sz="4" w:space="0" w:color="000000"/>
                          <w:bottom w:val="dotted" w:sz="4" w:space="0" w:color="000000"/>
                          <w:right w:val="dotted" w:sz="4" w:space="0" w:color="000000"/>
                        </w:tcBorders>
                      </w:tcPr>
                      <w:p>
                        <w:pPr/>
                      </w:p>
                    </w:tc>
                    <w:tc>
                      <w:tcPr>
                        <w:tcW w:w="1274" w:type="dxa"/>
                        <w:gridSpan w:val="2"/>
                        <w:tcBorders>
                          <w:top w:val="dotted" w:sz="4" w:space="0" w:color="000000"/>
                          <w:left w:val="dotted" w:sz="4" w:space="0" w:color="000000"/>
                          <w:bottom w:val="dotted" w:sz="4" w:space="0" w:color="000000"/>
                          <w:right w:val="dotted" w:sz="4" w:space="0" w:color="000000"/>
                        </w:tcBorders>
                      </w:tcPr>
                      <w:p>
                        <w:pPr/>
                      </w:p>
                    </w:tc>
                    <w:tc>
                      <w:tcPr>
                        <w:tcW w:w="1642" w:type="dxa"/>
                        <w:gridSpan w:val="2"/>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22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、无形资产账面价值合计</w:t>
                        </w:r>
                      </w:p>
                    </w:tc>
                    <w:tc>
                      <w:tcPr>
                        <w:tcW w:w="1486"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561" w:right="0"/>
                          <w:jc w:val="left"/>
                          <w:rPr>
                            <w:rFonts w:ascii="Times New Roman" w:hAnsi="Times New Roman" w:cs="Times New Roman" w:eastAsia="Times New Roman" w:hint="default"/>
                            <w:sz w:val="18"/>
                            <w:szCs w:val="18"/>
                          </w:rPr>
                        </w:pPr>
                        <w:r>
                          <w:rPr>
                            <w:rFonts w:ascii="Times New Roman"/>
                            <w:sz w:val="18"/>
                          </w:rPr>
                          <w:t>251,882.25</w:t>
                        </w:r>
                      </w:p>
                    </w:tc>
                    <w:tc>
                      <w:tcPr>
                        <w:tcW w:w="1306"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472" w:right="0"/>
                          <w:jc w:val="left"/>
                          <w:rPr>
                            <w:rFonts w:ascii="Times New Roman" w:hAnsi="Times New Roman" w:cs="Times New Roman" w:eastAsia="Times New Roman" w:hint="default"/>
                            <w:sz w:val="18"/>
                            <w:szCs w:val="18"/>
                          </w:rPr>
                        </w:pPr>
                        <w:r>
                          <w:rPr>
                            <w:rFonts w:ascii="Times New Roman"/>
                            <w:sz w:val="18"/>
                          </w:rPr>
                          <w:t>50,000.00</w:t>
                        </w:r>
                      </w:p>
                    </w:tc>
                    <w:tc>
                      <w:tcPr>
                        <w:tcW w:w="1274"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347" w:right="0"/>
                          <w:jc w:val="left"/>
                          <w:rPr>
                            <w:rFonts w:ascii="Times New Roman" w:hAnsi="Times New Roman" w:cs="Times New Roman" w:eastAsia="Times New Roman" w:hint="default"/>
                            <w:sz w:val="18"/>
                            <w:szCs w:val="18"/>
                          </w:rPr>
                        </w:pPr>
                        <w:r>
                          <w:rPr>
                            <w:rFonts w:ascii="Times New Roman"/>
                            <w:sz w:val="18"/>
                          </w:rPr>
                          <w:t>105,413.24</w:t>
                        </w:r>
                      </w:p>
                    </w:tc>
                    <w:tc>
                      <w:tcPr>
                        <w:tcW w:w="1642"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left="561" w:right="0"/>
                          <w:jc w:val="left"/>
                          <w:rPr>
                            <w:rFonts w:ascii="Times New Roman" w:hAnsi="Times New Roman" w:cs="Times New Roman" w:eastAsia="Times New Roman" w:hint="default"/>
                            <w:sz w:val="18"/>
                            <w:szCs w:val="18"/>
                          </w:rPr>
                        </w:pPr>
                        <w:r>
                          <w:rPr>
                            <w:rFonts w:ascii="Times New Roman"/>
                            <w:sz w:val="18"/>
                          </w:rPr>
                          <w:t>196,469.01</w:t>
                        </w:r>
                      </w:p>
                    </w:tc>
                  </w:tr>
                  <w:tr>
                    <w:trPr>
                      <w:trHeight w:val="396" w:hRule="exact"/>
                    </w:trPr>
                    <w:tc>
                      <w:tcPr>
                        <w:tcW w:w="228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left="396"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486" w:type="dxa"/>
                        <w:gridSpan w:val="2"/>
                        <w:tcBorders>
                          <w:top w:val="dotted" w:sz="4" w:space="0" w:color="000000"/>
                          <w:left w:val="dotted" w:sz="4" w:space="0" w:color="000000"/>
                          <w:bottom w:val="single" w:sz="12" w:space="0" w:color="000000"/>
                          <w:right w:val="dotted" w:sz="4" w:space="0" w:color="000000"/>
                        </w:tcBorders>
                      </w:tcPr>
                      <w:p>
                        <w:pPr>
                          <w:pStyle w:val="TableParagraph"/>
                          <w:spacing w:line="240" w:lineRule="auto" w:before="84"/>
                          <w:ind w:left="561" w:right="0"/>
                          <w:jc w:val="left"/>
                          <w:rPr>
                            <w:rFonts w:ascii="Times New Roman" w:hAnsi="Times New Roman" w:cs="Times New Roman" w:eastAsia="Times New Roman" w:hint="default"/>
                            <w:sz w:val="18"/>
                            <w:szCs w:val="18"/>
                          </w:rPr>
                        </w:pPr>
                        <w:r>
                          <w:rPr>
                            <w:rFonts w:ascii="Times New Roman"/>
                            <w:sz w:val="18"/>
                          </w:rPr>
                          <w:t>251,882.25</w:t>
                        </w:r>
                      </w:p>
                    </w:tc>
                    <w:tc>
                      <w:tcPr>
                        <w:tcW w:w="1306" w:type="dxa"/>
                        <w:gridSpan w:val="2"/>
                        <w:tcBorders>
                          <w:top w:val="dotted" w:sz="4" w:space="0" w:color="000000"/>
                          <w:left w:val="dotted" w:sz="4" w:space="0" w:color="000000"/>
                          <w:bottom w:val="single" w:sz="12" w:space="0" w:color="000000"/>
                          <w:right w:val="dotted" w:sz="4" w:space="0" w:color="000000"/>
                        </w:tcBorders>
                      </w:tcPr>
                      <w:p>
                        <w:pPr>
                          <w:pStyle w:val="TableParagraph"/>
                          <w:spacing w:line="240" w:lineRule="auto" w:before="84"/>
                          <w:ind w:left="472" w:right="0"/>
                          <w:jc w:val="left"/>
                          <w:rPr>
                            <w:rFonts w:ascii="Times New Roman" w:hAnsi="Times New Roman" w:cs="Times New Roman" w:eastAsia="Times New Roman" w:hint="default"/>
                            <w:sz w:val="18"/>
                            <w:szCs w:val="18"/>
                          </w:rPr>
                        </w:pPr>
                        <w:r>
                          <w:rPr>
                            <w:rFonts w:ascii="Times New Roman"/>
                            <w:sz w:val="18"/>
                          </w:rPr>
                          <w:t>50,000.00</w:t>
                        </w:r>
                      </w:p>
                    </w:tc>
                    <w:tc>
                      <w:tcPr>
                        <w:tcW w:w="1274" w:type="dxa"/>
                        <w:gridSpan w:val="2"/>
                        <w:tcBorders>
                          <w:top w:val="dotted" w:sz="4" w:space="0" w:color="000000"/>
                          <w:left w:val="dotted" w:sz="4" w:space="0" w:color="000000"/>
                          <w:bottom w:val="single" w:sz="12" w:space="0" w:color="000000"/>
                          <w:right w:val="dotted" w:sz="4" w:space="0" w:color="000000"/>
                        </w:tcBorders>
                      </w:tcPr>
                      <w:p>
                        <w:pPr>
                          <w:pStyle w:val="TableParagraph"/>
                          <w:spacing w:line="240" w:lineRule="auto" w:before="84"/>
                          <w:ind w:left="347" w:right="0"/>
                          <w:jc w:val="left"/>
                          <w:rPr>
                            <w:rFonts w:ascii="Times New Roman" w:hAnsi="Times New Roman" w:cs="Times New Roman" w:eastAsia="Times New Roman" w:hint="default"/>
                            <w:sz w:val="18"/>
                            <w:szCs w:val="18"/>
                          </w:rPr>
                        </w:pPr>
                        <w:r>
                          <w:rPr>
                            <w:rFonts w:ascii="Times New Roman"/>
                            <w:sz w:val="18"/>
                          </w:rPr>
                          <w:t>105,413.24</w:t>
                        </w:r>
                      </w:p>
                    </w:tc>
                    <w:tc>
                      <w:tcPr>
                        <w:tcW w:w="1642" w:type="dxa"/>
                        <w:gridSpan w:val="2"/>
                        <w:tcBorders>
                          <w:top w:val="dotted" w:sz="4" w:space="0" w:color="000000"/>
                          <w:left w:val="dotted" w:sz="4" w:space="0" w:color="000000"/>
                          <w:bottom w:val="single" w:sz="12" w:space="0" w:color="000000"/>
                          <w:right w:val="nil" w:sz="6" w:space="0" w:color="auto"/>
                        </w:tcBorders>
                      </w:tcPr>
                      <w:p>
                        <w:pPr>
                          <w:pStyle w:val="TableParagraph"/>
                          <w:spacing w:line="240" w:lineRule="auto" w:before="84"/>
                          <w:ind w:left="561" w:right="0"/>
                          <w:jc w:val="left"/>
                          <w:rPr>
                            <w:rFonts w:ascii="Times New Roman" w:hAnsi="Times New Roman" w:cs="Times New Roman" w:eastAsia="Times New Roman" w:hint="default"/>
                            <w:sz w:val="18"/>
                            <w:szCs w:val="18"/>
                          </w:rPr>
                        </w:pPr>
                        <w:r>
                          <w:rPr>
                            <w:rFonts w:ascii="Times New Roman"/>
                            <w:sz w:val="18"/>
                          </w:rPr>
                          <w:t>196,469.01</w:t>
                        </w:r>
                      </w:p>
                    </w:tc>
                  </w:tr>
                </w:tbl>
                <w:p>
                  <w:pPr/>
                </w:p>
              </w:txbxContent>
            </v:textbox>
            <w10:wrap type="none"/>
          </v:shape>
        </w:pic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九</w:t>
      </w:r>
      <w:r>
        <w:rPr>
          <w:rFonts w:ascii="Times New Roman" w:hAnsi="Times New Roman" w:cs="Times New Roman" w:eastAsia="Times New Roman" w:hint="default"/>
          <w:b/>
          <w:bCs/>
          <w:sz w:val="21"/>
          <w:szCs w:val="21"/>
        </w:rPr>
        <w:t>)</w:t>
        <w:tab/>
        <w:tab/>
      </w:r>
      <w:r>
        <w:rPr>
          <w:rFonts w:ascii="宋体" w:hAnsi="宋体" w:cs="宋体" w:eastAsia="宋体" w:hint="default"/>
          <w:b/>
          <w:bCs/>
          <w:sz w:val="21"/>
          <w:szCs w:val="21"/>
        </w:rPr>
        <w:t>无形资产</w:t>
      </w:r>
      <w:r>
        <w:rPr>
          <w:rFonts w:ascii="宋体" w:hAnsi="宋体" w:cs="宋体" w:eastAsia="宋体" w:hint="default"/>
          <w:b/>
          <w:bCs/>
          <w:w w:val="100"/>
          <w:sz w:val="21"/>
          <w:szCs w:val="21"/>
        </w:rPr>
        <w:t> </w:t>
      </w:r>
      <w:r>
        <w:rPr>
          <w:rFonts w:ascii="宋体" w:hAnsi="宋体" w:cs="宋体" w:eastAsia="宋体" w:hint="default"/>
          <w:spacing w:val="-1"/>
          <w:sz w:val="21"/>
          <w:szCs w:val="21"/>
        </w:rPr>
        <w:t>无形资产情况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0"/>
        <w:ind w:left="848" w:right="0" w:firstLine="0"/>
        <w:jc w:val="left"/>
        <w:rPr>
          <w:rFonts w:ascii="宋体" w:hAnsi="宋体" w:cs="宋体" w:eastAsia="宋体" w:hint="default"/>
          <w:sz w:val="21"/>
          <w:szCs w:val="21"/>
        </w:rPr>
      </w:pPr>
      <w:r>
        <w:rPr>
          <w:rFonts w:ascii="宋体" w:hAnsi="宋体" w:cs="宋体" w:eastAsia="宋体" w:hint="default"/>
          <w:sz w:val="21"/>
          <w:szCs w:val="21"/>
        </w:rPr>
        <w:t>本期摊销额 </w:t>
      </w:r>
      <w:r>
        <w:rPr>
          <w:rFonts w:ascii="Times New Roman" w:hAnsi="Times New Roman" w:cs="Times New Roman" w:eastAsia="Times New Roman" w:hint="default"/>
          <w:sz w:val="21"/>
          <w:szCs w:val="21"/>
        </w:rPr>
        <w:t>105,413.24  </w:t>
      </w:r>
      <w:r>
        <w:rPr>
          <w:rFonts w:ascii="宋体" w:hAnsi="宋体" w:cs="宋体" w:eastAsia="宋体" w:hint="default"/>
          <w:spacing w:val="-3"/>
          <w:sz w:val="21"/>
          <w:szCs w:val="21"/>
        </w:rPr>
        <w:t>元。</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980" w:top="1140" w:bottom="1160" w:left="1660" w:right="13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tabs>
          <w:tab w:pos="980" w:val="left" w:leader="none"/>
        </w:tabs>
        <w:spacing w:before="36"/>
        <w:ind w:left="140" w:right="257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tbl>
      <w:tblPr>
        <w:tblW w:w="0" w:type="auto"/>
        <w:jc w:val="left"/>
        <w:tblInd w:w="641" w:type="dxa"/>
        <w:tblLayout w:type="fixed"/>
        <w:tblCellMar>
          <w:top w:w="0" w:type="dxa"/>
          <w:left w:w="0" w:type="dxa"/>
          <w:bottom w:w="0" w:type="dxa"/>
          <w:right w:w="0" w:type="dxa"/>
        </w:tblCellMar>
        <w:tblLook w:val="01E0"/>
      </w:tblPr>
      <w:tblGrid>
        <w:gridCol w:w="1058"/>
        <w:gridCol w:w="1366"/>
        <w:gridCol w:w="991"/>
        <w:gridCol w:w="1215"/>
        <w:gridCol w:w="991"/>
        <w:gridCol w:w="1214"/>
        <w:gridCol w:w="1049"/>
      </w:tblGrid>
      <w:tr>
        <w:trPr>
          <w:trHeight w:val="768" w:hRule="exact"/>
        </w:trPr>
        <w:tc>
          <w:tcPr>
            <w:tcW w:w="105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336"/>
              <w:jc w:val="right"/>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99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21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99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21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49" w:type="dxa"/>
            <w:tcBorders>
              <w:top w:val="single" w:sz="12" w:space="0" w:color="000000"/>
              <w:left w:val="dotted" w:sz="4" w:space="0" w:color="000000"/>
              <w:bottom w:val="dotted" w:sz="4" w:space="0" w:color="000000"/>
              <w:right w:val="nil" w:sz="6" w:space="0" w:color="auto"/>
            </w:tcBorders>
          </w:tcPr>
          <w:p>
            <w:pPr>
              <w:pStyle w:val="TableParagraph"/>
              <w:spacing w:line="381" w:lineRule="auto" w:before="39"/>
              <w:ind w:left="247" w:right="166" w:hanging="92"/>
              <w:jc w:val="left"/>
              <w:rPr>
                <w:rFonts w:ascii="宋体" w:hAnsi="宋体" w:cs="宋体" w:eastAsia="宋体" w:hint="default"/>
                <w:sz w:val="18"/>
                <w:szCs w:val="18"/>
              </w:rPr>
            </w:pPr>
            <w:r>
              <w:rPr>
                <w:rFonts w:ascii="宋体" w:hAnsi="宋体" w:cs="宋体" w:eastAsia="宋体" w:hint="default"/>
                <w:sz w:val="18"/>
                <w:szCs w:val="18"/>
              </w:rPr>
              <w:t>其他减少 的原因</w:t>
            </w:r>
          </w:p>
        </w:tc>
      </w:tr>
      <w:tr>
        <w:trPr>
          <w:trHeight w:val="386" w:hRule="exact"/>
        </w:trPr>
        <w:tc>
          <w:tcPr>
            <w:tcW w:w="105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right="299"/>
              <w:jc w:val="right"/>
              <w:rPr>
                <w:rFonts w:ascii="宋体" w:hAnsi="宋体" w:cs="宋体" w:eastAsia="宋体" w:hint="default"/>
                <w:sz w:val="18"/>
                <w:szCs w:val="18"/>
              </w:rPr>
            </w:pPr>
            <w:r>
              <w:rPr>
                <w:rFonts w:ascii="宋体" w:hAnsi="宋体" w:cs="宋体" w:eastAsia="宋体" w:hint="default"/>
                <w:sz w:val="18"/>
                <w:szCs w:val="18"/>
              </w:rPr>
              <w:t>装修费</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left="307" w:right="0"/>
              <w:jc w:val="left"/>
              <w:rPr>
                <w:rFonts w:ascii="Times New Roman" w:hAnsi="Times New Roman" w:cs="Times New Roman" w:eastAsia="Times New Roman" w:hint="default"/>
                <w:sz w:val="18"/>
                <w:szCs w:val="18"/>
              </w:rPr>
            </w:pPr>
            <w:r>
              <w:rPr>
                <w:rFonts w:ascii="Times New Roman"/>
                <w:sz w:val="18"/>
              </w:rPr>
              <w:t>1,240,204.53</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left="55" w:right="0"/>
              <w:jc w:val="center"/>
              <w:rPr>
                <w:rFonts w:ascii="Times New Roman" w:hAnsi="Times New Roman" w:cs="Times New Roman" w:eastAsia="Times New Roman" w:hint="default"/>
                <w:sz w:val="18"/>
                <w:szCs w:val="18"/>
              </w:rPr>
            </w:pPr>
            <w:r>
              <w:rPr>
                <w:rFonts w:ascii="Times New Roman"/>
                <w:sz w:val="18"/>
              </w:rPr>
              <w:t>23,900.00</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left="287" w:right="0"/>
              <w:jc w:val="left"/>
              <w:rPr>
                <w:rFonts w:ascii="Times New Roman" w:hAnsi="Times New Roman" w:cs="Times New Roman" w:eastAsia="Times New Roman" w:hint="default"/>
                <w:sz w:val="18"/>
                <w:szCs w:val="18"/>
              </w:rPr>
            </w:pPr>
            <w:r>
              <w:rPr>
                <w:rFonts w:ascii="Times New Roman"/>
                <w:sz w:val="18"/>
              </w:rPr>
              <w:t>822,810.19</w:t>
            </w:r>
          </w:p>
        </w:tc>
        <w:tc>
          <w:tcPr>
            <w:tcW w:w="991"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left="287" w:right="0"/>
              <w:jc w:val="left"/>
              <w:rPr>
                <w:rFonts w:ascii="Times New Roman" w:hAnsi="Times New Roman" w:cs="Times New Roman" w:eastAsia="Times New Roman" w:hint="default"/>
                <w:sz w:val="18"/>
                <w:szCs w:val="18"/>
              </w:rPr>
            </w:pPr>
            <w:r>
              <w:rPr>
                <w:rFonts w:ascii="Times New Roman"/>
                <w:sz w:val="18"/>
              </w:rPr>
              <w:t>441,294.34</w:t>
            </w:r>
          </w:p>
        </w:tc>
        <w:tc>
          <w:tcPr>
            <w:tcW w:w="1049" w:type="dxa"/>
            <w:tcBorders>
              <w:top w:val="dotted" w:sz="4" w:space="0" w:color="000000"/>
              <w:left w:val="dotted" w:sz="4" w:space="0" w:color="000000"/>
              <w:bottom w:val="dotted" w:sz="4" w:space="0" w:color="000000"/>
              <w:right w:val="nil" w:sz="6" w:space="0" w:color="auto"/>
            </w:tcBorders>
          </w:tcPr>
          <w:p>
            <w:pPr/>
          </w:p>
        </w:tc>
      </w:tr>
      <w:tr>
        <w:trPr>
          <w:trHeight w:val="394" w:hRule="exact"/>
        </w:trPr>
        <w:tc>
          <w:tcPr>
            <w:tcW w:w="105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9"/>
              <w:ind w:right="336"/>
              <w:jc w:val="righ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left="307" w:right="0"/>
              <w:jc w:val="left"/>
              <w:rPr>
                <w:rFonts w:ascii="Times New Roman" w:hAnsi="Times New Roman" w:cs="Times New Roman" w:eastAsia="Times New Roman" w:hint="default"/>
                <w:sz w:val="18"/>
                <w:szCs w:val="18"/>
              </w:rPr>
            </w:pPr>
            <w:r>
              <w:rPr>
                <w:rFonts w:ascii="Times New Roman"/>
                <w:sz w:val="18"/>
              </w:rPr>
              <w:t>1,240,204.53</w:t>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left="55" w:right="0"/>
              <w:jc w:val="center"/>
              <w:rPr>
                <w:rFonts w:ascii="Times New Roman" w:hAnsi="Times New Roman" w:cs="Times New Roman" w:eastAsia="Times New Roman" w:hint="default"/>
                <w:sz w:val="18"/>
                <w:szCs w:val="18"/>
              </w:rPr>
            </w:pPr>
            <w:r>
              <w:rPr>
                <w:rFonts w:ascii="Times New Roman"/>
                <w:sz w:val="18"/>
              </w:rPr>
              <w:t>23,900.00</w:t>
            </w:r>
          </w:p>
        </w:tc>
        <w:tc>
          <w:tcPr>
            <w:tcW w:w="121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left="287" w:right="0"/>
              <w:jc w:val="left"/>
              <w:rPr>
                <w:rFonts w:ascii="Times New Roman" w:hAnsi="Times New Roman" w:cs="Times New Roman" w:eastAsia="Times New Roman" w:hint="default"/>
                <w:sz w:val="18"/>
                <w:szCs w:val="18"/>
              </w:rPr>
            </w:pPr>
            <w:r>
              <w:rPr>
                <w:rFonts w:ascii="Times New Roman"/>
                <w:sz w:val="18"/>
              </w:rPr>
              <w:t>822,810.19</w:t>
            </w:r>
          </w:p>
        </w:tc>
        <w:tc>
          <w:tcPr>
            <w:tcW w:w="991" w:type="dxa"/>
            <w:tcBorders>
              <w:top w:val="dotted" w:sz="4" w:space="0" w:color="000000"/>
              <w:left w:val="dotted" w:sz="4" w:space="0" w:color="000000"/>
              <w:bottom w:val="single" w:sz="12" w:space="0" w:color="000000"/>
              <w:right w:val="dotted" w:sz="4" w:space="0" w:color="000000"/>
            </w:tcBorders>
          </w:tcPr>
          <w:p>
            <w:pPr/>
          </w:p>
        </w:tc>
        <w:tc>
          <w:tcPr>
            <w:tcW w:w="12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left="287" w:right="0"/>
              <w:jc w:val="left"/>
              <w:rPr>
                <w:rFonts w:ascii="Times New Roman" w:hAnsi="Times New Roman" w:cs="Times New Roman" w:eastAsia="Times New Roman" w:hint="default"/>
                <w:sz w:val="18"/>
                <w:szCs w:val="18"/>
              </w:rPr>
            </w:pPr>
            <w:r>
              <w:rPr>
                <w:rFonts w:ascii="Times New Roman"/>
                <w:sz w:val="18"/>
              </w:rPr>
              <w:t>441,294.34</w:t>
            </w:r>
          </w:p>
        </w:tc>
        <w:tc>
          <w:tcPr>
            <w:tcW w:w="1049"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tabs>
          <w:tab w:pos="980" w:val="left" w:leader="none"/>
        </w:tabs>
        <w:spacing w:line="345" w:lineRule="auto" w:before="36"/>
        <w:ind w:left="858" w:right="2575" w:hanging="71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十一</w:t>
      </w:r>
      <w:r>
        <w:rPr>
          <w:rFonts w:ascii="Times New Roman" w:hAnsi="Times New Roman" w:cs="Times New Roman" w:eastAsia="Times New Roman" w:hint="default"/>
          <w:b/>
          <w:bCs/>
          <w:sz w:val="21"/>
          <w:szCs w:val="21"/>
        </w:rPr>
        <w:t>)</w:t>
        <w:tab/>
        <w:tab/>
      </w:r>
      <w:r>
        <w:rPr>
          <w:rFonts w:ascii="宋体" w:hAnsi="宋体" w:cs="宋体" w:eastAsia="宋体" w:hint="default"/>
          <w:b/>
          <w:bCs/>
          <w:sz w:val="21"/>
          <w:szCs w:val="21"/>
        </w:rPr>
        <w:t>递延所得税资产和递延所得税负债</w:t>
      </w:r>
      <w:r>
        <w:rPr>
          <w:rFonts w:ascii="宋体" w:hAnsi="宋体" w:cs="宋体" w:eastAsia="宋体" w:hint="default"/>
          <w:b/>
          <w:bCs/>
          <w:w w:val="100"/>
          <w:sz w:val="21"/>
          <w:szCs w:val="21"/>
        </w:rPr>
        <w:t> </w:t>
      </w:r>
      <w:r>
        <w:rPr>
          <w:rFonts w:ascii="宋体" w:hAnsi="宋体" w:cs="宋体" w:eastAsia="宋体" w:hint="default"/>
          <w:b/>
          <w:bCs/>
          <w:spacing w:val="-1"/>
          <w:sz w:val="21"/>
          <w:szCs w:val="21"/>
        </w:rPr>
        <w:t>递延所得税资产和递延所得税负债不以抵销后的净额列示</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p>
    <w:p>
      <w:pPr>
        <w:tabs>
          <w:tab w:pos="1395" w:val="left" w:leader="none"/>
        </w:tabs>
        <w:spacing w:before="171"/>
        <w:ind w:left="858" w:right="257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tab/>
        <w:t>已确认的递延所得税资产和递延所得税负债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682" w:type="dxa"/>
        <w:tblLayout w:type="fixed"/>
        <w:tblCellMar>
          <w:top w:w="0" w:type="dxa"/>
          <w:left w:w="0" w:type="dxa"/>
          <w:bottom w:w="0" w:type="dxa"/>
          <w:right w:w="0" w:type="dxa"/>
        </w:tblCellMar>
        <w:tblLook w:val="01E0"/>
      </w:tblPr>
      <w:tblGrid>
        <w:gridCol w:w="3903"/>
        <w:gridCol w:w="2021"/>
        <w:gridCol w:w="1844"/>
      </w:tblGrid>
      <w:tr>
        <w:trPr>
          <w:trHeight w:val="396" w:hRule="exact"/>
        </w:trPr>
        <w:tc>
          <w:tcPr>
            <w:tcW w:w="3903" w:type="dxa"/>
            <w:tcBorders>
              <w:top w:val="single" w:sz="12" w:space="0" w:color="000000"/>
              <w:left w:val="nil" w:sz="6" w:space="0" w:color="auto"/>
              <w:bottom w:val="dotted" w:sz="4" w:space="0" w:color="000000"/>
              <w:right w:val="dotted" w:sz="4" w:space="0" w:color="000000"/>
            </w:tcBorders>
          </w:tcPr>
          <w:p>
            <w:pPr>
              <w:pStyle w:val="TableParagraph"/>
              <w:tabs>
                <w:tab w:pos="422" w:val="left" w:leader="none"/>
              </w:tabs>
              <w:spacing w:line="240" w:lineRule="auto" w:before="21"/>
              <w:ind w:right="162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0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1"/>
              <w:ind w:left="58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4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1"/>
              <w:ind w:left="496"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84" w:hRule="exact"/>
        </w:trPr>
        <w:tc>
          <w:tcPr>
            <w:tcW w:w="39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b/>
                <w:bCs/>
                <w:sz w:val="21"/>
                <w:szCs w:val="21"/>
              </w:rPr>
              <w:t>递延所得税资产：</w:t>
            </w:r>
            <w:r>
              <w:rPr>
                <w:rFonts w:ascii="宋体" w:hAnsi="宋体" w:cs="宋体" w:eastAsia="宋体" w:hint="default"/>
                <w:sz w:val="21"/>
                <w:szCs w:val="21"/>
              </w:rPr>
            </w:r>
          </w:p>
        </w:tc>
        <w:tc>
          <w:tcPr>
            <w:tcW w:w="2021"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39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0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2,779,455.49</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1,020,546.39</w:t>
            </w:r>
          </w:p>
        </w:tc>
      </w:tr>
      <w:tr>
        <w:trPr>
          <w:trHeight w:val="396" w:hRule="exact"/>
        </w:trPr>
        <w:tc>
          <w:tcPr>
            <w:tcW w:w="3903" w:type="dxa"/>
            <w:tcBorders>
              <w:top w:val="dotted" w:sz="4" w:space="0" w:color="000000"/>
              <w:left w:val="nil" w:sz="6" w:space="0" w:color="auto"/>
              <w:bottom w:val="single" w:sz="12" w:space="0" w:color="000000"/>
              <w:right w:val="dotted" w:sz="4" w:space="0" w:color="000000"/>
            </w:tcBorders>
          </w:tcPr>
          <w:p>
            <w:pPr>
              <w:pStyle w:val="TableParagraph"/>
              <w:tabs>
                <w:tab w:pos="422" w:val="left" w:leader="none"/>
              </w:tabs>
              <w:spacing w:line="240" w:lineRule="auto" w:before="18"/>
              <w:ind w:right="1620"/>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20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2,779,455.49</w:t>
            </w:r>
          </w:p>
        </w:tc>
        <w:tc>
          <w:tcPr>
            <w:tcW w:w="184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1,020,546.39</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tabs>
          <w:tab w:pos="1395" w:val="left" w:leader="none"/>
        </w:tabs>
        <w:spacing w:before="36"/>
        <w:ind w:left="858" w:right="257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t>应纳税差异和可抵扣差异项目明细</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tbl>
      <w:tblPr>
        <w:tblW w:w="0" w:type="auto"/>
        <w:jc w:val="left"/>
        <w:tblInd w:w="692" w:type="dxa"/>
        <w:tblLayout w:type="fixed"/>
        <w:tblCellMar>
          <w:top w:w="0" w:type="dxa"/>
          <w:left w:w="0" w:type="dxa"/>
          <w:bottom w:w="0" w:type="dxa"/>
          <w:right w:w="0" w:type="dxa"/>
        </w:tblCellMar>
        <w:tblLook w:val="01E0"/>
      </w:tblPr>
      <w:tblGrid>
        <w:gridCol w:w="4367"/>
        <w:gridCol w:w="3404"/>
      </w:tblGrid>
      <w:tr>
        <w:trPr>
          <w:trHeight w:val="396" w:hRule="exact"/>
        </w:trPr>
        <w:tc>
          <w:tcPr>
            <w:tcW w:w="436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1"/>
              <w:ind w:right="1956"/>
              <w:jc w:val="right"/>
              <w:rPr>
                <w:rFonts w:ascii="宋体" w:hAnsi="宋体" w:cs="宋体" w:eastAsia="宋体" w:hint="default"/>
                <w:sz w:val="21"/>
                <w:szCs w:val="21"/>
              </w:rPr>
            </w:pPr>
            <w:r>
              <w:rPr>
                <w:rFonts w:ascii="宋体" w:hAnsi="宋体" w:cs="宋体" w:eastAsia="宋体" w:hint="default"/>
                <w:sz w:val="21"/>
                <w:szCs w:val="21"/>
              </w:rPr>
              <w:t>项目</w:t>
            </w:r>
          </w:p>
        </w:tc>
        <w:tc>
          <w:tcPr>
            <w:tcW w:w="340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1"/>
              <w:ind w:right="3"/>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84" w:hRule="exact"/>
        </w:trPr>
        <w:tc>
          <w:tcPr>
            <w:tcW w:w="43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3404"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43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4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19,258,683.25</w:t>
            </w:r>
          </w:p>
        </w:tc>
      </w:tr>
      <w:tr>
        <w:trPr>
          <w:trHeight w:val="396" w:hRule="exact"/>
        </w:trPr>
        <w:tc>
          <w:tcPr>
            <w:tcW w:w="436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8"/>
              <w:ind w:right="1956"/>
              <w:jc w:val="right"/>
              <w:rPr>
                <w:rFonts w:ascii="宋体" w:hAnsi="宋体" w:cs="宋体" w:eastAsia="宋体" w:hint="default"/>
                <w:sz w:val="21"/>
                <w:szCs w:val="21"/>
              </w:rPr>
            </w:pPr>
            <w:r>
              <w:rPr>
                <w:rFonts w:ascii="宋体" w:hAnsi="宋体" w:cs="宋体" w:eastAsia="宋体" w:hint="default"/>
                <w:sz w:val="21"/>
                <w:szCs w:val="21"/>
              </w:rPr>
              <w:t>小计</w:t>
            </w:r>
          </w:p>
        </w:tc>
        <w:tc>
          <w:tcPr>
            <w:tcW w:w="340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19,258,683.25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980" w:val="left" w:leader="none"/>
        </w:tabs>
        <w:spacing w:before="179"/>
        <w:ind w:left="140" w:right="257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十二</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资产减值准备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721" w:type="dxa"/>
        <w:tblLayout w:type="fixed"/>
        <w:tblCellMar>
          <w:top w:w="0" w:type="dxa"/>
          <w:left w:w="0" w:type="dxa"/>
          <w:bottom w:w="0" w:type="dxa"/>
          <w:right w:w="0" w:type="dxa"/>
        </w:tblCellMar>
        <w:tblLook w:val="01E0"/>
      </w:tblPr>
      <w:tblGrid>
        <w:gridCol w:w="1717"/>
        <w:gridCol w:w="1270"/>
        <w:gridCol w:w="1460"/>
        <w:gridCol w:w="991"/>
        <w:gridCol w:w="1063"/>
        <w:gridCol w:w="1340"/>
      </w:tblGrid>
      <w:tr>
        <w:trPr>
          <w:trHeight w:val="396" w:hRule="exact"/>
        </w:trPr>
        <w:tc>
          <w:tcPr>
            <w:tcW w:w="1717" w:type="dxa"/>
            <w:vMerge w:val="restart"/>
            <w:tcBorders>
              <w:top w:val="single" w:sz="12" w:space="0" w:color="000000"/>
              <w:left w:val="nil" w:sz="6" w:space="0" w:color="auto"/>
              <w:right w:val="dotted"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tabs>
                <w:tab w:pos="1000" w:val="left" w:leader="none"/>
              </w:tabs>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270" w:type="dxa"/>
            <w:vMerge w:val="restart"/>
            <w:tcBorders>
              <w:top w:val="single" w:sz="12" w:space="0" w:color="000000"/>
              <w:left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60" w:type="dxa"/>
            <w:vMerge w:val="restart"/>
            <w:tcBorders>
              <w:top w:val="single" w:sz="12" w:space="0" w:color="000000"/>
              <w:left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054"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left="66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40" w:type="dxa"/>
            <w:vMerge w:val="restart"/>
            <w:tcBorders>
              <w:top w:val="single" w:sz="12" w:space="0" w:color="000000"/>
              <w:left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84" w:hRule="exact"/>
        </w:trPr>
        <w:tc>
          <w:tcPr>
            <w:tcW w:w="1717" w:type="dxa"/>
            <w:vMerge/>
            <w:tcBorders>
              <w:left w:val="nil" w:sz="6" w:space="0" w:color="auto"/>
              <w:bottom w:val="dotted" w:sz="4" w:space="0" w:color="000000"/>
              <w:right w:val="dotted" w:sz="4" w:space="0" w:color="000000"/>
            </w:tcBorders>
          </w:tcPr>
          <w:p>
            <w:pPr/>
          </w:p>
        </w:tc>
        <w:tc>
          <w:tcPr>
            <w:tcW w:w="1270" w:type="dxa"/>
            <w:vMerge/>
            <w:tcBorders>
              <w:left w:val="dotted" w:sz="4" w:space="0" w:color="000000"/>
              <w:bottom w:val="dotted" w:sz="4" w:space="0" w:color="000000"/>
              <w:right w:val="dotted" w:sz="4" w:space="0" w:color="000000"/>
            </w:tcBorders>
          </w:tcPr>
          <w:p>
            <w:pPr/>
          </w:p>
        </w:tc>
        <w:tc>
          <w:tcPr>
            <w:tcW w:w="1460" w:type="dxa"/>
            <w:vMerge/>
            <w:tcBorders>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263" w:right="0"/>
              <w:jc w:val="left"/>
              <w:rPr>
                <w:rFonts w:ascii="宋体" w:hAnsi="宋体" w:cs="宋体" w:eastAsia="宋体" w:hint="default"/>
                <w:sz w:val="18"/>
                <w:szCs w:val="18"/>
              </w:rPr>
            </w:pPr>
            <w:r>
              <w:rPr>
                <w:rFonts w:ascii="宋体" w:hAnsi="宋体" w:cs="宋体" w:eastAsia="宋体" w:hint="default"/>
                <w:sz w:val="18"/>
                <w:szCs w:val="18"/>
              </w:rPr>
              <w:t>转</w:t>
            </w:r>
            <w:r>
              <w:rPr>
                <w:rFonts w:ascii="宋体" w:hAnsi="宋体" w:cs="宋体" w:eastAsia="宋体" w:hint="default"/>
                <w:spacing w:val="1"/>
                <w:sz w:val="18"/>
                <w:szCs w:val="18"/>
              </w:rPr>
              <w:t> </w:t>
            </w:r>
            <w:r>
              <w:rPr>
                <w:rFonts w:ascii="宋体" w:hAnsi="宋体" w:cs="宋体" w:eastAsia="宋体" w:hint="default"/>
                <w:sz w:val="18"/>
                <w:szCs w:val="18"/>
              </w:rPr>
              <w:t>回</w:t>
            </w:r>
          </w:p>
        </w:tc>
        <w:tc>
          <w:tcPr>
            <w:tcW w:w="10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300" w:right="0"/>
              <w:jc w:val="left"/>
              <w:rPr>
                <w:rFonts w:ascii="宋体" w:hAnsi="宋体" w:cs="宋体" w:eastAsia="宋体" w:hint="default"/>
                <w:sz w:val="18"/>
                <w:szCs w:val="18"/>
              </w:rPr>
            </w:pPr>
            <w:r>
              <w:rPr>
                <w:rFonts w:ascii="宋体" w:hAnsi="宋体" w:cs="宋体" w:eastAsia="宋体" w:hint="default"/>
                <w:sz w:val="18"/>
                <w:szCs w:val="18"/>
              </w:rPr>
              <w:t>转</w:t>
            </w:r>
            <w:r>
              <w:rPr>
                <w:rFonts w:ascii="宋体" w:hAnsi="宋体" w:cs="宋体" w:eastAsia="宋体" w:hint="default"/>
                <w:spacing w:val="1"/>
                <w:sz w:val="18"/>
                <w:szCs w:val="18"/>
              </w:rPr>
              <w:t> </w:t>
            </w:r>
            <w:r>
              <w:rPr>
                <w:rFonts w:ascii="宋体" w:hAnsi="宋体" w:cs="宋体" w:eastAsia="宋体" w:hint="default"/>
                <w:sz w:val="18"/>
                <w:szCs w:val="18"/>
              </w:rPr>
              <w:t>销</w:t>
            </w:r>
          </w:p>
        </w:tc>
        <w:tc>
          <w:tcPr>
            <w:tcW w:w="1340" w:type="dxa"/>
            <w:vMerge/>
            <w:tcBorders>
              <w:left w:val="dotted" w:sz="4" w:space="0" w:color="000000"/>
              <w:bottom w:val="dotted" w:sz="4" w:space="0" w:color="000000"/>
              <w:right w:val="nil" w:sz="6" w:space="0" w:color="auto"/>
            </w:tcBorders>
          </w:tcPr>
          <w:p>
            <w:pPr/>
          </w:p>
        </w:tc>
      </w:tr>
      <w:tr>
        <w:trPr>
          <w:trHeight w:val="384" w:hRule="exact"/>
        </w:trPr>
        <w:tc>
          <w:tcPr>
            <w:tcW w:w="17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10,700,172.60</w:t>
            </w:r>
          </w:p>
        </w:tc>
        <w:tc>
          <w:tcPr>
            <w:tcW w:w="14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8,558,510.65</w:t>
            </w:r>
          </w:p>
        </w:tc>
        <w:tc>
          <w:tcPr>
            <w:tcW w:w="991" w:type="dxa"/>
            <w:tcBorders>
              <w:top w:val="dotted" w:sz="4" w:space="0" w:color="000000"/>
              <w:left w:val="dotted" w:sz="4" w:space="0" w:color="000000"/>
              <w:bottom w:val="dotted" w:sz="4" w:space="0" w:color="000000"/>
              <w:right w:val="dotted" w:sz="4" w:space="0" w:color="000000"/>
            </w:tcBorders>
          </w:tcPr>
          <w:p>
            <w:pPr/>
          </w:p>
        </w:tc>
        <w:tc>
          <w:tcPr>
            <w:tcW w:w="1063" w:type="dxa"/>
            <w:tcBorders>
              <w:top w:val="dotted" w:sz="4" w:space="0" w:color="000000"/>
              <w:left w:val="dotted" w:sz="4" w:space="0" w:color="000000"/>
              <w:bottom w:val="dotted" w:sz="4" w:space="0" w:color="000000"/>
              <w:right w:val="dotted" w:sz="4" w:space="0" w:color="000000"/>
            </w:tcBorders>
          </w:tcPr>
          <w:p>
            <w:pPr/>
          </w:p>
        </w:tc>
        <w:tc>
          <w:tcPr>
            <w:tcW w:w="13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19,258,683.25</w:t>
            </w:r>
          </w:p>
        </w:tc>
      </w:tr>
      <w:tr>
        <w:trPr>
          <w:trHeight w:val="396" w:hRule="exact"/>
        </w:trPr>
        <w:tc>
          <w:tcPr>
            <w:tcW w:w="171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10,700,172.60</w:t>
            </w:r>
          </w:p>
        </w:tc>
        <w:tc>
          <w:tcPr>
            <w:tcW w:w="14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8,558,510.65</w:t>
            </w:r>
          </w:p>
        </w:tc>
        <w:tc>
          <w:tcPr>
            <w:tcW w:w="991" w:type="dxa"/>
            <w:tcBorders>
              <w:top w:val="dotted" w:sz="4" w:space="0" w:color="000000"/>
              <w:left w:val="dotted" w:sz="4" w:space="0" w:color="000000"/>
              <w:bottom w:val="single" w:sz="12" w:space="0" w:color="000000"/>
              <w:right w:val="dotted" w:sz="4" w:space="0" w:color="000000"/>
            </w:tcBorders>
          </w:tcPr>
          <w:p>
            <w:pPr/>
          </w:p>
        </w:tc>
        <w:tc>
          <w:tcPr>
            <w:tcW w:w="1063" w:type="dxa"/>
            <w:tcBorders>
              <w:top w:val="dotted" w:sz="4" w:space="0" w:color="000000"/>
              <w:left w:val="dotted" w:sz="4" w:space="0" w:color="000000"/>
              <w:bottom w:val="single" w:sz="12" w:space="0" w:color="000000"/>
              <w:right w:val="dotted" w:sz="4" w:space="0" w:color="000000"/>
            </w:tcBorders>
          </w:tcPr>
          <w:p>
            <w:pPr/>
          </w:p>
        </w:tc>
        <w:tc>
          <w:tcPr>
            <w:tcW w:w="134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19,258,683.25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40" w:bottom="1160" w:left="1660" w:right="1540"/>
        </w:sectPr>
      </w:pPr>
    </w:p>
    <w:p>
      <w:pPr>
        <w:spacing w:line="240" w:lineRule="auto" w:before="10"/>
        <w:rPr>
          <w:rFonts w:ascii="宋体" w:hAnsi="宋体" w:cs="宋体" w:eastAsia="宋体" w:hint="default"/>
          <w:b/>
          <w:bCs/>
          <w:sz w:val="17"/>
          <w:szCs w:val="17"/>
        </w:rPr>
      </w:pPr>
    </w:p>
    <w:p>
      <w:pPr>
        <w:tabs>
          <w:tab w:pos="980" w:val="left" w:leader="none"/>
        </w:tabs>
        <w:spacing w:before="36"/>
        <w:ind w:left="140" w:right="13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十三</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783" w:type="dxa"/>
        <w:tblLayout w:type="fixed"/>
        <w:tblCellMar>
          <w:top w:w="0" w:type="dxa"/>
          <w:left w:w="0" w:type="dxa"/>
          <w:bottom w:w="0" w:type="dxa"/>
          <w:right w:w="0" w:type="dxa"/>
        </w:tblCellMar>
        <w:tblLook w:val="01E0"/>
      </w:tblPr>
      <w:tblGrid>
        <w:gridCol w:w="4227"/>
        <w:gridCol w:w="1747"/>
        <w:gridCol w:w="1750"/>
      </w:tblGrid>
      <w:tr>
        <w:trPr>
          <w:trHeight w:val="396" w:hRule="exact"/>
        </w:trPr>
        <w:tc>
          <w:tcPr>
            <w:tcW w:w="422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1"/>
              <w:ind w:left="19" w:right="0"/>
              <w:jc w:val="center"/>
              <w:rPr>
                <w:rFonts w:ascii="宋体" w:hAnsi="宋体" w:cs="宋体" w:eastAsia="宋体" w:hint="default"/>
                <w:sz w:val="21"/>
                <w:szCs w:val="21"/>
              </w:rPr>
            </w:pPr>
            <w:r>
              <w:rPr>
                <w:rFonts w:ascii="宋体" w:hAnsi="宋体" w:cs="宋体" w:eastAsia="宋体" w:hint="default"/>
                <w:sz w:val="21"/>
                <w:szCs w:val="21"/>
              </w:rPr>
              <w:t>类别及内容</w:t>
            </w:r>
          </w:p>
        </w:tc>
        <w:tc>
          <w:tcPr>
            <w:tcW w:w="174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1"/>
              <w:ind w:left="44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5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1"/>
              <w:ind w:left="448"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84" w:hRule="exact"/>
        </w:trPr>
        <w:tc>
          <w:tcPr>
            <w:tcW w:w="42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228" w:right="0"/>
              <w:jc w:val="left"/>
              <w:rPr>
                <w:rFonts w:ascii="宋体" w:hAnsi="宋体" w:cs="宋体" w:eastAsia="宋体" w:hint="default"/>
                <w:sz w:val="21"/>
                <w:szCs w:val="21"/>
              </w:rPr>
            </w:pPr>
            <w:r>
              <w:rPr>
                <w:rFonts w:ascii="宋体" w:hAnsi="宋体" w:cs="宋体" w:eastAsia="宋体" w:hint="default"/>
                <w:sz w:val="21"/>
                <w:szCs w:val="21"/>
              </w:rPr>
              <w:t>会员证</w:t>
            </w:r>
          </w:p>
        </w:tc>
        <w:tc>
          <w:tcPr>
            <w:tcW w:w="17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2,675,000.00</w:t>
            </w:r>
          </w:p>
        </w:tc>
        <w:tc>
          <w:tcPr>
            <w:tcW w:w="17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2,975,000.00</w:t>
            </w:r>
          </w:p>
        </w:tc>
      </w:tr>
      <w:tr>
        <w:trPr>
          <w:trHeight w:val="396" w:hRule="exact"/>
        </w:trPr>
        <w:tc>
          <w:tcPr>
            <w:tcW w:w="422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8"/>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2,675,000.00</w:t>
            </w:r>
          </w:p>
        </w:tc>
        <w:tc>
          <w:tcPr>
            <w:tcW w:w="175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2,975,000.00</w:t>
            </w:r>
          </w:p>
        </w:tc>
      </w:tr>
    </w:tbl>
    <w:p>
      <w:pPr>
        <w:spacing w:line="240" w:lineRule="auto" w:before="3"/>
        <w:rPr>
          <w:rFonts w:ascii="宋体" w:hAnsi="宋体" w:cs="宋体" w:eastAsia="宋体" w:hint="default"/>
          <w:b/>
          <w:bCs/>
          <w:sz w:val="25"/>
          <w:szCs w:val="25"/>
        </w:rPr>
      </w:pPr>
    </w:p>
    <w:p>
      <w:pPr>
        <w:tabs>
          <w:tab w:pos="980" w:val="left" w:leader="none"/>
        </w:tabs>
        <w:spacing w:before="36"/>
        <w:ind w:left="140" w:right="13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十四</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18"/>
          <w:szCs w:val="18"/>
        </w:rPr>
      </w:pPr>
    </w:p>
    <w:p>
      <w:pPr>
        <w:tabs>
          <w:tab w:pos="1395" w:val="left" w:leader="none"/>
        </w:tabs>
        <w:spacing w:before="0"/>
        <w:ind w:left="858" w:right="13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tab/>
        <w:t>应付账款明细如下：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tbl>
      <w:tblPr>
        <w:tblW w:w="0" w:type="auto"/>
        <w:jc w:val="left"/>
        <w:tblInd w:w="682" w:type="dxa"/>
        <w:tblLayout w:type="fixed"/>
        <w:tblCellMar>
          <w:top w:w="0" w:type="dxa"/>
          <w:left w:w="0" w:type="dxa"/>
          <w:bottom w:w="0" w:type="dxa"/>
          <w:right w:w="0" w:type="dxa"/>
        </w:tblCellMar>
        <w:tblLook w:val="01E0"/>
      </w:tblPr>
      <w:tblGrid>
        <w:gridCol w:w="3089"/>
        <w:gridCol w:w="2410"/>
        <w:gridCol w:w="2269"/>
      </w:tblGrid>
      <w:tr>
        <w:trPr>
          <w:trHeight w:val="394" w:hRule="exact"/>
        </w:trPr>
        <w:tc>
          <w:tcPr>
            <w:tcW w:w="308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8"/>
              <w:ind w:left="1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8"/>
              <w:ind w:left="78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6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8"/>
              <w:ind w:left="708"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84" w:hRule="exact"/>
        </w:trPr>
        <w:tc>
          <w:tcPr>
            <w:tcW w:w="30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7,172,105.73</w:t>
            </w:r>
          </w:p>
        </w:tc>
        <w:tc>
          <w:tcPr>
            <w:tcW w:w="22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3,503,281.48</w:t>
            </w:r>
          </w:p>
        </w:tc>
      </w:tr>
      <w:tr>
        <w:trPr>
          <w:trHeight w:val="384" w:hRule="exact"/>
        </w:trPr>
        <w:tc>
          <w:tcPr>
            <w:tcW w:w="30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284,985.50</w:t>
            </w:r>
          </w:p>
        </w:tc>
        <w:tc>
          <w:tcPr>
            <w:tcW w:w="22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222,047.90</w:t>
            </w:r>
          </w:p>
        </w:tc>
      </w:tr>
      <w:tr>
        <w:trPr>
          <w:trHeight w:val="396" w:hRule="exact"/>
        </w:trPr>
        <w:tc>
          <w:tcPr>
            <w:tcW w:w="3089" w:type="dxa"/>
            <w:tcBorders>
              <w:top w:val="dotted" w:sz="4" w:space="0" w:color="000000"/>
              <w:left w:val="nil" w:sz="6" w:space="0" w:color="auto"/>
              <w:bottom w:val="single" w:sz="12" w:space="0" w:color="000000"/>
              <w:right w:val="dotted" w:sz="4" w:space="0" w:color="000000"/>
            </w:tcBorders>
          </w:tcPr>
          <w:p>
            <w:pPr>
              <w:pStyle w:val="TableParagraph"/>
              <w:tabs>
                <w:tab w:pos="650" w:val="left" w:leader="none"/>
              </w:tabs>
              <w:spacing w:line="240" w:lineRule="auto" w:before="21"/>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4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spacing w:val="-1"/>
                <w:sz w:val="21"/>
              </w:rPr>
              <w:t>7,457,091.23</w:t>
            </w:r>
          </w:p>
        </w:tc>
        <w:tc>
          <w:tcPr>
            <w:tcW w:w="226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21"/>
                <w:szCs w:val="21"/>
              </w:rPr>
            </w:pPr>
            <w:r>
              <w:rPr>
                <w:rFonts w:ascii="Times New Roman"/>
                <w:spacing w:val="-1"/>
                <w:sz w:val="21"/>
              </w:rPr>
              <w:t>3,725,329.38</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2"/>
          <w:szCs w:val="22"/>
        </w:rPr>
      </w:pPr>
    </w:p>
    <w:p>
      <w:pPr>
        <w:tabs>
          <w:tab w:pos="1395" w:val="left" w:leader="none"/>
        </w:tabs>
        <w:spacing w:before="36"/>
        <w:ind w:left="858" w:right="13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t>期末数中无欠持本公司</w:t>
      </w:r>
      <w:r>
        <w:rPr>
          <w:rFonts w:ascii="宋体" w:hAnsi="宋体" w:cs="宋体" w:eastAsia="宋体" w:hint="default"/>
          <w:b/>
          <w:bCs/>
          <w:spacing w:val="-52"/>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3"/>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％）表决权股份的股东单位款项。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tabs>
          <w:tab w:pos="1395" w:val="left" w:leader="none"/>
        </w:tabs>
        <w:spacing w:before="0"/>
        <w:ind w:left="858" w:right="13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tab/>
        <w:t>期末数中无欠关联方款项。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tabs>
          <w:tab w:pos="1395" w:val="left" w:leader="none"/>
        </w:tabs>
        <w:spacing w:before="0"/>
        <w:ind w:left="858" w:right="138"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tab/>
        <w:t>账龄超过一年的大额应付账款：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670" w:type="dxa"/>
        <w:tblLayout w:type="fixed"/>
        <w:tblCellMar>
          <w:top w:w="0" w:type="dxa"/>
          <w:left w:w="0" w:type="dxa"/>
          <w:bottom w:w="0" w:type="dxa"/>
          <w:right w:w="0" w:type="dxa"/>
        </w:tblCellMar>
        <w:tblLook w:val="01E0"/>
      </w:tblPr>
      <w:tblGrid>
        <w:gridCol w:w="2710"/>
        <w:gridCol w:w="1471"/>
        <w:gridCol w:w="1503"/>
        <w:gridCol w:w="2067"/>
      </w:tblGrid>
      <w:tr>
        <w:trPr>
          <w:trHeight w:val="396" w:hRule="exact"/>
        </w:trPr>
        <w:tc>
          <w:tcPr>
            <w:tcW w:w="271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1"/>
              <w:ind w:left="18"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7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1"/>
              <w:ind w:left="30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0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1"/>
              <w:ind w:left="221" w:right="0"/>
              <w:jc w:val="left"/>
              <w:rPr>
                <w:rFonts w:ascii="宋体" w:hAnsi="宋体" w:cs="宋体" w:eastAsia="宋体" w:hint="default"/>
                <w:sz w:val="21"/>
                <w:szCs w:val="21"/>
              </w:rPr>
            </w:pPr>
            <w:r>
              <w:rPr>
                <w:rFonts w:ascii="宋体" w:hAnsi="宋体" w:cs="宋体" w:eastAsia="宋体" w:hint="default"/>
                <w:sz w:val="21"/>
                <w:szCs w:val="21"/>
              </w:rPr>
              <w:t>未结转原因</w:t>
            </w:r>
          </w:p>
        </w:tc>
        <w:tc>
          <w:tcPr>
            <w:tcW w:w="206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1"/>
              <w:ind w:right="2"/>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770" w:hRule="exact"/>
        </w:trPr>
        <w:tc>
          <w:tcPr>
            <w:tcW w:w="2710" w:type="dxa"/>
            <w:tcBorders>
              <w:top w:val="dotted" w:sz="4" w:space="0" w:color="000000"/>
              <w:left w:val="nil" w:sz="6" w:space="0" w:color="auto"/>
              <w:bottom w:val="single" w:sz="12" w:space="0" w:color="000000"/>
              <w:right w:val="dotted" w:sz="4" w:space="0" w:color="000000"/>
            </w:tcBorders>
          </w:tcPr>
          <w:p>
            <w:pPr>
              <w:pStyle w:val="TableParagraph"/>
              <w:spacing w:line="326" w:lineRule="auto" w:before="18"/>
              <w:ind w:left="122" w:right="103" w:firstLine="105"/>
              <w:jc w:val="left"/>
              <w:rPr>
                <w:rFonts w:ascii="宋体" w:hAnsi="宋体" w:cs="宋体" w:eastAsia="宋体" w:hint="default"/>
                <w:sz w:val="21"/>
                <w:szCs w:val="21"/>
              </w:rPr>
            </w:pPr>
            <w:r>
              <w:rPr>
                <w:rFonts w:ascii="宋体" w:hAnsi="宋体" w:cs="宋体" w:eastAsia="宋体" w:hint="default"/>
                <w:spacing w:val="2"/>
                <w:sz w:val="21"/>
                <w:szCs w:val="21"/>
              </w:rPr>
              <w:t>思爱普（北京）软件系统</w:t>
            </w:r>
            <w:r>
              <w:rPr>
                <w:rFonts w:ascii="宋体" w:hAnsi="宋体" w:cs="宋体" w:eastAsia="宋体" w:hint="default"/>
                <w:w w:val="100"/>
                <w:sz w:val="21"/>
                <w:szCs w:val="21"/>
              </w:rPr>
              <w:t> </w:t>
            </w:r>
            <w:r>
              <w:rPr>
                <w:rFonts w:ascii="宋体" w:hAnsi="宋体" w:cs="宋体" w:eastAsia="宋体" w:hint="default"/>
                <w:sz w:val="21"/>
                <w:szCs w:val="21"/>
              </w:rPr>
              <w:t>有限公司上海分公司</w:t>
            </w:r>
          </w:p>
        </w:tc>
        <w:tc>
          <w:tcPr>
            <w:tcW w:w="14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10" w:right="0"/>
              <w:jc w:val="left"/>
              <w:rPr>
                <w:rFonts w:ascii="Times New Roman" w:hAnsi="Times New Roman" w:cs="Times New Roman" w:eastAsia="Times New Roman" w:hint="default"/>
                <w:sz w:val="21"/>
                <w:szCs w:val="21"/>
              </w:rPr>
            </w:pPr>
            <w:r>
              <w:rPr>
                <w:rFonts w:ascii="Times New Roman"/>
                <w:sz w:val="21"/>
              </w:rPr>
              <w:t>284,985.50</w:t>
            </w:r>
          </w:p>
        </w:tc>
        <w:tc>
          <w:tcPr>
            <w:tcW w:w="1503" w:type="dxa"/>
            <w:tcBorders>
              <w:top w:val="dotted" w:sz="4" w:space="0" w:color="000000"/>
              <w:left w:val="dotted" w:sz="4" w:space="0" w:color="000000"/>
              <w:bottom w:val="single" w:sz="12" w:space="0" w:color="000000"/>
              <w:right w:val="dotted" w:sz="4" w:space="0" w:color="000000"/>
            </w:tcBorders>
          </w:tcPr>
          <w:p>
            <w:pPr>
              <w:pStyle w:val="TableParagraph"/>
              <w:spacing w:line="326" w:lineRule="auto" w:before="18"/>
              <w:ind w:left="103" w:right="100"/>
              <w:jc w:val="left"/>
              <w:rPr>
                <w:rFonts w:ascii="宋体" w:hAnsi="宋体" w:cs="宋体" w:eastAsia="宋体" w:hint="default"/>
                <w:sz w:val="21"/>
                <w:szCs w:val="21"/>
              </w:rPr>
            </w:pPr>
            <w:r>
              <w:rPr>
                <w:rFonts w:ascii="宋体" w:hAnsi="宋体" w:cs="宋体" w:eastAsia="宋体" w:hint="default"/>
                <w:spacing w:val="2"/>
                <w:sz w:val="21"/>
                <w:szCs w:val="21"/>
              </w:rPr>
              <w:t>尚未达到合同</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约定支付条件</w:t>
            </w:r>
          </w:p>
        </w:tc>
        <w:tc>
          <w:tcPr>
            <w:tcW w:w="2067"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tabs>
          <w:tab w:pos="980" w:val="left" w:leader="none"/>
        </w:tabs>
        <w:spacing w:before="36"/>
        <w:ind w:left="140" w:right="13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十五</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18"/>
          <w:szCs w:val="18"/>
        </w:rPr>
      </w:pPr>
    </w:p>
    <w:p>
      <w:pPr>
        <w:tabs>
          <w:tab w:pos="1395" w:val="left" w:leader="none"/>
        </w:tabs>
        <w:spacing w:before="0"/>
        <w:ind w:left="858" w:right="13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tab/>
        <w:t>预收款项情况：</w:t>
      </w:r>
      <w:r>
        <w:rPr>
          <w:rFonts w:ascii="宋体" w:hAnsi="宋体" w:cs="宋体" w:eastAsia="宋体" w:hint="default"/>
          <w:sz w:val="21"/>
          <w:szCs w:val="21"/>
        </w:rPr>
      </w:r>
    </w:p>
    <w:p>
      <w:pPr>
        <w:spacing w:line="240" w:lineRule="auto" w:before="4"/>
        <w:rPr>
          <w:rFonts w:ascii="宋体" w:hAnsi="宋体" w:cs="宋体" w:eastAsia="宋体" w:hint="default"/>
          <w:b/>
          <w:bCs/>
          <w:sz w:val="2"/>
          <w:szCs w:val="2"/>
        </w:rPr>
      </w:pPr>
    </w:p>
    <w:tbl>
      <w:tblPr>
        <w:tblW w:w="0" w:type="auto"/>
        <w:jc w:val="left"/>
        <w:tblInd w:w="682" w:type="dxa"/>
        <w:tblLayout w:type="fixed"/>
        <w:tblCellMar>
          <w:top w:w="0" w:type="dxa"/>
          <w:left w:w="0" w:type="dxa"/>
          <w:bottom w:w="0" w:type="dxa"/>
          <w:right w:w="0" w:type="dxa"/>
        </w:tblCellMar>
        <w:tblLook w:val="01E0"/>
      </w:tblPr>
      <w:tblGrid>
        <w:gridCol w:w="3373"/>
        <w:gridCol w:w="2268"/>
        <w:gridCol w:w="2127"/>
      </w:tblGrid>
      <w:tr>
        <w:trPr>
          <w:trHeight w:val="397" w:hRule="exact"/>
        </w:trPr>
        <w:tc>
          <w:tcPr>
            <w:tcW w:w="337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1"/>
              <w:ind w:left="1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1"/>
              <w:ind w:left="70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2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1"/>
              <w:ind w:left="638"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84"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5,689,824.83</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4,960,457.37</w:t>
            </w:r>
          </w:p>
        </w:tc>
      </w:tr>
      <w:tr>
        <w:trPr>
          <w:trHeight w:val="396" w:hRule="exact"/>
        </w:trPr>
        <w:tc>
          <w:tcPr>
            <w:tcW w:w="3373" w:type="dxa"/>
            <w:tcBorders>
              <w:top w:val="dotted" w:sz="4" w:space="0" w:color="000000"/>
              <w:left w:val="nil" w:sz="6" w:space="0" w:color="auto"/>
              <w:bottom w:val="single" w:sz="12" w:space="0" w:color="000000"/>
              <w:right w:val="dotted" w:sz="4" w:space="0" w:color="000000"/>
            </w:tcBorders>
          </w:tcPr>
          <w:p>
            <w:pPr>
              <w:pStyle w:val="TableParagraph"/>
              <w:tabs>
                <w:tab w:pos="650" w:val="left" w:leader="none"/>
              </w:tabs>
              <w:spacing w:line="240" w:lineRule="auto" w:before="18"/>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5,689,824.83</w:t>
            </w:r>
          </w:p>
        </w:tc>
        <w:tc>
          <w:tcPr>
            <w:tcW w:w="212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4,960,457.37</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2"/>
          <w:szCs w:val="22"/>
        </w:rPr>
      </w:pPr>
    </w:p>
    <w:p>
      <w:pPr>
        <w:tabs>
          <w:tab w:pos="1395" w:val="left" w:leader="none"/>
        </w:tabs>
        <w:spacing w:before="36"/>
        <w:ind w:left="858" w:right="13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t>期末数中无预收持本公司</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3"/>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％）表决权股份的股东单位款项。</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980" w:top="1140" w:bottom="1160" w:left="1660" w:right="15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tabs>
          <w:tab w:pos="1395" w:val="left" w:leader="none"/>
        </w:tabs>
        <w:spacing w:before="36"/>
        <w:ind w:left="858" w:right="31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tab/>
        <w:t>期末数中无预收关联方款项。</w:t>
      </w:r>
      <w:r>
        <w:rPr>
          <w:rFonts w:ascii="宋体" w:hAnsi="宋体" w:cs="宋体" w:eastAsia="宋体" w:hint="default"/>
          <w:sz w:val="21"/>
          <w:szCs w:val="21"/>
        </w:rPr>
      </w:r>
    </w:p>
    <w:p>
      <w:pPr>
        <w:spacing w:line="240" w:lineRule="auto" w:before="2"/>
        <w:rPr>
          <w:rFonts w:ascii="宋体" w:hAnsi="宋体" w:cs="宋体" w:eastAsia="宋体" w:hint="default"/>
          <w:b/>
          <w:bCs/>
          <w:sz w:val="28"/>
          <w:szCs w:val="28"/>
        </w:rPr>
      </w:pPr>
    </w:p>
    <w:p>
      <w:pPr>
        <w:tabs>
          <w:tab w:pos="980" w:val="left" w:leader="none"/>
        </w:tabs>
        <w:spacing w:before="0"/>
        <w:ind w:left="140" w:right="3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十六</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3"/>
          <w:szCs w:val="13"/>
        </w:rPr>
      </w:pPr>
    </w:p>
    <w:tbl>
      <w:tblPr>
        <w:tblW w:w="0" w:type="auto"/>
        <w:jc w:val="left"/>
        <w:tblInd w:w="632" w:type="dxa"/>
        <w:tblLayout w:type="fixed"/>
        <w:tblCellMar>
          <w:top w:w="0" w:type="dxa"/>
          <w:left w:w="0" w:type="dxa"/>
          <w:bottom w:w="0" w:type="dxa"/>
          <w:right w:w="0" w:type="dxa"/>
        </w:tblCellMar>
        <w:tblLook w:val="01E0"/>
      </w:tblPr>
      <w:tblGrid>
        <w:gridCol w:w="2674"/>
        <w:gridCol w:w="1303"/>
        <w:gridCol w:w="1397"/>
        <w:gridCol w:w="1471"/>
        <w:gridCol w:w="1304"/>
      </w:tblGrid>
      <w:tr>
        <w:trPr>
          <w:trHeight w:val="394" w:hRule="exact"/>
        </w:trPr>
        <w:tc>
          <w:tcPr>
            <w:tcW w:w="267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9"/>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0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28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9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3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7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3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0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9"/>
              <w:ind w:right="9"/>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84"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3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28,650,727.34</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180,277,659.91</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2"/>
              <w:jc w:val="right"/>
              <w:rPr>
                <w:rFonts w:ascii="Times New Roman" w:hAnsi="Times New Roman" w:cs="Times New Roman" w:eastAsia="Times New Roman" w:hint="default"/>
                <w:sz w:val="18"/>
                <w:szCs w:val="18"/>
              </w:rPr>
            </w:pPr>
            <w:r>
              <w:rPr>
                <w:rFonts w:ascii="Times New Roman"/>
                <w:spacing w:val="-1"/>
                <w:sz w:val="18"/>
              </w:rPr>
              <w:t>175,854,149.16</w:t>
            </w:r>
          </w:p>
        </w:tc>
        <w:tc>
          <w:tcPr>
            <w:tcW w:w="13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left="42" w:right="0"/>
              <w:jc w:val="center"/>
              <w:rPr>
                <w:rFonts w:ascii="Times New Roman" w:hAnsi="Times New Roman" w:cs="Times New Roman" w:eastAsia="Times New Roman" w:hint="default"/>
                <w:sz w:val="18"/>
                <w:szCs w:val="18"/>
              </w:rPr>
            </w:pPr>
            <w:r>
              <w:rPr>
                <w:rFonts w:ascii="Times New Roman"/>
                <w:sz w:val="18"/>
              </w:rPr>
              <w:t>33,074,238.09</w:t>
            </w:r>
          </w:p>
        </w:tc>
      </w:tr>
      <w:tr>
        <w:trPr>
          <w:trHeight w:val="386"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303"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54,792.74</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54,792.74</w:t>
            </w:r>
          </w:p>
        </w:tc>
        <w:tc>
          <w:tcPr>
            <w:tcW w:w="1304"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3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2,504,170.63</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30,754,905.89</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29,161,727.67</w:t>
            </w:r>
          </w:p>
        </w:tc>
        <w:tc>
          <w:tcPr>
            <w:tcW w:w="13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left="132" w:right="0"/>
              <w:jc w:val="center"/>
              <w:rPr>
                <w:rFonts w:ascii="Times New Roman" w:hAnsi="Times New Roman" w:cs="Times New Roman" w:eastAsia="Times New Roman" w:hint="default"/>
                <w:sz w:val="18"/>
                <w:szCs w:val="18"/>
              </w:rPr>
            </w:pPr>
            <w:r>
              <w:rPr>
                <w:rFonts w:ascii="Times New Roman"/>
                <w:sz w:val="18"/>
              </w:rPr>
              <w:t>4,097,348.85</w:t>
            </w:r>
          </w:p>
        </w:tc>
      </w:tr>
      <w:tr>
        <w:trPr>
          <w:trHeight w:val="394" w:hRule="exact"/>
        </w:trPr>
        <w:tc>
          <w:tcPr>
            <w:tcW w:w="267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9"/>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0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31,154,897.97</w:t>
            </w:r>
          </w:p>
        </w:tc>
        <w:tc>
          <w:tcPr>
            <w:tcW w:w="13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211,087,358.54</w:t>
            </w:r>
          </w:p>
        </w:tc>
        <w:tc>
          <w:tcPr>
            <w:tcW w:w="14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205,070,669.57</w:t>
            </w:r>
          </w:p>
        </w:tc>
        <w:tc>
          <w:tcPr>
            <w:tcW w:w="130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1"/>
              <w:ind w:left="42" w:right="0"/>
              <w:jc w:val="center"/>
              <w:rPr>
                <w:rFonts w:ascii="Times New Roman" w:hAnsi="Times New Roman" w:cs="Times New Roman" w:eastAsia="Times New Roman" w:hint="default"/>
                <w:sz w:val="18"/>
                <w:szCs w:val="18"/>
              </w:rPr>
            </w:pPr>
            <w:r>
              <w:rPr>
                <w:rFonts w:ascii="Times New Roman"/>
                <w:sz w:val="18"/>
              </w:rPr>
              <w:t>37,171,586.94</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350" w:lineRule="auto" w:before="0"/>
        <w:ind w:left="858" w:right="318" w:firstLine="0"/>
        <w:jc w:val="left"/>
        <w:rPr>
          <w:rFonts w:ascii="宋体" w:hAnsi="宋体" w:cs="宋体" w:eastAsia="宋体" w:hint="default"/>
          <w:sz w:val="21"/>
          <w:szCs w:val="21"/>
        </w:rPr>
      </w:pPr>
      <w:r>
        <w:rPr>
          <w:rFonts w:ascii="宋体" w:hAnsi="宋体" w:cs="宋体" w:eastAsia="宋体" w:hint="default"/>
          <w:spacing w:val="-4"/>
          <w:sz w:val="21"/>
          <w:szCs w:val="21"/>
        </w:rPr>
        <w:t>本期未发生工会经费和职工教育经费，年末余额中无工会经费和职工教育经费金额，</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无非货币性福利金额，无因解除劳动关系给予补偿。</w:t>
      </w:r>
      <w:r>
        <w:rPr>
          <w:rFonts w:ascii="宋体" w:hAnsi="宋体" w:cs="宋体" w:eastAsia="宋体" w:hint="default"/>
          <w:w w:val="100"/>
          <w:sz w:val="21"/>
          <w:szCs w:val="21"/>
        </w:rPr>
        <w:t> </w:t>
      </w:r>
      <w:r>
        <w:rPr>
          <w:rFonts w:ascii="宋体" w:hAnsi="宋体" w:cs="宋体" w:eastAsia="宋体" w:hint="default"/>
          <w:sz w:val="21"/>
          <w:szCs w:val="21"/>
        </w:rPr>
        <w:t>应付职工薪酬中工资及奖金已在</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月份支付</w:t>
      </w:r>
      <w:r>
        <w:rPr>
          <w:rFonts w:ascii="宋体" w:hAnsi="宋体" w:cs="宋体" w:eastAsia="宋体" w:hint="default"/>
          <w:spacing w:val="-53"/>
          <w:sz w:val="21"/>
          <w:szCs w:val="21"/>
        </w:rPr>
        <w:t> </w:t>
      </w:r>
      <w:r>
        <w:rPr>
          <w:rFonts w:ascii="宋体" w:hAnsi="宋体" w:cs="宋体" w:eastAsia="宋体" w:hint="default"/>
          <w:sz w:val="21"/>
          <w:szCs w:val="21"/>
        </w:rPr>
        <w:t>3,295.96</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line="240" w:lineRule="auto" w:before="10"/>
        <w:rPr>
          <w:rFonts w:ascii="宋体" w:hAnsi="宋体" w:cs="宋体" w:eastAsia="宋体" w:hint="default"/>
          <w:sz w:val="20"/>
          <w:szCs w:val="20"/>
        </w:rPr>
      </w:pPr>
    </w:p>
    <w:p>
      <w:pPr>
        <w:tabs>
          <w:tab w:pos="980" w:val="left" w:leader="none"/>
        </w:tabs>
        <w:spacing w:before="0"/>
        <w:ind w:left="140" w:right="3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十七</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5"/>
        <w:rPr>
          <w:rFonts w:ascii="宋体" w:hAnsi="宋体" w:cs="宋体" w:eastAsia="宋体" w:hint="default"/>
          <w:b/>
          <w:bCs/>
          <w:sz w:val="29"/>
          <w:szCs w:val="29"/>
        </w:rPr>
      </w:pPr>
    </w:p>
    <w:tbl>
      <w:tblPr>
        <w:tblW w:w="0" w:type="auto"/>
        <w:jc w:val="left"/>
        <w:tblInd w:w="615" w:type="dxa"/>
        <w:tblLayout w:type="fixed"/>
        <w:tblCellMar>
          <w:top w:w="0" w:type="dxa"/>
          <w:left w:w="0" w:type="dxa"/>
          <w:bottom w:w="0" w:type="dxa"/>
          <w:right w:w="0" w:type="dxa"/>
        </w:tblCellMar>
        <w:tblLook w:val="01E0"/>
      </w:tblPr>
      <w:tblGrid>
        <w:gridCol w:w="3022"/>
        <w:gridCol w:w="2381"/>
        <w:gridCol w:w="2384"/>
      </w:tblGrid>
      <w:tr>
        <w:trPr>
          <w:trHeight w:val="331" w:hRule="exact"/>
        </w:trPr>
        <w:tc>
          <w:tcPr>
            <w:tcW w:w="3022" w:type="dxa"/>
            <w:tcBorders>
              <w:top w:val="single" w:sz="12" w:space="0" w:color="000000"/>
              <w:left w:val="nil" w:sz="6" w:space="0" w:color="auto"/>
              <w:bottom w:val="dotted" w:sz="4" w:space="0" w:color="000000"/>
              <w:right w:val="dotted" w:sz="4" w:space="0" w:color="000000"/>
            </w:tcBorders>
          </w:tcPr>
          <w:p>
            <w:pPr>
              <w:pStyle w:val="TableParagraph"/>
              <w:spacing w:line="262" w:lineRule="exact"/>
              <w:ind w:left="18" w:right="0"/>
              <w:jc w:val="center"/>
              <w:rPr>
                <w:rFonts w:ascii="宋体" w:hAnsi="宋体" w:cs="宋体" w:eastAsia="宋体" w:hint="default"/>
                <w:sz w:val="21"/>
                <w:szCs w:val="21"/>
              </w:rPr>
            </w:pPr>
            <w:r>
              <w:rPr>
                <w:rFonts w:ascii="宋体" w:hAnsi="宋体" w:cs="宋体" w:eastAsia="宋体" w:hint="default"/>
                <w:sz w:val="21"/>
                <w:szCs w:val="21"/>
              </w:rPr>
              <w:t>税费项目</w:t>
            </w:r>
          </w:p>
        </w:tc>
        <w:tc>
          <w:tcPr>
            <w:tcW w:w="2381" w:type="dxa"/>
            <w:tcBorders>
              <w:top w:val="single" w:sz="12" w:space="0" w:color="000000"/>
              <w:left w:val="dotted" w:sz="4" w:space="0" w:color="000000"/>
              <w:bottom w:val="dotted" w:sz="4" w:space="0" w:color="000000"/>
              <w:right w:val="dotted" w:sz="4" w:space="0" w:color="000000"/>
            </w:tcBorders>
          </w:tcPr>
          <w:p>
            <w:pPr>
              <w:pStyle w:val="TableParagraph"/>
              <w:spacing w:line="262" w:lineRule="exact"/>
              <w:ind w:left="76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84" w:type="dxa"/>
            <w:tcBorders>
              <w:top w:val="single" w:sz="12" w:space="0" w:color="000000"/>
              <w:left w:val="dotted" w:sz="4" w:space="0" w:color="000000"/>
              <w:bottom w:val="dotted" w:sz="4" w:space="0" w:color="000000"/>
              <w:right w:val="nil" w:sz="6" w:space="0" w:color="auto"/>
            </w:tcBorders>
          </w:tcPr>
          <w:p>
            <w:pPr>
              <w:pStyle w:val="TableParagraph"/>
              <w:spacing w:line="262" w:lineRule="exact"/>
              <w:ind w:left="765"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24" w:hRule="exact"/>
        </w:trPr>
        <w:tc>
          <w:tcPr>
            <w:tcW w:w="3022" w:type="dxa"/>
            <w:tcBorders>
              <w:top w:val="dotted" w:sz="4" w:space="0" w:color="000000"/>
              <w:left w:val="nil" w:sz="6" w:space="0" w:color="auto"/>
              <w:bottom w:val="dotted" w:sz="4" w:space="0" w:color="000000"/>
              <w:right w:val="dotted" w:sz="4" w:space="0" w:color="000000"/>
            </w:tcBorders>
          </w:tcPr>
          <w:p>
            <w:pPr>
              <w:pStyle w:val="TableParagraph"/>
              <w:spacing w:line="265" w:lineRule="exact"/>
              <w:ind w:left="21" w:right="0"/>
              <w:jc w:val="center"/>
              <w:rPr>
                <w:rFonts w:ascii="宋体" w:hAnsi="宋体" w:cs="宋体" w:eastAsia="宋体" w:hint="default"/>
                <w:sz w:val="21"/>
                <w:szCs w:val="21"/>
              </w:rPr>
            </w:pPr>
            <w:r>
              <w:rPr>
                <w:rFonts w:ascii="宋体" w:hAnsi="宋体" w:cs="宋体" w:eastAsia="宋体" w:hint="default"/>
                <w:sz w:val="21"/>
                <w:szCs w:val="21"/>
              </w:rPr>
              <w:t>增值税</w:t>
            </w:r>
          </w:p>
        </w:tc>
        <w:tc>
          <w:tcPr>
            <w:tcW w:w="23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pacing w:val="-1"/>
                <w:sz w:val="21"/>
              </w:rPr>
              <w:t>-439,576.51</w:t>
            </w:r>
          </w:p>
        </w:tc>
        <w:tc>
          <w:tcPr>
            <w:tcW w:w="23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6"/>
              <w:ind w:right="104"/>
              <w:jc w:val="right"/>
              <w:rPr>
                <w:rFonts w:ascii="Times New Roman" w:hAnsi="Times New Roman" w:cs="Times New Roman" w:eastAsia="Times New Roman" w:hint="default"/>
                <w:sz w:val="21"/>
                <w:szCs w:val="21"/>
              </w:rPr>
            </w:pPr>
            <w:r>
              <w:rPr>
                <w:rFonts w:ascii="Times New Roman"/>
                <w:spacing w:val="-1"/>
                <w:sz w:val="21"/>
              </w:rPr>
              <w:t>-627,788.53</w:t>
            </w:r>
          </w:p>
        </w:tc>
      </w:tr>
      <w:tr>
        <w:trPr>
          <w:trHeight w:val="322" w:hRule="exact"/>
        </w:trPr>
        <w:tc>
          <w:tcPr>
            <w:tcW w:w="3022" w:type="dxa"/>
            <w:tcBorders>
              <w:top w:val="dotted" w:sz="4" w:space="0" w:color="000000"/>
              <w:left w:val="nil" w:sz="6" w:space="0" w:color="auto"/>
              <w:bottom w:val="dotted" w:sz="4" w:space="0" w:color="000000"/>
              <w:right w:val="dotted" w:sz="4"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消费税</w:t>
            </w:r>
          </w:p>
        </w:tc>
        <w:tc>
          <w:tcPr>
            <w:tcW w:w="23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2"/>
                <w:sz w:val="21"/>
              </w:rPr>
              <w:t>1,111,735.59</w:t>
            </w:r>
          </w:p>
        </w:tc>
        <w:tc>
          <w:tcPr>
            <w:tcW w:w="23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448,945.25</w:t>
            </w:r>
          </w:p>
        </w:tc>
      </w:tr>
      <w:tr>
        <w:trPr>
          <w:trHeight w:val="322" w:hRule="exact"/>
        </w:trPr>
        <w:tc>
          <w:tcPr>
            <w:tcW w:w="3022" w:type="dxa"/>
            <w:tcBorders>
              <w:top w:val="dotted" w:sz="4" w:space="0" w:color="000000"/>
              <w:left w:val="nil" w:sz="6" w:space="0" w:color="auto"/>
              <w:bottom w:val="dotted" w:sz="4" w:space="0" w:color="000000"/>
              <w:right w:val="dotted" w:sz="4"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营业税</w:t>
            </w:r>
          </w:p>
        </w:tc>
        <w:tc>
          <w:tcPr>
            <w:tcW w:w="23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1,839,525.02</w:t>
            </w:r>
          </w:p>
        </w:tc>
        <w:tc>
          <w:tcPr>
            <w:tcW w:w="23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1,418,140.95</w:t>
            </w:r>
          </w:p>
        </w:tc>
      </w:tr>
      <w:tr>
        <w:trPr>
          <w:trHeight w:val="322" w:hRule="exact"/>
        </w:trPr>
        <w:tc>
          <w:tcPr>
            <w:tcW w:w="3022" w:type="dxa"/>
            <w:tcBorders>
              <w:top w:val="dotted" w:sz="4" w:space="0" w:color="000000"/>
              <w:left w:val="nil" w:sz="6" w:space="0" w:color="auto"/>
              <w:bottom w:val="dotted" w:sz="4" w:space="0" w:color="000000"/>
              <w:right w:val="dotted" w:sz="4" w:space="0" w:color="000000"/>
            </w:tcBorders>
          </w:tcPr>
          <w:p>
            <w:pPr>
              <w:pStyle w:val="TableParagraph"/>
              <w:spacing w:line="262" w:lineRule="exact"/>
              <w:ind w:left="18" w:right="0"/>
              <w:jc w:val="center"/>
              <w:rPr>
                <w:rFonts w:ascii="宋体" w:hAnsi="宋体" w:cs="宋体" w:eastAsia="宋体" w:hint="default"/>
                <w:sz w:val="21"/>
                <w:szCs w:val="21"/>
              </w:rPr>
            </w:pPr>
            <w:r>
              <w:rPr>
                <w:rFonts w:ascii="宋体" w:hAnsi="宋体" w:cs="宋体" w:eastAsia="宋体" w:hint="default"/>
                <w:sz w:val="21"/>
                <w:szCs w:val="21"/>
              </w:rPr>
              <w:t>企业所得税</w:t>
            </w:r>
          </w:p>
        </w:tc>
        <w:tc>
          <w:tcPr>
            <w:tcW w:w="23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6,298,166.19</w:t>
            </w:r>
          </w:p>
        </w:tc>
        <w:tc>
          <w:tcPr>
            <w:tcW w:w="23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1,139,874.70</w:t>
            </w:r>
          </w:p>
        </w:tc>
      </w:tr>
      <w:tr>
        <w:trPr>
          <w:trHeight w:val="322" w:hRule="exact"/>
        </w:trPr>
        <w:tc>
          <w:tcPr>
            <w:tcW w:w="3022" w:type="dxa"/>
            <w:tcBorders>
              <w:top w:val="dotted" w:sz="4" w:space="0" w:color="000000"/>
              <w:left w:val="nil" w:sz="6" w:space="0" w:color="auto"/>
              <w:bottom w:val="dotted" w:sz="4" w:space="0" w:color="000000"/>
              <w:right w:val="dotted" w:sz="4" w:space="0" w:color="000000"/>
            </w:tcBorders>
          </w:tcPr>
          <w:p>
            <w:pPr>
              <w:pStyle w:val="TableParagraph"/>
              <w:spacing w:line="262" w:lineRule="exact"/>
              <w:ind w:left="18" w:right="0"/>
              <w:jc w:val="center"/>
              <w:rPr>
                <w:rFonts w:ascii="宋体" w:hAnsi="宋体" w:cs="宋体" w:eastAsia="宋体" w:hint="default"/>
                <w:sz w:val="21"/>
                <w:szCs w:val="21"/>
              </w:rPr>
            </w:pPr>
            <w:r>
              <w:rPr>
                <w:rFonts w:ascii="宋体" w:hAnsi="宋体" w:cs="宋体" w:eastAsia="宋体" w:hint="default"/>
                <w:sz w:val="21"/>
                <w:szCs w:val="21"/>
              </w:rPr>
              <w:t>个人所得税</w:t>
            </w:r>
          </w:p>
        </w:tc>
        <w:tc>
          <w:tcPr>
            <w:tcW w:w="23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1,949,188.54</w:t>
            </w:r>
          </w:p>
        </w:tc>
        <w:tc>
          <w:tcPr>
            <w:tcW w:w="23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974,266.82</w:t>
            </w:r>
          </w:p>
        </w:tc>
      </w:tr>
      <w:tr>
        <w:trPr>
          <w:trHeight w:val="322" w:hRule="exact"/>
        </w:trPr>
        <w:tc>
          <w:tcPr>
            <w:tcW w:w="3022" w:type="dxa"/>
            <w:tcBorders>
              <w:top w:val="dotted" w:sz="4" w:space="0" w:color="000000"/>
              <w:left w:val="nil" w:sz="6" w:space="0" w:color="auto"/>
              <w:bottom w:val="dotted" w:sz="4" w:space="0" w:color="000000"/>
              <w:right w:val="dotted" w:sz="4"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城市维护建设税</w:t>
            </w:r>
          </w:p>
        </w:tc>
        <w:tc>
          <w:tcPr>
            <w:tcW w:w="23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18,441.62</w:t>
            </w:r>
          </w:p>
        </w:tc>
        <w:tc>
          <w:tcPr>
            <w:tcW w:w="23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15,471.77</w:t>
            </w:r>
          </w:p>
        </w:tc>
      </w:tr>
      <w:tr>
        <w:trPr>
          <w:trHeight w:val="324" w:hRule="exact"/>
        </w:trPr>
        <w:tc>
          <w:tcPr>
            <w:tcW w:w="3022" w:type="dxa"/>
            <w:tcBorders>
              <w:top w:val="dotted" w:sz="4" w:space="0" w:color="000000"/>
              <w:left w:val="nil" w:sz="6" w:space="0" w:color="auto"/>
              <w:bottom w:val="dotted" w:sz="4" w:space="0" w:color="000000"/>
              <w:right w:val="dotted" w:sz="4" w:space="0" w:color="000000"/>
            </w:tcBorders>
          </w:tcPr>
          <w:p>
            <w:pPr>
              <w:pStyle w:val="TableParagraph"/>
              <w:spacing w:line="265" w:lineRule="exact"/>
              <w:ind w:left="18" w:right="0"/>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23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92,300.59</w:t>
            </w:r>
          </w:p>
        </w:tc>
        <w:tc>
          <w:tcPr>
            <w:tcW w:w="23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6"/>
              <w:ind w:right="104"/>
              <w:jc w:val="right"/>
              <w:rPr>
                <w:rFonts w:ascii="Times New Roman" w:hAnsi="Times New Roman" w:cs="Times New Roman" w:eastAsia="Times New Roman" w:hint="default"/>
                <w:sz w:val="21"/>
                <w:szCs w:val="21"/>
              </w:rPr>
            </w:pPr>
            <w:r>
              <w:rPr>
                <w:rFonts w:ascii="Times New Roman"/>
                <w:spacing w:val="-1"/>
                <w:sz w:val="21"/>
              </w:rPr>
              <w:t>46,415.33</w:t>
            </w:r>
          </w:p>
        </w:tc>
      </w:tr>
      <w:tr>
        <w:trPr>
          <w:trHeight w:val="322" w:hRule="exact"/>
        </w:trPr>
        <w:tc>
          <w:tcPr>
            <w:tcW w:w="3022" w:type="dxa"/>
            <w:tcBorders>
              <w:top w:val="dotted" w:sz="4" w:space="0" w:color="000000"/>
              <w:left w:val="nil" w:sz="6" w:space="0" w:color="auto"/>
              <w:bottom w:val="dotted" w:sz="4" w:space="0" w:color="000000"/>
              <w:right w:val="dotted" w:sz="4" w:space="0" w:color="000000"/>
            </w:tcBorders>
          </w:tcPr>
          <w:p>
            <w:pPr>
              <w:pStyle w:val="TableParagraph"/>
              <w:spacing w:line="262" w:lineRule="exact"/>
              <w:ind w:left="18" w:right="0"/>
              <w:jc w:val="center"/>
              <w:rPr>
                <w:rFonts w:ascii="宋体" w:hAnsi="宋体" w:cs="宋体" w:eastAsia="宋体" w:hint="default"/>
                <w:sz w:val="21"/>
                <w:szCs w:val="21"/>
              </w:rPr>
            </w:pPr>
            <w:r>
              <w:rPr>
                <w:rFonts w:ascii="宋体" w:hAnsi="宋体" w:cs="宋体" w:eastAsia="宋体" w:hint="default"/>
                <w:sz w:val="21"/>
                <w:szCs w:val="21"/>
              </w:rPr>
              <w:t>河道管理费</w:t>
            </w:r>
          </w:p>
        </w:tc>
        <w:tc>
          <w:tcPr>
            <w:tcW w:w="23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17,948.74</w:t>
            </w:r>
          </w:p>
        </w:tc>
        <w:tc>
          <w:tcPr>
            <w:tcW w:w="23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14,978.89</w:t>
            </w:r>
          </w:p>
        </w:tc>
      </w:tr>
      <w:tr>
        <w:trPr>
          <w:trHeight w:val="331" w:hRule="exact"/>
        </w:trPr>
        <w:tc>
          <w:tcPr>
            <w:tcW w:w="3022" w:type="dxa"/>
            <w:tcBorders>
              <w:top w:val="dotted" w:sz="4" w:space="0" w:color="000000"/>
              <w:left w:val="nil" w:sz="6" w:space="0" w:color="auto"/>
              <w:bottom w:val="single" w:sz="12" w:space="0" w:color="000000"/>
              <w:right w:val="dotted" w:sz="4"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8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10,887,729.78</w:t>
            </w:r>
          </w:p>
        </w:tc>
        <w:tc>
          <w:tcPr>
            <w:tcW w:w="238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3,430,305.18</w:t>
            </w:r>
          </w:p>
        </w:tc>
      </w:tr>
    </w:tbl>
    <w:p>
      <w:pPr>
        <w:spacing w:line="240" w:lineRule="auto" w:before="1"/>
        <w:rPr>
          <w:rFonts w:ascii="宋体" w:hAnsi="宋体" w:cs="宋体" w:eastAsia="宋体" w:hint="default"/>
          <w:b/>
          <w:bCs/>
          <w:sz w:val="23"/>
          <w:szCs w:val="23"/>
        </w:rPr>
      </w:pPr>
    </w:p>
    <w:p>
      <w:pPr>
        <w:tabs>
          <w:tab w:pos="980" w:val="left" w:leader="none"/>
        </w:tabs>
        <w:spacing w:before="36"/>
        <w:ind w:left="140" w:right="3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十八</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25"/>
          <w:szCs w:val="25"/>
        </w:rPr>
      </w:pPr>
    </w:p>
    <w:p>
      <w:pPr>
        <w:tabs>
          <w:tab w:pos="1395" w:val="left" w:leader="none"/>
        </w:tabs>
        <w:spacing w:before="0"/>
        <w:ind w:left="858" w:right="3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tab/>
        <w:t>其他应付款情况：</w:t>
      </w:r>
      <w:r>
        <w:rPr>
          <w:rFonts w:ascii="宋体" w:hAnsi="宋体" w:cs="宋体" w:eastAsia="宋体" w:hint="default"/>
          <w:sz w:val="21"/>
          <w:szCs w:val="21"/>
        </w:rPr>
      </w:r>
    </w:p>
    <w:p>
      <w:pPr>
        <w:spacing w:line="240" w:lineRule="auto" w:before="12"/>
        <w:rPr>
          <w:rFonts w:ascii="宋体" w:hAnsi="宋体" w:cs="宋体" w:eastAsia="宋体" w:hint="default"/>
          <w:b/>
          <w:bCs/>
          <w:sz w:val="4"/>
          <w:szCs w:val="4"/>
        </w:rPr>
      </w:pPr>
    </w:p>
    <w:tbl>
      <w:tblPr>
        <w:tblW w:w="0" w:type="auto"/>
        <w:jc w:val="left"/>
        <w:tblInd w:w="682" w:type="dxa"/>
        <w:tblLayout w:type="fixed"/>
        <w:tblCellMar>
          <w:top w:w="0" w:type="dxa"/>
          <w:left w:w="0" w:type="dxa"/>
          <w:bottom w:w="0" w:type="dxa"/>
          <w:right w:w="0" w:type="dxa"/>
        </w:tblCellMar>
        <w:tblLook w:val="01E0"/>
      </w:tblPr>
      <w:tblGrid>
        <w:gridCol w:w="3272"/>
        <w:gridCol w:w="2268"/>
        <w:gridCol w:w="2127"/>
      </w:tblGrid>
      <w:tr>
        <w:trPr>
          <w:trHeight w:val="480" w:hRule="exact"/>
        </w:trPr>
        <w:tc>
          <w:tcPr>
            <w:tcW w:w="327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2"/>
              <w:ind w:left="1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2"/>
              <w:ind w:left="70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2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2"/>
              <w:ind w:left="638"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471" w:hRule="exact"/>
        </w:trPr>
        <w:tc>
          <w:tcPr>
            <w:tcW w:w="32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2"/>
              <w:ind w:left="1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1"/>
              <w:ind w:right="98"/>
              <w:jc w:val="right"/>
              <w:rPr>
                <w:rFonts w:ascii="Times New Roman" w:hAnsi="Times New Roman" w:cs="Times New Roman" w:eastAsia="Times New Roman" w:hint="default"/>
                <w:sz w:val="21"/>
                <w:szCs w:val="21"/>
              </w:rPr>
            </w:pPr>
            <w:r>
              <w:rPr>
                <w:rFonts w:ascii="Times New Roman"/>
                <w:spacing w:val="-1"/>
                <w:sz w:val="21"/>
              </w:rPr>
              <w:t>5,367,072.60</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71"/>
              <w:ind w:right="104"/>
              <w:jc w:val="right"/>
              <w:rPr>
                <w:rFonts w:ascii="Times New Roman" w:hAnsi="Times New Roman" w:cs="Times New Roman" w:eastAsia="Times New Roman" w:hint="default"/>
                <w:sz w:val="21"/>
                <w:szCs w:val="21"/>
              </w:rPr>
            </w:pPr>
            <w:r>
              <w:rPr>
                <w:rFonts w:ascii="Times New Roman"/>
                <w:spacing w:val="-1"/>
                <w:sz w:val="21"/>
              </w:rPr>
              <w:t>4,278,837.68</w:t>
            </w:r>
          </w:p>
        </w:tc>
      </w:tr>
      <w:tr>
        <w:trPr>
          <w:trHeight w:val="468" w:hRule="exact"/>
        </w:trPr>
        <w:tc>
          <w:tcPr>
            <w:tcW w:w="32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2"/>
              <w:ind w:left="1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68" w:type="dxa"/>
            <w:tcBorders>
              <w:top w:val="dotted" w:sz="4" w:space="0" w:color="000000"/>
              <w:left w:val="dotted" w:sz="4" w:space="0" w:color="000000"/>
              <w:bottom w:val="dotted" w:sz="4" w:space="0" w:color="000000"/>
              <w:right w:val="dotted" w:sz="4" w:space="0" w:color="000000"/>
            </w:tcBorders>
          </w:tcPr>
          <w:p>
            <w:pP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71"/>
              <w:ind w:right="103"/>
              <w:jc w:val="right"/>
              <w:rPr>
                <w:rFonts w:ascii="Times New Roman" w:hAnsi="Times New Roman" w:cs="Times New Roman" w:eastAsia="Times New Roman" w:hint="default"/>
                <w:sz w:val="21"/>
                <w:szCs w:val="21"/>
              </w:rPr>
            </w:pPr>
            <w:r>
              <w:rPr>
                <w:rFonts w:ascii="Times New Roman"/>
                <w:spacing w:val="-1"/>
                <w:sz w:val="21"/>
              </w:rPr>
              <w:t>664,035.65</w:t>
            </w:r>
          </w:p>
        </w:tc>
      </w:tr>
      <w:tr>
        <w:trPr>
          <w:trHeight w:val="482" w:hRule="exact"/>
        </w:trPr>
        <w:tc>
          <w:tcPr>
            <w:tcW w:w="3272" w:type="dxa"/>
            <w:tcBorders>
              <w:top w:val="dotted" w:sz="4" w:space="0" w:color="000000"/>
              <w:left w:val="nil" w:sz="6" w:space="0" w:color="auto"/>
              <w:bottom w:val="single" w:sz="12" w:space="0" w:color="000000"/>
              <w:right w:val="dotted" w:sz="4" w:space="0" w:color="000000"/>
            </w:tcBorders>
          </w:tcPr>
          <w:p>
            <w:pPr>
              <w:pStyle w:val="TableParagraph"/>
              <w:tabs>
                <w:tab w:pos="650" w:val="left" w:leader="none"/>
              </w:tabs>
              <w:spacing w:line="240" w:lineRule="auto" w:before="124"/>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73"/>
              <w:ind w:right="98"/>
              <w:jc w:val="right"/>
              <w:rPr>
                <w:rFonts w:ascii="Times New Roman" w:hAnsi="Times New Roman" w:cs="Times New Roman" w:eastAsia="Times New Roman" w:hint="default"/>
                <w:sz w:val="21"/>
                <w:szCs w:val="21"/>
              </w:rPr>
            </w:pPr>
            <w:r>
              <w:rPr>
                <w:rFonts w:ascii="Times New Roman"/>
                <w:spacing w:val="-1"/>
                <w:sz w:val="21"/>
              </w:rPr>
              <w:t>5,367,072.60</w:t>
            </w:r>
          </w:p>
        </w:tc>
        <w:tc>
          <w:tcPr>
            <w:tcW w:w="212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73"/>
              <w:ind w:right="104"/>
              <w:jc w:val="right"/>
              <w:rPr>
                <w:rFonts w:ascii="Times New Roman" w:hAnsi="Times New Roman" w:cs="Times New Roman" w:eastAsia="Times New Roman" w:hint="default"/>
                <w:sz w:val="21"/>
                <w:szCs w:val="21"/>
              </w:rPr>
            </w:pPr>
            <w:r>
              <w:rPr>
                <w:rFonts w:ascii="Times New Roman"/>
                <w:spacing w:val="-1"/>
                <w:sz w:val="21"/>
              </w:rPr>
              <w:t>4,942,873.33</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80" w:top="1140" w:bottom="1160" w:left="1660" w:right="1320"/>
        </w:sectPr>
      </w:pPr>
    </w:p>
    <w:p>
      <w:pPr>
        <w:spacing w:line="240" w:lineRule="auto" w:before="0"/>
        <w:rPr>
          <w:rFonts w:ascii="宋体" w:hAnsi="宋体" w:cs="宋体" w:eastAsia="宋体" w:hint="default"/>
          <w:b/>
          <w:bCs/>
          <w:sz w:val="28"/>
          <w:szCs w:val="28"/>
        </w:rPr>
      </w:pPr>
    </w:p>
    <w:p>
      <w:pPr>
        <w:tabs>
          <w:tab w:pos="1395" w:val="left" w:leader="none"/>
        </w:tabs>
        <w:spacing w:before="36"/>
        <w:ind w:left="85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t>期末数中无欠持本公司</w:t>
      </w:r>
      <w:r>
        <w:rPr>
          <w:rFonts w:ascii="宋体" w:hAnsi="宋体" w:cs="宋体" w:eastAsia="宋体" w:hint="default"/>
          <w:b/>
          <w:bCs/>
          <w:spacing w:val="-52"/>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3"/>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％）表决权股份的股东单位款项。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p>
      <w:pPr>
        <w:tabs>
          <w:tab w:pos="1395" w:val="left" w:leader="none"/>
        </w:tabs>
        <w:spacing w:before="0"/>
        <w:ind w:left="85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tab/>
        <w:t>期末数中无欠关联方款项。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p>
      <w:pPr>
        <w:tabs>
          <w:tab w:pos="1395" w:val="left" w:leader="none"/>
        </w:tabs>
        <w:spacing w:before="0"/>
        <w:ind w:left="85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tab/>
        <w:t>金额较大的其他应付款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tbl>
      <w:tblPr>
        <w:tblW w:w="0" w:type="auto"/>
        <w:jc w:val="left"/>
        <w:tblInd w:w="670" w:type="dxa"/>
        <w:tblLayout w:type="fixed"/>
        <w:tblCellMar>
          <w:top w:w="0" w:type="dxa"/>
          <w:left w:w="0" w:type="dxa"/>
          <w:bottom w:w="0" w:type="dxa"/>
          <w:right w:w="0" w:type="dxa"/>
        </w:tblCellMar>
        <w:tblLook w:val="01E0"/>
      </w:tblPr>
      <w:tblGrid>
        <w:gridCol w:w="3003"/>
        <w:gridCol w:w="1812"/>
        <w:gridCol w:w="1610"/>
        <w:gridCol w:w="1345"/>
      </w:tblGrid>
      <w:tr>
        <w:trPr>
          <w:trHeight w:val="480" w:hRule="exact"/>
        </w:trPr>
        <w:tc>
          <w:tcPr>
            <w:tcW w:w="300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4"/>
              <w:ind w:left="18"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1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4"/>
              <w:ind w:left="47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1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性质或内容</w:t>
            </w:r>
          </w:p>
        </w:tc>
        <w:tc>
          <w:tcPr>
            <w:tcW w:w="1345" w:type="dxa"/>
            <w:tcBorders>
              <w:top w:val="single" w:sz="12" w:space="0" w:color="000000"/>
              <w:left w:val="dotted" w:sz="4" w:space="0" w:color="000000"/>
              <w:bottom w:val="dotted" w:sz="4" w:space="0" w:color="000000"/>
              <w:right w:val="nil" w:sz="6" w:space="0" w:color="auto"/>
            </w:tcBorders>
          </w:tcPr>
          <w:p>
            <w:pPr>
              <w:pStyle w:val="TableParagraph"/>
              <w:tabs>
                <w:tab w:pos="631" w:val="left" w:leader="none"/>
              </w:tabs>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备</w:t>
              <w:tab/>
              <w:t>注</w:t>
            </w:r>
          </w:p>
        </w:tc>
      </w:tr>
      <w:tr>
        <w:trPr>
          <w:trHeight w:val="931" w:hRule="exact"/>
        </w:trPr>
        <w:tc>
          <w:tcPr>
            <w:tcW w:w="30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北京保盛易行航空服务有限公</w:t>
            </w: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司上海分公司</w:t>
            </w:r>
          </w:p>
        </w:tc>
        <w:tc>
          <w:tcPr>
            <w:tcW w:w="18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0"/>
              <w:ind w:right="101"/>
              <w:jc w:val="right"/>
              <w:rPr>
                <w:rFonts w:ascii="Times New Roman" w:hAnsi="Times New Roman" w:cs="Times New Roman" w:eastAsia="Times New Roman" w:hint="default"/>
                <w:sz w:val="21"/>
                <w:szCs w:val="21"/>
              </w:rPr>
            </w:pPr>
            <w:r>
              <w:rPr>
                <w:rFonts w:ascii="Times New Roman"/>
                <w:spacing w:val="-1"/>
                <w:sz w:val="21"/>
              </w:rPr>
              <w:t>852,217.00</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机票款</w:t>
            </w:r>
          </w:p>
        </w:tc>
        <w:tc>
          <w:tcPr>
            <w:tcW w:w="13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期后已付款</w:t>
            </w:r>
          </w:p>
        </w:tc>
      </w:tr>
      <w:tr>
        <w:trPr>
          <w:trHeight w:val="490" w:hRule="exact"/>
        </w:trPr>
        <w:tc>
          <w:tcPr>
            <w:tcW w:w="30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上海中旅国际旅行社有限公司</w:t>
            </w:r>
          </w:p>
        </w:tc>
        <w:tc>
          <w:tcPr>
            <w:tcW w:w="18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498,588.00</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2"/>
              <w:ind w:left="2" w:right="0"/>
              <w:jc w:val="center"/>
              <w:rPr>
                <w:rFonts w:ascii="宋体" w:hAnsi="宋体" w:cs="宋体" w:eastAsia="宋体" w:hint="default"/>
                <w:sz w:val="21"/>
                <w:szCs w:val="21"/>
              </w:rPr>
            </w:pPr>
            <w:r>
              <w:rPr>
                <w:rFonts w:ascii="宋体" w:hAnsi="宋体" w:cs="宋体" w:eastAsia="宋体" w:hint="default"/>
                <w:sz w:val="21"/>
                <w:szCs w:val="21"/>
              </w:rPr>
              <w:t>机票款</w:t>
            </w:r>
          </w:p>
        </w:tc>
        <w:tc>
          <w:tcPr>
            <w:tcW w:w="13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期后已付款</w:t>
            </w:r>
          </w:p>
        </w:tc>
      </w:tr>
      <w:tr>
        <w:trPr>
          <w:trHeight w:val="480" w:hRule="exact"/>
        </w:trPr>
        <w:tc>
          <w:tcPr>
            <w:tcW w:w="300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广州市金葆来贸易有限公司</w:t>
            </w:r>
          </w:p>
        </w:tc>
        <w:tc>
          <w:tcPr>
            <w:tcW w:w="18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71"/>
              <w:ind w:right="101"/>
              <w:jc w:val="right"/>
              <w:rPr>
                <w:rFonts w:ascii="Times New Roman" w:hAnsi="Times New Roman" w:cs="Times New Roman" w:eastAsia="Times New Roman" w:hint="default"/>
                <w:sz w:val="21"/>
                <w:szCs w:val="21"/>
              </w:rPr>
            </w:pPr>
            <w:r>
              <w:rPr>
                <w:rFonts w:ascii="Times New Roman"/>
                <w:spacing w:val="-1"/>
                <w:sz w:val="21"/>
              </w:rPr>
              <w:t>482,723.00</w:t>
            </w:r>
          </w:p>
        </w:tc>
        <w:tc>
          <w:tcPr>
            <w:tcW w:w="16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机票款</w:t>
            </w:r>
          </w:p>
        </w:tc>
        <w:tc>
          <w:tcPr>
            <w:tcW w:w="134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期后已付款</w:t>
            </w:r>
          </w:p>
        </w:tc>
      </w:tr>
    </w:tbl>
    <w:p>
      <w:pPr>
        <w:spacing w:after="0" w:line="240" w:lineRule="auto"/>
        <w:jc w:val="center"/>
        <w:rPr>
          <w:rFonts w:ascii="宋体" w:hAnsi="宋体" w:cs="宋体" w:eastAsia="宋体" w:hint="default"/>
          <w:sz w:val="21"/>
          <w:szCs w:val="21"/>
        </w:rPr>
        <w:sectPr>
          <w:pgSz w:w="11910" w:h="16840"/>
          <w:pgMar w:header="0" w:footer="980" w:top="1140" w:bottom="1160" w:left="1660" w:right="166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p>
      <w:pPr>
        <w:tabs>
          <w:tab w:pos="980" w:val="left" w:leader="none"/>
        </w:tabs>
        <w:spacing w:before="36"/>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十九</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721" w:type="dxa"/>
        <w:tblLayout w:type="fixed"/>
        <w:tblCellMar>
          <w:top w:w="0" w:type="dxa"/>
          <w:left w:w="0" w:type="dxa"/>
          <w:bottom w:w="0" w:type="dxa"/>
          <w:right w:w="0" w:type="dxa"/>
        </w:tblCellMar>
        <w:tblLook w:val="01E0"/>
      </w:tblPr>
      <w:tblGrid>
        <w:gridCol w:w="2239"/>
        <w:gridCol w:w="1625"/>
        <w:gridCol w:w="1620"/>
        <w:gridCol w:w="1620"/>
        <w:gridCol w:w="1621"/>
        <w:gridCol w:w="1620"/>
        <w:gridCol w:w="1623"/>
        <w:gridCol w:w="1474"/>
      </w:tblGrid>
      <w:tr>
        <w:trPr>
          <w:trHeight w:val="394" w:hRule="exact"/>
        </w:trPr>
        <w:tc>
          <w:tcPr>
            <w:tcW w:w="2239" w:type="dxa"/>
            <w:vMerge w:val="restart"/>
            <w:tcBorders>
              <w:top w:val="single" w:sz="12" w:space="0" w:color="000000"/>
              <w:left w:val="nil" w:sz="6" w:space="0" w:color="auto"/>
              <w:right w:val="dotted"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5" w:type="dxa"/>
            <w:vMerge w:val="restart"/>
            <w:tcBorders>
              <w:top w:val="single" w:sz="12" w:space="0" w:color="000000"/>
              <w:left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8104"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right="2"/>
              <w:jc w:val="center"/>
              <w:rPr>
                <w:rFonts w:ascii="宋体" w:hAnsi="宋体" w:cs="宋体" w:eastAsia="宋体" w:hint="default"/>
                <w:sz w:val="18"/>
                <w:szCs w:val="18"/>
              </w:rPr>
            </w:pPr>
            <w:r>
              <w:rPr>
                <w:rFonts w:ascii="宋体" w:hAnsi="宋体" w:cs="宋体" w:eastAsia="宋体" w:hint="default"/>
                <w:sz w:val="18"/>
                <w:szCs w:val="18"/>
              </w:rPr>
              <w:t>本期变动增（</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p>
        </w:tc>
        <w:tc>
          <w:tcPr>
            <w:tcW w:w="1474" w:type="dxa"/>
            <w:vMerge w:val="restart"/>
            <w:tcBorders>
              <w:top w:val="single" w:sz="12" w:space="0" w:color="000000"/>
              <w:left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84" w:hRule="exact"/>
        </w:trPr>
        <w:tc>
          <w:tcPr>
            <w:tcW w:w="2239" w:type="dxa"/>
            <w:vMerge/>
            <w:tcBorders>
              <w:left w:val="nil" w:sz="6" w:space="0" w:color="auto"/>
              <w:bottom w:val="dotted" w:sz="4" w:space="0" w:color="000000"/>
              <w:right w:val="dotted" w:sz="4" w:space="0" w:color="000000"/>
            </w:tcBorders>
          </w:tcPr>
          <w:p>
            <w:pPr/>
          </w:p>
        </w:tc>
        <w:tc>
          <w:tcPr>
            <w:tcW w:w="1625" w:type="dxa"/>
            <w:vMerge/>
            <w:tcBorders>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44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6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6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35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6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6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right="3"/>
              <w:jc w:val="center"/>
              <w:rPr>
                <w:rFonts w:ascii="宋体" w:hAnsi="宋体" w:cs="宋体" w:eastAsia="宋体" w:hint="default"/>
                <w:sz w:val="18"/>
                <w:szCs w:val="18"/>
              </w:rPr>
            </w:pPr>
            <w:r>
              <w:rPr>
                <w:rFonts w:ascii="宋体" w:hAnsi="宋体" w:cs="宋体" w:eastAsia="宋体" w:hint="default"/>
                <w:sz w:val="18"/>
                <w:szCs w:val="18"/>
              </w:rPr>
              <w:t>小计</w:t>
            </w:r>
          </w:p>
        </w:tc>
        <w:tc>
          <w:tcPr>
            <w:tcW w:w="1474" w:type="dxa"/>
            <w:vMerge/>
            <w:tcBorders>
              <w:left w:val="dotted" w:sz="4" w:space="0" w:color="000000"/>
              <w:bottom w:val="dotted" w:sz="4" w:space="0" w:color="000000"/>
              <w:right w:val="nil" w:sz="6" w:space="0" w:color="auto"/>
            </w:tcBorders>
          </w:tcPr>
          <w:p>
            <w:pPr/>
          </w:p>
        </w:tc>
      </w:tr>
      <w:tr>
        <w:trPr>
          <w:trHeight w:val="386" w:hRule="exact"/>
        </w:trPr>
        <w:tc>
          <w:tcPr>
            <w:tcW w:w="2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．有限售条件股份</w:t>
            </w:r>
          </w:p>
        </w:tc>
        <w:tc>
          <w:tcPr>
            <w:tcW w:w="1625"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1"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3"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
        </w:tc>
      </w:tr>
      <w:tr>
        <w:trPr>
          <w:trHeight w:val="385" w:hRule="exact"/>
        </w:trPr>
        <w:tc>
          <w:tcPr>
            <w:tcW w:w="2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国家持股</w:t>
            </w:r>
          </w:p>
        </w:tc>
        <w:tc>
          <w:tcPr>
            <w:tcW w:w="1625"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1"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3"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2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国有法人持股</w:t>
            </w:r>
          </w:p>
        </w:tc>
        <w:tc>
          <w:tcPr>
            <w:tcW w:w="1625"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1"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3"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2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其他内资持股</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69,670,000.00</w:t>
            </w:r>
          </w:p>
        </w:tc>
        <w:tc>
          <w:tcPr>
            <w:tcW w:w="16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5,993,500.00</w:t>
            </w:r>
          </w:p>
        </w:tc>
        <w:tc>
          <w:tcPr>
            <w:tcW w:w="1620" w:type="dxa"/>
            <w:tcBorders>
              <w:top w:val="dotted" w:sz="4" w:space="0" w:color="000000"/>
              <w:left w:val="dotted" w:sz="4" w:space="0" w:color="000000"/>
              <w:bottom w:val="dotted" w:sz="4" w:space="0" w:color="000000"/>
              <w:right w:val="dotted" w:sz="4" w:space="0" w:color="000000"/>
            </w:tcBorders>
          </w:tcPr>
          <w:p>
            <w:pPr/>
          </w:p>
        </w:tc>
        <w:tc>
          <w:tcPr>
            <w:tcW w:w="16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27,868,000.00</w:t>
            </w:r>
          </w:p>
        </w:tc>
        <w:tc>
          <w:tcPr>
            <w:tcW w:w="1620" w:type="dxa"/>
            <w:tcBorders>
              <w:top w:val="dotted" w:sz="4" w:space="0" w:color="000000"/>
              <w:left w:val="dotted" w:sz="4" w:space="0" w:color="000000"/>
              <w:bottom w:val="dotted" w:sz="4" w:space="0" w:color="000000"/>
              <w:right w:val="dotted" w:sz="4" w:space="0" w:color="000000"/>
            </w:tcBorders>
          </w:tcPr>
          <w:p>
            <w:pPr/>
          </w:p>
        </w:tc>
        <w:tc>
          <w:tcPr>
            <w:tcW w:w="16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4"/>
              <w:jc w:val="right"/>
              <w:rPr>
                <w:rFonts w:ascii="Times New Roman" w:hAnsi="Times New Roman" w:cs="Times New Roman" w:eastAsia="Times New Roman" w:hint="default"/>
                <w:sz w:val="18"/>
                <w:szCs w:val="18"/>
              </w:rPr>
            </w:pPr>
            <w:r>
              <w:rPr>
                <w:rFonts w:ascii="Times New Roman"/>
                <w:spacing w:val="-1"/>
                <w:sz w:val="18"/>
              </w:rPr>
              <w:t>33,861,500.00</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103,531,500.00</w:t>
            </w:r>
          </w:p>
        </w:tc>
      </w:tr>
      <w:tr>
        <w:trPr>
          <w:trHeight w:val="384" w:hRule="exact"/>
        </w:trPr>
        <w:tc>
          <w:tcPr>
            <w:tcW w:w="2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25"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1"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3"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2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境内法人持股</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69,670,000.00</w:t>
            </w:r>
          </w:p>
        </w:tc>
        <w:tc>
          <w:tcPr>
            <w:tcW w:w="1620"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27,868,000.00</w:t>
            </w:r>
          </w:p>
        </w:tc>
        <w:tc>
          <w:tcPr>
            <w:tcW w:w="1620" w:type="dxa"/>
            <w:tcBorders>
              <w:top w:val="dotted" w:sz="4" w:space="0" w:color="000000"/>
              <w:left w:val="dotted" w:sz="4" w:space="0" w:color="000000"/>
              <w:bottom w:val="dotted" w:sz="4" w:space="0" w:color="000000"/>
              <w:right w:val="dotted" w:sz="4" w:space="0" w:color="000000"/>
            </w:tcBorders>
          </w:tcPr>
          <w:p>
            <w:pPr/>
          </w:p>
        </w:tc>
        <w:tc>
          <w:tcPr>
            <w:tcW w:w="16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4"/>
              <w:jc w:val="right"/>
              <w:rPr>
                <w:rFonts w:ascii="Times New Roman" w:hAnsi="Times New Roman" w:cs="Times New Roman" w:eastAsia="Times New Roman" w:hint="default"/>
                <w:sz w:val="18"/>
                <w:szCs w:val="18"/>
              </w:rPr>
            </w:pPr>
            <w:r>
              <w:rPr>
                <w:rFonts w:ascii="Times New Roman"/>
                <w:spacing w:val="-1"/>
                <w:sz w:val="18"/>
              </w:rPr>
              <w:t>27,868,000.00</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97,538,000.00</w:t>
            </w:r>
          </w:p>
        </w:tc>
      </w:tr>
      <w:tr>
        <w:trPr>
          <w:trHeight w:val="386" w:hRule="exact"/>
        </w:trPr>
        <w:tc>
          <w:tcPr>
            <w:tcW w:w="2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625"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5,993,500.00</w:t>
            </w:r>
          </w:p>
        </w:tc>
        <w:tc>
          <w:tcPr>
            <w:tcW w:w="1620" w:type="dxa"/>
            <w:tcBorders>
              <w:top w:val="dotted" w:sz="4" w:space="0" w:color="000000"/>
              <w:left w:val="dotted" w:sz="4" w:space="0" w:color="000000"/>
              <w:bottom w:val="dotted" w:sz="4" w:space="0" w:color="000000"/>
              <w:right w:val="dotted" w:sz="4" w:space="0" w:color="000000"/>
            </w:tcBorders>
          </w:tcPr>
          <w:p>
            <w:pPr/>
          </w:p>
        </w:tc>
        <w:tc>
          <w:tcPr>
            <w:tcW w:w="1621"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5,993,500.00</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5,993,500.00</w:t>
            </w:r>
          </w:p>
        </w:tc>
      </w:tr>
      <w:tr>
        <w:trPr>
          <w:trHeight w:val="384" w:hRule="exact"/>
        </w:trPr>
        <w:tc>
          <w:tcPr>
            <w:tcW w:w="2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外资持股</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16,054,482.00</w:t>
            </w:r>
          </w:p>
        </w:tc>
        <w:tc>
          <w:tcPr>
            <w:tcW w:w="1620"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6,421,792.00</w:t>
            </w:r>
          </w:p>
        </w:tc>
        <w:tc>
          <w:tcPr>
            <w:tcW w:w="1620" w:type="dxa"/>
            <w:tcBorders>
              <w:top w:val="dotted" w:sz="4" w:space="0" w:color="000000"/>
              <w:left w:val="dotted" w:sz="4" w:space="0" w:color="000000"/>
              <w:bottom w:val="dotted" w:sz="4" w:space="0" w:color="000000"/>
              <w:right w:val="dotted" w:sz="4" w:space="0" w:color="000000"/>
            </w:tcBorders>
          </w:tcPr>
          <w:p>
            <w:pPr/>
          </w:p>
        </w:tc>
        <w:tc>
          <w:tcPr>
            <w:tcW w:w="16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6,421,792.00</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22,476,274.00</w:t>
            </w:r>
          </w:p>
        </w:tc>
      </w:tr>
      <w:tr>
        <w:trPr>
          <w:trHeight w:val="384" w:hRule="exact"/>
        </w:trPr>
        <w:tc>
          <w:tcPr>
            <w:tcW w:w="2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25"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1"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3"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2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16,054,482.00</w:t>
            </w:r>
          </w:p>
        </w:tc>
        <w:tc>
          <w:tcPr>
            <w:tcW w:w="1620"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6,421,792.00</w:t>
            </w:r>
          </w:p>
        </w:tc>
        <w:tc>
          <w:tcPr>
            <w:tcW w:w="1620" w:type="dxa"/>
            <w:tcBorders>
              <w:top w:val="dotted" w:sz="4" w:space="0" w:color="000000"/>
              <w:left w:val="dotted" w:sz="4" w:space="0" w:color="000000"/>
              <w:bottom w:val="dotted" w:sz="4" w:space="0" w:color="000000"/>
              <w:right w:val="dotted" w:sz="4" w:space="0" w:color="000000"/>
            </w:tcBorders>
          </w:tcPr>
          <w:p>
            <w:pPr/>
          </w:p>
        </w:tc>
        <w:tc>
          <w:tcPr>
            <w:tcW w:w="16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6,421,792.00</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22,476,274.00</w:t>
            </w:r>
          </w:p>
        </w:tc>
      </w:tr>
      <w:tr>
        <w:trPr>
          <w:trHeight w:val="384" w:hRule="exact"/>
        </w:trPr>
        <w:tc>
          <w:tcPr>
            <w:tcW w:w="2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625"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1"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3"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2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85,724,482.00</w:t>
            </w:r>
          </w:p>
        </w:tc>
        <w:tc>
          <w:tcPr>
            <w:tcW w:w="16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5,993,500.00</w:t>
            </w:r>
          </w:p>
        </w:tc>
        <w:tc>
          <w:tcPr>
            <w:tcW w:w="1620" w:type="dxa"/>
            <w:tcBorders>
              <w:top w:val="dotted" w:sz="4" w:space="0" w:color="000000"/>
              <w:left w:val="dotted" w:sz="4" w:space="0" w:color="000000"/>
              <w:bottom w:val="dotted" w:sz="4" w:space="0" w:color="000000"/>
              <w:right w:val="dotted" w:sz="4" w:space="0" w:color="000000"/>
            </w:tcBorders>
          </w:tcPr>
          <w:p>
            <w:pPr/>
          </w:p>
        </w:tc>
        <w:tc>
          <w:tcPr>
            <w:tcW w:w="16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34,289,792.00</w:t>
            </w:r>
          </w:p>
        </w:tc>
        <w:tc>
          <w:tcPr>
            <w:tcW w:w="1620" w:type="dxa"/>
            <w:tcBorders>
              <w:top w:val="dotted" w:sz="4" w:space="0" w:color="000000"/>
              <w:left w:val="dotted" w:sz="4" w:space="0" w:color="000000"/>
              <w:bottom w:val="dotted" w:sz="4" w:space="0" w:color="000000"/>
              <w:right w:val="dotted" w:sz="4" w:space="0" w:color="000000"/>
            </w:tcBorders>
          </w:tcPr>
          <w:p>
            <w:pPr/>
          </w:p>
        </w:tc>
        <w:tc>
          <w:tcPr>
            <w:tcW w:w="16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4"/>
              <w:jc w:val="right"/>
              <w:rPr>
                <w:rFonts w:ascii="Times New Roman" w:hAnsi="Times New Roman" w:cs="Times New Roman" w:eastAsia="Times New Roman" w:hint="default"/>
                <w:sz w:val="18"/>
                <w:szCs w:val="18"/>
              </w:rPr>
            </w:pPr>
            <w:r>
              <w:rPr>
                <w:rFonts w:ascii="Times New Roman"/>
                <w:spacing w:val="-1"/>
                <w:sz w:val="18"/>
              </w:rPr>
              <w:t>40,283,292.00</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126,007,774.00</w:t>
            </w:r>
            <w:r>
              <w:rPr>
                <w:rFonts w:ascii="Times New Roman"/>
                <w:sz w:val="18"/>
              </w:rPr>
            </w:r>
          </w:p>
        </w:tc>
      </w:tr>
      <w:tr>
        <w:trPr>
          <w:trHeight w:val="386" w:hRule="exact"/>
        </w:trPr>
        <w:tc>
          <w:tcPr>
            <w:tcW w:w="2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．无限售条件流通股份</w:t>
            </w:r>
          </w:p>
        </w:tc>
        <w:tc>
          <w:tcPr>
            <w:tcW w:w="1625"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1"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3"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2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人民币普通股</w:t>
            </w:r>
          </w:p>
        </w:tc>
        <w:tc>
          <w:tcPr>
            <w:tcW w:w="1625"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620" w:type="dxa"/>
            <w:tcBorders>
              <w:top w:val="dotted" w:sz="4" w:space="0" w:color="000000"/>
              <w:left w:val="dotted" w:sz="4" w:space="0" w:color="000000"/>
              <w:bottom w:val="dotted" w:sz="4" w:space="0" w:color="000000"/>
              <w:right w:val="dotted" w:sz="4" w:space="0" w:color="000000"/>
            </w:tcBorders>
          </w:tcPr>
          <w:p>
            <w:pPr/>
          </w:p>
        </w:tc>
        <w:tc>
          <w:tcPr>
            <w:tcW w:w="16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12,000,000.00</w:t>
            </w:r>
          </w:p>
        </w:tc>
        <w:tc>
          <w:tcPr>
            <w:tcW w:w="1620" w:type="dxa"/>
            <w:tcBorders>
              <w:top w:val="dotted" w:sz="4" w:space="0" w:color="000000"/>
              <w:left w:val="dotted" w:sz="4" w:space="0" w:color="000000"/>
              <w:bottom w:val="dotted" w:sz="4" w:space="0" w:color="000000"/>
              <w:right w:val="dotted" w:sz="4" w:space="0" w:color="000000"/>
            </w:tcBorders>
          </w:tcPr>
          <w:p>
            <w:pPr/>
          </w:p>
        </w:tc>
        <w:tc>
          <w:tcPr>
            <w:tcW w:w="16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4"/>
              <w:jc w:val="right"/>
              <w:rPr>
                <w:rFonts w:ascii="Times New Roman" w:hAnsi="Times New Roman" w:cs="Times New Roman" w:eastAsia="Times New Roman" w:hint="default"/>
                <w:sz w:val="18"/>
                <w:szCs w:val="18"/>
              </w:rPr>
            </w:pPr>
            <w:r>
              <w:rPr>
                <w:rFonts w:ascii="Times New Roman"/>
                <w:spacing w:val="-1"/>
                <w:sz w:val="18"/>
              </w:rPr>
              <w:t>42,000,000.00</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42,000,000.00</w:t>
            </w:r>
          </w:p>
        </w:tc>
      </w:tr>
      <w:tr>
        <w:trPr>
          <w:trHeight w:val="385" w:hRule="exact"/>
        </w:trPr>
        <w:tc>
          <w:tcPr>
            <w:tcW w:w="2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境内上市的外资股</w:t>
            </w:r>
          </w:p>
        </w:tc>
        <w:tc>
          <w:tcPr>
            <w:tcW w:w="1625"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1"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3"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2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境外上市的外资股</w:t>
            </w:r>
          </w:p>
        </w:tc>
        <w:tc>
          <w:tcPr>
            <w:tcW w:w="1625"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1"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3"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2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其他</w:t>
            </w:r>
          </w:p>
        </w:tc>
        <w:tc>
          <w:tcPr>
            <w:tcW w:w="1625"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1"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
        </w:tc>
        <w:tc>
          <w:tcPr>
            <w:tcW w:w="1623"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2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无限售条件流通股份合计</w:t>
            </w:r>
          </w:p>
        </w:tc>
        <w:tc>
          <w:tcPr>
            <w:tcW w:w="1625"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620" w:type="dxa"/>
            <w:tcBorders>
              <w:top w:val="dotted" w:sz="4" w:space="0" w:color="000000"/>
              <w:left w:val="dotted" w:sz="4" w:space="0" w:color="000000"/>
              <w:bottom w:val="dotted" w:sz="4" w:space="0" w:color="000000"/>
              <w:right w:val="dotted" w:sz="4" w:space="0" w:color="000000"/>
            </w:tcBorders>
          </w:tcPr>
          <w:p>
            <w:pPr/>
          </w:p>
        </w:tc>
        <w:tc>
          <w:tcPr>
            <w:tcW w:w="16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12,000,000.00</w:t>
            </w:r>
          </w:p>
        </w:tc>
        <w:tc>
          <w:tcPr>
            <w:tcW w:w="1620" w:type="dxa"/>
            <w:tcBorders>
              <w:top w:val="dotted" w:sz="4" w:space="0" w:color="000000"/>
              <w:left w:val="dotted" w:sz="4" w:space="0" w:color="000000"/>
              <w:bottom w:val="dotted" w:sz="4" w:space="0" w:color="000000"/>
              <w:right w:val="dotted" w:sz="4" w:space="0" w:color="000000"/>
            </w:tcBorders>
          </w:tcPr>
          <w:p>
            <w:pPr/>
          </w:p>
        </w:tc>
        <w:tc>
          <w:tcPr>
            <w:tcW w:w="16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4"/>
              <w:jc w:val="right"/>
              <w:rPr>
                <w:rFonts w:ascii="Times New Roman" w:hAnsi="Times New Roman" w:cs="Times New Roman" w:eastAsia="Times New Roman" w:hint="default"/>
                <w:sz w:val="18"/>
                <w:szCs w:val="18"/>
              </w:rPr>
            </w:pPr>
            <w:r>
              <w:rPr>
                <w:rFonts w:ascii="Times New Roman"/>
                <w:spacing w:val="-1"/>
                <w:sz w:val="18"/>
              </w:rPr>
              <w:t>42,000,000.00</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42,000,000.00</w:t>
            </w:r>
          </w:p>
        </w:tc>
      </w:tr>
      <w:tr>
        <w:trPr>
          <w:trHeight w:val="396" w:hRule="exact"/>
        </w:trPr>
        <w:tc>
          <w:tcPr>
            <w:tcW w:w="22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85,724,482.00</w:t>
            </w:r>
          </w:p>
        </w:tc>
        <w:tc>
          <w:tcPr>
            <w:tcW w:w="16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35,993,500.00</w:t>
            </w:r>
          </w:p>
        </w:tc>
        <w:tc>
          <w:tcPr>
            <w:tcW w:w="1620" w:type="dxa"/>
            <w:tcBorders>
              <w:top w:val="dotted" w:sz="4" w:space="0" w:color="000000"/>
              <w:left w:val="dotted" w:sz="4" w:space="0" w:color="000000"/>
              <w:bottom w:val="single" w:sz="12" w:space="0" w:color="000000"/>
              <w:right w:val="dotted" w:sz="4" w:space="0" w:color="000000"/>
            </w:tcBorders>
          </w:tcPr>
          <w:p>
            <w:pPr/>
          </w:p>
        </w:tc>
        <w:tc>
          <w:tcPr>
            <w:tcW w:w="16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46,289,792.00</w:t>
            </w:r>
          </w:p>
        </w:tc>
        <w:tc>
          <w:tcPr>
            <w:tcW w:w="1620" w:type="dxa"/>
            <w:tcBorders>
              <w:top w:val="dotted" w:sz="4" w:space="0" w:color="000000"/>
              <w:left w:val="dotted" w:sz="4" w:space="0" w:color="000000"/>
              <w:bottom w:val="single" w:sz="12" w:space="0" w:color="000000"/>
              <w:right w:val="dotted" w:sz="4" w:space="0" w:color="000000"/>
            </w:tcBorders>
          </w:tcPr>
          <w:p>
            <w:pPr/>
          </w:p>
        </w:tc>
        <w:tc>
          <w:tcPr>
            <w:tcW w:w="16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4"/>
              <w:ind w:right="104"/>
              <w:jc w:val="right"/>
              <w:rPr>
                <w:rFonts w:ascii="Times New Roman" w:hAnsi="Times New Roman" w:cs="Times New Roman" w:eastAsia="Times New Roman" w:hint="default"/>
                <w:sz w:val="18"/>
                <w:szCs w:val="18"/>
              </w:rPr>
            </w:pPr>
            <w:r>
              <w:rPr>
                <w:rFonts w:ascii="Times New Roman"/>
                <w:spacing w:val="-1"/>
                <w:sz w:val="18"/>
              </w:rPr>
              <w:t>82,283,292.00</w:t>
            </w:r>
          </w:p>
        </w:tc>
        <w:tc>
          <w:tcPr>
            <w:tcW w:w="147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18"/>
                <w:szCs w:val="18"/>
              </w:rPr>
            </w:pPr>
            <w:r>
              <w:rPr>
                <w:rFonts w:ascii="Times New Roman"/>
                <w:spacing w:val="-1"/>
                <w:sz w:val="18"/>
              </w:rPr>
              <w:t>168,007,774.00</w:t>
            </w:r>
          </w:p>
        </w:tc>
      </w:tr>
    </w:tbl>
    <w:p>
      <w:pPr>
        <w:spacing w:after="0" w:line="240" w:lineRule="auto"/>
        <w:jc w:val="right"/>
        <w:rPr>
          <w:rFonts w:ascii="Times New Roman" w:hAnsi="Times New Roman" w:cs="Times New Roman" w:eastAsia="Times New Roman" w:hint="default"/>
          <w:sz w:val="18"/>
          <w:szCs w:val="18"/>
        </w:rPr>
        <w:sectPr>
          <w:headerReference w:type="default" r:id="rId25"/>
          <w:footerReference w:type="default" r:id="rId26"/>
          <w:pgSz w:w="16840" w:h="11910" w:orient="landscape"/>
          <w:pgMar w:header="884" w:footer="980" w:top="1140" w:bottom="1160" w:left="1300" w:right="1220"/>
          <w:pgNumType w:start="123"/>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spacing w:before="36"/>
        <w:ind w:left="858" w:right="0" w:firstLine="0"/>
        <w:jc w:val="left"/>
        <w:rPr>
          <w:rFonts w:ascii="宋体" w:hAnsi="宋体" w:cs="宋体" w:eastAsia="宋体" w:hint="default"/>
          <w:sz w:val="21"/>
          <w:szCs w:val="21"/>
        </w:rPr>
      </w:pPr>
      <w:r>
        <w:rPr>
          <w:rFonts w:ascii="宋体" w:hAnsi="宋体" w:cs="宋体" w:eastAsia="宋体" w:hint="default"/>
          <w:sz w:val="21"/>
          <w:szCs w:val="21"/>
        </w:rPr>
        <w:t>股本变动情况的其他说明：</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line="350" w:lineRule="auto" w:before="0"/>
        <w:ind w:left="1393" w:right="0" w:hanging="536"/>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26"/>
          <w:sz w:val="21"/>
          <w:szCs w:val="21"/>
        </w:rPr>
        <w:t> </w:t>
      </w:r>
      <w:r>
        <w:rPr>
          <w:rFonts w:ascii="宋体" w:hAnsi="宋体" w:cs="宋体" w:eastAsia="宋体" w:hint="default"/>
          <w:spacing w:val="-6"/>
          <w:sz w:val="21"/>
          <w:szCs w:val="21"/>
        </w:rPr>
        <w:t>1</w:t>
      </w:r>
      <w:r>
        <w:rPr>
          <w:rFonts w:ascii="宋体" w:hAnsi="宋体" w:cs="宋体" w:eastAsia="宋体" w:hint="default"/>
          <w:spacing w:val="-6"/>
          <w:sz w:val="21"/>
          <w:szCs w:val="21"/>
        </w:rPr>
        <w:t>：根据本公司</w:t>
      </w:r>
      <w:r>
        <w:rPr>
          <w:rFonts w:ascii="宋体" w:hAnsi="宋体" w:cs="宋体" w:eastAsia="宋体" w:hint="default"/>
          <w:spacing w:val="-26"/>
          <w:sz w:val="21"/>
          <w:szCs w:val="21"/>
        </w:rPr>
        <w:t> </w:t>
      </w:r>
      <w:r>
        <w:rPr>
          <w:rFonts w:ascii="宋体" w:hAnsi="宋体" w:cs="宋体" w:eastAsia="宋体" w:hint="default"/>
          <w:sz w:val="21"/>
          <w:szCs w:val="21"/>
        </w:rPr>
        <w:t>2010</w:t>
      </w:r>
      <w:r>
        <w:rPr>
          <w:rFonts w:ascii="宋体" w:hAnsi="宋体" w:cs="宋体" w:eastAsia="宋体" w:hint="default"/>
          <w:spacing w:val="-30"/>
          <w:sz w:val="21"/>
          <w:szCs w:val="21"/>
        </w:rPr>
        <w:t> </w:t>
      </w:r>
      <w:r>
        <w:rPr>
          <w:rFonts w:ascii="宋体" w:hAnsi="宋体" w:cs="宋体" w:eastAsia="宋体" w:hint="default"/>
          <w:spacing w:val="-3"/>
          <w:sz w:val="21"/>
          <w:szCs w:val="21"/>
        </w:rPr>
        <w:t>年第三次临时股东大会决议，并经中国证券监督管理委员会以证监许可</w:t>
      </w:r>
      <w:r>
        <w:rPr>
          <w:rFonts w:ascii="宋体" w:hAnsi="宋体" w:cs="宋体" w:eastAsia="宋体" w:hint="default"/>
          <w:spacing w:val="-3"/>
          <w:sz w:val="21"/>
          <w:szCs w:val="21"/>
        </w:rPr>
        <w:t>[2010]1835</w:t>
      </w:r>
      <w:r>
        <w:rPr>
          <w:rFonts w:ascii="宋体" w:hAnsi="宋体" w:cs="宋体" w:eastAsia="宋体" w:hint="default"/>
          <w:spacing w:val="-26"/>
          <w:sz w:val="21"/>
          <w:szCs w:val="21"/>
        </w:rPr>
        <w:t> </w:t>
      </w:r>
      <w:r>
        <w:rPr>
          <w:rFonts w:ascii="宋体" w:hAnsi="宋体" w:cs="宋体" w:eastAsia="宋体" w:hint="default"/>
          <w:spacing w:val="-4"/>
          <w:sz w:val="21"/>
          <w:szCs w:val="21"/>
        </w:rPr>
        <w:t>号文《关于核准上海汉得信息技术股份</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4"/>
          <w:sz w:val="21"/>
          <w:szCs w:val="21"/>
        </w:rPr>
        <w:t>有限公司首次公开发行股票并在创业板上市的批复》核准，向社会公开发行</w:t>
      </w:r>
      <w:r>
        <w:rPr>
          <w:rFonts w:ascii="宋体" w:hAnsi="宋体" w:cs="宋体" w:eastAsia="宋体" w:hint="default"/>
          <w:spacing w:val="-38"/>
          <w:sz w:val="21"/>
          <w:szCs w:val="21"/>
        </w:rPr>
        <w:t> </w:t>
      </w:r>
      <w:r>
        <w:rPr>
          <w:rFonts w:ascii="宋体" w:hAnsi="宋体" w:cs="宋体" w:eastAsia="宋体" w:hint="default"/>
          <w:sz w:val="21"/>
          <w:szCs w:val="21"/>
        </w:rPr>
        <w:t>30,000,000</w:t>
      </w:r>
      <w:r>
        <w:rPr>
          <w:rFonts w:ascii="宋体" w:hAnsi="宋体" w:cs="宋体" w:eastAsia="宋体" w:hint="default"/>
          <w:spacing w:val="-38"/>
          <w:sz w:val="21"/>
          <w:szCs w:val="21"/>
        </w:rPr>
        <w:t> </w:t>
      </w:r>
      <w:r>
        <w:rPr>
          <w:rFonts w:ascii="宋体" w:hAnsi="宋体" w:cs="宋体" w:eastAsia="宋体" w:hint="default"/>
          <w:spacing w:val="-7"/>
          <w:sz w:val="21"/>
          <w:szCs w:val="21"/>
        </w:rPr>
        <w:t>股新股，每股面值</w:t>
      </w:r>
      <w:r>
        <w:rPr>
          <w:rFonts w:ascii="宋体" w:hAnsi="宋体" w:cs="宋体" w:eastAsia="宋体" w:hint="default"/>
          <w:spacing w:val="-34"/>
          <w:sz w:val="21"/>
          <w:szCs w:val="21"/>
        </w:rPr>
        <w:t> </w:t>
      </w:r>
      <w:r>
        <w:rPr>
          <w:rFonts w:ascii="宋体" w:hAnsi="宋体" w:cs="宋体" w:eastAsia="宋体" w:hint="default"/>
          <w:sz w:val="21"/>
          <w:szCs w:val="21"/>
        </w:rPr>
        <w:t>1</w:t>
      </w:r>
      <w:r>
        <w:rPr>
          <w:rFonts w:ascii="宋体" w:hAnsi="宋体" w:cs="宋体" w:eastAsia="宋体" w:hint="default"/>
          <w:spacing w:val="-36"/>
          <w:sz w:val="21"/>
          <w:szCs w:val="21"/>
        </w:rPr>
        <w:t> </w:t>
      </w:r>
      <w:r>
        <w:rPr>
          <w:rFonts w:ascii="宋体" w:hAnsi="宋体" w:cs="宋体" w:eastAsia="宋体" w:hint="default"/>
          <w:spacing w:val="-6"/>
          <w:sz w:val="21"/>
          <w:szCs w:val="21"/>
        </w:rPr>
        <w:t>元。每股发行价为人民币</w:t>
      </w:r>
      <w:r>
        <w:rPr>
          <w:rFonts w:ascii="宋体" w:hAnsi="宋体" w:cs="宋体" w:eastAsia="宋体" w:hint="default"/>
          <w:spacing w:val="-36"/>
          <w:sz w:val="21"/>
          <w:szCs w:val="21"/>
        </w:rPr>
        <w:t> </w:t>
      </w:r>
      <w:r>
        <w:rPr>
          <w:rFonts w:ascii="宋体" w:hAnsi="宋体" w:cs="宋体" w:eastAsia="宋体" w:hint="default"/>
          <w:sz w:val="21"/>
          <w:szCs w:val="21"/>
        </w:rPr>
        <w:t>25.32</w:t>
      </w:r>
    </w:p>
    <w:p>
      <w:pPr>
        <w:spacing w:before="29"/>
        <w:ind w:left="1393" w:right="0" w:firstLine="0"/>
        <w:jc w:val="left"/>
        <w:rPr>
          <w:rFonts w:ascii="宋体" w:hAnsi="宋体" w:cs="宋体" w:eastAsia="宋体" w:hint="default"/>
          <w:sz w:val="21"/>
          <w:szCs w:val="21"/>
        </w:rPr>
      </w:pPr>
      <w:r>
        <w:rPr>
          <w:rFonts w:ascii="宋体" w:hAnsi="宋体" w:cs="宋体" w:eastAsia="宋体" w:hint="default"/>
          <w:spacing w:val="-5"/>
          <w:sz w:val="21"/>
          <w:szCs w:val="21"/>
        </w:rPr>
        <w:t>元，共募集资金总额</w:t>
      </w:r>
      <w:r>
        <w:rPr>
          <w:rFonts w:ascii="宋体" w:hAnsi="宋体" w:cs="宋体" w:eastAsia="宋体" w:hint="default"/>
          <w:spacing w:val="-42"/>
          <w:sz w:val="21"/>
          <w:szCs w:val="21"/>
        </w:rPr>
        <w:t> </w:t>
      </w:r>
      <w:r>
        <w:rPr>
          <w:rFonts w:ascii="宋体" w:hAnsi="宋体" w:cs="宋体" w:eastAsia="宋体" w:hint="default"/>
          <w:sz w:val="21"/>
          <w:szCs w:val="21"/>
        </w:rPr>
        <w:t>759,600,000.00</w:t>
      </w:r>
      <w:r>
        <w:rPr>
          <w:rFonts w:ascii="宋体" w:hAnsi="宋体" w:cs="宋体" w:eastAsia="宋体" w:hint="default"/>
          <w:spacing w:val="-45"/>
          <w:sz w:val="21"/>
          <w:szCs w:val="21"/>
        </w:rPr>
        <w:t> </w:t>
      </w:r>
      <w:r>
        <w:rPr>
          <w:rFonts w:ascii="宋体" w:hAnsi="宋体" w:cs="宋体" w:eastAsia="宋体" w:hint="default"/>
          <w:spacing w:val="-4"/>
          <w:sz w:val="21"/>
          <w:szCs w:val="21"/>
        </w:rPr>
        <w:t>元。本次募集资金总额人民币</w:t>
      </w:r>
      <w:r>
        <w:rPr>
          <w:rFonts w:ascii="宋体" w:hAnsi="宋体" w:cs="宋体" w:eastAsia="宋体" w:hint="default"/>
          <w:spacing w:val="-43"/>
          <w:sz w:val="21"/>
          <w:szCs w:val="21"/>
        </w:rPr>
        <w:t> </w:t>
      </w:r>
      <w:r>
        <w:rPr>
          <w:rFonts w:ascii="宋体" w:hAnsi="宋体" w:cs="宋体" w:eastAsia="宋体" w:hint="default"/>
          <w:sz w:val="21"/>
          <w:szCs w:val="21"/>
        </w:rPr>
        <w:t>759,600,000.00</w:t>
      </w:r>
      <w:r>
        <w:rPr>
          <w:rFonts w:ascii="宋体" w:hAnsi="宋体" w:cs="宋体" w:eastAsia="宋体" w:hint="default"/>
          <w:spacing w:val="-45"/>
          <w:sz w:val="21"/>
          <w:szCs w:val="21"/>
        </w:rPr>
        <w:t> </w:t>
      </w:r>
      <w:r>
        <w:rPr>
          <w:rFonts w:ascii="宋体" w:hAnsi="宋体" w:cs="宋体" w:eastAsia="宋体" w:hint="default"/>
          <w:spacing w:val="-4"/>
          <w:sz w:val="21"/>
          <w:szCs w:val="21"/>
        </w:rPr>
        <w:t>元，共应支付发行费用</w:t>
      </w:r>
      <w:r>
        <w:rPr>
          <w:rFonts w:ascii="宋体" w:hAnsi="宋体" w:cs="宋体" w:eastAsia="宋体" w:hint="default"/>
          <w:spacing w:val="-42"/>
          <w:sz w:val="21"/>
          <w:szCs w:val="21"/>
        </w:rPr>
        <w:t> </w:t>
      </w:r>
      <w:r>
        <w:rPr>
          <w:rFonts w:ascii="宋体" w:hAnsi="宋体" w:cs="宋体" w:eastAsia="宋体" w:hint="default"/>
          <w:sz w:val="21"/>
          <w:szCs w:val="21"/>
        </w:rPr>
        <w:t>45,866,880.32</w:t>
      </w:r>
      <w:r>
        <w:rPr>
          <w:rFonts w:ascii="宋体" w:hAnsi="宋体" w:cs="宋体" w:eastAsia="宋体" w:hint="default"/>
          <w:spacing w:val="-43"/>
          <w:sz w:val="21"/>
          <w:szCs w:val="21"/>
        </w:rPr>
        <w:t> </w:t>
      </w:r>
      <w:r>
        <w:rPr>
          <w:rFonts w:ascii="宋体" w:hAnsi="宋体" w:cs="宋体" w:eastAsia="宋体" w:hint="default"/>
          <w:spacing w:val="-6"/>
          <w:sz w:val="21"/>
          <w:szCs w:val="21"/>
        </w:rPr>
        <w:t>元，其中承销机</w:t>
      </w:r>
    </w:p>
    <w:p>
      <w:pPr>
        <w:spacing w:before="123"/>
        <w:ind w:left="1393" w:right="0" w:firstLine="0"/>
        <w:jc w:val="left"/>
        <w:rPr>
          <w:rFonts w:ascii="宋体" w:hAnsi="宋体" w:cs="宋体" w:eastAsia="宋体" w:hint="default"/>
          <w:sz w:val="21"/>
          <w:szCs w:val="21"/>
        </w:rPr>
      </w:pPr>
      <w:r>
        <w:rPr>
          <w:rFonts w:ascii="宋体" w:hAnsi="宋体" w:cs="宋体" w:eastAsia="宋体" w:hint="default"/>
          <w:sz w:val="21"/>
          <w:szCs w:val="21"/>
        </w:rPr>
        <w:t>构的承销、保荐费 </w:t>
      </w:r>
      <w:r>
        <w:rPr>
          <w:rFonts w:ascii="宋体" w:hAnsi="宋体" w:cs="宋体" w:eastAsia="宋体" w:hint="default"/>
          <w:sz w:val="21"/>
          <w:szCs w:val="21"/>
        </w:rPr>
        <w:t>38,076,000.00 </w:t>
      </w:r>
      <w:r>
        <w:rPr>
          <w:rFonts w:ascii="宋体" w:hAnsi="宋体" w:cs="宋体" w:eastAsia="宋体" w:hint="default"/>
          <w:sz w:val="21"/>
          <w:szCs w:val="21"/>
        </w:rPr>
        <w:t>元，其他上市费用 </w:t>
      </w:r>
      <w:r>
        <w:rPr>
          <w:rFonts w:ascii="宋体" w:hAnsi="宋体" w:cs="宋体" w:eastAsia="宋体" w:hint="default"/>
          <w:sz w:val="21"/>
          <w:szCs w:val="21"/>
        </w:rPr>
        <w:t>7,790,880.32</w:t>
      </w:r>
      <w:r>
        <w:rPr>
          <w:rFonts w:ascii="宋体" w:hAnsi="宋体" w:cs="宋体" w:eastAsia="宋体" w:hint="default"/>
          <w:spacing w:val="-14"/>
          <w:sz w:val="21"/>
          <w:szCs w:val="21"/>
        </w:rPr>
        <w:t> </w:t>
      </w:r>
      <w:r>
        <w:rPr>
          <w:rFonts w:ascii="宋体" w:hAnsi="宋体" w:cs="宋体" w:eastAsia="宋体" w:hint="default"/>
          <w:sz w:val="21"/>
          <w:szCs w:val="21"/>
        </w:rPr>
        <w:t>元。募集资金总额扣除上述各项发行费用后，募集资金净额为人民币</w:t>
      </w:r>
    </w:p>
    <w:p>
      <w:pPr>
        <w:spacing w:before="126"/>
        <w:ind w:left="1393" w:right="0" w:firstLine="0"/>
        <w:jc w:val="left"/>
        <w:rPr>
          <w:rFonts w:ascii="宋体" w:hAnsi="宋体" w:cs="宋体" w:eastAsia="宋体" w:hint="default"/>
          <w:sz w:val="21"/>
          <w:szCs w:val="21"/>
        </w:rPr>
      </w:pPr>
      <w:r>
        <w:rPr>
          <w:rFonts w:ascii="宋体" w:hAnsi="宋体" w:cs="宋体" w:eastAsia="宋体" w:hint="default"/>
          <w:sz w:val="21"/>
          <w:szCs w:val="21"/>
        </w:rPr>
        <w:t>713,733,119.68</w:t>
      </w:r>
      <w:r>
        <w:rPr>
          <w:rFonts w:ascii="宋体" w:hAnsi="宋体" w:cs="宋体" w:eastAsia="宋体" w:hint="default"/>
          <w:spacing w:val="-3"/>
          <w:sz w:val="21"/>
          <w:szCs w:val="21"/>
        </w:rPr>
        <w:t> </w:t>
      </w:r>
      <w:r>
        <w:rPr>
          <w:rFonts w:ascii="宋体" w:hAnsi="宋体" w:cs="宋体" w:eastAsia="宋体" w:hint="default"/>
          <w:sz w:val="21"/>
          <w:szCs w:val="21"/>
        </w:rPr>
        <w:t>元，其中股本</w:t>
      </w:r>
      <w:r>
        <w:rPr>
          <w:rFonts w:ascii="宋体" w:hAnsi="宋体" w:cs="宋体" w:eastAsia="宋体" w:hint="default"/>
          <w:spacing w:val="-53"/>
          <w:sz w:val="21"/>
          <w:szCs w:val="21"/>
        </w:rPr>
        <w:t> </w:t>
      </w:r>
      <w:r>
        <w:rPr>
          <w:rFonts w:ascii="宋体" w:hAnsi="宋体" w:cs="宋体" w:eastAsia="宋体" w:hint="default"/>
          <w:sz w:val="21"/>
          <w:szCs w:val="21"/>
        </w:rPr>
        <w:t>30,000,000.00</w:t>
      </w:r>
      <w:r>
        <w:rPr>
          <w:rFonts w:ascii="宋体" w:hAnsi="宋体" w:cs="宋体" w:eastAsia="宋体" w:hint="default"/>
          <w:spacing w:val="-56"/>
          <w:sz w:val="21"/>
          <w:szCs w:val="21"/>
        </w:rPr>
        <w:t> </w:t>
      </w:r>
      <w:r>
        <w:rPr>
          <w:rFonts w:ascii="宋体" w:hAnsi="宋体" w:cs="宋体" w:eastAsia="宋体" w:hint="default"/>
          <w:sz w:val="21"/>
          <w:szCs w:val="21"/>
        </w:rPr>
        <w:t>元，资本公积资本溢价</w:t>
      </w:r>
      <w:r>
        <w:rPr>
          <w:rFonts w:ascii="宋体" w:hAnsi="宋体" w:cs="宋体" w:eastAsia="宋体" w:hint="default"/>
          <w:spacing w:val="-54"/>
          <w:sz w:val="21"/>
          <w:szCs w:val="21"/>
        </w:rPr>
        <w:t> </w:t>
      </w:r>
      <w:r>
        <w:rPr>
          <w:rFonts w:ascii="宋体" w:hAnsi="宋体" w:cs="宋体" w:eastAsia="宋体" w:hint="default"/>
          <w:sz w:val="21"/>
          <w:szCs w:val="21"/>
        </w:rPr>
        <w:t>683,733,119.68</w:t>
      </w:r>
      <w:r>
        <w:rPr>
          <w:rFonts w:ascii="宋体" w:hAnsi="宋体" w:cs="宋体" w:eastAsia="宋体" w:hint="default"/>
          <w:spacing w:val="-56"/>
          <w:sz w:val="21"/>
          <w:szCs w:val="21"/>
        </w:rPr>
        <w:t> </w:t>
      </w:r>
      <w:r>
        <w:rPr>
          <w:rFonts w:ascii="宋体" w:hAnsi="宋体" w:cs="宋体" w:eastAsia="宋体" w:hint="default"/>
          <w:sz w:val="21"/>
          <w:szCs w:val="21"/>
        </w:rPr>
        <w:t>元。本次公开发行的股票与</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日上市交</w:t>
      </w:r>
    </w:p>
    <w:p>
      <w:pPr>
        <w:spacing w:before="126"/>
        <w:ind w:left="1393" w:right="0" w:firstLine="0"/>
        <w:jc w:val="left"/>
        <w:rPr>
          <w:rFonts w:ascii="宋体" w:hAnsi="宋体" w:cs="宋体" w:eastAsia="宋体" w:hint="default"/>
          <w:sz w:val="21"/>
          <w:szCs w:val="21"/>
        </w:rPr>
      </w:pPr>
      <w:r>
        <w:rPr>
          <w:rFonts w:ascii="宋体" w:hAnsi="宋体" w:cs="宋体" w:eastAsia="宋体" w:hint="default"/>
          <w:sz w:val="21"/>
          <w:szCs w:val="21"/>
        </w:rPr>
        <w:t>易。本次股本变动经立信会计师事务所有限公司出具信会师报字（</w:t>
      </w:r>
      <w:r>
        <w:rPr>
          <w:rFonts w:ascii="宋体" w:hAnsi="宋体" w:cs="宋体" w:eastAsia="宋体" w:hint="default"/>
          <w:sz w:val="21"/>
          <w:szCs w:val="21"/>
        </w:rPr>
        <w:t>2011</w:t>
      </w:r>
      <w:r>
        <w:rPr>
          <w:rFonts w:ascii="宋体" w:hAnsi="宋体" w:cs="宋体" w:eastAsia="宋体" w:hint="default"/>
          <w:sz w:val="21"/>
          <w:szCs w:val="21"/>
        </w:rPr>
        <w:t>）第</w:t>
      </w:r>
      <w:r>
        <w:rPr>
          <w:rFonts w:ascii="宋体" w:hAnsi="宋体" w:cs="宋体" w:eastAsia="宋体" w:hint="default"/>
          <w:spacing w:val="-56"/>
          <w:sz w:val="21"/>
          <w:szCs w:val="21"/>
        </w:rPr>
        <w:t> </w:t>
      </w:r>
      <w:r>
        <w:rPr>
          <w:rFonts w:ascii="宋体" w:hAnsi="宋体" w:cs="宋体" w:eastAsia="宋体" w:hint="default"/>
          <w:sz w:val="21"/>
          <w:szCs w:val="21"/>
        </w:rPr>
        <w:t>10264</w:t>
      </w:r>
      <w:r>
        <w:rPr>
          <w:rFonts w:ascii="宋体" w:hAnsi="宋体" w:cs="宋体" w:eastAsia="宋体" w:hint="default"/>
          <w:spacing w:val="-56"/>
          <w:sz w:val="21"/>
          <w:szCs w:val="21"/>
        </w:rPr>
        <w:t> </w:t>
      </w:r>
      <w:r>
        <w:rPr>
          <w:rFonts w:ascii="宋体" w:hAnsi="宋体" w:cs="宋体" w:eastAsia="宋体" w:hint="default"/>
          <w:sz w:val="21"/>
          <w:szCs w:val="21"/>
        </w:rPr>
        <w:t>号验资报告验证。</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0"/>
        <w:ind w:left="858"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z w:val="21"/>
          <w:szCs w:val="21"/>
        </w:rPr>
        <w:t>：根据公司</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日股东大会决议，公司以总股本</w:t>
      </w:r>
      <w:r>
        <w:rPr>
          <w:rFonts w:ascii="宋体" w:hAnsi="宋体" w:cs="宋体" w:eastAsia="宋体" w:hint="default"/>
          <w:spacing w:val="-55"/>
          <w:sz w:val="21"/>
          <w:szCs w:val="21"/>
        </w:rPr>
        <w:t> </w:t>
      </w:r>
      <w:r>
        <w:rPr>
          <w:rFonts w:ascii="宋体" w:hAnsi="宋体" w:cs="宋体" w:eastAsia="宋体" w:hint="default"/>
          <w:sz w:val="21"/>
          <w:szCs w:val="21"/>
        </w:rPr>
        <w:t>115,724,482</w:t>
      </w:r>
      <w:r>
        <w:rPr>
          <w:rFonts w:ascii="宋体" w:hAnsi="宋体" w:cs="宋体" w:eastAsia="宋体" w:hint="default"/>
          <w:spacing w:val="-55"/>
          <w:sz w:val="21"/>
          <w:szCs w:val="21"/>
        </w:rPr>
        <w:t> </w:t>
      </w:r>
      <w:r>
        <w:rPr>
          <w:rFonts w:ascii="宋体" w:hAnsi="宋体" w:cs="宋体" w:eastAsia="宋体" w:hint="default"/>
          <w:sz w:val="21"/>
          <w:szCs w:val="21"/>
        </w:rPr>
        <w:t>股为基数，以资本公积金向全体股东每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股转增</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股，按每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1"/>
          <w:sz w:val="21"/>
          <w:szCs w:val="21"/>
        </w:rPr>
        <w:t> </w:t>
      </w:r>
      <w:r>
        <w:rPr>
          <w:rFonts w:ascii="宋体" w:hAnsi="宋体" w:cs="宋体" w:eastAsia="宋体" w:hint="default"/>
          <w:sz w:val="21"/>
          <w:szCs w:val="21"/>
        </w:rPr>
        <w:t>股</w:t>
      </w:r>
    </w:p>
    <w:p>
      <w:pPr>
        <w:spacing w:before="126"/>
        <w:ind w:left="1393" w:right="0" w:firstLine="0"/>
        <w:jc w:val="left"/>
        <w:rPr>
          <w:rFonts w:ascii="宋体" w:hAnsi="宋体" w:cs="宋体" w:eastAsia="宋体" w:hint="default"/>
          <w:sz w:val="21"/>
          <w:szCs w:val="21"/>
        </w:rPr>
      </w:pPr>
      <w:r>
        <w:rPr>
          <w:rFonts w:ascii="宋体" w:hAnsi="宋体" w:cs="宋体" w:eastAsia="宋体" w:hint="default"/>
          <w:sz w:val="21"/>
          <w:szCs w:val="21"/>
        </w:rPr>
        <w:t>派发人民币</w:t>
      </w:r>
      <w:r>
        <w:rPr>
          <w:rFonts w:ascii="宋体" w:hAnsi="宋体" w:cs="宋体" w:eastAsia="宋体" w:hint="default"/>
          <w:spacing w:val="6"/>
          <w:sz w:val="21"/>
          <w:szCs w:val="21"/>
        </w:rPr>
        <w:t> </w:t>
      </w:r>
      <w:r>
        <w:rPr>
          <w:rFonts w:ascii="宋体" w:hAnsi="宋体" w:cs="宋体" w:eastAsia="宋体" w:hint="default"/>
          <w:sz w:val="21"/>
          <w:szCs w:val="21"/>
        </w:rPr>
        <w:t>3</w:t>
      </w:r>
      <w:r>
        <w:rPr>
          <w:rFonts w:ascii="宋体" w:hAnsi="宋体" w:cs="宋体" w:eastAsia="宋体" w:hint="default"/>
          <w:spacing w:val="6"/>
          <w:sz w:val="21"/>
          <w:szCs w:val="21"/>
        </w:rPr>
        <w:t> </w:t>
      </w:r>
      <w:r>
        <w:rPr>
          <w:rFonts w:ascii="宋体" w:hAnsi="宋体" w:cs="宋体" w:eastAsia="宋体" w:hint="default"/>
          <w:spacing w:val="-4"/>
          <w:sz w:val="21"/>
          <w:szCs w:val="21"/>
        </w:rPr>
        <w:t>元现金（含税）的股利分红，合计派发现金红利人民币</w:t>
      </w:r>
      <w:r>
        <w:rPr>
          <w:rFonts w:ascii="宋体" w:hAnsi="宋体" w:cs="宋体" w:eastAsia="宋体" w:hint="default"/>
          <w:spacing w:val="8"/>
          <w:sz w:val="21"/>
          <w:szCs w:val="21"/>
        </w:rPr>
        <w:t> </w:t>
      </w:r>
      <w:r>
        <w:rPr>
          <w:rFonts w:ascii="宋体" w:hAnsi="宋体" w:cs="宋体" w:eastAsia="宋体" w:hint="default"/>
          <w:sz w:val="21"/>
          <w:szCs w:val="21"/>
        </w:rPr>
        <w:t>34,717,344.60</w:t>
      </w:r>
      <w:r>
        <w:rPr>
          <w:rFonts w:ascii="宋体" w:hAnsi="宋体" w:cs="宋体" w:eastAsia="宋体" w:hint="default"/>
          <w:spacing w:val="8"/>
          <w:sz w:val="21"/>
          <w:szCs w:val="21"/>
        </w:rPr>
        <w:t> </w:t>
      </w:r>
      <w:r>
        <w:rPr>
          <w:rFonts w:ascii="宋体" w:hAnsi="宋体" w:cs="宋体" w:eastAsia="宋体" w:hint="default"/>
          <w:spacing w:val="-5"/>
          <w:sz w:val="21"/>
          <w:szCs w:val="21"/>
        </w:rPr>
        <w:t>元。股权登记日为</w:t>
      </w:r>
      <w:r>
        <w:rPr>
          <w:rFonts w:ascii="宋体" w:hAnsi="宋体" w:cs="宋体" w:eastAsia="宋体" w:hint="default"/>
          <w:spacing w:val="-48"/>
          <w:sz w:val="21"/>
          <w:szCs w:val="21"/>
        </w:rPr>
        <w:t> </w:t>
      </w: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21</w:t>
      </w:r>
      <w:r>
        <w:rPr>
          <w:rFonts w:ascii="宋体" w:hAnsi="宋体" w:cs="宋体" w:eastAsia="宋体" w:hint="default"/>
          <w:spacing w:val="-49"/>
          <w:sz w:val="21"/>
          <w:szCs w:val="21"/>
        </w:rPr>
        <w:t> </w:t>
      </w:r>
      <w:r>
        <w:rPr>
          <w:rFonts w:ascii="宋体" w:hAnsi="宋体" w:cs="宋体" w:eastAsia="宋体" w:hint="default"/>
          <w:spacing w:val="-4"/>
          <w:sz w:val="21"/>
          <w:szCs w:val="21"/>
        </w:rPr>
        <w:t>日。经本次转增减</w:t>
      </w:r>
    </w:p>
    <w:p>
      <w:pPr>
        <w:spacing w:before="123"/>
        <w:ind w:left="1393" w:right="0" w:firstLine="0"/>
        <w:jc w:val="left"/>
        <w:rPr>
          <w:rFonts w:ascii="宋体" w:hAnsi="宋体" w:cs="宋体" w:eastAsia="宋体" w:hint="default"/>
          <w:sz w:val="21"/>
          <w:szCs w:val="21"/>
        </w:rPr>
      </w:pPr>
      <w:r>
        <w:rPr>
          <w:rFonts w:ascii="宋体" w:hAnsi="宋体" w:cs="宋体" w:eastAsia="宋体" w:hint="default"/>
          <w:sz w:val="21"/>
          <w:szCs w:val="21"/>
        </w:rPr>
        <w:t>少公司资本公积</w:t>
      </w:r>
      <w:r>
        <w:rPr>
          <w:rFonts w:ascii="宋体" w:hAnsi="宋体" w:cs="宋体" w:eastAsia="宋体" w:hint="default"/>
          <w:spacing w:val="-44"/>
          <w:sz w:val="21"/>
          <w:szCs w:val="21"/>
        </w:rPr>
        <w:t> </w:t>
      </w:r>
      <w:r>
        <w:rPr>
          <w:rFonts w:ascii="宋体" w:hAnsi="宋体" w:cs="宋体" w:eastAsia="宋体" w:hint="default"/>
          <w:sz w:val="21"/>
          <w:szCs w:val="21"/>
        </w:rPr>
        <w:t>46,289,792.00</w:t>
      </w:r>
      <w:r>
        <w:rPr>
          <w:rFonts w:ascii="宋体" w:hAnsi="宋体" w:cs="宋体" w:eastAsia="宋体" w:hint="default"/>
          <w:spacing w:val="-46"/>
          <w:sz w:val="21"/>
          <w:szCs w:val="21"/>
        </w:rPr>
        <w:t> </w:t>
      </w:r>
      <w:r>
        <w:rPr>
          <w:rFonts w:ascii="宋体" w:hAnsi="宋体" w:cs="宋体" w:eastAsia="宋体" w:hint="default"/>
          <w:spacing w:val="-7"/>
          <w:sz w:val="21"/>
          <w:szCs w:val="21"/>
        </w:rPr>
        <w:t>元，增加股本</w:t>
      </w:r>
      <w:r>
        <w:rPr>
          <w:rFonts w:ascii="宋体" w:hAnsi="宋体" w:cs="宋体" w:eastAsia="宋体" w:hint="default"/>
          <w:spacing w:val="-44"/>
          <w:sz w:val="21"/>
          <w:szCs w:val="21"/>
        </w:rPr>
        <w:t> </w:t>
      </w:r>
      <w:r>
        <w:rPr>
          <w:rFonts w:ascii="宋体" w:hAnsi="宋体" w:cs="宋体" w:eastAsia="宋体" w:hint="default"/>
          <w:sz w:val="21"/>
          <w:szCs w:val="21"/>
        </w:rPr>
        <w:t>46,289,792.00</w:t>
      </w:r>
      <w:r>
        <w:rPr>
          <w:rFonts w:ascii="宋体" w:hAnsi="宋体" w:cs="宋体" w:eastAsia="宋体" w:hint="default"/>
          <w:spacing w:val="-46"/>
          <w:sz w:val="21"/>
          <w:szCs w:val="21"/>
        </w:rPr>
        <w:t> </w:t>
      </w:r>
      <w:r>
        <w:rPr>
          <w:rFonts w:ascii="宋体" w:hAnsi="宋体" w:cs="宋体" w:eastAsia="宋体" w:hint="default"/>
          <w:spacing w:val="-5"/>
          <w:sz w:val="21"/>
          <w:szCs w:val="21"/>
        </w:rPr>
        <w:t>元。转增后公司股本为</w:t>
      </w:r>
      <w:r>
        <w:rPr>
          <w:rFonts w:ascii="宋体" w:hAnsi="宋体" w:cs="宋体" w:eastAsia="宋体" w:hint="default"/>
          <w:spacing w:val="-44"/>
          <w:sz w:val="21"/>
          <w:szCs w:val="21"/>
        </w:rPr>
        <w:t> </w:t>
      </w:r>
      <w:r>
        <w:rPr>
          <w:rFonts w:ascii="宋体" w:hAnsi="宋体" w:cs="宋体" w:eastAsia="宋体" w:hint="default"/>
          <w:sz w:val="21"/>
          <w:szCs w:val="21"/>
        </w:rPr>
        <w:t>162,014,274</w:t>
      </w:r>
      <w:r>
        <w:rPr>
          <w:rFonts w:ascii="宋体" w:hAnsi="宋体" w:cs="宋体" w:eastAsia="宋体" w:hint="default"/>
          <w:spacing w:val="-46"/>
          <w:sz w:val="21"/>
          <w:szCs w:val="21"/>
        </w:rPr>
        <w:t> </w:t>
      </w:r>
      <w:r>
        <w:rPr>
          <w:rFonts w:ascii="宋体" w:hAnsi="宋体" w:cs="宋体" w:eastAsia="宋体" w:hint="default"/>
          <w:spacing w:val="-4"/>
          <w:sz w:val="21"/>
          <w:szCs w:val="21"/>
        </w:rPr>
        <w:t>股。本次转增业经立信会计师事务所有限</w:t>
      </w:r>
    </w:p>
    <w:p>
      <w:pPr>
        <w:spacing w:before="126"/>
        <w:ind w:left="1393" w:right="0" w:firstLine="0"/>
        <w:jc w:val="left"/>
        <w:rPr>
          <w:rFonts w:ascii="宋体" w:hAnsi="宋体" w:cs="宋体" w:eastAsia="宋体" w:hint="default"/>
          <w:sz w:val="21"/>
          <w:szCs w:val="21"/>
        </w:rPr>
      </w:pPr>
      <w:r>
        <w:rPr>
          <w:rFonts w:ascii="宋体" w:hAnsi="宋体" w:cs="宋体" w:eastAsia="宋体" w:hint="default"/>
          <w:sz w:val="21"/>
          <w:szCs w:val="21"/>
        </w:rPr>
        <w:t>公司出具信会师报字（</w:t>
      </w:r>
      <w:r>
        <w:rPr>
          <w:rFonts w:ascii="宋体" w:hAnsi="宋体" w:cs="宋体" w:eastAsia="宋体" w:hint="default"/>
          <w:sz w:val="21"/>
          <w:szCs w:val="21"/>
        </w:rPr>
        <w:t>2011</w:t>
      </w:r>
      <w:r>
        <w:rPr>
          <w:rFonts w:ascii="宋体" w:hAnsi="宋体" w:cs="宋体" w:eastAsia="宋体" w:hint="default"/>
          <w:sz w:val="21"/>
          <w:szCs w:val="21"/>
        </w:rPr>
        <w:t>）第</w:t>
      </w:r>
      <w:r>
        <w:rPr>
          <w:rFonts w:ascii="宋体" w:hAnsi="宋体" w:cs="宋体" w:eastAsia="宋体" w:hint="default"/>
          <w:spacing w:val="-58"/>
          <w:sz w:val="21"/>
          <w:szCs w:val="21"/>
        </w:rPr>
        <w:t> </w:t>
      </w:r>
      <w:r>
        <w:rPr>
          <w:rFonts w:ascii="宋体" w:hAnsi="宋体" w:cs="宋体" w:eastAsia="宋体" w:hint="default"/>
          <w:sz w:val="21"/>
          <w:szCs w:val="21"/>
        </w:rPr>
        <w:t>13315</w:t>
      </w:r>
      <w:r>
        <w:rPr>
          <w:rFonts w:ascii="宋体" w:hAnsi="宋体" w:cs="宋体" w:eastAsia="宋体" w:hint="default"/>
          <w:spacing w:val="-56"/>
          <w:sz w:val="21"/>
          <w:szCs w:val="21"/>
        </w:rPr>
        <w:t> </w:t>
      </w:r>
      <w:r>
        <w:rPr>
          <w:rFonts w:ascii="宋体" w:hAnsi="宋体" w:cs="宋体" w:eastAsia="宋体" w:hint="default"/>
          <w:sz w:val="21"/>
          <w:szCs w:val="21"/>
        </w:rPr>
        <w:t>号验资报告验证。</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0"/>
        <w:ind w:left="858"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2"/>
          <w:sz w:val="21"/>
          <w:szCs w:val="21"/>
        </w:rPr>
        <w:t> </w:t>
      </w:r>
      <w:r>
        <w:rPr>
          <w:rFonts w:ascii="宋体" w:hAnsi="宋体" w:cs="宋体" w:eastAsia="宋体" w:hint="default"/>
          <w:sz w:val="21"/>
          <w:szCs w:val="21"/>
        </w:rPr>
        <w:t>3</w:t>
      </w:r>
      <w:r>
        <w:rPr>
          <w:rFonts w:ascii="宋体" w:hAnsi="宋体" w:cs="宋体" w:eastAsia="宋体" w:hint="default"/>
          <w:sz w:val="21"/>
          <w:szCs w:val="21"/>
        </w:rPr>
        <w:t>：经公司</w:t>
      </w:r>
      <w:r>
        <w:rPr>
          <w:rFonts w:ascii="宋体" w:hAnsi="宋体" w:cs="宋体" w:eastAsia="宋体" w:hint="default"/>
          <w:spacing w:val="-42"/>
          <w:sz w:val="21"/>
          <w:szCs w:val="21"/>
        </w:rPr>
        <w:t> </w:t>
      </w:r>
      <w:r>
        <w:rPr>
          <w:rFonts w:ascii="宋体" w:hAnsi="宋体" w:cs="宋体" w:eastAsia="宋体" w:hint="default"/>
          <w:sz w:val="21"/>
          <w:szCs w:val="21"/>
        </w:rPr>
        <w:t>2011</w:t>
      </w:r>
      <w:r>
        <w:rPr>
          <w:rFonts w:ascii="宋体" w:hAnsi="宋体" w:cs="宋体" w:eastAsia="宋体" w:hint="default"/>
          <w:spacing w:val="-44"/>
          <w:sz w:val="21"/>
          <w:szCs w:val="21"/>
        </w:rPr>
        <w:t> </w:t>
      </w:r>
      <w:r>
        <w:rPr>
          <w:rFonts w:ascii="宋体" w:hAnsi="宋体" w:cs="宋体" w:eastAsia="宋体" w:hint="default"/>
          <w:sz w:val="21"/>
          <w:szCs w:val="21"/>
        </w:rPr>
        <w:t>年度第一届董事会第十七次（临时）会议及</w:t>
      </w:r>
      <w:r>
        <w:rPr>
          <w:rFonts w:ascii="宋体" w:hAnsi="宋体" w:cs="宋体" w:eastAsia="宋体" w:hint="default"/>
          <w:spacing w:val="-44"/>
          <w:sz w:val="21"/>
          <w:szCs w:val="21"/>
        </w:rPr>
        <w:t> </w:t>
      </w:r>
      <w:r>
        <w:rPr>
          <w:rFonts w:ascii="宋体" w:hAnsi="宋体" w:cs="宋体" w:eastAsia="宋体" w:hint="default"/>
          <w:sz w:val="21"/>
          <w:szCs w:val="21"/>
        </w:rPr>
        <w:t>2011</w:t>
      </w:r>
      <w:r>
        <w:rPr>
          <w:rFonts w:ascii="宋体" w:hAnsi="宋体" w:cs="宋体" w:eastAsia="宋体" w:hint="default"/>
          <w:spacing w:val="-44"/>
          <w:sz w:val="21"/>
          <w:szCs w:val="21"/>
        </w:rPr>
        <w:t> </w:t>
      </w:r>
      <w:r>
        <w:rPr>
          <w:rFonts w:ascii="宋体" w:hAnsi="宋体" w:cs="宋体" w:eastAsia="宋体" w:hint="default"/>
          <w:sz w:val="21"/>
          <w:szCs w:val="21"/>
        </w:rPr>
        <w:t>年度第一次临时股东大会决议通过，并经中国证券监督委员会审核通过，向</w:t>
      </w:r>
    </w:p>
    <w:p>
      <w:pPr>
        <w:spacing w:before="126"/>
        <w:ind w:left="1393" w:right="0" w:firstLine="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54"/>
          <w:sz w:val="21"/>
          <w:szCs w:val="21"/>
        </w:rPr>
        <w:t> </w:t>
      </w:r>
      <w:r>
        <w:rPr>
          <w:rFonts w:ascii="宋体" w:hAnsi="宋体" w:cs="宋体" w:eastAsia="宋体" w:hint="default"/>
          <w:sz w:val="21"/>
          <w:szCs w:val="21"/>
        </w:rPr>
        <w:t>314</w:t>
      </w:r>
      <w:r>
        <w:rPr>
          <w:rFonts w:ascii="宋体" w:hAnsi="宋体" w:cs="宋体" w:eastAsia="宋体" w:hint="default"/>
          <w:spacing w:val="-56"/>
          <w:sz w:val="21"/>
          <w:szCs w:val="21"/>
        </w:rPr>
        <w:t> </w:t>
      </w:r>
      <w:r>
        <w:rPr>
          <w:rFonts w:ascii="宋体" w:hAnsi="宋体" w:cs="宋体" w:eastAsia="宋体" w:hint="default"/>
          <w:sz w:val="21"/>
          <w:szCs w:val="21"/>
        </w:rPr>
        <w:t>名员工实施限制性股票激励。本次限制性股票授予日为</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日，授予数量</w:t>
      </w:r>
      <w:r>
        <w:rPr>
          <w:rFonts w:ascii="宋体" w:hAnsi="宋体" w:cs="宋体" w:eastAsia="宋体" w:hint="default"/>
          <w:spacing w:val="-53"/>
          <w:sz w:val="21"/>
          <w:szCs w:val="21"/>
        </w:rPr>
        <w:t> </w:t>
      </w:r>
      <w:r>
        <w:rPr>
          <w:rFonts w:ascii="宋体" w:hAnsi="宋体" w:cs="宋体" w:eastAsia="宋体" w:hint="default"/>
          <w:sz w:val="21"/>
          <w:szCs w:val="21"/>
        </w:rPr>
        <w:t>5,993,500</w:t>
      </w:r>
      <w:r>
        <w:rPr>
          <w:rFonts w:ascii="宋体" w:hAnsi="宋体" w:cs="宋体" w:eastAsia="宋体" w:hint="default"/>
          <w:spacing w:val="-54"/>
          <w:sz w:val="21"/>
          <w:szCs w:val="21"/>
        </w:rPr>
        <w:t> </w:t>
      </w:r>
      <w:r>
        <w:rPr>
          <w:rFonts w:ascii="宋体" w:hAnsi="宋体" w:cs="宋体" w:eastAsia="宋体" w:hint="default"/>
          <w:sz w:val="21"/>
          <w:szCs w:val="21"/>
        </w:rPr>
        <w:t>股，每股面值</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元。授予价格为</w:t>
      </w:r>
    </w:p>
    <w:p>
      <w:pPr>
        <w:spacing w:before="126"/>
        <w:ind w:left="1393" w:right="0" w:firstLine="0"/>
        <w:jc w:val="left"/>
        <w:rPr>
          <w:rFonts w:ascii="宋体" w:hAnsi="宋体" w:cs="宋体" w:eastAsia="宋体" w:hint="default"/>
          <w:sz w:val="21"/>
          <w:szCs w:val="21"/>
        </w:rPr>
      </w:pPr>
      <w:r>
        <w:rPr>
          <w:rFonts w:ascii="宋体" w:hAnsi="宋体" w:cs="宋体" w:eastAsia="宋体" w:hint="default"/>
          <w:sz w:val="21"/>
          <w:szCs w:val="21"/>
        </w:rPr>
        <w:t>首期</w:t>
      </w:r>
      <w:r>
        <w:rPr>
          <w:rFonts w:ascii="宋体" w:hAnsi="宋体" w:cs="宋体" w:eastAsia="宋体" w:hint="default"/>
          <w:spacing w:val="-49"/>
          <w:sz w:val="21"/>
          <w:szCs w:val="21"/>
        </w:rPr>
        <w:t> </w:t>
      </w:r>
      <w:r>
        <w:rPr>
          <w:rFonts w:ascii="宋体" w:hAnsi="宋体" w:cs="宋体" w:eastAsia="宋体" w:hint="default"/>
          <w:sz w:val="21"/>
          <w:szCs w:val="21"/>
        </w:rPr>
        <w:t>538</w:t>
      </w:r>
      <w:r>
        <w:rPr>
          <w:rFonts w:ascii="宋体" w:hAnsi="宋体" w:cs="宋体" w:eastAsia="宋体" w:hint="default"/>
          <w:spacing w:val="-49"/>
          <w:sz w:val="21"/>
          <w:szCs w:val="21"/>
        </w:rPr>
        <w:t> </w:t>
      </w:r>
      <w:r>
        <w:rPr>
          <w:rFonts w:ascii="宋体" w:hAnsi="宋体" w:cs="宋体" w:eastAsia="宋体" w:hint="default"/>
          <w:sz w:val="21"/>
          <w:szCs w:val="21"/>
        </w:rPr>
        <w:t>万股授予价格为</w:t>
      </w:r>
      <w:r>
        <w:rPr>
          <w:rFonts w:ascii="宋体" w:hAnsi="宋体" w:cs="宋体" w:eastAsia="宋体" w:hint="default"/>
          <w:spacing w:val="-51"/>
          <w:sz w:val="21"/>
          <w:szCs w:val="21"/>
        </w:rPr>
        <w:t> </w:t>
      </w:r>
      <w:r>
        <w:rPr>
          <w:rFonts w:ascii="宋体" w:hAnsi="宋体" w:cs="宋体" w:eastAsia="宋体" w:hint="default"/>
          <w:sz w:val="21"/>
          <w:szCs w:val="21"/>
        </w:rPr>
        <w:t>9.73</w:t>
      </w:r>
      <w:r>
        <w:rPr>
          <w:rFonts w:ascii="宋体" w:hAnsi="宋体" w:cs="宋体" w:eastAsia="宋体" w:hint="default"/>
          <w:spacing w:val="-51"/>
          <w:sz w:val="21"/>
          <w:szCs w:val="21"/>
        </w:rPr>
        <w:t> </w:t>
      </w:r>
      <w:r>
        <w:rPr>
          <w:rFonts w:ascii="宋体" w:hAnsi="宋体" w:cs="宋体" w:eastAsia="宋体" w:hint="default"/>
          <w:spacing w:val="-8"/>
          <w:sz w:val="21"/>
          <w:szCs w:val="21"/>
        </w:rPr>
        <w:t>元</w:t>
      </w:r>
      <w:r>
        <w:rPr>
          <w:rFonts w:ascii="宋体" w:hAnsi="宋体" w:cs="宋体" w:eastAsia="宋体" w:hint="default"/>
          <w:spacing w:val="-8"/>
          <w:sz w:val="21"/>
          <w:szCs w:val="21"/>
        </w:rPr>
        <w:t>/</w:t>
      </w:r>
      <w:r>
        <w:rPr>
          <w:rFonts w:ascii="宋体" w:hAnsi="宋体" w:cs="宋体" w:eastAsia="宋体" w:hint="default"/>
          <w:spacing w:val="-8"/>
          <w:sz w:val="21"/>
          <w:szCs w:val="21"/>
        </w:rPr>
        <w:t>股，预留部分</w:t>
      </w:r>
      <w:r>
        <w:rPr>
          <w:rFonts w:ascii="宋体" w:hAnsi="宋体" w:cs="宋体" w:eastAsia="宋体" w:hint="default"/>
          <w:spacing w:val="-49"/>
          <w:sz w:val="21"/>
          <w:szCs w:val="21"/>
        </w:rPr>
        <w:t> </w:t>
      </w:r>
      <w:r>
        <w:rPr>
          <w:rFonts w:ascii="宋体" w:hAnsi="宋体" w:cs="宋体" w:eastAsia="宋体" w:hint="default"/>
          <w:sz w:val="21"/>
          <w:szCs w:val="21"/>
        </w:rPr>
        <w:t>61.35</w:t>
      </w:r>
      <w:r>
        <w:rPr>
          <w:rFonts w:ascii="宋体" w:hAnsi="宋体" w:cs="宋体" w:eastAsia="宋体" w:hint="default"/>
          <w:spacing w:val="-48"/>
          <w:sz w:val="21"/>
          <w:szCs w:val="21"/>
        </w:rPr>
        <w:t> </w:t>
      </w:r>
      <w:r>
        <w:rPr>
          <w:rFonts w:ascii="宋体" w:hAnsi="宋体" w:cs="宋体" w:eastAsia="宋体" w:hint="default"/>
          <w:sz w:val="21"/>
          <w:szCs w:val="21"/>
        </w:rPr>
        <w:t>万股授予价为</w:t>
      </w:r>
      <w:r>
        <w:rPr>
          <w:rFonts w:ascii="宋体" w:hAnsi="宋体" w:cs="宋体" w:eastAsia="宋体" w:hint="default"/>
          <w:spacing w:val="-49"/>
          <w:sz w:val="21"/>
          <w:szCs w:val="21"/>
        </w:rPr>
        <w:t> </w:t>
      </w:r>
      <w:r>
        <w:rPr>
          <w:rFonts w:ascii="宋体" w:hAnsi="宋体" w:cs="宋体" w:eastAsia="宋体" w:hint="default"/>
          <w:sz w:val="21"/>
          <w:szCs w:val="21"/>
        </w:rPr>
        <w:t>9.45</w:t>
      </w:r>
      <w:r>
        <w:rPr>
          <w:rFonts w:ascii="宋体" w:hAnsi="宋体" w:cs="宋体" w:eastAsia="宋体" w:hint="default"/>
          <w:spacing w:val="-49"/>
          <w:sz w:val="21"/>
          <w:szCs w:val="21"/>
        </w:rPr>
        <w:t> </w:t>
      </w:r>
      <w:r>
        <w:rPr>
          <w:rFonts w:ascii="宋体" w:hAnsi="宋体" w:cs="宋体" w:eastAsia="宋体" w:hint="default"/>
          <w:spacing w:val="-4"/>
          <w:sz w:val="21"/>
          <w:szCs w:val="21"/>
        </w:rPr>
        <w:t>元</w:t>
      </w:r>
      <w:r>
        <w:rPr>
          <w:rFonts w:ascii="宋体" w:hAnsi="宋体" w:cs="宋体" w:eastAsia="宋体" w:hint="default"/>
          <w:spacing w:val="-4"/>
          <w:sz w:val="21"/>
          <w:szCs w:val="21"/>
        </w:rPr>
        <w:t>/</w:t>
      </w:r>
      <w:r>
        <w:rPr>
          <w:rFonts w:ascii="宋体" w:hAnsi="宋体" w:cs="宋体" w:eastAsia="宋体" w:hint="default"/>
          <w:spacing w:val="-4"/>
          <w:sz w:val="21"/>
          <w:szCs w:val="21"/>
        </w:rPr>
        <w:t>股。授予股票来源为向激励对象定向发行人民币</w:t>
      </w:r>
      <w:r>
        <w:rPr>
          <w:rFonts w:ascii="宋体" w:hAnsi="宋体" w:cs="宋体" w:eastAsia="宋体" w:hint="default"/>
          <w:spacing w:val="-48"/>
          <w:sz w:val="21"/>
          <w:szCs w:val="21"/>
        </w:rPr>
        <w:t> </w:t>
      </w:r>
      <w:r>
        <w:rPr>
          <w:rFonts w:ascii="宋体" w:hAnsi="宋体" w:cs="宋体" w:eastAsia="宋体" w:hint="default"/>
          <w:sz w:val="21"/>
          <w:szCs w:val="21"/>
        </w:rPr>
        <w:t>A</w:t>
      </w:r>
      <w:r>
        <w:rPr>
          <w:rFonts w:ascii="宋体" w:hAnsi="宋体" w:cs="宋体" w:eastAsia="宋体" w:hint="default"/>
          <w:spacing w:val="-51"/>
          <w:sz w:val="21"/>
          <w:szCs w:val="21"/>
        </w:rPr>
        <w:t> </w:t>
      </w:r>
      <w:r>
        <w:rPr>
          <w:rFonts w:ascii="宋体" w:hAnsi="宋体" w:cs="宋体" w:eastAsia="宋体" w:hint="default"/>
          <w:sz w:val="21"/>
          <w:szCs w:val="21"/>
        </w:rPr>
        <w:t>股普通股限</w:t>
      </w:r>
    </w:p>
    <w:p>
      <w:pPr>
        <w:spacing w:before="123"/>
        <w:ind w:left="1393" w:right="0" w:firstLine="0"/>
        <w:jc w:val="left"/>
        <w:rPr>
          <w:rFonts w:ascii="宋体" w:hAnsi="宋体" w:cs="宋体" w:eastAsia="宋体" w:hint="default"/>
          <w:sz w:val="21"/>
          <w:szCs w:val="21"/>
        </w:rPr>
      </w:pPr>
      <w:r>
        <w:rPr>
          <w:rFonts w:ascii="宋体" w:hAnsi="宋体" w:cs="宋体" w:eastAsia="宋体" w:hint="default"/>
          <w:sz w:val="21"/>
          <w:szCs w:val="21"/>
        </w:rPr>
        <w:t>制性股票。截止</w:t>
      </w:r>
      <w:r>
        <w:rPr>
          <w:rFonts w:ascii="宋体" w:hAnsi="宋体" w:cs="宋体" w:eastAsia="宋体" w:hint="default"/>
          <w:spacing w:val="-40"/>
          <w:sz w:val="21"/>
          <w:szCs w:val="21"/>
        </w:rPr>
        <w:t> </w:t>
      </w:r>
      <w:r>
        <w:rPr>
          <w:rFonts w:ascii="宋体" w:hAnsi="宋体" w:cs="宋体" w:eastAsia="宋体" w:hint="default"/>
          <w:sz w:val="21"/>
          <w:szCs w:val="21"/>
        </w:rPr>
        <w:t>2011</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9</w:t>
      </w:r>
      <w:r>
        <w:rPr>
          <w:rFonts w:ascii="宋体" w:hAnsi="宋体" w:cs="宋体" w:eastAsia="宋体" w:hint="default"/>
          <w:spacing w:val="-39"/>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宋体" w:hAnsi="宋体" w:cs="宋体" w:eastAsia="宋体" w:hint="default"/>
          <w:sz w:val="21"/>
          <w:szCs w:val="21"/>
        </w:rPr>
        <w:t>5</w:t>
      </w:r>
      <w:r>
        <w:rPr>
          <w:rFonts w:ascii="宋体" w:hAnsi="宋体" w:cs="宋体" w:eastAsia="宋体" w:hint="default"/>
          <w:spacing w:val="-42"/>
          <w:sz w:val="21"/>
          <w:szCs w:val="21"/>
        </w:rPr>
        <w:t> </w:t>
      </w:r>
      <w:r>
        <w:rPr>
          <w:rFonts w:ascii="宋体" w:hAnsi="宋体" w:cs="宋体" w:eastAsia="宋体" w:hint="default"/>
          <w:sz w:val="21"/>
          <w:szCs w:val="21"/>
        </w:rPr>
        <w:t>日，已收到</w:t>
      </w:r>
      <w:r>
        <w:rPr>
          <w:rFonts w:ascii="宋体" w:hAnsi="宋体" w:cs="宋体" w:eastAsia="宋体" w:hint="default"/>
          <w:spacing w:val="-39"/>
          <w:sz w:val="21"/>
          <w:szCs w:val="21"/>
        </w:rPr>
        <w:t> </w:t>
      </w:r>
      <w:r>
        <w:rPr>
          <w:rFonts w:ascii="宋体" w:hAnsi="宋体" w:cs="宋体" w:eastAsia="宋体" w:hint="default"/>
          <w:sz w:val="21"/>
          <w:szCs w:val="21"/>
        </w:rPr>
        <w:t>314</w:t>
      </w:r>
      <w:r>
        <w:rPr>
          <w:rFonts w:ascii="宋体" w:hAnsi="宋体" w:cs="宋体" w:eastAsia="宋体" w:hint="default"/>
          <w:spacing w:val="-39"/>
          <w:sz w:val="21"/>
          <w:szCs w:val="21"/>
        </w:rPr>
        <w:t> </w:t>
      </w:r>
      <w:r>
        <w:rPr>
          <w:rFonts w:ascii="宋体" w:hAnsi="宋体" w:cs="宋体" w:eastAsia="宋体" w:hint="default"/>
          <w:sz w:val="21"/>
          <w:szCs w:val="21"/>
        </w:rPr>
        <w:t>名激励对象缴纳的定向发行股款人民币</w:t>
      </w:r>
      <w:r>
        <w:rPr>
          <w:rFonts w:ascii="宋体" w:hAnsi="宋体" w:cs="宋体" w:eastAsia="宋体" w:hint="default"/>
          <w:spacing w:val="-39"/>
          <w:sz w:val="21"/>
          <w:szCs w:val="21"/>
        </w:rPr>
        <w:t> </w:t>
      </w:r>
      <w:r>
        <w:rPr>
          <w:rFonts w:ascii="宋体" w:hAnsi="宋体" w:cs="宋体" w:eastAsia="宋体" w:hint="default"/>
          <w:sz w:val="21"/>
          <w:szCs w:val="21"/>
        </w:rPr>
        <w:t>58,144,975.00</w:t>
      </w:r>
      <w:r>
        <w:rPr>
          <w:rFonts w:ascii="宋体" w:hAnsi="宋体" w:cs="宋体" w:eastAsia="宋体" w:hint="default"/>
          <w:spacing w:val="-39"/>
          <w:sz w:val="21"/>
          <w:szCs w:val="21"/>
        </w:rPr>
        <w:t> </w:t>
      </w:r>
      <w:r>
        <w:rPr>
          <w:rFonts w:ascii="宋体" w:hAnsi="宋体" w:cs="宋体" w:eastAsia="宋体" w:hint="default"/>
          <w:sz w:val="21"/>
          <w:szCs w:val="21"/>
        </w:rPr>
        <w:t>元，其中：增加股本</w:t>
      </w:r>
      <w:r>
        <w:rPr>
          <w:rFonts w:ascii="宋体" w:hAnsi="宋体" w:cs="宋体" w:eastAsia="宋体" w:hint="default"/>
          <w:spacing w:val="-39"/>
          <w:sz w:val="21"/>
          <w:szCs w:val="21"/>
        </w:rPr>
        <w:t> </w:t>
      </w:r>
      <w:r>
        <w:rPr>
          <w:rFonts w:ascii="宋体" w:hAnsi="宋体" w:cs="宋体" w:eastAsia="宋体" w:hint="default"/>
          <w:sz w:val="21"/>
          <w:szCs w:val="21"/>
        </w:rPr>
        <w:t>5,993,500.00</w:t>
      </w:r>
    </w:p>
    <w:p>
      <w:pPr>
        <w:spacing w:line="350" w:lineRule="auto" w:before="126"/>
        <w:ind w:left="1393" w:right="0" w:firstLine="0"/>
        <w:jc w:val="left"/>
        <w:rPr>
          <w:rFonts w:ascii="宋体" w:hAnsi="宋体" w:cs="宋体" w:eastAsia="宋体" w:hint="default"/>
          <w:sz w:val="21"/>
          <w:szCs w:val="21"/>
        </w:rPr>
      </w:pPr>
      <w:r>
        <w:rPr>
          <w:rFonts w:ascii="宋体" w:hAnsi="宋体" w:cs="宋体" w:eastAsia="宋体" w:hint="default"/>
          <w:spacing w:val="-4"/>
          <w:sz w:val="21"/>
          <w:szCs w:val="21"/>
        </w:rPr>
        <w:t>元，增加资本公积股本溢价</w:t>
      </w:r>
      <w:r>
        <w:rPr>
          <w:rFonts w:ascii="宋体" w:hAnsi="宋体" w:cs="宋体" w:eastAsia="宋体" w:hint="default"/>
          <w:spacing w:val="-36"/>
          <w:sz w:val="21"/>
          <w:szCs w:val="21"/>
        </w:rPr>
        <w:t> </w:t>
      </w:r>
      <w:r>
        <w:rPr>
          <w:rFonts w:ascii="宋体" w:hAnsi="宋体" w:cs="宋体" w:eastAsia="宋体" w:hint="default"/>
          <w:sz w:val="21"/>
          <w:szCs w:val="21"/>
        </w:rPr>
        <w:t>52,151,475.00</w:t>
      </w:r>
      <w:r>
        <w:rPr>
          <w:rFonts w:ascii="宋体" w:hAnsi="宋体" w:cs="宋体" w:eastAsia="宋体" w:hint="default"/>
          <w:spacing w:val="-37"/>
          <w:sz w:val="21"/>
          <w:szCs w:val="21"/>
        </w:rPr>
        <w:t> </w:t>
      </w:r>
      <w:r>
        <w:rPr>
          <w:rFonts w:ascii="宋体" w:hAnsi="宋体" w:cs="宋体" w:eastAsia="宋体" w:hint="default"/>
          <w:spacing w:val="-4"/>
          <w:sz w:val="21"/>
          <w:szCs w:val="21"/>
        </w:rPr>
        <w:t>元。本次股本变动经立信会计师事务所有限公司出具信会师报字（</w:t>
      </w:r>
      <w:r>
        <w:rPr>
          <w:rFonts w:ascii="宋体" w:hAnsi="宋体" w:cs="宋体" w:eastAsia="宋体" w:hint="default"/>
          <w:spacing w:val="-4"/>
          <w:sz w:val="21"/>
          <w:szCs w:val="21"/>
        </w:rPr>
        <w:t>2011</w:t>
      </w:r>
      <w:r>
        <w:rPr>
          <w:rFonts w:ascii="宋体" w:hAnsi="宋体" w:cs="宋体" w:eastAsia="宋体" w:hint="default"/>
          <w:spacing w:val="-4"/>
          <w:sz w:val="21"/>
          <w:szCs w:val="21"/>
        </w:rPr>
        <w:t>）第</w:t>
      </w:r>
      <w:r>
        <w:rPr>
          <w:rFonts w:ascii="宋体" w:hAnsi="宋体" w:cs="宋体" w:eastAsia="宋体" w:hint="default"/>
          <w:spacing w:val="-37"/>
          <w:sz w:val="21"/>
          <w:szCs w:val="21"/>
        </w:rPr>
        <w:t> </w:t>
      </w:r>
      <w:r>
        <w:rPr>
          <w:rFonts w:ascii="宋体" w:hAnsi="宋体" w:cs="宋体" w:eastAsia="宋体" w:hint="default"/>
          <w:sz w:val="21"/>
          <w:szCs w:val="21"/>
        </w:rPr>
        <w:t>13432</w:t>
      </w:r>
      <w:r>
        <w:rPr>
          <w:rFonts w:ascii="宋体" w:hAnsi="宋体" w:cs="宋体" w:eastAsia="宋体" w:hint="default"/>
          <w:spacing w:val="-40"/>
          <w:sz w:val="21"/>
          <w:szCs w:val="21"/>
        </w:rPr>
        <w:t> </w:t>
      </w:r>
      <w:r>
        <w:rPr>
          <w:rFonts w:ascii="宋体" w:hAnsi="宋体" w:cs="宋体" w:eastAsia="宋体" w:hint="default"/>
          <w:sz w:val="21"/>
          <w:szCs w:val="21"/>
        </w:rPr>
        <w:t>号验资报告验</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证。</w:t>
      </w:r>
    </w:p>
    <w:p>
      <w:pPr>
        <w:spacing w:after="0" w:line="350" w:lineRule="auto"/>
        <w:jc w:val="left"/>
        <w:rPr>
          <w:rFonts w:ascii="宋体" w:hAnsi="宋体" w:cs="宋体" w:eastAsia="宋体" w:hint="default"/>
          <w:sz w:val="21"/>
          <w:szCs w:val="21"/>
        </w:rPr>
        <w:sectPr>
          <w:pgSz w:w="16840" w:h="11910" w:orient="landscape"/>
          <w:pgMar w:header="884" w:footer="980" w:top="1140" w:bottom="1160" w:left="1300" w:right="13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tabs>
          <w:tab w:pos="980" w:val="left" w:leader="none"/>
        </w:tabs>
        <w:spacing w:before="36"/>
        <w:ind w:left="140" w:right="2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库存股</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3"/>
          <w:szCs w:val="13"/>
        </w:rPr>
      </w:pPr>
    </w:p>
    <w:tbl>
      <w:tblPr>
        <w:tblW w:w="0" w:type="auto"/>
        <w:jc w:val="left"/>
        <w:tblInd w:w="658" w:type="dxa"/>
        <w:tblLayout w:type="fixed"/>
        <w:tblCellMar>
          <w:top w:w="0" w:type="dxa"/>
          <w:left w:w="0" w:type="dxa"/>
          <w:bottom w:w="0" w:type="dxa"/>
          <w:right w:w="0" w:type="dxa"/>
        </w:tblCellMar>
        <w:tblLook w:val="01E0"/>
      </w:tblPr>
      <w:tblGrid>
        <w:gridCol w:w="3118"/>
        <w:gridCol w:w="2381"/>
        <w:gridCol w:w="2384"/>
      </w:tblGrid>
      <w:tr>
        <w:trPr>
          <w:trHeight w:val="396" w:hRule="exact"/>
        </w:trPr>
        <w:tc>
          <w:tcPr>
            <w:tcW w:w="3118" w:type="dxa"/>
            <w:tcBorders>
              <w:top w:val="single" w:sz="12" w:space="0" w:color="000000"/>
              <w:left w:val="nil" w:sz="6" w:space="0" w:color="auto"/>
              <w:bottom w:val="dotted" w:sz="4" w:space="0" w:color="000000"/>
              <w:right w:val="dotted" w:sz="4" w:space="0" w:color="000000"/>
            </w:tcBorders>
          </w:tcPr>
          <w:p>
            <w:pPr>
              <w:pStyle w:val="TableParagraph"/>
              <w:tabs>
                <w:tab w:pos="444" w:val="left" w:leader="none"/>
              </w:tabs>
              <w:spacing w:line="240" w:lineRule="auto" w:before="21"/>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8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1"/>
              <w:ind w:left="76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8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1"/>
              <w:ind w:left="765"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84"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2381" w:type="dxa"/>
            <w:tcBorders>
              <w:top w:val="dotted" w:sz="4" w:space="0" w:color="000000"/>
              <w:left w:val="dotted" w:sz="4" w:space="0" w:color="000000"/>
              <w:bottom w:val="dotted" w:sz="4" w:space="0" w:color="000000"/>
              <w:right w:val="dotted" w:sz="4" w:space="0" w:color="000000"/>
            </w:tcBorders>
          </w:tcPr>
          <w:p>
            <w:pPr/>
          </w:p>
        </w:tc>
        <w:tc>
          <w:tcPr>
            <w:tcW w:w="2384"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381" w:type="dxa"/>
            <w:tcBorders>
              <w:top w:val="dotted" w:sz="4" w:space="0" w:color="000000"/>
              <w:left w:val="dotted" w:sz="4" w:space="0" w:color="000000"/>
              <w:bottom w:val="dotted" w:sz="4" w:space="0" w:color="000000"/>
              <w:right w:val="dotted" w:sz="4" w:space="0" w:color="000000"/>
            </w:tcBorders>
          </w:tcPr>
          <w:p>
            <w:pPr/>
          </w:p>
        </w:tc>
        <w:tc>
          <w:tcPr>
            <w:tcW w:w="2384"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544" w:right="0"/>
              <w:jc w:val="left"/>
              <w:rPr>
                <w:rFonts w:ascii="宋体" w:hAnsi="宋体" w:cs="宋体" w:eastAsia="宋体" w:hint="default"/>
                <w:sz w:val="21"/>
                <w:szCs w:val="21"/>
              </w:rPr>
            </w:pPr>
            <w:r>
              <w:rPr>
                <w:rFonts w:ascii="宋体" w:hAnsi="宋体" w:cs="宋体" w:eastAsia="宋体" w:hint="default"/>
                <w:sz w:val="21"/>
                <w:szCs w:val="21"/>
              </w:rPr>
              <w:t>用于股份支付</w:t>
            </w:r>
          </w:p>
        </w:tc>
        <w:tc>
          <w:tcPr>
            <w:tcW w:w="2381" w:type="dxa"/>
            <w:tcBorders>
              <w:top w:val="dotted" w:sz="4" w:space="0" w:color="000000"/>
              <w:left w:val="dotted" w:sz="4" w:space="0" w:color="000000"/>
              <w:bottom w:val="dotted" w:sz="4" w:space="0" w:color="000000"/>
              <w:right w:val="dotted" w:sz="4" w:space="0" w:color="000000"/>
            </w:tcBorders>
          </w:tcPr>
          <w:p>
            <w:pPr/>
          </w:p>
        </w:tc>
        <w:tc>
          <w:tcPr>
            <w:tcW w:w="2384"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544" w:right="0"/>
              <w:jc w:val="left"/>
              <w:rPr>
                <w:rFonts w:ascii="宋体" w:hAnsi="宋体" w:cs="宋体" w:eastAsia="宋体" w:hint="default"/>
                <w:sz w:val="21"/>
                <w:szCs w:val="21"/>
              </w:rPr>
            </w:pPr>
            <w:r>
              <w:rPr>
                <w:rFonts w:ascii="宋体" w:hAnsi="宋体" w:cs="宋体" w:eastAsia="宋体" w:hint="default"/>
                <w:sz w:val="21"/>
                <w:szCs w:val="21"/>
              </w:rPr>
              <w:t>收购股东股份</w:t>
            </w:r>
          </w:p>
        </w:tc>
        <w:tc>
          <w:tcPr>
            <w:tcW w:w="23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65,000.00</w:t>
            </w:r>
          </w:p>
        </w:tc>
        <w:tc>
          <w:tcPr>
            <w:tcW w:w="2384" w:type="dxa"/>
            <w:tcBorders>
              <w:top w:val="dotted" w:sz="4" w:space="0" w:color="000000"/>
              <w:left w:val="dotted" w:sz="4" w:space="0" w:color="000000"/>
              <w:bottom w:val="dotted" w:sz="4" w:space="0" w:color="000000"/>
              <w:right w:val="nil" w:sz="6" w:space="0" w:color="auto"/>
            </w:tcBorders>
          </w:tcPr>
          <w:p>
            <w:pPr/>
          </w:p>
        </w:tc>
      </w:tr>
      <w:tr>
        <w:trPr>
          <w:trHeight w:val="386"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1"/>
              <w:ind w:left="544" w:right="0"/>
              <w:jc w:val="left"/>
              <w:rPr>
                <w:rFonts w:ascii="宋体" w:hAnsi="宋体" w:cs="宋体" w:eastAsia="宋体" w:hint="default"/>
                <w:sz w:val="21"/>
                <w:szCs w:val="21"/>
              </w:rPr>
            </w:pPr>
            <w:r>
              <w:rPr>
                <w:rFonts w:ascii="宋体" w:hAnsi="宋体" w:cs="宋体" w:eastAsia="宋体" w:hint="default"/>
                <w:sz w:val="21"/>
                <w:szCs w:val="21"/>
              </w:rPr>
              <w:t>企业合并</w:t>
            </w:r>
          </w:p>
        </w:tc>
        <w:tc>
          <w:tcPr>
            <w:tcW w:w="2381" w:type="dxa"/>
            <w:tcBorders>
              <w:top w:val="dotted" w:sz="4" w:space="0" w:color="000000"/>
              <w:left w:val="dotted" w:sz="4" w:space="0" w:color="000000"/>
              <w:bottom w:val="dotted" w:sz="4" w:space="0" w:color="000000"/>
              <w:right w:val="dotted" w:sz="4" w:space="0" w:color="000000"/>
            </w:tcBorders>
          </w:tcPr>
          <w:p>
            <w:pPr/>
          </w:p>
        </w:tc>
        <w:tc>
          <w:tcPr>
            <w:tcW w:w="2384"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381" w:type="dxa"/>
            <w:tcBorders>
              <w:top w:val="dotted" w:sz="4" w:space="0" w:color="000000"/>
              <w:left w:val="dotted" w:sz="4" w:space="0" w:color="000000"/>
              <w:bottom w:val="dotted" w:sz="4" w:space="0" w:color="000000"/>
              <w:right w:val="dotted" w:sz="4" w:space="0" w:color="000000"/>
            </w:tcBorders>
          </w:tcPr>
          <w:p>
            <w:pPr/>
          </w:p>
        </w:tc>
        <w:tc>
          <w:tcPr>
            <w:tcW w:w="2384"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544" w:right="0"/>
              <w:jc w:val="left"/>
              <w:rPr>
                <w:rFonts w:ascii="宋体" w:hAnsi="宋体" w:cs="宋体" w:eastAsia="宋体" w:hint="default"/>
                <w:sz w:val="21"/>
                <w:szCs w:val="21"/>
              </w:rPr>
            </w:pPr>
            <w:r>
              <w:rPr>
                <w:rFonts w:ascii="宋体" w:hAnsi="宋体" w:cs="宋体" w:eastAsia="宋体" w:hint="default"/>
                <w:spacing w:val="-3"/>
                <w:sz w:val="21"/>
                <w:szCs w:val="21"/>
              </w:rPr>
              <w:t>转让</w:t>
            </w:r>
            <w:r>
              <w:rPr>
                <w:rFonts w:ascii="宋体" w:hAnsi="宋体" w:cs="宋体" w:eastAsia="宋体" w:hint="default"/>
                <w:sz w:val="21"/>
                <w:szCs w:val="21"/>
              </w:rPr>
            </w:r>
          </w:p>
        </w:tc>
        <w:tc>
          <w:tcPr>
            <w:tcW w:w="2381" w:type="dxa"/>
            <w:tcBorders>
              <w:top w:val="dotted" w:sz="4" w:space="0" w:color="000000"/>
              <w:left w:val="dotted" w:sz="4" w:space="0" w:color="000000"/>
              <w:bottom w:val="dotted" w:sz="4" w:space="0" w:color="000000"/>
              <w:right w:val="dotted" w:sz="4" w:space="0" w:color="000000"/>
            </w:tcBorders>
          </w:tcPr>
          <w:p>
            <w:pPr/>
          </w:p>
        </w:tc>
        <w:tc>
          <w:tcPr>
            <w:tcW w:w="2384" w:type="dxa"/>
            <w:tcBorders>
              <w:top w:val="dotted" w:sz="4" w:space="0" w:color="000000"/>
              <w:left w:val="dotted" w:sz="4" w:space="0" w:color="000000"/>
              <w:bottom w:val="dotted" w:sz="4" w:space="0" w:color="000000"/>
              <w:right w:val="nil" w:sz="6" w:space="0" w:color="auto"/>
            </w:tcBorders>
          </w:tcPr>
          <w:p>
            <w:pPr/>
          </w:p>
        </w:tc>
      </w:tr>
      <w:tr>
        <w:trPr>
          <w:trHeight w:val="385"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
              <w:ind w:left="964" w:right="0"/>
              <w:jc w:val="left"/>
              <w:rPr>
                <w:rFonts w:ascii="宋体" w:hAnsi="宋体" w:cs="宋体" w:eastAsia="宋体" w:hint="default"/>
                <w:sz w:val="21"/>
                <w:szCs w:val="21"/>
              </w:rPr>
            </w:pPr>
            <w:r>
              <w:rPr>
                <w:rFonts w:ascii="宋体" w:hAnsi="宋体" w:cs="宋体" w:eastAsia="宋体" w:hint="default"/>
                <w:spacing w:val="-3"/>
                <w:sz w:val="21"/>
                <w:szCs w:val="21"/>
              </w:rPr>
              <w:t>注销</w:t>
            </w:r>
            <w:r>
              <w:rPr>
                <w:rFonts w:ascii="宋体" w:hAnsi="宋体" w:cs="宋体" w:eastAsia="宋体" w:hint="default"/>
                <w:sz w:val="21"/>
                <w:szCs w:val="21"/>
              </w:rPr>
            </w:r>
          </w:p>
        </w:tc>
        <w:tc>
          <w:tcPr>
            <w:tcW w:w="2381" w:type="dxa"/>
            <w:tcBorders>
              <w:top w:val="dotted" w:sz="4" w:space="0" w:color="000000"/>
              <w:left w:val="dotted" w:sz="4" w:space="0" w:color="000000"/>
              <w:bottom w:val="dotted" w:sz="4" w:space="0" w:color="000000"/>
              <w:right w:val="dotted" w:sz="4" w:space="0" w:color="000000"/>
            </w:tcBorders>
          </w:tcPr>
          <w:p>
            <w:pPr/>
          </w:p>
        </w:tc>
        <w:tc>
          <w:tcPr>
            <w:tcW w:w="2384" w:type="dxa"/>
            <w:tcBorders>
              <w:top w:val="dotted" w:sz="4" w:space="0" w:color="000000"/>
              <w:left w:val="dotted" w:sz="4" w:space="0" w:color="000000"/>
              <w:bottom w:val="dotted" w:sz="4" w:space="0" w:color="000000"/>
              <w:right w:val="nil" w:sz="6" w:space="0" w:color="auto"/>
            </w:tcBorders>
          </w:tcPr>
          <w:p>
            <w:pPr/>
          </w:p>
        </w:tc>
      </w:tr>
      <w:tr>
        <w:trPr>
          <w:trHeight w:val="396" w:hRule="exact"/>
        </w:trPr>
        <w:tc>
          <w:tcPr>
            <w:tcW w:w="311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8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65,000.00</w:t>
            </w:r>
          </w:p>
        </w:tc>
        <w:tc>
          <w:tcPr>
            <w:tcW w:w="2384" w:type="dxa"/>
            <w:tcBorders>
              <w:top w:val="dotted" w:sz="4" w:space="0" w:color="000000"/>
              <w:left w:val="dotted" w:sz="4" w:space="0" w:color="000000"/>
              <w:bottom w:val="single" w:sz="12" w:space="0" w:color="000000"/>
              <w:right w:val="nil" w:sz="6" w:space="0" w:color="auto"/>
            </w:tcBorders>
          </w:tcPr>
          <w:p>
            <w:pPr/>
          </w:p>
        </w:tc>
      </w:tr>
    </w:tbl>
    <w:p>
      <w:pPr>
        <w:spacing w:before="93"/>
        <w:ind w:left="877" w:right="205" w:firstLine="0"/>
        <w:jc w:val="left"/>
        <w:rPr>
          <w:rFonts w:ascii="宋体" w:hAnsi="宋体" w:cs="宋体" w:eastAsia="宋体" w:hint="default"/>
          <w:sz w:val="21"/>
          <w:szCs w:val="21"/>
        </w:rPr>
      </w:pPr>
      <w:r>
        <w:rPr>
          <w:rFonts w:ascii="宋体" w:hAnsi="宋体" w:cs="宋体" w:eastAsia="宋体" w:hint="default"/>
          <w:sz w:val="21"/>
          <w:szCs w:val="21"/>
        </w:rPr>
        <w:t>库存股情况说明：</w:t>
      </w:r>
    </w:p>
    <w:p>
      <w:pPr>
        <w:spacing w:before="123"/>
        <w:ind w:left="874" w:right="205" w:firstLine="0"/>
        <w:jc w:val="left"/>
        <w:rPr>
          <w:rFonts w:ascii="宋体" w:hAnsi="宋体" w:cs="宋体" w:eastAsia="宋体" w:hint="default"/>
          <w:sz w:val="21"/>
          <w:szCs w:val="21"/>
        </w:rPr>
      </w:pPr>
      <w:r>
        <w:rPr>
          <w:rFonts w:ascii="宋体" w:hAnsi="宋体" w:cs="宋体" w:eastAsia="宋体" w:hint="default"/>
          <w:sz w:val="21"/>
          <w:szCs w:val="21"/>
        </w:rPr>
        <w:t>期末库存股系本期已授予限制性股票激励的对象中有</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人离职，公司按授予价回购</w:t>
      </w:r>
    </w:p>
    <w:p>
      <w:pPr>
        <w:spacing w:before="110"/>
        <w:ind w:left="874" w:right="205" w:firstLine="0"/>
        <w:jc w:val="left"/>
        <w:rPr>
          <w:rFonts w:ascii="宋体" w:hAnsi="宋体" w:cs="宋体" w:eastAsia="宋体" w:hint="default"/>
          <w:sz w:val="21"/>
          <w:szCs w:val="21"/>
        </w:rPr>
      </w:pPr>
      <w:r>
        <w:rPr>
          <w:rFonts w:ascii="宋体" w:hAnsi="宋体" w:cs="宋体" w:eastAsia="宋体" w:hint="default"/>
          <w:sz w:val="21"/>
          <w:szCs w:val="21"/>
        </w:rPr>
        <w:t>了该 </w:t>
      </w:r>
      <w:r>
        <w:rPr>
          <w:rFonts w:ascii="Times New Roman" w:hAnsi="Times New Roman" w:cs="Times New Roman" w:eastAsia="Times New Roman" w:hint="default"/>
          <w:sz w:val="21"/>
          <w:szCs w:val="21"/>
        </w:rPr>
        <w:t>3 </w:t>
      </w:r>
      <w:r>
        <w:rPr>
          <w:rFonts w:ascii="宋体" w:hAnsi="宋体" w:cs="宋体" w:eastAsia="宋体" w:hint="default"/>
          <w:sz w:val="21"/>
          <w:szCs w:val="21"/>
        </w:rPr>
        <w:t>个离职对应的限制性股票共计 </w:t>
      </w:r>
      <w:r>
        <w:rPr>
          <w:rFonts w:ascii="Times New Roman" w:hAnsi="Times New Roman" w:cs="Times New Roman" w:eastAsia="Times New Roman" w:hint="default"/>
          <w:sz w:val="21"/>
          <w:szCs w:val="21"/>
        </w:rPr>
        <w:t>65,000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股，同时冲回相应的资本公积</w:t>
      </w:r>
      <w:r>
        <w:rPr>
          <w:rFonts w:ascii="Times New Roman" w:hAnsi="Times New Roman" w:cs="Times New Roman" w:eastAsia="Times New Roman" w:hint="default"/>
          <w:sz w:val="21"/>
          <w:szCs w:val="21"/>
        </w:rPr>
        <w:t>-</w:t>
      </w:r>
      <w:r>
        <w:rPr>
          <w:rFonts w:ascii="宋体" w:hAnsi="宋体" w:cs="宋体" w:eastAsia="宋体" w:hint="default"/>
          <w:sz w:val="21"/>
          <w:szCs w:val="21"/>
        </w:rPr>
        <w:t>股本溢</w:t>
      </w:r>
    </w:p>
    <w:p>
      <w:pPr>
        <w:spacing w:before="110"/>
        <w:ind w:left="874" w:right="205" w:firstLine="0"/>
        <w:jc w:val="left"/>
        <w:rPr>
          <w:rFonts w:ascii="宋体" w:hAnsi="宋体" w:cs="宋体" w:eastAsia="宋体" w:hint="default"/>
          <w:sz w:val="21"/>
          <w:szCs w:val="21"/>
        </w:rPr>
      </w:pPr>
      <w:r>
        <w:rPr>
          <w:rFonts w:ascii="宋体" w:hAnsi="宋体" w:cs="宋体" w:eastAsia="宋体" w:hint="default"/>
          <w:sz w:val="21"/>
          <w:szCs w:val="21"/>
        </w:rPr>
        <w:t>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566,050.00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元。截止资产负债表日公司尚未完成对该部分回购股票的注销手续。</w:t>
      </w:r>
    </w:p>
    <w:p>
      <w:pPr>
        <w:spacing w:line="240" w:lineRule="auto" w:before="10"/>
        <w:rPr>
          <w:rFonts w:ascii="宋体" w:hAnsi="宋体" w:cs="宋体" w:eastAsia="宋体" w:hint="default"/>
          <w:sz w:val="30"/>
          <w:szCs w:val="30"/>
        </w:rPr>
      </w:pPr>
    </w:p>
    <w:p>
      <w:pPr>
        <w:spacing w:before="0"/>
        <w:ind w:left="140" w:right="2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二十一</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tbl>
      <w:tblPr>
        <w:tblW w:w="0" w:type="auto"/>
        <w:jc w:val="left"/>
        <w:tblInd w:w="721" w:type="dxa"/>
        <w:tblLayout w:type="fixed"/>
        <w:tblCellMar>
          <w:top w:w="0" w:type="dxa"/>
          <w:left w:w="0" w:type="dxa"/>
          <w:bottom w:w="0" w:type="dxa"/>
          <w:right w:w="0" w:type="dxa"/>
        </w:tblCellMar>
        <w:tblLook w:val="01E0"/>
      </w:tblPr>
      <w:tblGrid>
        <w:gridCol w:w="2525"/>
        <w:gridCol w:w="1260"/>
        <w:gridCol w:w="1416"/>
        <w:gridCol w:w="1313"/>
        <w:gridCol w:w="1366"/>
      </w:tblGrid>
      <w:tr>
        <w:trPr>
          <w:trHeight w:val="396" w:hRule="exact"/>
        </w:trPr>
        <w:tc>
          <w:tcPr>
            <w:tcW w:w="252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1"/>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left="26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1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left="3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1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1"/>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84" w:hRule="exact"/>
        </w:trPr>
        <w:tc>
          <w:tcPr>
            <w:tcW w:w="2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资本溢价（股本溢价）</w:t>
            </w:r>
          </w:p>
        </w:tc>
        <w:tc>
          <w:tcPr>
            <w:tcW w:w="1260"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2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）投资者投入的资本</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54,632,312.09</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735,884,594.68</w:t>
            </w: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62" w:right="0"/>
              <w:jc w:val="center"/>
              <w:rPr>
                <w:rFonts w:ascii="Times New Roman" w:hAnsi="Times New Roman" w:cs="Times New Roman" w:eastAsia="Times New Roman" w:hint="default"/>
                <w:sz w:val="18"/>
                <w:szCs w:val="18"/>
              </w:rPr>
            </w:pPr>
            <w:r>
              <w:rPr>
                <w:rFonts w:ascii="Times New Roman"/>
                <w:sz w:val="18"/>
              </w:rPr>
              <w:t>46,855,842.00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743,661,064.77</w:t>
            </w:r>
          </w:p>
        </w:tc>
      </w:tr>
      <w:tr>
        <w:trPr>
          <w:trHeight w:val="758" w:hRule="exact"/>
        </w:trPr>
        <w:tc>
          <w:tcPr>
            <w:tcW w:w="2525" w:type="dxa"/>
            <w:tcBorders>
              <w:top w:val="dotted" w:sz="4" w:space="0" w:color="000000"/>
              <w:left w:val="nil" w:sz="6" w:space="0" w:color="auto"/>
              <w:bottom w:val="dotted" w:sz="4" w:space="0" w:color="000000"/>
              <w:right w:val="dotted" w:sz="4" w:space="0" w:color="000000"/>
            </w:tcBorders>
          </w:tcPr>
          <w:p>
            <w:pPr>
              <w:pStyle w:val="TableParagraph"/>
              <w:spacing w:line="360" w:lineRule="auto" w:before="39"/>
              <w:ind w:left="122" w:right="108"/>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）同一控制下企业合并的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影响</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3,192,421.98</w:t>
            </w:r>
          </w:p>
        </w:tc>
        <w:tc>
          <w:tcPr>
            <w:tcW w:w="1416"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3,192,421.98</w:t>
            </w:r>
          </w:p>
        </w:tc>
      </w:tr>
      <w:tr>
        <w:trPr>
          <w:trHeight w:val="384" w:hRule="exact"/>
        </w:trPr>
        <w:tc>
          <w:tcPr>
            <w:tcW w:w="2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其他</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443,819.50</w:t>
            </w:r>
          </w:p>
        </w:tc>
        <w:tc>
          <w:tcPr>
            <w:tcW w:w="1416"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443,819.50</w:t>
            </w:r>
          </w:p>
        </w:tc>
      </w:tr>
      <w:tr>
        <w:trPr>
          <w:trHeight w:val="384" w:hRule="exact"/>
        </w:trPr>
        <w:tc>
          <w:tcPr>
            <w:tcW w:w="2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58,268,553.57</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735,884,594.68</w:t>
            </w: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62" w:right="0"/>
              <w:jc w:val="center"/>
              <w:rPr>
                <w:rFonts w:ascii="Times New Roman" w:hAnsi="Times New Roman" w:cs="Times New Roman" w:eastAsia="Times New Roman" w:hint="default"/>
                <w:sz w:val="18"/>
                <w:szCs w:val="18"/>
              </w:rPr>
            </w:pPr>
            <w:r>
              <w:rPr>
                <w:rFonts w:ascii="Times New Roman"/>
                <w:sz w:val="18"/>
              </w:rPr>
              <w:t>46,855,842.00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747,297,306.25</w:t>
            </w:r>
          </w:p>
        </w:tc>
      </w:tr>
      <w:tr>
        <w:trPr>
          <w:trHeight w:val="386" w:hRule="exact"/>
        </w:trPr>
        <w:tc>
          <w:tcPr>
            <w:tcW w:w="2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其他资本公积</w:t>
            </w:r>
          </w:p>
        </w:tc>
        <w:tc>
          <w:tcPr>
            <w:tcW w:w="1260"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
        </w:tc>
      </w:tr>
      <w:tr>
        <w:trPr>
          <w:trHeight w:val="758" w:hRule="exact"/>
        </w:trPr>
        <w:tc>
          <w:tcPr>
            <w:tcW w:w="2525" w:type="dxa"/>
            <w:tcBorders>
              <w:top w:val="dotted" w:sz="4" w:space="0" w:color="000000"/>
              <w:left w:val="nil" w:sz="6" w:space="0" w:color="auto"/>
              <w:bottom w:val="dotted" w:sz="4" w:space="0" w:color="000000"/>
              <w:right w:val="dotted" w:sz="4" w:space="0" w:color="000000"/>
            </w:tcBorders>
          </w:tcPr>
          <w:p>
            <w:pPr>
              <w:pStyle w:val="TableParagraph"/>
              <w:spacing w:line="381" w:lineRule="auto" w:before="39"/>
              <w:ind w:left="254" w:right="103" w:firstLine="50"/>
              <w:jc w:val="left"/>
              <w:rPr>
                <w:rFonts w:ascii="宋体" w:hAnsi="宋体" w:cs="宋体" w:eastAsia="宋体" w:hint="default"/>
                <w:sz w:val="18"/>
                <w:szCs w:val="18"/>
              </w:rPr>
            </w:pPr>
            <w:r>
              <w:rPr>
                <w:rFonts w:ascii="宋体" w:hAnsi="宋体" w:cs="宋体" w:eastAsia="宋体" w:hint="default"/>
                <w:spacing w:val="11"/>
                <w:sz w:val="18"/>
                <w:szCs w:val="18"/>
              </w:rPr>
              <w:t>股份支付计入所有者权益</w:t>
            </w:r>
            <w:r>
              <w:rPr>
                <w:rFonts w:ascii="宋体" w:hAnsi="宋体" w:cs="宋体" w:eastAsia="宋体" w:hint="default"/>
                <w:sz w:val="18"/>
                <w:szCs w:val="18"/>
              </w:rPr>
              <w:t> 的金额</w:t>
            </w:r>
          </w:p>
        </w:tc>
        <w:tc>
          <w:tcPr>
            <w:tcW w:w="1260"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3,868,176.21</w:t>
            </w:r>
          </w:p>
        </w:tc>
        <w:tc>
          <w:tcPr>
            <w:tcW w:w="1313"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3,868,176.21</w:t>
            </w:r>
          </w:p>
        </w:tc>
      </w:tr>
      <w:tr>
        <w:trPr>
          <w:trHeight w:val="385" w:hRule="exact"/>
        </w:trPr>
        <w:tc>
          <w:tcPr>
            <w:tcW w:w="2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60"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3,868,176.21</w:t>
            </w:r>
          </w:p>
        </w:tc>
        <w:tc>
          <w:tcPr>
            <w:tcW w:w="1313"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3,868,176.21</w:t>
            </w:r>
          </w:p>
        </w:tc>
      </w:tr>
      <w:tr>
        <w:trPr>
          <w:trHeight w:val="396" w:hRule="exact"/>
        </w:trPr>
        <w:tc>
          <w:tcPr>
            <w:tcW w:w="252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9"/>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58,268,553.57</w:t>
            </w:r>
          </w:p>
        </w:tc>
        <w:tc>
          <w:tcPr>
            <w:tcW w:w="14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739,752,770.89</w:t>
            </w:r>
          </w:p>
        </w:tc>
        <w:tc>
          <w:tcPr>
            <w:tcW w:w="131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left="62" w:right="0"/>
              <w:jc w:val="center"/>
              <w:rPr>
                <w:rFonts w:ascii="Times New Roman" w:hAnsi="Times New Roman" w:cs="Times New Roman" w:eastAsia="Times New Roman" w:hint="default"/>
                <w:sz w:val="18"/>
                <w:szCs w:val="18"/>
              </w:rPr>
            </w:pPr>
            <w:r>
              <w:rPr>
                <w:rFonts w:ascii="Times New Roman"/>
                <w:sz w:val="18"/>
              </w:rPr>
              <w:t>46,855,842.00</w:t>
            </w:r>
          </w:p>
        </w:tc>
        <w:tc>
          <w:tcPr>
            <w:tcW w:w="136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751,165,482.46</w:t>
            </w:r>
          </w:p>
        </w:tc>
      </w:tr>
    </w:tbl>
    <w:p>
      <w:pPr>
        <w:spacing w:line="262" w:lineRule="exact" w:before="0"/>
        <w:ind w:left="877" w:right="205" w:firstLine="0"/>
        <w:jc w:val="left"/>
        <w:rPr>
          <w:rFonts w:ascii="宋体" w:hAnsi="宋体" w:cs="宋体" w:eastAsia="宋体" w:hint="default"/>
          <w:sz w:val="21"/>
          <w:szCs w:val="21"/>
        </w:rPr>
      </w:pPr>
      <w:r>
        <w:rPr>
          <w:rFonts w:ascii="宋体" w:hAnsi="宋体" w:cs="宋体" w:eastAsia="宋体" w:hint="default"/>
          <w:sz w:val="21"/>
          <w:szCs w:val="21"/>
        </w:rPr>
        <w:t>资本公积的说明：</w:t>
      </w:r>
    </w:p>
    <w:p>
      <w:pPr>
        <w:spacing w:line="271" w:lineRule="auto" w:before="73"/>
        <w:ind w:left="874" w:right="1583" w:firstLine="0"/>
        <w:jc w:val="left"/>
        <w:rPr>
          <w:rFonts w:ascii="宋体" w:hAnsi="宋体" w:cs="宋体" w:eastAsia="宋体" w:hint="default"/>
          <w:sz w:val="21"/>
          <w:szCs w:val="21"/>
        </w:rPr>
      </w:pPr>
      <w:r>
        <w:rPr>
          <w:rFonts w:ascii="宋体" w:hAnsi="宋体" w:cs="宋体" w:eastAsia="宋体" w:hint="default"/>
          <w:b/>
          <w:bCs/>
          <w:w w:val="100"/>
          <w:sz w:val="21"/>
          <w:szCs w:val="21"/>
        </w:rPr>
        <w:t>注</w:t>
      </w:r>
      <w:r>
        <w:rPr>
          <w:rFonts w:ascii="宋体" w:hAnsi="宋体" w:cs="宋体" w:eastAsia="宋体" w:hint="default"/>
          <w:b/>
          <w:bCs/>
          <w:spacing w:val="-51"/>
          <w:sz w:val="21"/>
          <w:szCs w:val="21"/>
        </w:rPr>
        <w:t> </w:t>
      </w:r>
      <w:r>
        <w:rPr>
          <w:rFonts w:ascii="Times New Roman" w:hAnsi="Times New Roman" w:cs="Times New Roman" w:eastAsia="Times New Roman" w:hint="default"/>
          <w:b/>
          <w:bCs/>
          <w:spacing w:val="-3"/>
          <w:w w:val="100"/>
          <w:sz w:val="21"/>
          <w:szCs w:val="21"/>
        </w:rPr>
        <w:t>1</w:t>
      </w:r>
      <w:r>
        <w:rPr>
          <w:rFonts w:ascii="宋体" w:hAnsi="宋体" w:cs="宋体" w:eastAsia="宋体" w:hint="default"/>
          <w:b/>
          <w:bCs/>
          <w:w w:val="100"/>
          <w:sz w:val="21"/>
          <w:szCs w:val="21"/>
        </w:rPr>
        <w:t>：本期股本溢</w:t>
      </w:r>
      <w:r>
        <w:rPr>
          <w:rFonts w:ascii="宋体" w:hAnsi="宋体" w:cs="宋体" w:eastAsia="宋体" w:hint="default"/>
          <w:b/>
          <w:bCs/>
          <w:spacing w:val="-3"/>
          <w:w w:val="100"/>
          <w:sz w:val="21"/>
          <w:szCs w:val="21"/>
        </w:rPr>
        <w:t>价</w:t>
      </w:r>
      <w:r>
        <w:rPr>
          <w:rFonts w:ascii="宋体" w:hAnsi="宋体" w:cs="宋体" w:eastAsia="宋体" w:hint="default"/>
          <w:b/>
          <w:bCs/>
          <w:w w:val="100"/>
          <w:sz w:val="21"/>
          <w:szCs w:val="21"/>
        </w:rPr>
        <w:t>增</w:t>
      </w:r>
      <w:r>
        <w:rPr>
          <w:rFonts w:ascii="宋体" w:hAnsi="宋体" w:cs="宋体" w:eastAsia="宋体" w:hint="default"/>
          <w:b/>
          <w:bCs/>
          <w:spacing w:val="-3"/>
          <w:w w:val="100"/>
          <w:sz w:val="21"/>
          <w:szCs w:val="21"/>
        </w:rPr>
        <w:t>减</w:t>
      </w:r>
      <w:r>
        <w:rPr>
          <w:rFonts w:ascii="宋体" w:hAnsi="宋体" w:cs="宋体" w:eastAsia="宋体" w:hint="default"/>
          <w:b/>
          <w:bCs/>
          <w:w w:val="100"/>
          <w:sz w:val="21"/>
          <w:szCs w:val="21"/>
        </w:rPr>
        <w:t>变动情况详见本附</w:t>
      </w:r>
      <w:r>
        <w:rPr>
          <w:rFonts w:ascii="宋体" w:hAnsi="宋体" w:cs="宋体" w:eastAsia="宋体" w:hint="default"/>
          <w:b/>
          <w:bCs/>
          <w:spacing w:val="-3"/>
          <w:w w:val="100"/>
          <w:sz w:val="21"/>
          <w:szCs w:val="21"/>
        </w:rPr>
        <w:t>注</w:t>
      </w:r>
      <w:r>
        <w:rPr>
          <w:rFonts w:ascii="宋体" w:hAnsi="宋体" w:cs="宋体" w:eastAsia="宋体" w:hint="default"/>
          <w:b/>
          <w:bCs/>
          <w:w w:val="100"/>
          <w:sz w:val="21"/>
          <w:szCs w:val="21"/>
        </w:rPr>
        <w:t>五</w:t>
      </w:r>
      <w:r>
        <w:rPr>
          <w:rFonts w:ascii="宋体" w:hAnsi="宋体" w:cs="宋体" w:eastAsia="宋体" w:hint="default"/>
          <w:b/>
          <w:bCs/>
          <w:spacing w:val="-106"/>
          <w:w w:val="100"/>
          <w:sz w:val="21"/>
          <w:szCs w:val="21"/>
        </w:rPr>
        <w:t>、</w:t>
      </w:r>
      <w:r>
        <w:rPr>
          <w:rFonts w:ascii="宋体" w:hAnsi="宋体" w:cs="宋体" w:eastAsia="宋体" w:hint="default"/>
          <w:b/>
          <w:bCs/>
          <w:spacing w:val="-3"/>
          <w:w w:val="100"/>
          <w:sz w:val="21"/>
          <w:szCs w:val="21"/>
        </w:rPr>
        <w:t>（</w:t>
      </w:r>
      <w:r>
        <w:rPr>
          <w:rFonts w:ascii="宋体" w:hAnsi="宋体" w:cs="宋体" w:eastAsia="宋体" w:hint="default"/>
          <w:b/>
          <w:bCs/>
          <w:w w:val="100"/>
          <w:sz w:val="21"/>
          <w:szCs w:val="21"/>
        </w:rPr>
        <w:t>十九</w:t>
      </w:r>
      <w:r>
        <w:rPr>
          <w:rFonts w:ascii="宋体" w:hAnsi="宋体" w:cs="宋体" w:eastAsia="宋体" w:hint="default"/>
          <w:b/>
          <w:bCs/>
          <w:spacing w:val="-106"/>
          <w:w w:val="100"/>
          <w:sz w:val="21"/>
          <w:szCs w:val="21"/>
        </w:rPr>
        <w:t>）、</w:t>
      </w:r>
      <w:r>
        <w:rPr>
          <w:rFonts w:ascii="宋体" w:hAnsi="宋体" w:cs="宋体" w:eastAsia="宋体" w:hint="default"/>
          <w:b/>
          <w:bCs/>
          <w:w w:val="100"/>
          <w:sz w:val="21"/>
          <w:szCs w:val="21"/>
        </w:rPr>
        <w:t>（二十</w:t>
      </w:r>
      <w:r>
        <w:rPr>
          <w:rFonts w:ascii="宋体" w:hAnsi="宋体" w:cs="宋体" w:eastAsia="宋体" w:hint="default"/>
          <w:b/>
          <w:bCs/>
          <w:spacing w:val="-106"/>
          <w:w w:val="100"/>
          <w:sz w:val="21"/>
          <w:szCs w:val="21"/>
        </w:rPr>
        <w:t>）</w:t>
      </w:r>
      <w:r>
        <w:rPr>
          <w:rFonts w:ascii="宋体" w:hAnsi="宋体" w:cs="宋体" w:eastAsia="宋体" w:hint="default"/>
          <w:b/>
          <w:bCs/>
          <w:w w:val="100"/>
          <w:sz w:val="21"/>
          <w:szCs w:val="21"/>
        </w:rPr>
        <w:t>。</w:t>
      </w:r>
      <w:r>
        <w:rPr>
          <w:rFonts w:ascii="宋体" w:hAnsi="宋体" w:cs="宋体" w:eastAsia="宋体" w:hint="default"/>
          <w:b/>
          <w:bCs/>
          <w:w w:val="100"/>
          <w:sz w:val="21"/>
          <w:szCs w:val="21"/>
        </w:rPr>
        <w:t> 注</w:t>
      </w:r>
      <w:r>
        <w:rPr>
          <w:rFonts w:ascii="宋体" w:hAnsi="宋体" w:cs="宋体" w:eastAsia="宋体" w:hint="default"/>
          <w:b/>
          <w:bCs/>
          <w:spacing w:val="-51"/>
          <w:sz w:val="21"/>
          <w:szCs w:val="21"/>
        </w:rPr>
        <w:t> </w:t>
      </w:r>
      <w:r>
        <w:rPr>
          <w:rFonts w:ascii="Times New Roman" w:hAnsi="Times New Roman" w:cs="Times New Roman" w:eastAsia="Times New Roman" w:hint="default"/>
          <w:b/>
          <w:bCs/>
          <w:spacing w:val="-3"/>
          <w:w w:val="100"/>
          <w:sz w:val="21"/>
          <w:szCs w:val="21"/>
        </w:rPr>
        <w:t>2</w:t>
      </w:r>
      <w:r>
        <w:rPr>
          <w:rFonts w:ascii="宋体" w:hAnsi="宋体" w:cs="宋体" w:eastAsia="宋体" w:hint="default"/>
          <w:b/>
          <w:bCs/>
          <w:w w:val="100"/>
          <w:sz w:val="21"/>
          <w:szCs w:val="21"/>
        </w:rPr>
        <w:t>：股份支付计</w:t>
      </w:r>
      <w:r>
        <w:rPr>
          <w:rFonts w:ascii="宋体" w:hAnsi="宋体" w:cs="宋体" w:eastAsia="宋体" w:hint="default"/>
          <w:b/>
          <w:bCs/>
          <w:spacing w:val="-3"/>
          <w:w w:val="100"/>
          <w:sz w:val="21"/>
          <w:szCs w:val="21"/>
        </w:rPr>
        <w:t>入</w:t>
      </w:r>
      <w:r>
        <w:rPr>
          <w:rFonts w:ascii="宋体" w:hAnsi="宋体" w:cs="宋体" w:eastAsia="宋体" w:hint="default"/>
          <w:b/>
          <w:bCs/>
          <w:w w:val="100"/>
          <w:sz w:val="21"/>
          <w:szCs w:val="21"/>
        </w:rPr>
        <w:t>所</w:t>
      </w:r>
      <w:r>
        <w:rPr>
          <w:rFonts w:ascii="宋体" w:hAnsi="宋体" w:cs="宋体" w:eastAsia="宋体" w:hint="default"/>
          <w:b/>
          <w:bCs/>
          <w:spacing w:val="-3"/>
          <w:w w:val="100"/>
          <w:sz w:val="21"/>
          <w:szCs w:val="21"/>
        </w:rPr>
        <w:t>有</w:t>
      </w:r>
      <w:r>
        <w:rPr>
          <w:rFonts w:ascii="宋体" w:hAnsi="宋体" w:cs="宋体" w:eastAsia="宋体" w:hint="default"/>
          <w:b/>
          <w:bCs/>
          <w:w w:val="100"/>
          <w:sz w:val="21"/>
          <w:szCs w:val="21"/>
        </w:rPr>
        <w:t>者权益的金额详见</w:t>
      </w:r>
      <w:r>
        <w:rPr>
          <w:rFonts w:ascii="宋体" w:hAnsi="宋体" w:cs="宋体" w:eastAsia="宋体" w:hint="default"/>
          <w:b/>
          <w:bCs/>
          <w:spacing w:val="-3"/>
          <w:w w:val="100"/>
          <w:sz w:val="21"/>
          <w:szCs w:val="21"/>
        </w:rPr>
        <w:t>本</w:t>
      </w:r>
      <w:r>
        <w:rPr>
          <w:rFonts w:ascii="宋体" w:hAnsi="宋体" w:cs="宋体" w:eastAsia="宋体" w:hint="default"/>
          <w:b/>
          <w:bCs/>
          <w:w w:val="100"/>
          <w:sz w:val="21"/>
          <w:szCs w:val="21"/>
        </w:rPr>
        <w:t>附</w:t>
      </w:r>
      <w:r>
        <w:rPr>
          <w:rFonts w:ascii="宋体" w:hAnsi="宋体" w:cs="宋体" w:eastAsia="宋体" w:hint="default"/>
          <w:b/>
          <w:bCs/>
          <w:spacing w:val="-3"/>
          <w:w w:val="100"/>
          <w:sz w:val="21"/>
          <w:szCs w:val="21"/>
        </w:rPr>
        <w:t>注</w:t>
      </w:r>
      <w:r>
        <w:rPr>
          <w:rFonts w:ascii="宋体" w:hAnsi="宋体" w:cs="宋体" w:eastAsia="宋体" w:hint="default"/>
          <w:b/>
          <w:bCs/>
          <w:w w:val="100"/>
          <w:sz w:val="21"/>
          <w:szCs w:val="21"/>
        </w:rPr>
        <w:t>八</w:t>
      </w:r>
      <w:r>
        <w:rPr>
          <w:rFonts w:ascii="宋体" w:hAnsi="宋体" w:cs="宋体" w:eastAsia="宋体" w:hint="default"/>
          <w:b/>
          <w:bCs/>
          <w:spacing w:val="-106"/>
          <w:w w:val="100"/>
          <w:sz w:val="21"/>
          <w:szCs w:val="21"/>
        </w:rPr>
        <w:t>、</w:t>
      </w:r>
      <w:r>
        <w:rPr>
          <w:rFonts w:ascii="宋体" w:hAnsi="宋体" w:cs="宋体" w:eastAsia="宋体" w:hint="default"/>
          <w:b/>
          <w:bCs/>
          <w:w w:val="100"/>
          <w:sz w:val="21"/>
          <w:szCs w:val="21"/>
        </w:rPr>
        <w:t>（二</w:t>
      </w:r>
      <w:r>
        <w:rPr>
          <w:rFonts w:ascii="宋体" w:hAnsi="宋体" w:cs="宋体" w:eastAsia="宋体" w:hint="default"/>
          <w:b/>
          <w:bCs/>
          <w:spacing w:val="-106"/>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p>
      <w:pPr>
        <w:spacing w:after="0" w:line="271" w:lineRule="auto"/>
        <w:jc w:val="left"/>
        <w:rPr>
          <w:rFonts w:ascii="宋体" w:hAnsi="宋体" w:cs="宋体" w:eastAsia="宋体" w:hint="default"/>
          <w:sz w:val="21"/>
          <w:szCs w:val="21"/>
        </w:rPr>
        <w:sectPr>
          <w:headerReference w:type="default" r:id="rId27"/>
          <w:footerReference w:type="default" r:id="rId28"/>
          <w:pgSz w:w="11910" w:h="16840"/>
          <w:pgMar w:header="884" w:footer="980" w:top="1140" w:bottom="1160" w:left="1660" w:right="1500"/>
          <w:pgNumType w:start="125"/>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8"/>
          <w:szCs w:val="28"/>
        </w:rPr>
      </w:pPr>
    </w:p>
    <w:p>
      <w:pPr>
        <w:spacing w:before="36"/>
        <w:ind w:left="140" w:right="15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9"/>
        <w:rPr>
          <w:rFonts w:ascii="宋体" w:hAnsi="宋体" w:cs="宋体" w:eastAsia="宋体" w:hint="default"/>
          <w:b/>
          <w:bCs/>
          <w:sz w:val="27"/>
          <w:szCs w:val="27"/>
        </w:rPr>
      </w:pPr>
    </w:p>
    <w:tbl>
      <w:tblPr>
        <w:tblW w:w="0" w:type="auto"/>
        <w:jc w:val="left"/>
        <w:tblInd w:w="661" w:type="dxa"/>
        <w:tblLayout w:type="fixed"/>
        <w:tblCellMar>
          <w:top w:w="0" w:type="dxa"/>
          <w:left w:w="0" w:type="dxa"/>
          <w:bottom w:w="0" w:type="dxa"/>
          <w:right w:w="0" w:type="dxa"/>
        </w:tblCellMar>
        <w:tblLook w:val="01E0"/>
      </w:tblPr>
      <w:tblGrid>
        <w:gridCol w:w="1392"/>
        <w:gridCol w:w="1661"/>
        <w:gridCol w:w="1455"/>
        <w:gridCol w:w="1560"/>
        <w:gridCol w:w="1661"/>
      </w:tblGrid>
      <w:tr>
        <w:trPr>
          <w:trHeight w:val="396" w:hRule="exact"/>
        </w:trPr>
        <w:tc>
          <w:tcPr>
            <w:tcW w:w="139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1"/>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6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left="46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5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left="36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left="41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6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1"/>
              <w:ind w:left="4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84" w:hRule="exact"/>
        </w:trPr>
        <w:tc>
          <w:tcPr>
            <w:tcW w:w="13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right="60"/>
              <w:jc w:val="center"/>
              <w:rPr>
                <w:rFonts w:ascii="宋体" w:hAnsi="宋体" w:cs="宋体" w:eastAsia="宋体" w:hint="default"/>
                <w:sz w:val="18"/>
                <w:szCs w:val="18"/>
              </w:rPr>
            </w:pPr>
            <w:r>
              <w:rPr>
                <w:rFonts w:ascii="宋体" w:hAnsi="宋体" w:cs="宋体" w:eastAsia="宋体" w:hint="default"/>
                <w:sz w:val="18"/>
                <w:szCs w:val="18"/>
              </w:rPr>
              <w:t>法定盈余公积</w:t>
            </w:r>
          </w:p>
        </w:tc>
        <w:tc>
          <w:tcPr>
            <w:tcW w:w="16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6,373,797.57</w:t>
            </w:r>
          </w:p>
        </w:tc>
        <w:tc>
          <w:tcPr>
            <w:tcW w:w="14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396" w:right="0"/>
              <w:jc w:val="left"/>
              <w:rPr>
                <w:rFonts w:ascii="Times New Roman" w:hAnsi="Times New Roman" w:cs="Times New Roman" w:eastAsia="Times New Roman" w:hint="default"/>
                <w:sz w:val="18"/>
                <w:szCs w:val="18"/>
              </w:rPr>
            </w:pPr>
            <w:r>
              <w:rPr>
                <w:rFonts w:ascii="Times New Roman"/>
                <w:sz w:val="18"/>
              </w:rPr>
              <w:t>9,386,614.09</w:t>
            </w:r>
          </w:p>
        </w:tc>
        <w:tc>
          <w:tcPr>
            <w:tcW w:w="1560" w:type="dxa"/>
            <w:tcBorders>
              <w:top w:val="dotted" w:sz="4" w:space="0" w:color="000000"/>
              <w:left w:val="dotted" w:sz="4" w:space="0" w:color="000000"/>
              <w:bottom w:val="dotted" w:sz="4" w:space="0" w:color="000000"/>
              <w:right w:val="dotted" w:sz="4" w:space="0" w:color="000000"/>
            </w:tcBorders>
          </w:tcPr>
          <w:p>
            <w:pPr/>
          </w:p>
        </w:tc>
        <w:tc>
          <w:tcPr>
            <w:tcW w:w="16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15,760,411.66</w:t>
            </w:r>
          </w:p>
        </w:tc>
      </w:tr>
      <w:tr>
        <w:trPr>
          <w:trHeight w:val="394" w:hRule="exact"/>
        </w:trPr>
        <w:tc>
          <w:tcPr>
            <w:tcW w:w="139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9"/>
              <w:ind w:left="19"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6,373,797.57</w:t>
            </w:r>
          </w:p>
        </w:tc>
        <w:tc>
          <w:tcPr>
            <w:tcW w:w="14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left="396" w:right="0"/>
              <w:jc w:val="left"/>
              <w:rPr>
                <w:rFonts w:ascii="Times New Roman" w:hAnsi="Times New Roman" w:cs="Times New Roman" w:eastAsia="Times New Roman" w:hint="default"/>
                <w:sz w:val="18"/>
                <w:szCs w:val="18"/>
              </w:rPr>
            </w:pPr>
            <w:r>
              <w:rPr>
                <w:rFonts w:ascii="Times New Roman"/>
                <w:sz w:val="18"/>
              </w:rPr>
              <w:t>9,386,614.09</w:t>
            </w:r>
          </w:p>
        </w:tc>
        <w:tc>
          <w:tcPr>
            <w:tcW w:w="1560" w:type="dxa"/>
            <w:tcBorders>
              <w:top w:val="dotted" w:sz="4" w:space="0" w:color="000000"/>
              <w:left w:val="dotted" w:sz="4" w:space="0" w:color="000000"/>
              <w:bottom w:val="single" w:sz="12" w:space="0" w:color="000000"/>
              <w:right w:val="dotted" w:sz="4" w:space="0" w:color="000000"/>
            </w:tcBorders>
          </w:tcPr>
          <w:p>
            <w:pPr/>
          </w:p>
        </w:tc>
        <w:tc>
          <w:tcPr>
            <w:tcW w:w="166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15,760,411.66</w:t>
            </w:r>
          </w:p>
        </w:tc>
      </w:tr>
    </w:tbl>
    <w:p>
      <w:pPr>
        <w:spacing w:line="240" w:lineRule="auto" w:before="8"/>
        <w:rPr>
          <w:rFonts w:ascii="宋体" w:hAnsi="宋体" w:cs="宋体" w:eastAsia="宋体" w:hint="default"/>
          <w:b/>
          <w:bCs/>
          <w:sz w:val="21"/>
          <w:szCs w:val="21"/>
        </w:rPr>
      </w:pPr>
    </w:p>
    <w:p>
      <w:pPr>
        <w:spacing w:before="36"/>
        <w:ind w:left="140" w:right="15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0"/>
          <w:szCs w:val="10"/>
        </w:rPr>
      </w:pPr>
    </w:p>
    <w:tbl>
      <w:tblPr>
        <w:tblW w:w="0" w:type="auto"/>
        <w:jc w:val="left"/>
        <w:tblInd w:w="682" w:type="dxa"/>
        <w:tblLayout w:type="fixed"/>
        <w:tblCellMar>
          <w:top w:w="0" w:type="dxa"/>
          <w:left w:w="0" w:type="dxa"/>
          <w:bottom w:w="0" w:type="dxa"/>
          <w:right w:w="0" w:type="dxa"/>
        </w:tblCellMar>
        <w:tblLook w:val="01E0"/>
      </w:tblPr>
      <w:tblGrid>
        <w:gridCol w:w="4045"/>
        <w:gridCol w:w="2021"/>
        <w:gridCol w:w="1702"/>
      </w:tblGrid>
      <w:tr>
        <w:trPr>
          <w:trHeight w:val="394" w:hRule="exact"/>
        </w:trPr>
        <w:tc>
          <w:tcPr>
            <w:tcW w:w="4045" w:type="dxa"/>
            <w:tcBorders>
              <w:top w:val="single" w:sz="12" w:space="0" w:color="000000"/>
              <w:left w:val="nil" w:sz="6" w:space="0" w:color="auto"/>
              <w:bottom w:val="dotted" w:sz="4" w:space="0" w:color="000000"/>
              <w:right w:val="dotted" w:sz="4" w:space="0" w:color="000000"/>
            </w:tcBorders>
          </w:tcPr>
          <w:p>
            <w:pPr>
              <w:pStyle w:val="TableParagraph"/>
              <w:tabs>
                <w:tab w:pos="552" w:val="left" w:leader="none"/>
              </w:tabs>
              <w:spacing w:line="240" w:lineRule="auto" w:before="39"/>
              <w:ind w:left="1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170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9"/>
              <w:ind w:left="216"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386" w:hRule="exact"/>
        </w:trPr>
        <w:tc>
          <w:tcPr>
            <w:tcW w:w="40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0" w:right="0"/>
              <w:jc w:val="left"/>
              <w:rPr>
                <w:rFonts w:ascii="宋体" w:hAnsi="宋体" w:cs="宋体" w:eastAsia="宋体" w:hint="default"/>
                <w:sz w:val="18"/>
                <w:szCs w:val="18"/>
              </w:rPr>
            </w:pPr>
            <w:r>
              <w:rPr>
                <w:rFonts w:ascii="宋体" w:hAnsi="宋体" w:cs="宋体" w:eastAsia="宋体" w:hint="default"/>
                <w:sz w:val="18"/>
                <w:szCs w:val="18"/>
              </w:rPr>
              <w:t>年初未分配利润</w:t>
            </w:r>
          </w:p>
        </w:tc>
        <w:tc>
          <w:tcPr>
            <w:tcW w:w="20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72,003,041.22</w:t>
            </w:r>
          </w:p>
        </w:tc>
        <w:tc>
          <w:tcPr>
            <w:tcW w:w="1702" w:type="dxa"/>
            <w:tcBorders>
              <w:top w:val="dotted" w:sz="4" w:space="0" w:color="000000"/>
              <w:left w:val="dotted" w:sz="4" w:space="0" w:color="000000"/>
              <w:bottom w:val="dotted" w:sz="4" w:space="0" w:color="000000"/>
              <w:right w:val="nil" w:sz="6" w:space="0" w:color="auto"/>
            </w:tcBorders>
          </w:tcPr>
          <w:p>
            <w:pPr/>
          </w:p>
        </w:tc>
      </w:tr>
      <w:tr>
        <w:trPr>
          <w:trHeight w:val="385" w:hRule="exact"/>
        </w:trPr>
        <w:tc>
          <w:tcPr>
            <w:tcW w:w="40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0"/>
              <w:ind w:left="120"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0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-93,770,452.46</w:t>
            </w:r>
          </w:p>
        </w:tc>
        <w:tc>
          <w:tcPr>
            <w:tcW w:w="1702" w:type="dxa"/>
            <w:tcBorders>
              <w:top w:val="dotted" w:sz="4" w:space="0" w:color="000000"/>
              <w:left w:val="dotted" w:sz="4" w:space="0" w:color="000000"/>
              <w:bottom w:val="dotted" w:sz="4" w:space="0" w:color="000000"/>
              <w:right w:val="nil" w:sz="6" w:space="0" w:color="auto"/>
            </w:tcBorders>
          </w:tcPr>
          <w:p>
            <w:pPr/>
          </w:p>
        </w:tc>
      </w:tr>
      <w:tr>
        <w:trPr>
          <w:trHeight w:val="758" w:hRule="exact"/>
        </w:trPr>
        <w:tc>
          <w:tcPr>
            <w:tcW w:w="40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0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9,386,614.09</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right="5"/>
              <w:jc w:val="center"/>
              <w:rPr>
                <w:rFonts w:ascii="宋体" w:hAnsi="宋体" w:cs="宋体" w:eastAsia="宋体" w:hint="default"/>
                <w:sz w:val="18"/>
                <w:szCs w:val="18"/>
              </w:rPr>
            </w:pPr>
            <w:r>
              <w:rPr>
                <w:rFonts w:ascii="宋体" w:hAnsi="宋体" w:cs="宋体" w:eastAsia="宋体" w:hint="default"/>
                <w:sz w:val="18"/>
                <w:szCs w:val="18"/>
              </w:rPr>
              <w:t>按母公司净利润的</w:t>
            </w: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w:t>
            </w:r>
          </w:p>
        </w:tc>
      </w:tr>
      <w:tr>
        <w:trPr>
          <w:trHeight w:val="384" w:hRule="exact"/>
        </w:trPr>
        <w:tc>
          <w:tcPr>
            <w:tcW w:w="40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48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021"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40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482" w:right="0"/>
              <w:jc w:val="left"/>
              <w:rPr>
                <w:rFonts w:ascii="宋体" w:hAnsi="宋体" w:cs="宋体" w:eastAsia="宋体" w:hint="default"/>
                <w:sz w:val="18"/>
                <w:szCs w:val="18"/>
              </w:rPr>
            </w:pPr>
            <w:r>
              <w:rPr>
                <w:rFonts w:ascii="宋体" w:hAnsi="宋体" w:cs="宋体" w:eastAsia="宋体" w:hint="default"/>
                <w:sz w:val="18"/>
                <w:szCs w:val="18"/>
              </w:rPr>
              <w:t>提取储备基金</w:t>
            </w:r>
          </w:p>
        </w:tc>
        <w:tc>
          <w:tcPr>
            <w:tcW w:w="2021"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40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482" w:right="0"/>
              <w:jc w:val="left"/>
              <w:rPr>
                <w:rFonts w:ascii="宋体" w:hAnsi="宋体" w:cs="宋体" w:eastAsia="宋体" w:hint="default"/>
                <w:sz w:val="18"/>
                <w:szCs w:val="18"/>
              </w:rPr>
            </w:pPr>
            <w:r>
              <w:rPr>
                <w:rFonts w:ascii="宋体" w:hAnsi="宋体" w:cs="宋体" w:eastAsia="宋体" w:hint="default"/>
                <w:sz w:val="18"/>
                <w:szCs w:val="18"/>
              </w:rPr>
              <w:t>提取企业发展基金</w:t>
            </w:r>
          </w:p>
        </w:tc>
        <w:tc>
          <w:tcPr>
            <w:tcW w:w="2021"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nil" w:sz="6" w:space="0" w:color="auto"/>
            </w:tcBorders>
          </w:tcPr>
          <w:p>
            <w:pPr/>
          </w:p>
        </w:tc>
      </w:tr>
      <w:tr>
        <w:trPr>
          <w:trHeight w:val="386" w:hRule="exact"/>
        </w:trPr>
        <w:tc>
          <w:tcPr>
            <w:tcW w:w="40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提取职工奖福基金</w:t>
            </w:r>
          </w:p>
        </w:tc>
        <w:tc>
          <w:tcPr>
            <w:tcW w:w="2021"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40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48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021"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40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4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0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34,717,344.60</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right="107"/>
              <w:jc w:val="right"/>
              <w:rPr>
                <w:rFonts w:ascii="宋体" w:hAnsi="宋体" w:cs="宋体" w:eastAsia="宋体" w:hint="default"/>
                <w:sz w:val="18"/>
                <w:szCs w:val="18"/>
              </w:rPr>
            </w:pPr>
            <w:r>
              <w:rPr>
                <w:rFonts w:ascii="宋体" w:hAnsi="宋体" w:cs="宋体" w:eastAsia="宋体" w:hint="default"/>
                <w:sz w:val="18"/>
                <w:szCs w:val="18"/>
              </w:rPr>
              <w:t>注</w:t>
            </w:r>
          </w:p>
        </w:tc>
      </w:tr>
      <w:tr>
        <w:trPr>
          <w:trHeight w:val="384" w:hRule="exact"/>
        </w:trPr>
        <w:tc>
          <w:tcPr>
            <w:tcW w:w="40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48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021"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nil" w:sz="6" w:space="0" w:color="auto"/>
            </w:tcBorders>
          </w:tcPr>
          <w:p>
            <w:pPr/>
          </w:p>
        </w:tc>
      </w:tr>
      <w:tr>
        <w:trPr>
          <w:trHeight w:val="396" w:hRule="exact"/>
        </w:trPr>
        <w:tc>
          <w:tcPr>
            <w:tcW w:w="404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9"/>
              <w:ind w:left="120"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0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121,669,534.99</w:t>
            </w:r>
          </w:p>
        </w:tc>
        <w:tc>
          <w:tcPr>
            <w:tcW w:w="1702"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b/>
          <w:bCs/>
          <w:sz w:val="28"/>
          <w:szCs w:val="28"/>
        </w:rPr>
      </w:pPr>
    </w:p>
    <w:p>
      <w:pPr>
        <w:spacing w:line="540" w:lineRule="auto" w:before="36"/>
        <w:ind w:left="140" w:right="2096" w:firstLine="717"/>
        <w:jc w:val="left"/>
        <w:rPr>
          <w:rFonts w:ascii="宋体" w:hAnsi="宋体" w:cs="宋体" w:eastAsia="宋体" w:hint="default"/>
          <w:sz w:val="21"/>
          <w:szCs w:val="21"/>
        </w:rPr>
      </w:pPr>
      <w:r>
        <w:rPr>
          <w:rFonts w:ascii="宋体" w:hAnsi="宋体" w:cs="宋体" w:eastAsia="宋体" w:hint="default"/>
          <w:b/>
          <w:bCs/>
          <w:spacing w:val="-5"/>
          <w:w w:val="100"/>
          <w:sz w:val="21"/>
          <w:szCs w:val="21"/>
        </w:rPr>
        <w:t>注：本期分配的普通股股利详见附注五、（十九）股本</w:t>
      </w:r>
      <w:r>
        <w:rPr>
          <w:rFonts w:ascii="宋体" w:hAnsi="宋体" w:cs="宋体" w:eastAsia="宋体" w:hint="default"/>
          <w:b/>
          <w:bCs/>
          <w:w w:val="100"/>
          <w:sz w:val="21"/>
          <w:szCs w:val="21"/>
        </w:rPr>
        <w:t> 注</w:t>
      </w:r>
      <w:r>
        <w:rPr>
          <w:rFonts w:ascii="宋体" w:hAnsi="宋体" w:cs="宋体" w:eastAsia="宋体" w:hint="default"/>
          <w:b/>
          <w:bCs/>
          <w:spacing w:val="-52"/>
          <w:w w:val="100"/>
          <w:sz w:val="21"/>
          <w:szCs w:val="21"/>
        </w:rPr>
        <w:t> </w:t>
      </w:r>
      <w:r>
        <w:rPr>
          <w:rFonts w:ascii="Times New Roman" w:hAnsi="Times New Roman" w:cs="Times New Roman" w:eastAsia="Times New Roman" w:hint="default"/>
          <w:b/>
          <w:bCs/>
          <w:spacing w:val="-2"/>
          <w:w w:val="100"/>
          <w:sz w:val="21"/>
          <w:szCs w:val="21"/>
        </w:rPr>
        <w:t>2</w:t>
      </w:r>
      <w:r>
        <w:rPr>
          <w:rFonts w:ascii="宋体" w:hAnsi="宋体" w:cs="宋体" w:eastAsia="宋体" w:hint="default"/>
          <w:b/>
          <w:bCs/>
          <w:spacing w:val="-2"/>
          <w:w w:val="100"/>
          <w:sz w:val="21"/>
          <w:szCs w:val="21"/>
        </w:rPr>
        <w:t>。</w:t>
      </w:r>
      <w:r>
        <w:rPr>
          <w:rFonts w:ascii="宋体" w:hAnsi="宋体" w:cs="宋体" w:eastAsia="宋体" w:hint="default"/>
          <w:b/>
          <w:bCs/>
          <w:w w:val="100"/>
          <w:sz w:val="21"/>
          <w:szCs w:val="21"/>
        </w:rPr>
        <w:t> </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7"/>
          <w:sz w:val="21"/>
          <w:szCs w:val="21"/>
        </w:rPr>
        <w:t> </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2"/>
        <w:rPr>
          <w:rFonts w:ascii="宋体" w:hAnsi="宋体" w:cs="宋体" w:eastAsia="宋体" w:hint="default"/>
          <w:b/>
          <w:bCs/>
          <w:sz w:val="17"/>
          <w:szCs w:val="17"/>
        </w:rPr>
      </w:pPr>
    </w:p>
    <w:p>
      <w:pPr>
        <w:tabs>
          <w:tab w:pos="1395" w:val="left" w:leader="none"/>
        </w:tabs>
        <w:spacing w:before="0"/>
        <w:ind w:left="858" w:right="15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tab/>
        <w:t>营业收入、营业成本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1"/>
          <w:szCs w:val="11"/>
        </w:rPr>
      </w:pPr>
    </w:p>
    <w:tbl>
      <w:tblPr>
        <w:tblW w:w="0" w:type="auto"/>
        <w:jc w:val="left"/>
        <w:tblInd w:w="682" w:type="dxa"/>
        <w:tblLayout w:type="fixed"/>
        <w:tblCellMar>
          <w:top w:w="0" w:type="dxa"/>
          <w:left w:w="0" w:type="dxa"/>
          <w:bottom w:w="0" w:type="dxa"/>
          <w:right w:w="0" w:type="dxa"/>
        </w:tblCellMar>
        <w:tblLook w:val="01E0"/>
      </w:tblPr>
      <w:tblGrid>
        <w:gridCol w:w="3183"/>
        <w:gridCol w:w="2316"/>
        <w:gridCol w:w="2269"/>
      </w:tblGrid>
      <w:tr>
        <w:trPr>
          <w:trHeight w:val="396" w:hRule="exact"/>
        </w:trPr>
        <w:tc>
          <w:tcPr>
            <w:tcW w:w="3183" w:type="dxa"/>
            <w:tcBorders>
              <w:top w:val="single" w:sz="12" w:space="0" w:color="000000"/>
              <w:left w:val="nil" w:sz="6" w:space="0" w:color="auto"/>
              <w:bottom w:val="dotted" w:sz="4" w:space="0" w:color="000000"/>
              <w:right w:val="dotted" w:sz="4" w:space="0" w:color="000000"/>
            </w:tcBorders>
          </w:tcPr>
          <w:p>
            <w:pPr>
              <w:pStyle w:val="TableParagraph"/>
              <w:tabs>
                <w:tab w:pos="648" w:val="left" w:leader="none"/>
              </w:tabs>
              <w:spacing w:line="240" w:lineRule="auto" w:before="21"/>
              <w:ind w:left="1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1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1"/>
              <w:ind w:left="73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26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1"/>
              <w:ind w:left="70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84" w:hRule="exact"/>
        </w:trPr>
        <w:tc>
          <w:tcPr>
            <w:tcW w:w="31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3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520,149,868.28</w:t>
            </w:r>
          </w:p>
        </w:tc>
        <w:tc>
          <w:tcPr>
            <w:tcW w:w="22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360,670,169.02</w:t>
            </w:r>
          </w:p>
        </w:tc>
      </w:tr>
      <w:tr>
        <w:trPr>
          <w:trHeight w:val="385" w:hRule="exact"/>
        </w:trPr>
        <w:tc>
          <w:tcPr>
            <w:tcW w:w="31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
              <w:ind w:left="12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3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343,584.00</w:t>
            </w:r>
          </w:p>
        </w:tc>
        <w:tc>
          <w:tcPr>
            <w:tcW w:w="22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21"/>
                <w:szCs w:val="21"/>
              </w:rPr>
            </w:pPr>
            <w:r>
              <w:rPr>
                <w:rFonts w:ascii="Times New Roman"/>
                <w:spacing w:val="-1"/>
                <w:sz w:val="21"/>
              </w:rPr>
              <w:t>442,652.00</w:t>
            </w:r>
          </w:p>
        </w:tc>
      </w:tr>
      <w:tr>
        <w:trPr>
          <w:trHeight w:val="396" w:hRule="exact"/>
        </w:trPr>
        <w:tc>
          <w:tcPr>
            <w:tcW w:w="318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344,081,804.51</w:t>
            </w:r>
          </w:p>
        </w:tc>
        <w:tc>
          <w:tcPr>
            <w:tcW w:w="226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228,689,442.41</w:t>
            </w:r>
          </w:p>
        </w:tc>
      </w:tr>
    </w:tbl>
    <w:p>
      <w:pPr>
        <w:spacing w:after="0" w:line="240" w:lineRule="auto"/>
        <w:jc w:val="right"/>
        <w:rPr>
          <w:rFonts w:ascii="Times New Roman" w:hAnsi="Times New Roman" w:cs="Times New Roman" w:eastAsia="Times New Roman" w:hint="default"/>
          <w:sz w:val="21"/>
          <w:szCs w:val="21"/>
        </w:rPr>
        <w:sectPr>
          <w:pgSz w:w="11910" w:h="16840"/>
          <w:pgMar w:header="884" w:footer="980" w:top="1140" w:bottom="1160" w:left="1660" w:right="1640"/>
        </w:sectPr>
      </w:pPr>
    </w:p>
    <w:p>
      <w:pPr>
        <w:spacing w:line="240" w:lineRule="auto" w:before="4"/>
        <w:rPr>
          <w:rFonts w:ascii="宋体" w:hAnsi="宋体" w:cs="宋体" w:eastAsia="宋体" w:hint="default"/>
          <w:b/>
          <w:bCs/>
          <w:sz w:val="24"/>
          <w:szCs w:val="24"/>
        </w:rPr>
      </w:pPr>
    </w:p>
    <w:p>
      <w:pPr>
        <w:tabs>
          <w:tab w:pos="1395" w:val="left" w:leader="none"/>
        </w:tabs>
        <w:spacing w:before="36"/>
        <w:ind w:left="85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t>主营业务（分行业）</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711" w:type="dxa"/>
        <w:tblLayout w:type="fixed"/>
        <w:tblCellMar>
          <w:top w:w="0" w:type="dxa"/>
          <w:left w:w="0" w:type="dxa"/>
          <w:bottom w:w="0" w:type="dxa"/>
          <w:right w:w="0" w:type="dxa"/>
        </w:tblCellMar>
        <w:tblLook w:val="01E0"/>
      </w:tblPr>
      <w:tblGrid>
        <w:gridCol w:w="2098"/>
        <w:gridCol w:w="1450"/>
        <w:gridCol w:w="1436"/>
        <w:gridCol w:w="1399"/>
        <w:gridCol w:w="1388"/>
      </w:tblGrid>
      <w:tr>
        <w:trPr>
          <w:trHeight w:val="422" w:hRule="exact"/>
        </w:trPr>
        <w:tc>
          <w:tcPr>
            <w:tcW w:w="2098" w:type="dxa"/>
            <w:vMerge w:val="restart"/>
            <w:tcBorders>
              <w:top w:val="single" w:sz="12" w:space="0" w:color="000000"/>
              <w:left w:val="nil" w:sz="6" w:space="0" w:color="auto"/>
              <w:right w:val="dotted" w:sz="4" w:space="0" w:color="000000"/>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696"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2885"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1"/>
              <w:ind w:right="3"/>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87"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11"/>
              <w:ind w:right="5"/>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8" w:hRule="exact"/>
        </w:trPr>
        <w:tc>
          <w:tcPr>
            <w:tcW w:w="2098" w:type="dxa"/>
            <w:vMerge/>
            <w:tcBorders>
              <w:left w:val="nil" w:sz="6" w:space="0" w:color="auto"/>
              <w:bottom w:val="dotted" w:sz="4" w:space="0" w:color="000000"/>
              <w:right w:val="dotted" w:sz="4" w:space="0" w:color="000000"/>
            </w:tcBorders>
          </w:tcPr>
          <w:p>
            <w:pPr/>
          </w:p>
        </w:tc>
        <w:tc>
          <w:tcPr>
            <w:tcW w:w="14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4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9"/>
              <w:ind w:right="3"/>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8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9"/>
              <w:ind w:right="3"/>
              <w:jc w:val="center"/>
              <w:rPr>
                <w:rFonts w:ascii="宋体" w:hAnsi="宋体" w:cs="宋体" w:eastAsia="宋体" w:hint="default"/>
                <w:sz w:val="18"/>
                <w:szCs w:val="18"/>
              </w:rPr>
            </w:pPr>
            <w:r>
              <w:rPr>
                <w:rFonts w:ascii="宋体" w:hAnsi="宋体" w:cs="宋体" w:eastAsia="宋体" w:hint="default"/>
                <w:sz w:val="18"/>
                <w:szCs w:val="18"/>
              </w:rPr>
              <w:t>营业成本</w:t>
            </w:r>
          </w:p>
        </w:tc>
      </w:tr>
      <w:tr>
        <w:trPr>
          <w:trHeight w:val="410" w:hRule="exact"/>
        </w:trPr>
        <w:tc>
          <w:tcPr>
            <w:tcW w:w="20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w:t>
            </w:r>
          </w:p>
        </w:tc>
        <w:tc>
          <w:tcPr>
            <w:tcW w:w="14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3"/>
              <w:ind w:left="107" w:right="0"/>
              <w:jc w:val="center"/>
              <w:rPr>
                <w:rFonts w:ascii="Times New Roman" w:hAnsi="Times New Roman" w:cs="Times New Roman" w:eastAsia="Times New Roman" w:hint="default"/>
                <w:sz w:val="18"/>
                <w:szCs w:val="18"/>
              </w:rPr>
            </w:pPr>
            <w:r>
              <w:rPr>
                <w:rFonts w:ascii="Times New Roman"/>
                <w:sz w:val="18"/>
              </w:rPr>
              <w:t>520,149,868.28</w:t>
            </w:r>
          </w:p>
        </w:tc>
        <w:tc>
          <w:tcPr>
            <w:tcW w:w="14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3"/>
              <w:ind w:left="88" w:right="0"/>
              <w:jc w:val="center"/>
              <w:rPr>
                <w:rFonts w:ascii="Times New Roman" w:hAnsi="Times New Roman" w:cs="Times New Roman" w:eastAsia="Times New Roman" w:hint="default"/>
                <w:sz w:val="18"/>
                <w:szCs w:val="18"/>
              </w:rPr>
            </w:pPr>
            <w:r>
              <w:rPr>
                <w:rFonts w:ascii="Times New Roman"/>
                <w:sz w:val="18"/>
              </w:rPr>
              <w:t>344,081,804.51</w:t>
            </w:r>
          </w:p>
        </w:tc>
        <w:tc>
          <w:tcPr>
            <w:tcW w:w="13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3"/>
              <w:ind w:left="62" w:right="0"/>
              <w:jc w:val="center"/>
              <w:rPr>
                <w:rFonts w:ascii="Times New Roman" w:hAnsi="Times New Roman" w:cs="Times New Roman" w:eastAsia="Times New Roman" w:hint="default"/>
                <w:sz w:val="18"/>
                <w:szCs w:val="18"/>
              </w:rPr>
            </w:pPr>
            <w:r>
              <w:rPr>
                <w:rFonts w:ascii="Times New Roman"/>
                <w:sz w:val="18"/>
              </w:rPr>
              <w:t>360,670,169.02</w:t>
            </w:r>
          </w:p>
        </w:tc>
        <w:tc>
          <w:tcPr>
            <w:tcW w:w="138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3"/>
              <w:ind w:left="40" w:right="0"/>
              <w:jc w:val="center"/>
              <w:rPr>
                <w:rFonts w:ascii="Times New Roman" w:hAnsi="Times New Roman" w:cs="Times New Roman" w:eastAsia="Times New Roman" w:hint="default"/>
                <w:sz w:val="18"/>
                <w:szCs w:val="18"/>
              </w:rPr>
            </w:pPr>
            <w:r>
              <w:rPr>
                <w:rFonts w:ascii="Times New Roman"/>
                <w:sz w:val="18"/>
              </w:rPr>
              <w:t>228,555,627.60</w:t>
            </w:r>
          </w:p>
        </w:tc>
      </w:tr>
      <w:tr>
        <w:trPr>
          <w:trHeight w:val="422" w:hRule="exact"/>
        </w:trPr>
        <w:tc>
          <w:tcPr>
            <w:tcW w:w="2098" w:type="dxa"/>
            <w:tcBorders>
              <w:top w:val="dotted" w:sz="4" w:space="0" w:color="000000"/>
              <w:left w:val="nil" w:sz="6" w:space="0" w:color="auto"/>
              <w:bottom w:val="single" w:sz="12" w:space="0" w:color="000000"/>
              <w:right w:val="dotted" w:sz="4" w:space="0" w:color="000000"/>
            </w:tcBorders>
          </w:tcPr>
          <w:p>
            <w:pPr>
              <w:pStyle w:val="TableParagraph"/>
              <w:tabs>
                <w:tab w:pos="472" w:val="left" w:leader="none"/>
              </w:tabs>
              <w:spacing w:line="240" w:lineRule="auto" w:before="109"/>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1"/>
              <w:ind w:left="107" w:right="0"/>
              <w:jc w:val="center"/>
              <w:rPr>
                <w:rFonts w:ascii="Times New Roman" w:hAnsi="Times New Roman" w:cs="Times New Roman" w:eastAsia="Times New Roman" w:hint="default"/>
                <w:sz w:val="18"/>
                <w:szCs w:val="18"/>
              </w:rPr>
            </w:pPr>
            <w:r>
              <w:rPr>
                <w:rFonts w:ascii="Times New Roman"/>
                <w:sz w:val="18"/>
              </w:rPr>
              <w:t>520,149,868.28</w:t>
            </w:r>
          </w:p>
        </w:tc>
        <w:tc>
          <w:tcPr>
            <w:tcW w:w="14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1"/>
              <w:ind w:left="88" w:right="0"/>
              <w:jc w:val="center"/>
              <w:rPr>
                <w:rFonts w:ascii="Times New Roman" w:hAnsi="Times New Roman" w:cs="Times New Roman" w:eastAsia="Times New Roman" w:hint="default"/>
                <w:sz w:val="18"/>
                <w:szCs w:val="18"/>
              </w:rPr>
            </w:pPr>
            <w:r>
              <w:rPr>
                <w:rFonts w:ascii="Times New Roman"/>
                <w:sz w:val="18"/>
              </w:rPr>
              <w:t>344,081,804.51</w:t>
            </w:r>
          </w:p>
        </w:tc>
        <w:tc>
          <w:tcPr>
            <w:tcW w:w="139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1"/>
              <w:ind w:left="62" w:right="0"/>
              <w:jc w:val="center"/>
              <w:rPr>
                <w:rFonts w:ascii="Times New Roman" w:hAnsi="Times New Roman" w:cs="Times New Roman" w:eastAsia="Times New Roman" w:hint="default"/>
                <w:sz w:val="18"/>
                <w:szCs w:val="18"/>
              </w:rPr>
            </w:pPr>
            <w:r>
              <w:rPr>
                <w:rFonts w:ascii="Times New Roman"/>
                <w:sz w:val="18"/>
              </w:rPr>
              <w:t>360,670,169.02</w:t>
            </w:r>
          </w:p>
        </w:tc>
        <w:tc>
          <w:tcPr>
            <w:tcW w:w="138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51"/>
              <w:ind w:left="40" w:right="0"/>
              <w:jc w:val="center"/>
              <w:rPr>
                <w:rFonts w:ascii="Times New Roman" w:hAnsi="Times New Roman" w:cs="Times New Roman" w:eastAsia="Times New Roman" w:hint="default"/>
                <w:sz w:val="18"/>
                <w:szCs w:val="18"/>
              </w:rPr>
            </w:pPr>
            <w:r>
              <w:rPr>
                <w:rFonts w:ascii="Times New Roman"/>
                <w:sz w:val="18"/>
              </w:rPr>
              <w:t>228,555,627.60</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tabs>
          <w:tab w:pos="1395" w:val="left" w:leader="none"/>
        </w:tabs>
        <w:spacing w:before="0"/>
        <w:ind w:left="85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tab/>
        <w:t>主营业务（分产品）</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tbl>
      <w:tblPr>
        <w:tblW w:w="0" w:type="auto"/>
        <w:jc w:val="left"/>
        <w:tblInd w:w="711" w:type="dxa"/>
        <w:tblLayout w:type="fixed"/>
        <w:tblCellMar>
          <w:top w:w="0" w:type="dxa"/>
          <w:left w:w="0" w:type="dxa"/>
          <w:bottom w:w="0" w:type="dxa"/>
          <w:right w:w="0" w:type="dxa"/>
        </w:tblCellMar>
        <w:tblLook w:val="01E0"/>
      </w:tblPr>
      <w:tblGrid>
        <w:gridCol w:w="2249"/>
        <w:gridCol w:w="1418"/>
        <w:gridCol w:w="1239"/>
        <w:gridCol w:w="1418"/>
        <w:gridCol w:w="1385"/>
      </w:tblGrid>
      <w:tr>
        <w:trPr>
          <w:trHeight w:val="420" w:hRule="exact"/>
        </w:trPr>
        <w:tc>
          <w:tcPr>
            <w:tcW w:w="224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产品名称</w:t>
            </w:r>
          </w:p>
        </w:tc>
        <w:tc>
          <w:tcPr>
            <w:tcW w:w="2657"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本期金额</w:t>
            </w:r>
          </w:p>
        </w:tc>
        <w:tc>
          <w:tcPr>
            <w:tcW w:w="2804"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上期金额</w:t>
            </w:r>
          </w:p>
        </w:tc>
      </w:tr>
      <w:tr>
        <w:trPr>
          <w:trHeight w:val="411" w:hRule="exact"/>
        </w:trPr>
        <w:tc>
          <w:tcPr>
            <w:tcW w:w="2249" w:type="dxa"/>
            <w:vMerge/>
            <w:tcBorders>
              <w:left w:val="nil" w:sz="6" w:space="0" w:color="auto"/>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1"/>
                <w:szCs w:val="11"/>
              </w:rPr>
            </w:pPr>
          </w:p>
          <w:p>
            <w:pPr>
              <w:pStyle w:val="TableParagraph"/>
              <w:spacing w:line="240" w:lineRule="auto"/>
              <w:ind w:left="403"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2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1"/>
                <w:szCs w:val="11"/>
              </w:rPr>
            </w:pPr>
          </w:p>
          <w:p>
            <w:pPr>
              <w:pStyle w:val="TableParagraph"/>
              <w:spacing w:line="240" w:lineRule="auto"/>
              <w:ind w:left="314" w:right="0"/>
              <w:jc w:val="left"/>
              <w:rPr>
                <w:rFonts w:ascii="宋体" w:hAnsi="宋体" w:cs="宋体" w:eastAsia="宋体" w:hint="default"/>
                <w:sz w:val="15"/>
                <w:szCs w:val="15"/>
              </w:rPr>
            </w:pPr>
            <w:r>
              <w:rPr>
                <w:rFonts w:ascii="宋体" w:hAnsi="宋体" w:cs="宋体" w:eastAsia="宋体" w:hint="default"/>
                <w:sz w:val="15"/>
                <w:szCs w:val="15"/>
              </w:rPr>
              <w:t>营业成本</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1"/>
                <w:szCs w:val="11"/>
              </w:rPr>
            </w:pPr>
          </w:p>
          <w:p>
            <w:pPr>
              <w:pStyle w:val="TableParagraph"/>
              <w:spacing w:line="240" w:lineRule="auto"/>
              <w:ind w:left="403"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3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1"/>
                <w:szCs w:val="11"/>
              </w:rPr>
            </w:pPr>
          </w:p>
          <w:p>
            <w:pPr>
              <w:pStyle w:val="TableParagraph"/>
              <w:spacing w:line="240" w:lineRule="auto"/>
              <w:ind w:left="388" w:right="0"/>
              <w:jc w:val="left"/>
              <w:rPr>
                <w:rFonts w:ascii="宋体" w:hAnsi="宋体" w:cs="宋体" w:eastAsia="宋体" w:hint="default"/>
                <w:sz w:val="15"/>
                <w:szCs w:val="15"/>
              </w:rPr>
            </w:pPr>
            <w:r>
              <w:rPr>
                <w:rFonts w:ascii="宋体" w:hAnsi="宋体" w:cs="宋体" w:eastAsia="宋体" w:hint="default"/>
                <w:sz w:val="15"/>
                <w:szCs w:val="15"/>
              </w:rPr>
              <w:t>营业成本</w:t>
            </w:r>
          </w:p>
        </w:tc>
      </w:tr>
      <w:tr>
        <w:trPr>
          <w:trHeight w:val="408"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软件销售</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59,332,029.22</w:t>
            </w:r>
          </w:p>
        </w:tc>
        <w:tc>
          <w:tcPr>
            <w:tcW w:w="12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54,265,177.51</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54,174,388.71</w:t>
            </w:r>
          </w:p>
        </w:tc>
        <w:tc>
          <w:tcPr>
            <w:tcW w:w="13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49,021,579.73</w:t>
            </w:r>
          </w:p>
        </w:tc>
      </w:tr>
      <w:tr>
        <w:trPr>
          <w:trHeight w:val="410"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Times New Roman" w:hAnsi="Times New Roman" w:cs="Times New Roman" w:eastAsia="Times New Roman" w:hint="default"/>
                <w:sz w:val="15"/>
                <w:szCs w:val="15"/>
              </w:rPr>
              <w:t>Oracle</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软件销售</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37,204,144.94</w:t>
            </w:r>
          </w:p>
        </w:tc>
        <w:tc>
          <w:tcPr>
            <w:tcW w:w="12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34,154,292.00</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34,068,513.03</w:t>
            </w:r>
          </w:p>
        </w:tc>
        <w:tc>
          <w:tcPr>
            <w:tcW w:w="13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30,790,409.32</w:t>
            </w:r>
          </w:p>
        </w:tc>
      </w:tr>
      <w:tr>
        <w:trPr>
          <w:trHeight w:val="410"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left="57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SAP</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软件销售</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22,042,414.19</w:t>
            </w:r>
          </w:p>
        </w:tc>
        <w:tc>
          <w:tcPr>
            <w:tcW w:w="12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20,110,885.51</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19,755,020.97</w:t>
            </w:r>
          </w:p>
        </w:tc>
        <w:tc>
          <w:tcPr>
            <w:tcW w:w="13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18,229,325.02</w:t>
            </w:r>
          </w:p>
        </w:tc>
      </w:tr>
      <w:tr>
        <w:trPr>
          <w:trHeight w:val="410"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left="57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MAS </w:t>
            </w:r>
            <w:r>
              <w:rPr>
                <w:rFonts w:ascii="宋体" w:hAnsi="宋体" w:cs="宋体" w:eastAsia="宋体" w:hint="default"/>
                <w:sz w:val="15"/>
                <w:szCs w:val="15"/>
              </w:rPr>
              <w:t>软件销售</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85,470.09</w:t>
            </w:r>
          </w:p>
        </w:tc>
        <w:tc>
          <w:tcPr>
            <w:tcW w:w="1239"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350,854.71</w:t>
            </w:r>
          </w:p>
        </w:tc>
        <w:tc>
          <w:tcPr>
            <w:tcW w:w="13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1,845.39</w:t>
            </w:r>
          </w:p>
        </w:tc>
      </w:tr>
      <w:tr>
        <w:trPr>
          <w:trHeight w:val="410"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服务收入</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460,817,839.06</w:t>
            </w:r>
          </w:p>
        </w:tc>
        <w:tc>
          <w:tcPr>
            <w:tcW w:w="12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289,816,627.00</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306,495,780.31</w:t>
            </w:r>
          </w:p>
        </w:tc>
        <w:tc>
          <w:tcPr>
            <w:tcW w:w="13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179,534,047.87</w:t>
            </w:r>
          </w:p>
        </w:tc>
      </w:tr>
      <w:tr>
        <w:trPr>
          <w:trHeight w:val="410"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其中：软件外包服务</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66,315,079.51</w:t>
            </w:r>
          </w:p>
        </w:tc>
        <w:tc>
          <w:tcPr>
            <w:tcW w:w="12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34,994,055.05</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36,394,630.92</w:t>
            </w:r>
          </w:p>
        </w:tc>
        <w:tc>
          <w:tcPr>
            <w:tcW w:w="13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16,169,082.04</w:t>
            </w:r>
          </w:p>
        </w:tc>
      </w:tr>
      <w:tr>
        <w:trPr>
          <w:trHeight w:val="408"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left="573" w:right="0"/>
              <w:jc w:val="left"/>
              <w:rPr>
                <w:rFonts w:ascii="宋体" w:hAnsi="宋体" w:cs="宋体" w:eastAsia="宋体" w:hint="default"/>
                <w:sz w:val="15"/>
                <w:szCs w:val="15"/>
              </w:rPr>
            </w:pPr>
            <w:r>
              <w:rPr>
                <w:rFonts w:ascii="宋体" w:hAnsi="宋体" w:cs="宋体" w:eastAsia="宋体" w:hint="default"/>
                <w:sz w:val="15"/>
                <w:szCs w:val="15"/>
              </w:rPr>
              <w:t>客户支持服务</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39,985,437.83</w:t>
            </w:r>
          </w:p>
        </w:tc>
        <w:tc>
          <w:tcPr>
            <w:tcW w:w="12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22,051,952.02</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30,253,720.39</w:t>
            </w:r>
          </w:p>
        </w:tc>
        <w:tc>
          <w:tcPr>
            <w:tcW w:w="13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14,721,176.72</w:t>
            </w:r>
          </w:p>
        </w:tc>
      </w:tr>
      <w:tr>
        <w:trPr>
          <w:trHeight w:val="410"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35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ERP</w:t>
            </w:r>
            <w:r>
              <w:rPr>
                <w:rFonts w:ascii="Times New Roman" w:hAnsi="Times New Roman" w:cs="Times New Roman" w:eastAsia="Times New Roman" w:hint="default"/>
                <w:spacing w:val="26"/>
                <w:sz w:val="15"/>
                <w:szCs w:val="15"/>
              </w:rPr>
              <w:t> </w:t>
            </w:r>
            <w:r>
              <w:rPr>
                <w:rFonts w:ascii="宋体" w:hAnsi="宋体" w:cs="宋体" w:eastAsia="宋体" w:hint="default"/>
                <w:sz w:val="15"/>
                <w:szCs w:val="15"/>
              </w:rPr>
              <w:t>软件实施服务</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354,517,321.72</w:t>
            </w:r>
          </w:p>
        </w:tc>
        <w:tc>
          <w:tcPr>
            <w:tcW w:w="12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232,770,619.93</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239,847,429.00</w:t>
            </w:r>
          </w:p>
        </w:tc>
        <w:tc>
          <w:tcPr>
            <w:tcW w:w="13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2"/>
                <w:sz w:val="15"/>
              </w:rPr>
              <w:t>148,643,789.11</w:t>
            </w:r>
          </w:p>
        </w:tc>
      </w:tr>
      <w:tr>
        <w:trPr>
          <w:trHeight w:val="411"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1"/>
                <w:szCs w:val="11"/>
              </w:rPr>
            </w:pPr>
          </w:p>
          <w:p>
            <w:pPr>
              <w:pStyle w:val="TableParagraph"/>
              <w:spacing w:line="240" w:lineRule="auto"/>
              <w:ind w:left="347"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Times New Roman" w:hAnsi="Times New Roman" w:cs="Times New Roman" w:eastAsia="Times New Roman" w:hint="default"/>
                <w:sz w:val="15"/>
                <w:szCs w:val="15"/>
              </w:rPr>
              <w:t>ORACLE </w:t>
            </w:r>
            <w:r>
              <w:rPr>
                <w:rFonts w:ascii="宋体" w:hAnsi="宋体" w:cs="宋体" w:eastAsia="宋体" w:hint="default"/>
                <w:sz w:val="15"/>
                <w:szCs w:val="15"/>
              </w:rPr>
              <w:t>实施</w:t>
            </w:r>
            <w:r>
              <w:rPr>
                <w:rFonts w:ascii="宋体" w:hAnsi="宋体" w:cs="宋体" w:eastAsia="宋体" w:hint="default"/>
                <w:spacing w:val="1"/>
                <w:sz w:val="15"/>
                <w:szCs w:val="15"/>
              </w:rPr>
              <w:t> </w:t>
            </w:r>
            <w:r>
              <w:rPr>
                <w:rFonts w:ascii="宋体" w:hAnsi="宋体" w:cs="宋体" w:eastAsia="宋体" w:hint="default"/>
                <w:spacing w:val="-3"/>
                <w:sz w:val="15"/>
                <w:szCs w:val="15"/>
              </w:rPr>
              <w:t>服务</w:t>
            </w:r>
            <w:r>
              <w:rPr>
                <w:rFonts w:ascii="宋体" w:hAnsi="宋体" w:cs="宋体" w:eastAsia="宋体" w:hint="default"/>
                <w:sz w:val="15"/>
                <w:szCs w:val="15"/>
              </w:rPr>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205,566,782.88</w:t>
            </w:r>
          </w:p>
        </w:tc>
        <w:tc>
          <w:tcPr>
            <w:tcW w:w="12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144,773,676.59</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157,737,779.91</w:t>
            </w:r>
          </w:p>
        </w:tc>
        <w:tc>
          <w:tcPr>
            <w:tcW w:w="13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99,543,676.19</w:t>
            </w:r>
          </w:p>
        </w:tc>
      </w:tr>
      <w:tr>
        <w:trPr>
          <w:trHeight w:val="410"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left="79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SAP</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实施服务</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119,341,906.53</w:t>
            </w:r>
          </w:p>
        </w:tc>
        <w:tc>
          <w:tcPr>
            <w:tcW w:w="12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69,621,030.67</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66,871,674.86</w:t>
            </w:r>
          </w:p>
        </w:tc>
        <w:tc>
          <w:tcPr>
            <w:tcW w:w="13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40,339,863.34</w:t>
            </w:r>
          </w:p>
        </w:tc>
      </w:tr>
      <w:tr>
        <w:trPr>
          <w:trHeight w:val="410"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left="79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MAS</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实施服务</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29,608,632.31</w:t>
            </w:r>
          </w:p>
        </w:tc>
        <w:tc>
          <w:tcPr>
            <w:tcW w:w="12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18,375,912.67</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15,237,974.23</w:t>
            </w:r>
          </w:p>
        </w:tc>
        <w:tc>
          <w:tcPr>
            <w:tcW w:w="13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8,760,249.58</w:t>
            </w:r>
          </w:p>
        </w:tc>
      </w:tr>
      <w:tr>
        <w:trPr>
          <w:trHeight w:val="420" w:hRule="exact"/>
        </w:trPr>
        <w:tc>
          <w:tcPr>
            <w:tcW w:w="2249"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1"/>
                <w:szCs w:val="11"/>
              </w:rPr>
            </w:pPr>
          </w:p>
          <w:p>
            <w:pPr>
              <w:pStyle w:val="TableParagraph"/>
              <w:tabs>
                <w:tab w:pos="397" w:val="left" w:leader="none"/>
              </w:tabs>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14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520,149,868.28</w:t>
            </w:r>
          </w:p>
        </w:tc>
        <w:tc>
          <w:tcPr>
            <w:tcW w:w="12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344,081,804.51</w:t>
            </w:r>
          </w:p>
        </w:tc>
        <w:tc>
          <w:tcPr>
            <w:tcW w:w="14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360,670,169.02</w:t>
            </w:r>
          </w:p>
        </w:tc>
        <w:tc>
          <w:tcPr>
            <w:tcW w:w="138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228,555,627.60</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tabs>
          <w:tab w:pos="1395" w:val="left" w:leader="none"/>
        </w:tabs>
        <w:spacing w:before="0"/>
        <w:ind w:left="85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tab/>
        <w:t>主营业务（分地区）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711" w:type="dxa"/>
        <w:tblLayout w:type="fixed"/>
        <w:tblCellMar>
          <w:top w:w="0" w:type="dxa"/>
          <w:left w:w="0" w:type="dxa"/>
          <w:bottom w:w="0" w:type="dxa"/>
          <w:right w:w="0" w:type="dxa"/>
        </w:tblCellMar>
        <w:tblLook w:val="01E0"/>
      </w:tblPr>
      <w:tblGrid>
        <w:gridCol w:w="2098"/>
        <w:gridCol w:w="1418"/>
        <w:gridCol w:w="1419"/>
        <w:gridCol w:w="1416"/>
        <w:gridCol w:w="1419"/>
      </w:tblGrid>
      <w:tr>
        <w:trPr>
          <w:trHeight w:val="420" w:hRule="exact"/>
        </w:trPr>
        <w:tc>
          <w:tcPr>
            <w:tcW w:w="2098" w:type="dxa"/>
            <w:vMerge w:val="restart"/>
            <w:tcBorders>
              <w:top w:val="single" w:sz="12" w:space="0" w:color="000000"/>
              <w:left w:val="nil" w:sz="6" w:space="0" w:color="auto"/>
              <w:right w:val="dotted" w:sz="4" w:space="0" w:color="000000"/>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696"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2837"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1"/>
              <w:ind w:right="3"/>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835"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11"/>
              <w:ind w:right="5"/>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10" w:hRule="exact"/>
        </w:trPr>
        <w:tc>
          <w:tcPr>
            <w:tcW w:w="2098" w:type="dxa"/>
            <w:vMerge/>
            <w:tcBorders>
              <w:left w:val="nil" w:sz="6" w:space="0" w:color="auto"/>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9"/>
              <w:ind w:left="34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9"/>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9"/>
              <w:ind w:right="5"/>
              <w:jc w:val="center"/>
              <w:rPr>
                <w:rFonts w:ascii="宋体" w:hAnsi="宋体" w:cs="宋体" w:eastAsia="宋体" w:hint="default"/>
                <w:sz w:val="18"/>
                <w:szCs w:val="18"/>
              </w:rPr>
            </w:pPr>
            <w:r>
              <w:rPr>
                <w:rFonts w:ascii="宋体" w:hAnsi="宋体" w:cs="宋体" w:eastAsia="宋体" w:hint="default"/>
                <w:sz w:val="18"/>
                <w:szCs w:val="18"/>
              </w:rPr>
              <w:t>营业成本</w:t>
            </w:r>
          </w:p>
        </w:tc>
      </w:tr>
      <w:tr>
        <w:trPr>
          <w:trHeight w:val="411" w:hRule="exact"/>
        </w:trPr>
        <w:tc>
          <w:tcPr>
            <w:tcW w:w="20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1"/>
              <w:ind w:left="71" w:right="0"/>
              <w:jc w:val="center"/>
              <w:rPr>
                <w:rFonts w:ascii="Times New Roman" w:hAnsi="Times New Roman" w:cs="Times New Roman" w:eastAsia="Times New Roman" w:hint="default"/>
                <w:sz w:val="18"/>
                <w:szCs w:val="18"/>
              </w:rPr>
            </w:pPr>
            <w:r>
              <w:rPr>
                <w:rFonts w:ascii="Times New Roman"/>
                <w:sz w:val="18"/>
              </w:rPr>
              <w:t>485,278,226.55</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335,068,269.30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350,283,170.63</w:t>
            </w:r>
          </w:p>
        </w:tc>
        <w:tc>
          <w:tcPr>
            <w:tcW w:w="14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1"/>
              <w:ind w:left="71" w:right="0"/>
              <w:jc w:val="center"/>
              <w:rPr>
                <w:rFonts w:ascii="Times New Roman" w:hAnsi="Times New Roman" w:cs="Times New Roman" w:eastAsia="Times New Roman" w:hint="default"/>
                <w:sz w:val="18"/>
                <w:szCs w:val="18"/>
              </w:rPr>
            </w:pPr>
            <w:r>
              <w:rPr>
                <w:rFonts w:ascii="Times New Roman"/>
                <w:sz w:val="18"/>
              </w:rPr>
              <w:t>228,555,627.60</w:t>
            </w:r>
          </w:p>
        </w:tc>
      </w:tr>
      <w:tr>
        <w:trPr>
          <w:trHeight w:val="410" w:hRule="exact"/>
        </w:trPr>
        <w:tc>
          <w:tcPr>
            <w:tcW w:w="20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1"/>
              <w:ind w:left="163" w:right="0"/>
              <w:jc w:val="center"/>
              <w:rPr>
                <w:rFonts w:ascii="Times New Roman" w:hAnsi="Times New Roman" w:cs="Times New Roman" w:eastAsia="Times New Roman" w:hint="default"/>
                <w:sz w:val="18"/>
                <w:szCs w:val="18"/>
              </w:rPr>
            </w:pPr>
            <w:r>
              <w:rPr>
                <w:rFonts w:ascii="Times New Roman"/>
                <w:sz w:val="18"/>
              </w:rPr>
              <w:t>34,871,641.73</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9,013,535.21</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10,386,998.39</w:t>
            </w:r>
          </w:p>
        </w:tc>
        <w:tc>
          <w:tcPr>
            <w:tcW w:w="1419" w:type="dxa"/>
            <w:tcBorders>
              <w:top w:val="dotted" w:sz="4" w:space="0" w:color="000000"/>
              <w:left w:val="dotted" w:sz="4" w:space="0" w:color="000000"/>
              <w:bottom w:val="dotted" w:sz="4" w:space="0" w:color="000000"/>
              <w:right w:val="nil" w:sz="6" w:space="0" w:color="auto"/>
            </w:tcBorders>
          </w:tcPr>
          <w:p>
            <w:pPr/>
          </w:p>
        </w:tc>
      </w:tr>
      <w:tr>
        <w:trPr>
          <w:trHeight w:val="420" w:hRule="exact"/>
        </w:trPr>
        <w:tc>
          <w:tcPr>
            <w:tcW w:w="2098" w:type="dxa"/>
            <w:tcBorders>
              <w:top w:val="dotted" w:sz="4" w:space="0" w:color="000000"/>
              <w:left w:val="nil" w:sz="6" w:space="0" w:color="auto"/>
              <w:bottom w:val="single" w:sz="12" w:space="0" w:color="000000"/>
              <w:right w:val="dotted" w:sz="4" w:space="0" w:color="000000"/>
            </w:tcBorders>
          </w:tcPr>
          <w:p>
            <w:pPr>
              <w:pStyle w:val="TableParagraph"/>
              <w:tabs>
                <w:tab w:pos="472" w:val="left" w:leader="none"/>
              </w:tabs>
              <w:spacing w:line="240" w:lineRule="auto" w:before="109"/>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1"/>
              <w:ind w:left="71" w:right="0"/>
              <w:jc w:val="center"/>
              <w:rPr>
                <w:rFonts w:ascii="Times New Roman" w:hAnsi="Times New Roman" w:cs="Times New Roman" w:eastAsia="Times New Roman" w:hint="default"/>
                <w:sz w:val="18"/>
                <w:szCs w:val="18"/>
              </w:rPr>
            </w:pPr>
            <w:r>
              <w:rPr>
                <w:rFonts w:ascii="Times New Roman"/>
                <w:sz w:val="18"/>
              </w:rPr>
              <w:t>520,149,868.28</w:t>
            </w:r>
          </w:p>
        </w:tc>
        <w:tc>
          <w:tcPr>
            <w:tcW w:w="14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344,081,804.51</w:t>
            </w:r>
          </w:p>
        </w:tc>
        <w:tc>
          <w:tcPr>
            <w:tcW w:w="14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360,670,169.02</w:t>
            </w:r>
          </w:p>
        </w:tc>
        <w:tc>
          <w:tcPr>
            <w:tcW w:w="141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51"/>
              <w:ind w:left="71" w:right="0"/>
              <w:jc w:val="center"/>
              <w:rPr>
                <w:rFonts w:ascii="Times New Roman" w:hAnsi="Times New Roman" w:cs="Times New Roman" w:eastAsia="Times New Roman" w:hint="default"/>
                <w:sz w:val="18"/>
                <w:szCs w:val="18"/>
              </w:rPr>
            </w:pPr>
            <w:r>
              <w:rPr>
                <w:rFonts w:ascii="Times New Roman"/>
                <w:sz w:val="18"/>
              </w:rPr>
              <w:t>228,555,627.60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tabs>
          <w:tab w:pos="1395" w:val="left" w:leader="none"/>
        </w:tabs>
        <w:spacing w:before="36"/>
        <w:ind w:left="85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tab/>
        <w:t>公司前五名客户的营业收入情况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84" w:footer="980" w:top="1140" w:bottom="1160" w:left="1660" w:right="1620"/>
        </w:sectPr>
      </w:pPr>
    </w:p>
    <w:p>
      <w:pPr>
        <w:spacing w:line="240" w:lineRule="auto" w:before="6"/>
        <w:rPr>
          <w:rFonts w:ascii="宋体" w:hAnsi="宋体" w:cs="宋体" w:eastAsia="宋体" w:hint="default"/>
          <w:b/>
          <w:bCs/>
          <w:sz w:val="21"/>
          <w:szCs w:val="21"/>
        </w:rPr>
      </w:pPr>
    </w:p>
    <w:tbl>
      <w:tblPr>
        <w:tblW w:w="0" w:type="auto"/>
        <w:jc w:val="left"/>
        <w:tblInd w:w="682" w:type="dxa"/>
        <w:tblLayout w:type="fixed"/>
        <w:tblCellMar>
          <w:top w:w="0" w:type="dxa"/>
          <w:left w:w="0" w:type="dxa"/>
          <w:bottom w:w="0" w:type="dxa"/>
          <w:right w:w="0" w:type="dxa"/>
        </w:tblCellMar>
        <w:tblLook w:val="01E0"/>
      </w:tblPr>
      <w:tblGrid>
        <w:gridCol w:w="3958"/>
        <w:gridCol w:w="1680"/>
        <w:gridCol w:w="2206"/>
      </w:tblGrid>
      <w:tr>
        <w:trPr>
          <w:trHeight w:val="742" w:hRule="exact"/>
        </w:trPr>
        <w:tc>
          <w:tcPr>
            <w:tcW w:w="395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6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2206" w:type="dxa"/>
            <w:tcBorders>
              <w:top w:val="single" w:sz="12" w:space="0" w:color="000000"/>
              <w:left w:val="dotted" w:sz="4" w:space="0" w:color="000000"/>
              <w:bottom w:val="dotted" w:sz="4" w:space="0" w:color="000000"/>
              <w:right w:val="nil" w:sz="6" w:space="0" w:color="auto"/>
            </w:tcBorders>
          </w:tcPr>
          <w:p>
            <w:pPr>
              <w:pStyle w:val="TableParagraph"/>
              <w:spacing w:line="314" w:lineRule="auto" w:before="45"/>
              <w:ind w:left="623" w:right="154" w:hanging="473"/>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占公司全部营业收入</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370" w:hRule="exact"/>
        </w:trPr>
        <w:tc>
          <w:tcPr>
            <w:tcW w:w="395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2"/>
              <w:ind w:left="120" w:right="0"/>
              <w:jc w:val="left"/>
              <w:rPr>
                <w:rFonts w:ascii="宋体" w:hAnsi="宋体" w:cs="宋体" w:eastAsia="宋体" w:hint="default"/>
                <w:sz w:val="21"/>
                <w:szCs w:val="21"/>
              </w:rPr>
            </w:pPr>
            <w:r>
              <w:rPr>
                <w:rFonts w:ascii="宋体" w:hAnsi="宋体" w:cs="宋体" w:eastAsia="宋体" w:hint="default"/>
                <w:sz w:val="21"/>
                <w:szCs w:val="21"/>
              </w:rPr>
              <w:t>日立（上海）贸易有限公司</w:t>
            </w:r>
          </w:p>
        </w:tc>
        <w:tc>
          <w:tcPr>
            <w:tcW w:w="16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44,987,238.09</w:t>
            </w:r>
          </w:p>
        </w:tc>
        <w:tc>
          <w:tcPr>
            <w:tcW w:w="2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z w:val="21"/>
              </w:rPr>
              <w:t>8.64</w:t>
            </w:r>
          </w:p>
        </w:tc>
      </w:tr>
      <w:tr>
        <w:trPr>
          <w:trHeight w:val="370" w:hRule="exact"/>
        </w:trPr>
        <w:tc>
          <w:tcPr>
            <w:tcW w:w="395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2"/>
              <w:ind w:left="120" w:right="0"/>
              <w:jc w:val="left"/>
              <w:rPr>
                <w:rFonts w:ascii="宋体" w:hAnsi="宋体" w:cs="宋体" w:eastAsia="宋体" w:hint="default"/>
                <w:sz w:val="21"/>
                <w:szCs w:val="21"/>
              </w:rPr>
            </w:pPr>
            <w:r>
              <w:rPr>
                <w:rFonts w:ascii="宋体" w:hAnsi="宋体" w:cs="宋体" w:eastAsia="宋体" w:hint="default"/>
                <w:sz w:val="21"/>
                <w:szCs w:val="21"/>
              </w:rPr>
              <w:t>富士通（中国）信息系统有限公司</w:t>
            </w:r>
          </w:p>
        </w:tc>
        <w:tc>
          <w:tcPr>
            <w:tcW w:w="16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19,583,492.44</w:t>
            </w:r>
          </w:p>
        </w:tc>
        <w:tc>
          <w:tcPr>
            <w:tcW w:w="2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z w:val="21"/>
              </w:rPr>
              <w:t>3.76</w:t>
            </w:r>
          </w:p>
        </w:tc>
      </w:tr>
      <w:tr>
        <w:trPr>
          <w:trHeight w:val="370" w:hRule="exact"/>
        </w:trPr>
        <w:tc>
          <w:tcPr>
            <w:tcW w:w="395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2"/>
              <w:ind w:left="120" w:right="0"/>
              <w:jc w:val="left"/>
              <w:rPr>
                <w:rFonts w:ascii="宋体" w:hAnsi="宋体" w:cs="宋体" w:eastAsia="宋体" w:hint="default"/>
                <w:sz w:val="21"/>
                <w:szCs w:val="21"/>
              </w:rPr>
            </w:pPr>
            <w:r>
              <w:rPr>
                <w:rFonts w:ascii="宋体" w:hAnsi="宋体" w:cs="宋体" w:eastAsia="宋体" w:hint="default"/>
                <w:sz w:val="21"/>
                <w:szCs w:val="21"/>
              </w:rPr>
              <w:t>松下电器（中国）有限公司上海分公司</w:t>
            </w:r>
          </w:p>
        </w:tc>
        <w:tc>
          <w:tcPr>
            <w:tcW w:w="16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12,318,870.45</w:t>
            </w:r>
          </w:p>
        </w:tc>
        <w:tc>
          <w:tcPr>
            <w:tcW w:w="2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z w:val="21"/>
              </w:rPr>
              <w:t>2.37</w:t>
            </w:r>
          </w:p>
        </w:tc>
      </w:tr>
      <w:tr>
        <w:trPr>
          <w:trHeight w:val="370" w:hRule="exact"/>
        </w:trPr>
        <w:tc>
          <w:tcPr>
            <w:tcW w:w="395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2"/>
              <w:ind w:left="120" w:right="0"/>
              <w:jc w:val="left"/>
              <w:rPr>
                <w:rFonts w:ascii="宋体" w:hAnsi="宋体" w:cs="宋体" w:eastAsia="宋体" w:hint="default"/>
                <w:sz w:val="21"/>
                <w:szCs w:val="21"/>
              </w:rPr>
            </w:pPr>
            <w:r>
              <w:rPr>
                <w:rFonts w:ascii="宋体" w:hAnsi="宋体" w:cs="宋体" w:eastAsia="宋体" w:hint="default"/>
                <w:sz w:val="21"/>
                <w:szCs w:val="21"/>
              </w:rPr>
              <w:t>广西玉柴重工有限公司</w:t>
            </w:r>
          </w:p>
        </w:tc>
        <w:tc>
          <w:tcPr>
            <w:tcW w:w="16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10,504,763.33</w:t>
            </w:r>
          </w:p>
        </w:tc>
        <w:tc>
          <w:tcPr>
            <w:tcW w:w="2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z w:val="21"/>
              </w:rPr>
              <w:t>2.02</w:t>
            </w:r>
          </w:p>
        </w:tc>
      </w:tr>
      <w:tr>
        <w:trPr>
          <w:trHeight w:val="382" w:hRule="exact"/>
        </w:trPr>
        <w:tc>
          <w:tcPr>
            <w:tcW w:w="395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2"/>
              <w:ind w:left="120" w:right="0"/>
              <w:jc w:val="left"/>
              <w:rPr>
                <w:rFonts w:ascii="宋体" w:hAnsi="宋体" w:cs="宋体" w:eastAsia="宋体" w:hint="default"/>
                <w:sz w:val="21"/>
                <w:szCs w:val="21"/>
              </w:rPr>
            </w:pPr>
            <w:r>
              <w:rPr>
                <w:rFonts w:ascii="宋体" w:hAnsi="宋体" w:cs="宋体" w:eastAsia="宋体" w:hint="default"/>
                <w:sz w:val="21"/>
                <w:szCs w:val="21"/>
              </w:rPr>
              <w:t>青岛啤酒股份有限公司</w:t>
            </w:r>
          </w:p>
        </w:tc>
        <w:tc>
          <w:tcPr>
            <w:tcW w:w="16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10,498,601.92</w:t>
            </w:r>
          </w:p>
        </w:tc>
        <w:tc>
          <w:tcPr>
            <w:tcW w:w="220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z w:val="21"/>
              </w:rPr>
              <w:t>2.02</w:t>
            </w:r>
          </w:p>
        </w:tc>
      </w:tr>
    </w:tbl>
    <w:p>
      <w:pPr>
        <w:spacing w:line="240" w:lineRule="auto" w:before="10"/>
        <w:rPr>
          <w:rFonts w:ascii="宋体" w:hAnsi="宋体" w:cs="宋体" w:eastAsia="宋体" w:hint="default"/>
          <w:b/>
          <w:bCs/>
          <w:sz w:val="23"/>
          <w:szCs w:val="23"/>
        </w:rPr>
      </w:pPr>
    </w:p>
    <w:p>
      <w:pPr>
        <w:tabs>
          <w:tab w:pos="1400" w:val="left" w:leader="none"/>
        </w:tabs>
        <w:spacing w:before="36"/>
        <w:ind w:left="140" w:right="3443"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二十五</w:t>
      </w:r>
      <w:r>
        <w:rPr>
          <w:rFonts w:ascii="宋体" w:hAnsi="宋体" w:cs="宋体" w:eastAsia="宋体" w:hint="default"/>
          <w:b/>
          <w:bCs/>
          <w:spacing w:val="-1"/>
          <w:sz w:val="21"/>
          <w:szCs w:val="21"/>
        </w:rPr>
        <w:t>)</w:t>
        <w:tab/>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1"/>
          <w:szCs w:val="11"/>
        </w:rPr>
      </w:pPr>
    </w:p>
    <w:tbl>
      <w:tblPr>
        <w:tblW w:w="0" w:type="auto"/>
        <w:jc w:val="left"/>
        <w:tblInd w:w="670" w:type="dxa"/>
        <w:tblLayout w:type="fixed"/>
        <w:tblCellMar>
          <w:top w:w="0" w:type="dxa"/>
          <w:left w:w="0" w:type="dxa"/>
          <w:bottom w:w="0" w:type="dxa"/>
          <w:right w:w="0" w:type="dxa"/>
        </w:tblCellMar>
        <w:tblLook w:val="01E0"/>
      </w:tblPr>
      <w:tblGrid>
        <w:gridCol w:w="2307"/>
        <w:gridCol w:w="2266"/>
        <w:gridCol w:w="1922"/>
        <w:gridCol w:w="1275"/>
      </w:tblGrid>
      <w:tr>
        <w:trPr>
          <w:trHeight w:val="379" w:hRule="exact"/>
        </w:trPr>
        <w:tc>
          <w:tcPr>
            <w:tcW w:w="230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2"/>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2"/>
              <w:ind w:left="70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2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2"/>
              <w:ind w:left="535"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127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2"/>
              <w:ind w:left="208"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370" w:hRule="exact"/>
        </w:trPr>
        <w:tc>
          <w:tcPr>
            <w:tcW w:w="23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2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18,702,991.45</w:t>
            </w:r>
          </w:p>
        </w:tc>
        <w:tc>
          <w:tcPr>
            <w:tcW w:w="19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13,002,748.27</w:t>
            </w:r>
          </w:p>
        </w:tc>
        <w:tc>
          <w:tcPr>
            <w:tcW w:w="12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z w:val="21"/>
              </w:rPr>
              <w:t>5.00%</w:t>
            </w:r>
          </w:p>
        </w:tc>
      </w:tr>
      <w:tr>
        <w:trPr>
          <w:trHeight w:val="372" w:hRule="exact"/>
        </w:trPr>
        <w:tc>
          <w:tcPr>
            <w:tcW w:w="23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2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187,408.24</w:t>
            </w:r>
          </w:p>
        </w:tc>
        <w:tc>
          <w:tcPr>
            <w:tcW w:w="19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130,394.41</w:t>
            </w:r>
          </w:p>
        </w:tc>
        <w:tc>
          <w:tcPr>
            <w:tcW w:w="12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21"/>
                <w:szCs w:val="21"/>
              </w:rPr>
            </w:pPr>
            <w:r>
              <w:rPr>
                <w:rFonts w:ascii="Times New Roman"/>
                <w:sz w:val="21"/>
              </w:rPr>
              <w:t>1.00%</w:t>
            </w:r>
          </w:p>
        </w:tc>
      </w:tr>
      <w:tr>
        <w:trPr>
          <w:trHeight w:val="370" w:hRule="exact"/>
        </w:trPr>
        <w:tc>
          <w:tcPr>
            <w:tcW w:w="23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2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937,041.19</w:t>
            </w:r>
          </w:p>
        </w:tc>
        <w:tc>
          <w:tcPr>
            <w:tcW w:w="1922"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z w:val="21"/>
              </w:rPr>
              <w:t>5.00%</w:t>
            </w:r>
          </w:p>
        </w:tc>
      </w:tr>
      <w:tr>
        <w:trPr>
          <w:trHeight w:val="379" w:hRule="exact"/>
        </w:trPr>
        <w:tc>
          <w:tcPr>
            <w:tcW w:w="230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2"/>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19,827,440.88</w:t>
            </w:r>
          </w:p>
        </w:tc>
        <w:tc>
          <w:tcPr>
            <w:tcW w:w="192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13,133,142.68</w:t>
            </w:r>
          </w:p>
        </w:tc>
        <w:tc>
          <w:tcPr>
            <w:tcW w:w="1275"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b/>
          <w:bCs/>
          <w:sz w:val="23"/>
          <w:szCs w:val="23"/>
        </w:rPr>
      </w:pPr>
    </w:p>
    <w:p>
      <w:pPr>
        <w:tabs>
          <w:tab w:pos="1400" w:val="left" w:leader="none"/>
        </w:tabs>
        <w:spacing w:before="36"/>
        <w:ind w:left="140" w:right="3443"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二十六</w:t>
      </w:r>
      <w:r>
        <w:rPr>
          <w:rFonts w:ascii="宋体" w:hAnsi="宋体" w:cs="宋体" w:eastAsia="宋体" w:hint="default"/>
          <w:b/>
          <w:bCs/>
          <w:spacing w:val="-1"/>
          <w:sz w:val="21"/>
          <w:szCs w:val="21"/>
        </w:rPr>
        <w:t>)</w:t>
        <w:tab/>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1"/>
          <w:szCs w:val="11"/>
        </w:rPr>
      </w:pPr>
    </w:p>
    <w:tbl>
      <w:tblPr>
        <w:tblW w:w="0" w:type="auto"/>
        <w:jc w:val="left"/>
        <w:tblInd w:w="682" w:type="dxa"/>
        <w:tblLayout w:type="fixed"/>
        <w:tblCellMar>
          <w:top w:w="0" w:type="dxa"/>
          <w:left w:w="0" w:type="dxa"/>
          <w:bottom w:w="0" w:type="dxa"/>
          <w:right w:w="0" w:type="dxa"/>
        </w:tblCellMar>
        <w:tblLook w:val="01E0"/>
      </w:tblPr>
      <w:tblGrid>
        <w:gridCol w:w="3387"/>
        <w:gridCol w:w="2254"/>
        <w:gridCol w:w="2127"/>
      </w:tblGrid>
      <w:tr>
        <w:trPr>
          <w:trHeight w:val="382" w:hRule="exact"/>
        </w:trPr>
        <w:tc>
          <w:tcPr>
            <w:tcW w:w="338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5"/>
              <w:ind w:right="1469"/>
              <w:jc w:val="right"/>
              <w:rPr>
                <w:rFonts w:ascii="宋体" w:hAnsi="宋体" w:cs="宋体" w:eastAsia="宋体" w:hint="default"/>
                <w:sz w:val="21"/>
                <w:szCs w:val="21"/>
              </w:rPr>
            </w:pPr>
            <w:r>
              <w:rPr>
                <w:rFonts w:ascii="宋体" w:hAnsi="宋体" w:cs="宋体" w:eastAsia="宋体" w:hint="default"/>
                <w:sz w:val="21"/>
                <w:szCs w:val="21"/>
              </w:rPr>
              <w:t>项目</w:t>
            </w:r>
          </w:p>
        </w:tc>
        <w:tc>
          <w:tcPr>
            <w:tcW w:w="225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5"/>
              <w:ind w:left="700"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12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5"/>
              <w:ind w:left="63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70" w:hRule="exact"/>
        </w:trPr>
        <w:tc>
          <w:tcPr>
            <w:tcW w:w="33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2"/>
              <w:ind w:left="120" w:right="0"/>
              <w:jc w:val="left"/>
              <w:rPr>
                <w:rFonts w:ascii="宋体" w:hAnsi="宋体" w:cs="宋体" w:eastAsia="宋体" w:hint="default"/>
                <w:sz w:val="21"/>
                <w:szCs w:val="21"/>
              </w:rPr>
            </w:pPr>
            <w:r>
              <w:rPr>
                <w:rFonts w:ascii="宋体" w:hAnsi="宋体" w:cs="宋体" w:eastAsia="宋体" w:hint="default"/>
                <w:sz w:val="21"/>
                <w:szCs w:val="21"/>
              </w:rPr>
              <w:t>职工工资及奖金</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2"/>
                <w:sz w:val="21"/>
              </w:rPr>
              <w:t>11,353,882.85</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2"/>
                <w:sz w:val="21"/>
              </w:rPr>
              <w:t>11,025,766.35</w:t>
            </w:r>
          </w:p>
        </w:tc>
      </w:tr>
      <w:tr>
        <w:trPr>
          <w:trHeight w:val="370" w:hRule="exact"/>
        </w:trPr>
        <w:tc>
          <w:tcPr>
            <w:tcW w:w="33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2"/>
              <w:ind w:left="12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7,187,035.38</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5,093,480.25</w:t>
            </w:r>
          </w:p>
        </w:tc>
      </w:tr>
      <w:tr>
        <w:trPr>
          <w:trHeight w:val="370" w:hRule="exact"/>
        </w:trPr>
        <w:tc>
          <w:tcPr>
            <w:tcW w:w="33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3"/>
              <w:ind w:left="120"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3,431,314.00</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2,605,247.23</w:t>
            </w:r>
          </w:p>
        </w:tc>
      </w:tr>
      <w:tr>
        <w:trPr>
          <w:trHeight w:val="372" w:hRule="exact"/>
        </w:trPr>
        <w:tc>
          <w:tcPr>
            <w:tcW w:w="33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5"/>
              <w:ind w:left="120" w:right="0"/>
              <w:jc w:val="left"/>
              <w:rPr>
                <w:rFonts w:ascii="宋体" w:hAnsi="宋体" w:cs="宋体" w:eastAsia="宋体" w:hint="default"/>
                <w:sz w:val="21"/>
                <w:szCs w:val="21"/>
              </w:rPr>
            </w:pPr>
            <w:r>
              <w:rPr>
                <w:rFonts w:ascii="宋体" w:hAnsi="宋体" w:cs="宋体" w:eastAsia="宋体" w:hint="default"/>
                <w:sz w:val="21"/>
                <w:szCs w:val="21"/>
              </w:rPr>
              <w:t>展览费和广告费</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529,152.60</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4"/>
              <w:ind w:right="104"/>
              <w:jc w:val="right"/>
              <w:rPr>
                <w:rFonts w:ascii="Times New Roman" w:hAnsi="Times New Roman" w:cs="Times New Roman" w:eastAsia="Times New Roman" w:hint="default"/>
                <w:sz w:val="21"/>
                <w:szCs w:val="21"/>
              </w:rPr>
            </w:pPr>
            <w:r>
              <w:rPr>
                <w:rFonts w:ascii="Times New Roman"/>
                <w:spacing w:val="-1"/>
                <w:sz w:val="21"/>
              </w:rPr>
              <w:t>898,150.00</w:t>
            </w:r>
          </w:p>
        </w:tc>
      </w:tr>
      <w:tr>
        <w:trPr>
          <w:trHeight w:val="370" w:hRule="exact"/>
        </w:trPr>
        <w:tc>
          <w:tcPr>
            <w:tcW w:w="33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2"/>
              <w:ind w:left="120" w:right="0"/>
              <w:jc w:val="left"/>
              <w:rPr>
                <w:rFonts w:ascii="宋体" w:hAnsi="宋体" w:cs="宋体" w:eastAsia="宋体" w:hint="default"/>
                <w:sz w:val="21"/>
                <w:szCs w:val="21"/>
              </w:rPr>
            </w:pPr>
            <w:r>
              <w:rPr>
                <w:rFonts w:ascii="宋体" w:hAnsi="宋体" w:cs="宋体" w:eastAsia="宋体" w:hint="default"/>
                <w:sz w:val="21"/>
                <w:szCs w:val="21"/>
              </w:rPr>
              <w:t>其他销售费用</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5,562,718.22</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4,724,128.94</w:t>
            </w:r>
          </w:p>
        </w:tc>
      </w:tr>
      <w:tr>
        <w:trPr>
          <w:trHeight w:val="379" w:hRule="exact"/>
        </w:trPr>
        <w:tc>
          <w:tcPr>
            <w:tcW w:w="338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2"/>
              <w:ind w:right="1469"/>
              <w:jc w:val="right"/>
              <w:rPr>
                <w:rFonts w:ascii="宋体" w:hAnsi="宋体" w:cs="宋体" w:eastAsia="宋体" w:hint="default"/>
                <w:sz w:val="21"/>
                <w:szCs w:val="21"/>
              </w:rPr>
            </w:pPr>
            <w:r>
              <w:rPr>
                <w:rFonts w:ascii="宋体" w:hAnsi="宋体" w:cs="宋体" w:eastAsia="宋体" w:hint="default"/>
                <w:sz w:val="21"/>
                <w:szCs w:val="21"/>
              </w:rPr>
              <w:t>合计</w:t>
            </w:r>
          </w:p>
        </w:tc>
        <w:tc>
          <w:tcPr>
            <w:tcW w:w="22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28,064,103.05</w:t>
            </w:r>
          </w:p>
        </w:tc>
        <w:tc>
          <w:tcPr>
            <w:tcW w:w="212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24,346,772.77</w:t>
            </w:r>
          </w:p>
        </w:tc>
      </w:tr>
    </w:tbl>
    <w:p>
      <w:pPr>
        <w:spacing w:line="240" w:lineRule="auto" w:before="10"/>
        <w:rPr>
          <w:rFonts w:ascii="宋体" w:hAnsi="宋体" w:cs="宋体" w:eastAsia="宋体" w:hint="default"/>
          <w:b/>
          <w:bCs/>
          <w:sz w:val="23"/>
          <w:szCs w:val="23"/>
        </w:rPr>
      </w:pPr>
    </w:p>
    <w:p>
      <w:pPr>
        <w:tabs>
          <w:tab w:pos="1400" w:val="left" w:leader="none"/>
        </w:tabs>
        <w:spacing w:before="36"/>
        <w:ind w:left="140" w:right="3443"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二十七</w:t>
      </w:r>
      <w:r>
        <w:rPr>
          <w:rFonts w:ascii="宋体" w:hAnsi="宋体" w:cs="宋体" w:eastAsia="宋体" w:hint="default"/>
          <w:b/>
          <w:bCs/>
          <w:spacing w:val="-1"/>
          <w:sz w:val="21"/>
          <w:szCs w:val="21"/>
        </w:rPr>
        <w:t>)</w:t>
        <w:tab/>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682" w:type="dxa"/>
        <w:tblLayout w:type="fixed"/>
        <w:tblCellMar>
          <w:top w:w="0" w:type="dxa"/>
          <w:left w:w="0" w:type="dxa"/>
          <w:bottom w:w="0" w:type="dxa"/>
          <w:right w:w="0" w:type="dxa"/>
        </w:tblCellMar>
        <w:tblLook w:val="01E0"/>
      </w:tblPr>
      <w:tblGrid>
        <w:gridCol w:w="3373"/>
        <w:gridCol w:w="2268"/>
        <w:gridCol w:w="2127"/>
      </w:tblGrid>
      <w:tr>
        <w:trPr>
          <w:trHeight w:val="334" w:hRule="exact"/>
        </w:trPr>
        <w:tc>
          <w:tcPr>
            <w:tcW w:w="3373" w:type="dxa"/>
            <w:tcBorders>
              <w:top w:val="single" w:sz="12" w:space="0" w:color="000000"/>
              <w:left w:val="nil" w:sz="6" w:space="0" w:color="auto"/>
              <w:bottom w:val="dotted" w:sz="4" w:space="0" w:color="000000"/>
              <w:right w:val="dotted" w:sz="4" w:space="0" w:color="000000"/>
            </w:tcBorders>
          </w:tcPr>
          <w:p>
            <w:pPr>
              <w:pStyle w:val="TableParagraph"/>
              <w:spacing w:line="265" w:lineRule="exact"/>
              <w:ind w:left="12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12" w:space="0" w:color="000000"/>
              <w:left w:val="dotted" w:sz="4" w:space="0" w:color="000000"/>
              <w:bottom w:val="dotted" w:sz="4" w:space="0" w:color="000000"/>
              <w:right w:val="dotted"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127" w:type="dxa"/>
            <w:tcBorders>
              <w:top w:val="single" w:sz="12" w:space="0" w:color="000000"/>
              <w:left w:val="dotted" w:sz="4" w:space="0" w:color="000000"/>
              <w:bottom w:val="dotted" w:sz="4" w:space="0" w:color="000000"/>
              <w:right w:val="nil" w:sz="6" w:space="0" w:color="auto"/>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22"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62" w:lineRule="exact"/>
              <w:ind w:left="120"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16,126,974.36</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15,139,808.17</w:t>
            </w:r>
          </w:p>
        </w:tc>
      </w:tr>
      <w:tr>
        <w:trPr>
          <w:trHeight w:val="322"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62" w:lineRule="exact"/>
              <w:ind w:left="120" w:right="0"/>
              <w:jc w:val="left"/>
              <w:rPr>
                <w:rFonts w:ascii="宋体" w:hAnsi="宋体" w:cs="宋体" w:eastAsia="宋体" w:hint="default"/>
                <w:sz w:val="21"/>
                <w:szCs w:val="21"/>
              </w:rPr>
            </w:pPr>
            <w:r>
              <w:rPr>
                <w:rFonts w:ascii="宋体" w:hAnsi="宋体" w:cs="宋体" w:eastAsia="宋体" w:hint="default"/>
                <w:sz w:val="21"/>
                <w:szCs w:val="21"/>
              </w:rPr>
              <w:t>职工工资及奖金</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7,287,610.42</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7,048,257.32</w:t>
            </w:r>
          </w:p>
        </w:tc>
      </w:tr>
      <w:tr>
        <w:trPr>
          <w:trHeight w:val="322"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62" w:lineRule="exact"/>
              <w:ind w:left="120"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6,437,929.28</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4,748,213.70</w:t>
            </w:r>
          </w:p>
        </w:tc>
      </w:tr>
      <w:tr>
        <w:trPr>
          <w:trHeight w:val="324"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65" w:lineRule="exact"/>
              <w:ind w:left="120"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6"/>
              <w:ind w:left="103" w:right="0"/>
              <w:jc w:val="left"/>
              <w:rPr>
                <w:rFonts w:ascii="Times New Roman" w:hAnsi="Times New Roman" w:cs="Times New Roman" w:eastAsia="Times New Roman" w:hint="default"/>
                <w:sz w:val="21"/>
                <w:szCs w:val="21"/>
              </w:rPr>
            </w:pPr>
            <w:r>
              <w:rPr>
                <w:rFonts w:ascii="Times New Roman"/>
                <w:sz w:val="21"/>
              </w:rPr>
              <w:t>2,754,503.24</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6"/>
              <w:ind w:left="103" w:right="0"/>
              <w:jc w:val="left"/>
              <w:rPr>
                <w:rFonts w:ascii="Times New Roman" w:hAnsi="Times New Roman" w:cs="Times New Roman" w:eastAsia="Times New Roman" w:hint="default"/>
                <w:sz w:val="21"/>
                <w:szCs w:val="21"/>
              </w:rPr>
            </w:pPr>
            <w:r>
              <w:rPr>
                <w:rFonts w:ascii="Times New Roman"/>
                <w:sz w:val="21"/>
              </w:rPr>
              <w:t>2,409,182.20</w:t>
            </w:r>
          </w:p>
        </w:tc>
      </w:tr>
      <w:tr>
        <w:trPr>
          <w:trHeight w:val="322"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63" w:lineRule="exact"/>
              <w:ind w:left="120" w:right="0"/>
              <w:jc w:val="left"/>
              <w:rPr>
                <w:rFonts w:ascii="宋体" w:hAnsi="宋体" w:cs="宋体" w:eastAsia="宋体" w:hint="default"/>
                <w:sz w:val="21"/>
                <w:szCs w:val="21"/>
              </w:rPr>
            </w:pPr>
            <w:r>
              <w:rPr>
                <w:rFonts w:ascii="宋体" w:hAnsi="宋体" w:cs="宋体" w:eastAsia="宋体" w:hint="default"/>
                <w:sz w:val="21"/>
                <w:szCs w:val="21"/>
              </w:rPr>
              <w:t>其他资产摊销</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5"/>
              <w:ind w:left="103" w:right="0"/>
              <w:jc w:val="left"/>
              <w:rPr>
                <w:rFonts w:ascii="Times New Roman" w:hAnsi="Times New Roman" w:cs="Times New Roman" w:eastAsia="Times New Roman" w:hint="default"/>
                <w:sz w:val="21"/>
                <w:szCs w:val="21"/>
              </w:rPr>
            </w:pPr>
            <w:r>
              <w:rPr>
                <w:rFonts w:ascii="Times New Roman"/>
                <w:sz w:val="21"/>
              </w:rPr>
              <w:t>1,228,223.43</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5"/>
              <w:ind w:left="103" w:right="0"/>
              <w:jc w:val="left"/>
              <w:rPr>
                <w:rFonts w:ascii="Times New Roman" w:hAnsi="Times New Roman" w:cs="Times New Roman" w:eastAsia="Times New Roman" w:hint="default"/>
                <w:sz w:val="21"/>
                <w:szCs w:val="21"/>
              </w:rPr>
            </w:pPr>
            <w:r>
              <w:rPr>
                <w:rFonts w:ascii="Times New Roman"/>
                <w:sz w:val="21"/>
              </w:rPr>
              <w:t>1,057,863.08</w:t>
            </w:r>
          </w:p>
        </w:tc>
      </w:tr>
      <w:tr>
        <w:trPr>
          <w:trHeight w:val="322"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62" w:lineRule="exact"/>
              <w:ind w:left="120" w:right="0"/>
              <w:jc w:val="left"/>
              <w:rPr>
                <w:rFonts w:ascii="宋体" w:hAnsi="宋体" w:cs="宋体" w:eastAsia="宋体" w:hint="default"/>
                <w:sz w:val="21"/>
                <w:szCs w:val="21"/>
              </w:rPr>
            </w:pPr>
            <w:r>
              <w:rPr>
                <w:rFonts w:ascii="宋体" w:hAnsi="宋体" w:cs="宋体" w:eastAsia="宋体" w:hint="default"/>
                <w:sz w:val="21"/>
                <w:szCs w:val="21"/>
              </w:rPr>
              <w:t>股权激励成本</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3,868,176.21</w:t>
            </w:r>
          </w:p>
        </w:tc>
        <w:tc>
          <w:tcPr>
            <w:tcW w:w="2127"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62" w:lineRule="exact"/>
              <w:ind w:left="120" w:right="0"/>
              <w:jc w:val="left"/>
              <w:rPr>
                <w:rFonts w:ascii="宋体" w:hAnsi="宋体" w:cs="宋体" w:eastAsia="宋体" w:hint="default"/>
                <w:sz w:val="21"/>
                <w:szCs w:val="21"/>
              </w:rPr>
            </w:pPr>
            <w:r>
              <w:rPr>
                <w:rFonts w:ascii="宋体" w:hAnsi="宋体" w:cs="宋体" w:eastAsia="宋体" w:hint="default"/>
                <w:sz w:val="21"/>
                <w:szCs w:val="21"/>
              </w:rPr>
              <w:t>其他管理费用</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15,878,978.10</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11,239,244.70</w:t>
            </w:r>
          </w:p>
        </w:tc>
      </w:tr>
      <w:tr>
        <w:trPr>
          <w:trHeight w:val="334" w:hRule="exact"/>
        </w:trPr>
        <w:tc>
          <w:tcPr>
            <w:tcW w:w="3373" w:type="dxa"/>
            <w:tcBorders>
              <w:top w:val="dotted" w:sz="4" w:space="0" w:color="000000"/>
              <w:left w:val="nil" w:sz="6" w:space="0" w:color="auto"/>
              <w:bottom w:val="single" w:sz="12" w:space="0" w:color="000000"/>
              <w:right w:val="dotted" w:sz="4" w:space="0" w:color="000000"/>
            </w:tcBorders>
          </w:tcPr>
          <w:p>
            <w:pPr>
              <w:pStyle w:val="TableParagraph"/>
              <w:spacing w:line="262" w:lineRule="exact"/>
              <w:ind w:left="12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53,582,395.04</w:t>
            </w:r>
          </w:p>
        </w:tc>
        <w:tc>
          <w:tcPr>
            <w:tcW w:w="212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41,642,569.17</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1400" w:val="left" w:leader="none"/>
        </w:tabs>
        <w:spacing w:before="174"/>
        <w:ind w:left="140" w:right="3443"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二十八</w:t>
      </w:r>
      <w:r>
        <w:rPr>
          <w:rFonts w:ascii="宋体" w:hAnsi="宋体" w:cs="宋体" w:eastAsia="宋体" w:hint="default"/>
          <w:b/>
          <w:bCs/>
          <w:spacing w:val="-1"/>
          <w:sz w:val="21"/>
          <w:szCs w:val="21"/>
        </w:rPr>
        <w:t>)</w:t>
        <w:tab/>
      </w:r>
      <w:r>
        <w:rPr>
          <w:rFonts w:ascii="宋体" w:hAnsi="宋体" w:cs="宋体" w:eastAsia="宋体" w:hint="default"/>
          <w:b/>
          <w:bCs/>
          <w:sz w:val="21"/>
          <w:szCs w:val="21"/>
        </w:rPr>
        <w:t>财务费用</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84" w:footer="980" w:top="1140" w:bottom="1160" w:left="1660" w:right="1560"/>
        </w:sectPr>
      </w:pPr>
    </w:p>
    <w:p>
      <w:pPr>
        <w:spacing w:line="240" w:lineRule="auto" w:before="6"/>
        <w:rPr>
          <w:rFonts w:ascii="宋体" w:hAnsi="宋体" w:cs="宋体" w:eastAsia="宋体" w:hint="default"/>
          <w:b/>
          <w:bCs/>
          <w:sz w:val="21"/>
          <w:szCs w:val="21"/>
        </w:rPr>
      </w:pPr>
    </w:p>
    <w:tbl>
      <w:tblPr>
        <w:tblW w:w="0" w:type="auto"/>
        <w:jc w:val="left"/>
        <w:tblInd w:w="682" w:type="dxa"/>
        <w:tblLayout w:type="fixed"/>
        <w:tblCellMar>
          <w:top w:w="0" w:type="dxa"/>
          <w:left w:w="0" w:type="dxa"/>
          <w:bottom w:w="0" w:type="dxa"/>
          <w:right w:w="0" w:type="dxa"/>
        </w:tblCellMar>
        <w:tblLook w:val="01E0"/>
      </w:tblPr>
      <w:tblGrid>
        <w:gridCol w:w="3373"/>
        <w:gridCol w:w="2268"/>
        <w:gridCol w:w="2127"/>
      </w:tblGrid>
      <w:tr>
        <w:trPr>
          <w:trHeight w:val="331" w:hRule="exact"/>
        </w:trPr>
        <w:tc>
          <w:tcPr>
            <w:tcW w:w="337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left="120"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2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12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4"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left="120"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268" w:type="dxa"/>
            <w:tcBorders>
              <w:top w:val="dotted" w:sz="4" w:space="0" w:color="000000"/>
              <w:left w:val="dotted" w:sz="4" w:space="0" w:color="000000"/>
              <w:bottom w:val="dotted" w:sz="4" w:space="0" w:color="000000"/>
              <w:right w:val="dotted" w:sz="4" w:space="0" w:color="000000"/>
            </w:tcBorders>
          </w:tcPr>
          <w:p>
            <w:pPr/>
          </w:p>
        </w:tc>
        <w:tc>
          <w:tcPr>
            <w:tcW w:w="2127"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-25,485,114.01</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2,388,900.97</w:t>
            </w:r>
          </w:p>
        </w:tc>
      </w:tr>
      <w:tr>
        <w:trPr>
          <w:trHeight w:val="322"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0"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110,724.72</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-1,290,797.36</w:t>
            </w:r>
          </w:p>
        </w:tc>
      </w:tr>
      <w:tr>
        <w:trPr>
          <w:trHeight w:val="322"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43,065.15</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29,705.49</w:t>
            </w:r>
          </w:p>
        </w:tc>
      </w:tr>
      <w:tr>
        <w:trPr>
          <w:trHeight w:val="334" w:hRule="exact"/>
        </w:trPr>
        <w:tc>
          <w:tcPr>
            <w:tcW w:w="337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1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-25,331,324.14</w:t>
            </w:r>
          </w:p>
        </w:tc>
        <w:tc>
          <w:tcPr>
            <w:tcW w:w="212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-3,649,992.84</w:t>
            </w:r>
          </w:p>
        </w:tc>
      </w:tr>
    </w:tbl>
    <w:p>
      <w:pPr>
        <w:spacing w:line="240" w:lineRule="auto" w:before="2"/>
        <w:rPr>
          <w:rFonts w:ascii="宋体" w:hAnsi="宋体" w:cs="宋体" w:eastAsia="宋体" w:hint="default"/>
          <w:b/>
          <w:bCs/>
          <w:sz w:val="20"/>
          <w:szCs w:val="20"/>
        </w:rPr>
      </w:pPr>
    </w:p>
    <w:p>
      <w:pPr>
        <w:tabs>
          <w:tab w:pos="1400" w:val="left" w:leader="none"/>
        </w:tabs>
        <w:spacing w:before="36"/>
        <w:ind w:left="140" w:right="182"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二十九</w:t>
      </w:r>
      <w:r>
        <w:rPr>
          <w:rFonts w:ascii="宋体" w:hAnsi="宋体" w:cs="宋体" w:eastAsia="宋体" w:hint="default"/>
          <w:b/>
          <w:bCs/>
          <w:spacing w:val="-1"/>
          <w:sz w:val="21"/>
          <w:szCs w:val="21"/>
        </w:rPr>
        <w:t>)</w:t>
        <w:tab/>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682" w:type="dxa"/>
        <w:tblLayout w:type="fixed"/>
        <w:tblCellMar>
          <w:top w:w="0" w:type="dxa"/>
          <w:left w:w="0" w:type="dxa"/>
          <w:bottom w:w="0" w:type="dxa"/>
          <w:right w:w="0" w:type="dxa"/>
        </w:tblCellMar>
        <w:tblLook w:val="01E0"/>
      </w:tblPr>
      <w:tblGrid>
        <w:gridCol w:w="4191"/>
        <w:gridCol w:w="1733"/>
        <w:gridCol w:w="1844"/>
      </w:tblGrid>
      <w:tr>
        <w:trPr>
          <w:trHeight w:val="394" w:hRule="exact"/>
        </w:trPr>
        <w:tc>
          <w:tcPr>
            <w:tcW w:w="419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9"/>
              <w:ind w:right="1903"/>
              <w:jc w:val="right"/>
              <w:rPr>
                <w:rFonts w:ascii="宋体" w:hAnsi="宋体" w:cs="宋体" w:eastAsia="宋体" w:hint="default"/>
                <w:sz w:val="18"/>
                <w:szCs w:val="18"/>
              </w:rPr>
            </w:pPr>
            <w:r>
              <w:rPr>
                <w:rFonts w:ascii="宋体" w:hAnsi="宋体" w:cs="宋体" w:eastAsia="宋体" w:hint="default"/>
                <w:sz w:val="18"/>
                <w:szCs w:val="18"/>
              </w:rPr>
              <w:t>项目</w:t>
            </w:r>
          </w:p>
        </w:tc>
        <w:tc>
          <w:tcPr>
            <w:tcW w:w="173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50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4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9"/>
              <w:ind w:left="55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84" w:hRule="exact"/>
        </w:trPr>
        <w:tc>
          <w:tcPr>
            <w:tcW w:w="41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0"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1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8,558,510.65</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3,297,820.01</w:t>
            </w:r>
          </w:p>
        </w:tc>
      </w:tr>
      <w:tr>
        <w:trPr>
          <w:trHeight w:val="396" w:hRule="exact"/>
        </w:trPr>
        <w:tc>
          <w:tcPr>
            <w:tcW w:w="419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right="1903"/>
              <w:jc w:val="right"/>
              <w:rPr>
                <w:rFonts w:ascii="宋体" w:hAnsi="宋体" w:cs="宋体" w:eastAsia="宋体" w:hint="default"/>
                <w:sz w:val="18"/>
                <w:szCs w:val="18"/>
              </w:rPr>
            </w:pPr>
            <w:r>
              <w:rPr>
                <w:rFonts w:ascii="宋体" w:hAnsi="宋体" w:cs="宋体" w:eastAsia="宋体" w:hint="default"/>
                <w:sz w:val="18"/>
                <w:szCs w:val="18"/>
              </w:rPr>
              <w:t>合计</w:t>
            </w:r>
          </w:p>
        </w:tc>
        <w:tc>
          <w:tcPr>
            <w:tcW w:w="17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8,558,510.65</w:t>
            </w:r>
          </w:p>
        </w:tc>
        <w:tc>
          <w:tcPr>
            <w:tcW w:w="184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18"/>
                <w:szCs w:val="18"/>
              </w:rPr>
            </w:pPr>
            <w:r>
              <w:rPr>
                <w:rFonts w:ascii="Times New Roman"/>
                <w:spacing w:val="-1"/>
                <w:sz w:val="18"/>
              </w:rPr>
              <w:t>3,297,820.01</w:t>
            </w:r>
          </w:p>
        </w:tc>
      </w:tr>
    </w:tbl>
    <w:p>
      <w:pPr>
        <w:spacing w:line="240" w:lineRule="auto" w:before="4"/>
        <w:rPr>
          <w:rFonts w:ascii="宋体" w:hAnsi="宋体" w:cs="宋体" w:eastAsia="宋体" w:hint="default"/>
          <w:b/>
          <w:bCs/>
          <w:sz w:val="25"/>
          <w:szCs w:val="25"/>
        </w:rPr>
      </w:pPr>
    </w:p>
    <w:p>
      <w:pPr>
        <w:tabs>
          <w:tab w:pos="980" w:val="left" w:leader="none"/>
        </w:tabs>
        <w:spacing w:before="36"/>
        <w:ind w:left="140" w:right="182"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三十</w:t>
      </w:r>
      <w:r>
        <w:rPr>
          <w:rFonts w:ascii="宋体" w:hAnsi="宋体" w:cs="宋体" w:eastAsia="宋体" w:hint="default"/>
          <w:b/>
          <w:bCs/>
          <w:spacing w:val="-1"/>
          <w:sz w:val="21"/>
          <w:szCs w:val="21"/>
        </w:rPr>
        <w:t>)</w:t>
        <w:tab/>
      </w:r>
      <w:r>
        <w:rPr>
          <w:rFonts w:ascii="宋体" w:hAnsi="宋体" w:cs="宋体" w:eastAsia="宋体" w:hint="default"/>
          <w:b/>
          <w:bCs/>
          <w:sz w:val="21"/>
          <w:szCs w:val="21"/>
        </w:rPr>
        <w:t>营业外收入</w:t>
      </w:r>
      <w:r>
        <w:rPr>
          <w:rFonts w:ascii="宋体" w:hAnsi="宋体" w:cs="宋体" w:eastAsia="宋体" w:hint="default"/>
          <w:sz w:val="21"/>
          <w:szCs w:val="21"/>
        </w:rPr>
      </w:r>
    </w:p>
    <w:p>
      <w:pPr>
        <w:tabs>
          <w:tab w:pos="1395" w:val="left" w:leader="none"/>
        </w:tabs>
        <w:spacing w:before="142"/>
        <w:ind w:left="858" w:right="182"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tab/>
        <w:t>营业外收入分项目情况</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670" w:type="dxa"/>
        <w:tblLayout w:type="fixed"/>
        <w:tblCellMar>
          <w:top w:w="0" w:type="dxa"/>
          <w:left w:w="0" w:type="dxa"/>
          <w:bottom w:w="0" w:type="dxa"/>
          <w:right w:w="0" w:type="dxa"/>
        </w:tblCellMar>
        <w:tblLook w:val="01E0"/>
      </w:tblPr>
      <w:tblGrid>
        <w:gridCol w:w="2581"/>
        <w:gridCol w:w="1745"/>
        <w:gridCol w:w="1745"/>
        <w:gridCol w:w="1748"/>
      </w:tblGrid>
      <w:tr>
        <w:trPr>
          <w:trHeight w:val="770" w:hRule="exact"/>
        </w:trPr>
        <w:tc>
          <w:tcPr>
            <w:tcW w:w="258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97"/>
              <w:jc w:val="right"/>
              <w:rPr>
                <w:rFonts w:ascii="宋体" w:hAnsi="宋体" w:cs="宋体" w:eastAsia="宋体" w:hint="default"/>
                <w:sz w:val="18"/>
                <w:szCs w:val="18"/>
              </w:rPr>
            </w:pPr>
            <w:r>
              <w:rPr>
                <w:rFonts w:ascii="宋体" w:hAnsi="宋体" w:cs="宋体" w:eastAsia="宋体" w:hint="default"/>
                <w:sz w:val="18"/>
                <w:szCs w:val="18"/>
              </w:rPr>
              <w:t>项目</w:t>
            </w:r>
          </w:p>
        </w:tc>
        <w:tc>
          <w:tcPr>
            <w:tcW w:w="174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4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748" w:type="dxa"/>
            <w:tcBorders>
              <w:top w:val="single" w:sz="12" w:space="0" w:color="000000"/>
              <w:left w:val="dotted" w:sz="4" w:space="0" w:color="000000"/>
              <w:bottom w:val="dotted" w:sz="4" w:space="0" w:color="000000"/>
              <w:right w:val="nil" w:sz="6" w:space="0" w:color="auto"/>
            </w:tcBorders>
          </w:tcPr>
          <w:p>
            <w:pPr>
              <w:pStyle w:val="TableParagraph"/>
              <w:spacing w:line="381" w:lineRule="auto" w:before="41"/>
              <w:ind w:left="417" w:right="152" w:hanging="269"/>
              <w:jc w:val="left"/>
              <w:rPr>
                <w:rFonts w:ascii="宋体" w:hAnsi="宋体" w:cs="宋体" w:eastAsia="宋体" w:hint="default"/>
                <w:sz w:val="18"/>
                <w:szCs w:val="18"/>
              </w:rPr>
            </w:pPr>
            <w:r>
              <w:rPr>
                <w:rFonts w:ascii="宋体" w:hAnsi="宋体" w:cs="宋体" w:eastAsia="宋体" w:hint="default"/>
                <w:sz w:val="18"/>
                <w:szCs w:val="18"/>
              </w:rPr>
              <w:t>计入本期非经常性 损益的金额</w:t>
            </w:r>
          </w:p>
        </w:tc>
      </w:tr>
      <w:tr>
        <w:trPr>
          <w:trHeight w:val="384" w:hRule="exact"/>
        </w:trPr>
        <w:tc>
          <w:tcPr>
            <w:tcW w:w="25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7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17,304,067.16</w:t>
            </w:r>
          </w:p>
        </w:tc>
        <w:tc>
          <w:tcPr>
            <w:tcW w:w="17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15,164,962.46</w:t>
            </w:r>
          </w:p>
        </w:tc>
        <w:tc>
          <w:tcPr>
            <w:tcW w:w="17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17,278,000.00</w:t>
            </w:r>
          </w:p>
        </w:tc>
      </w:tr>
      <w:tr>
        <w:trPr>
          <w:trHeight w:val="384" w:hRule="exact"/>
        </w:trPr>
        <w:tc>
          <w:tcPr>
            <w:tcW w:w="25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342,426.50</w:t>
            </w:r>
          </w:p>
        </w:tc>
        <w:tc>
          <w:tcPr>
            <w:tcW w:w="17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285,656.02</w:t>
            </w:r>
          </w:p>
        </w:tc>
        <w:tc>
          <w:tcPr>
            <w:tcW w:w="17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342,426.50</w:t>
            </w:r>
          </w:p>
        </w:tc>
      </w:tr>
      <w:tr>
        <w:trPr>
          <w:trHeight w:val="396" w:hRule="exact"/>
        </w:trPr>
        <w:tc>
          <w:tcPr>
            <w:tcW w:w="258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9"/>
              <w:ind w:right="1097"/>
              <w:jc w:val="right"/>
              <w:rPr>
                <w:rFonts w:ascii="宋体" w:hAnsi="宋体" w:cs="宋体" w:eastAsia="宋体" w:hint="default"/>
                <w:sz w:val="18"/>
                <w:szCs w:val="18"/>
              </w:rPr>
            </w:pPr>
            <w:r>
              <w:rPr>
                <w:rFonts w:ascii="宋体" w:hAnsi="宋体" w:cs="宋体" w:eastAsia="宋体" w:hint="default"/>
                <w:sz w:val="18"/>
                <w:szCs w:val="18"/>
              </w:rPr>
              <w:t>合计</w:t>
            </w:r>
          </w:p>
        </w:tc>
        <w:tc>
          <w:tcPr>
            <w:tcW w:w="174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17,646,493.66</w:t>
            </w:r>
          </w:p>
        </w:tc>
        <w:tc>
          <w:tcPr>
            <w:tcW w:w="174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15,450,618.48</w:t>
            </w:r>
          </w:p>
        </w:tc>
        <w:tc>
          <w:tcPr>
            <w:tcW w:w="174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17,620,426.50</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tabs>
          <w:tab w:pos="1395" w:val="left" w:leader="none"/>
        </w:tabs>
        <w:spacing w:before="0"/>
        <w:ind w:left="858" w:right="18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t>政府补助明细</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601" w:type="dxa"/>
        <w:tblLayout w:type="fixed"/>
        <w:tblCellMar>
          <w:top w:w="0" w:type="dxa"/>
          <w:left w:w="0" w:type="dxa"/>
          <w:bottom w:w="0" w:type="dxa"/>
          <w:right w:w="0" w:type="dxa"/>
        </w:tblCellMar>
        <w:tblLook w:val="01E0"/>
      </w:tblPr>
      <w:tblGrid>
        <w:gridCol w:w="1510"/>
        <w:gridCol w:w="1702"/>
        <w:gridCol w:w="1049"/>
        <w:gridCol w:w="1052"/>
        <w:gridCol w:w="1260"/>
        <w:gridCol w:w="1261"/>
      </w:tblGrid>
      <w:tr>
        <w:trPr>
          <w:trHeight w:val="394" w:hRule="exact"/>
        </w:trPr>
        <w:tc>
          <w:tcPr>
            <w:tcW w:w="151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9"/>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216" w:right="0"/>
              <w:jc w:val="left"/>
              <w:rPr>
                <w:rFonts w:ascii="宋体" w:hAnsi="宋体" w:cs="宋体" w:eastAsia="宋体" w:hint="default"/>
                <w:sz w:val="18"/>
                <w:szCs w:val="18"/>
              </w:rPr>
            </w:pPr>
            <w:r>
              <w:rPr>
                <w:rFonts w:ascii="宋体" w:hAnsi="宋体" w:cs="宋体" w:eastAsia="宋体" w:hint="default"/>
                <w:sz w:val="18"/>
                <w:szCs w:val="18"/>
              </w:rPr>
              <w:t>具体性质和内容</w:t>
            </w:r>
          </w:p>
        </w:tc>
        <w:tc>
          <w:tcPr>
            <w:tcW w:w="104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338" w:right="0"/>
              <w:jc w:val="left"/>
              <w:rPr>
                <w:rFonts w:ascii="宋体" w:hAnsi="宋体" w:cs="宋体" w:eastAsia="宋体" w:hint="default"/>
                <w:sz w:val="18"/>
                <w:szCs w:val="18"/>
              </w:rPr>
            </w:pPr>
            <w:r>
              <w:rPr>
                <w:rFonts w:ascii="宋体" w:hAnsi="宋体" w:cs="宋体" w:eastAsia="宋体" w:hint="default"/>
                <w:sz w:val="18"/>
                <w:szCs w:val="18"/>
              </w:rPr>
              <w:t>形式</w:t>
            </w:r>
          </w:p>
        </w:tc>
        <w:tc>
          <w:tcPr>
            <w:tcW w:w="105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158" w:right="0"/>
              <w:jc w:val="left"/>
              <w:rPr>
                <w:rFonts w:ascii="宋体" w:hAnsi="宋体" w:cs="宋体" w:eastAsia="宋体" w:hint="default"/>
                <w:sz w:val="18"/>
                <w:szCs w:val="18"/>
              </w:rPr>
            </w:pPr>
            <w:r>
              <w:rPr>
                <w:rFonts w:ascii="宋体" w:hAnsi="宋体" w:cs="宋体" w:eastAsia="宋体" w:hint="default"/>
                <w:sz w:val="18"/>
                <w:szCs w:val="18"/>
              </w:rPr>
              <w:t>取得时间</w:t>
            </w:r>
          </w:p>
        </w:tc>
        <w:tc>
          <w:tcPr>
            <w:tcW w:w="12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26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26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9"/>
              <w:ind w:left="26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758" w:hRule="exact"/>
        </w:trPr>
        <w:tc>
          <w:tcPr>
            <w:tcW w:w="1510" w:type="dxa"/>
            <w:tcBorders>
              <w:top w:val="dotted" w:sz="4" w:space="0" w:color="000000"/>
              <w:left w:val="nil" w:sz="6" w:space="0" w:color="auto"/>
              <w:bottom w:val="dotted" w:sz="4" w:space="0" w:color="000000"/>
              <w:right w:val="dotted" w:sz="4" w:space="0" w:color="000000"/>
            </w:tcBorders>
          </w:tcPr>
          <w:p>
            <w:pPr>
              <w:pStyle w:val="TableParagraph"/>
              <w:spacing w:line="360" w:lineRule="auto" w:before="39"/>
              <w:ind w:left="1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pacing w:val="26"/>
                <w:sz w:val="18"/>
                <w:szCs w:val="18"/>
              </w:rPr>
              <w:t>青浦区财政</w:t>
            </w:r>
            <w:r>
              <w:rPr>
                <w:rFonts w:ascii="宋体" w:hAnsi="宋体" w:cs="宋体" w:eastAsia="宋体" w:hint="default"/>
                <w:spacing w:val="-57"/>
                <w:w w:val="99"/>
                <w:sz w:val="18"/>
                <w:szCs w:val="18"/>
              </w:rPr>
              <w:t> </w:t>
            </w:r>
            <w:r>
              <w:rPr>
                <w:rFonts w:ascii="宋体" w:hAnsi="宋体" w:cs="宋体" w:eastAsia="宋体" w:hint="default"/>
                <w:sz w:val="18"/>
                <w:szCs w:val="18"/>
              </w:rPr>
              <w:t>局（扶持资金）</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科技创新财政扶持</w:t>
            </w:r>
          </w:p>
        </w:tc>
        <w:tc>
          <w:tcPr>
            <w:tcW w:w="10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财政资金</w:t>
            </w:r>
          </w:p>
        </w:tc>
        <w:tc>
          <w:tcPr>
            <w:tcW w:w="10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15,310,000.00</w:t>
            </w:r>
          </w:p>
        </w:tc>
        <w:tc>
          <w:tcPr>
            <w:tcW w:w="12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12,940,000.00</w:t>
            </w:r>
          </w:p>
        </w:tc>
      </w:tr>
      <w:tr>
        <w:trPr>
          <w:trHeight w:val="1133" w:hRule="exact"/>
        </w:trPr>
        <w:tc>
          <w:tcPr>
            <w:tcW w:w="1510" w:type="dxa"/>
            <w:tcBorders>
              <w:top w:val="dotted" w:sz="4" w:space="0" w:color="000000"/>
              <w:left w:val="nil" w:sz="6" w:space="0" w:color="auto"/>
              <w:bottom w:val="dotted" w:sz="4" w:space="0" w:color="000000"/>
              <w:right w:val="dotted" w:sz="4" w:space="0" w:color="000000"/>
            </w:tcBorders>
          </w:tcPr>
          <w:p>
            <w:pPr>
              <w:pStyle w:val="TableParagraph"/>
              <w:spacing w:line="372" w:lineRule="auto" w:before="39"/>
              <w:ind w:left="122" w:right="67"/>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pacing w:val="26"/>
                <w:sz w:val="18"/>
                <w:szCs w:val="18"/>
              </w:rPr>
              <w:t>上海青浦工</w:t>
            </w:r>
            <w:r>
              <w:rPr>
                <w:rFonts w:ascii="宋体" w:hAnsi="宋体" w:cs="宋体" w:eastAsia="宋体" w:hint="default"/>
                <w:spacing w:val="-57"/>
                <w:w w:val="99"/>
                <w:sz w:val="18"/>
                <w:szCs w:val="18"/>
              </w:rPr>
              <w:t> </w:t>
            </w:r>
            <w:r>
              <w:rPr>
                <w:rFonts w:ascii="宋体" w:hAnsi="宋体" w:cs="宋体" w:eastAsia="宋体" w:hint="default"/>
                <w:sz w:val="18"/>
                <w:szCs w:val="18"/>
              </w:rPr>
              <w:t>业园区管理委员</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会</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财政扶持</w:t>
            </w:r>
          </w:p>
        </w:tc>
        <w:tc>
          <w:tcPr>
            <w:tcW w:w="10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财政资金</w:t>
            </w:r>
          </w:p>
        </w:tc>
        <w:tc>
          <w:tcPr>
            <w:tcW w:w="10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1,560,000.00</w:t>
            </w:r>
          </w:p>
        </w:tc>
        <w:tc>
          <w:tcPr>
            <w:tcW w:w="1261" w:type="dxa"/>
            <w:tcBorders>
              <w:top w:val="dotted" w:sz="4" w:space="0" w:color="000000"/>
              <w:left w:val="dotted" w:sz="4" w:space="0" w:color="000000"/>
              <w:bottom w:val="dotted" w:sz="4" w:space="0" w:color="000000"/>
              <w:right w:val="nil" w:sz="6" w:space="0" w:color="auto"/>
            </w:tcBorders>
          </w:tcPr>
          <w:p>
            <w:pPr/>
          </w:p>
        </w:tc>
      </w:tr>
      <w:tr>
        <w:trPr>
          <w:trHeight w:val="386" w:hRule="exact"/>
        </w:trPr>
        <w:tc>
          <w:tcPr>
            <w:tcW w:w="15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西部经济城</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财政奖励</w:t>
            </w:r>
          </w:p>
        </w:tc>
        <w:tc>
          <w:tcPr>
            <w:tcW w:w="10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财政资金</w:t>
            </w:r>
          </w:p>
        </w:tc>
        <w:tc>
          <w:tcPr>
            <w:tcW w:w="10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150,000.00</w:t>
            </w:r>
          </w:p>
        </w:tc>
        <w:tc>
          <w:tcPr>
            <w:tcW w:w="12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758" w:hRule="exact"/>
        </w:trPr>
        <w:tc>
          <w:tcPr>
            <w:tcW w:w="1510" w:type="dxa"/>
            <w:tcBorders>
              <w:top w:val="dotted" w:sz="4" w:space="0" w:color="000000"/>
              <w:left w:val="nil" w:sz="6" w:space="0" w:color="auto"/>
              <w:bottom w:val="dotted" w:sz="4" w:space="0" w:color="000000"/>
              <w:right w:val="dotted" w:sz="4" w:space="0" w:color="000000"/>
            </w:tcBorders>
          </w:tcPr>
          <w:p>
            <w:pPr>
              <w:pStyle w:val="TableParagraph"/>
              <w:spacing w:line="360" w:lineRule="auto" w:before="39"/>
              <w:ind w:left="1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pacing w:val="26"/>
                <w:sz w:val="18"/>
                <w:szCs w:val="18"/>
              </w:rPr>
              <w:t>上海市国库</w:t>
            </w:r>
            <w:r>
              <w:rPr>
                <w:rFonts w:ascii="宋体" w:hAnsi="宋体" w:cs="宋体" w:eastAsia="宋体" w:hint="default"/>
                <w:spacing w:val="-57"/>
                <w:w w:val="99"/>
                <w:sz w:val="18"/>
                <w:szCs w:val="18"/>
              </w:rPr>
              <w:t> </w:t>
            </w:r>
            <w:r>
              <w:rPr>
                <w:rFonts w:ascii="宋体" w:hAnsi="宋体" w:cs="宋体" w:eastAsia="宋体" w:hint="default"/>
                <w:sz w:val="18"/>
                <w:szCs w:val="18"/>
              </w:rPr>
              <w:t>收付中心</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381" w:lineRule="auto" w:before="39"/>
              <w:ind w:left="103" w:right="100"/>
              <w:jc w:val="left"/>
              <w:rPr>
                <w:rFonts w:ascii="宋体" w:hAnsi="宋体" w:cs="宋体" w:eastAsia="宋体" w:hint="default"/>
                <w:sz w:val="18"/>
                <w:szCs w:val="18"/>
              </w:rPr>
            </w:pPr>
            <w:r>
              <w:rPr>
                <w:rFonts w:ascii="宋体" w:hAnsi="宋体" w:cs="宋体" w:eastAsia="宋体" w:hint="default"/>
                <w:spacing w:val="5"/>
                <w:sz w:val="18"/>
                <w:szCs w:val="18"/>
              </w:rPr>
              <w:t>服务外包专项资金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补贴</w:t>
            </w:r>
          </w:p>
        </w:tc>
        <w:tc>
          <w:tcPr>
            <w:tcW w:w="10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财政资金</w:t>
            </w:r>
          </w:p>
        </w:tc>
        <w:tc>
          <w:tcPr>
            <w:tcW w:w="10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258,000.00</w:t>
            </w:r>
          </w:p>
        </w:tc>
        <w:tc>
          <w:tcPr>
            <w:tcW w:w="12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2,003,509.00</w:t>
            </w:r>
          </w:p>
        </w:tc>
      </w:tr>
      <w:tr>
        <w:trPr>
          <w:trHeight w:val="759" w:hRule="exact"/>
        </w:trPr>
        <w:tc>
          <w:tcPr>
            <w:tcW w:w="1510" w:type="dxa"/>
            <w:tcBorders>
              <w:top w:val="dotted" w:sz="4" w:space="0" w:color="000000"/>
              <w:left w:val="nil" w:sz="6" w:space="0" w:color="auto"/>
              <w:bottom w:val="dotted" w:sz="4" w:space="0" w:color="000000"/>
              <w:right w:val="dotted" w:sz="4" w:space="0" w:color="000000"/>
            </w:tcBorders>
          </w:tcPr>
          <w:p>
            <w:pPr>
              <w:pStyle w:val="TableParagraph"/>
              <w:spacing w:line="360" w:lineRule="auto" w:before="39"/>
              <w:ind w:left="1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pacing w:val="26"/>
                <w:sz w:val="18"/>
                <w:szCs w:val="18"/>
              </w:rPr>
              <w:t>即征即退增</w:t>
            </w:r>
            <w:r>
              <w:rPr>
                <w:rFonts w:ascii="宋体" w:hAnsi="宋体" w:cs="宋体" w:eastAsia="宋体" w:hint="default"/>
                <w:spacing w:val="-57"/>
                <w:w w:val="99"/>
                <w:sz w:val="18"/>
                <w:szCs w:val="18"/>
              </w:rPr>
              <w:t> </w:t>
            </w:r>
            <w:r>
              <w:rPr>
                <w:rFonts w:ascii="宋体" w:hAnsi="宋体" w:cs="宋体" w:eastAsia="宋体" w:hint="default"/>
                <w:sz w:val="18"/>
                <w:szCs w:val="18"/>
              </w:rPr>
              <w:t>值税款</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381" w:lineRule="auto" w:before="39"/>
              <w:ind w:left="103" w:right="100"/>
              <w:jc w:val="left"/>
              <w:rPr>
                <w:rFonts w:ascii="宋体" w:hAnsi="宋体" w:cs="宋体" w:eastAsia="宋体" w:hint="default"/>
                <w:sz w:val="18"/>
                <w:szCs w:val="18"/>
              </w:rPr>
            </w:pPr>
            <w:r>
              <w:rPr>
                <w:rFonts w:ascii="宋体" w:hAnsi="宋体" w:cs="宋体" w:eastAsia="宋体" w:hint="default"/>
                <w:spacing w:val="5"/>
                <w:sz w:val="18"/>
                <w:szCs w:val="18"/>
              </w:rPr>
              <w:t>增值税即征即返退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税款</w:t>
            </w:r>
          </w:p>
        </w:tc>
        <w:tc>
          <w:tcPr>
            <w:tcW w:w="10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财政资金</w:t>
            </w:r>
          </w:p>
        </w:tc>
        <w:tc>
          <w:tcPr>
            <w:tcW w:w="10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26,067.16</w:t>
            </w:r>
          </w:p>
        </w:tc>
        <w:tc>
          <w:tcPr>
            <w:tcW w:w="12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171,453.46</w:t>
            </w:r>
          </w:p>
        </w:tc>
      </w:tr>
      <w:tr>
        <w:trPr>
          <w:trHeight w:val="396" w:hRule="exact"/>
        </w:trPr>
        <w:tc>
          <w:tcPr>
            <w:tcW w:w="151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9"/>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dotted" w:sz="4" w:space="0" w:color="000000"/>
              <w:left w:val="dotted" w:sz="4" w:space="0" w:color="000000"/>
              <w:bottom w:val="single" w:sz="12" w:space="0" w:color="000000"/>
              <w:right w:val="dotted" w:sz="4" w:space="0" w:color="000000"/>
            </w:tcBorders>
          </w:tcPr>
          <w:p>
            <w:pPr/>
          </w:p>
        </w:tc>
        <w:tc>
          <w:tcPr>
            <w:tcW w:w="1049" w:type="dxa"/>
            <w:tcBorders>
              <w:top w:val="dotted" w:sz="4" w:space="0" w:color="000000"/>
              <w:left w:val="dotted" w:sz="4" w:space="0" w:color="000000"/>
              <w:bottom w:val="single" w:sz="12" w:space="0" w:color="000000"/>
              <w:right w:val="dotted" w:sz="4" w:space="0" w:color="000000"/>
            </w:tcBorders>
          </w:tcPr>
          <w:p>
            <w:pPr/>
          </w:p>
        </w:tc>
        <w:tc>
          <w:tcPr>
            <w:tcW w:w="1052" w:type="dxa"/>
            <w:tcBorders>
              <w:top w:val="dotted" w:sz="4" w:space="0" w:color="000000"/>
              <w:left w:val="dotted" w:sz="4" w:space="0" w:color="000000"/>
              <w:bottom w:val="single" w:sz="12" w:space="0" w:color="000000"/>
              <w:right w:val="dotted" w:sz="4" w:space="0" w:color="000000"/>
            </w:tcBorders>
          </w:tcPr>
          <w:p>
            <w:pPr/>
          </w:p>
        </w:tc>
        <w:tc>
          <w:tcPr>
            <w:tcW w:w="12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17,304,067.16</w:t>
            </w:r>
          </w:p>
        </w:tc>
        <w:tc>
          <w:tcPr>
            <w:tcW w:w="126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15,164,962.46</w:t>
            </w:r>
          </w:p>
        </w:tc>
      </w:tr>
    </w:tbl>
    <w:p>
      <w:pPr>
        <w:spacing w:line="240" w:lineRule="auto" w:before="13"/>
        <w:rPr>
          <w:rFonts w:ascii="宋体" w:hAnsi="宋体" w:cs="宋体" w:eastAsia="宋体" w:hint="default"/>
          <w:b/>
          <w:bCs/>
          <w:sz w:val="23"/>
          <w:szCs w:val="23"/>
        </w:rPr>
      </w:pPr>
    </w:p>
    <w:p>
      <w:pPr>
        <w:tabs>
          <w:tab w:pos="1400" w:val="left" w:leader="none"/>
        </w:tabs>
        <w:spacing w:before="36"/>
        <w:ind w:left="140" w:right="182"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三十一</w:t>
      </w:r>
      <w:r>
        <w:rPr>
          <w:rFonts w:ascii="宋体" w:hAnsi="宋体" w:cs="宋体" w:eastAsia="宋体" w:hint="default"/>
          <w:b/>
          <w:bCs/>
          <w:spacing w:val="-1"/>
          <w:sz w:val="21"/>
          <w:szCs w:val="21"/>
        </w:rPr>
        <w:t>)</w:t>
        <w:tab/>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685" w:type="dxa"/>
        <w:tblLayout w:type="fixed"/>
        <w:tblCellMar>
          <w:top w:w="0" w:type="dxa"/>
          <w:left w:w="0" w:type="dxa"/>
          <w:bottom w:w="0" w:type="dxa"/>
          <w:right w:w="0" w:type="dxa"/>
        </w:tblCellMar>
        <w:tblLook w:val="01E0"/>
      </w:tblPr>
      <w:tblGrid>
        <w:gridCol w:w="2686"/>
        <w:gridCol w:w="1680"/>
        <w:gridCol w:w="1680"/>
        <w:gridCol w:w="1786"/>
      </w:tblGrid>
      <w:tr>
        <w:trPr>
          <w:trHeight w:val="780" w:hRule="exact"/>
        </w:trPr>
        <w:tc>
          <w:tcPr>
            <w:tcW w:w="2686" w:type="dxa"/>
            <w:tcBorders>
              <w:top w:val="single" w:sz="12" w:space="0" w:color="000000"/>
              <w:left w:val="nil" w:sz="6" w:space="0" w:color="auto"/>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0" w:type="dxa"/>
            <w:tcBorders>
              <w:top w:val="single" w:sz="12"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680" w:type="dxa"/>
            <w:tcBorders>
              <w:top w:val="single" w:sz="12"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1786" w:type="dxa"/>
            <w:tcBorders>
              <w:top w:val="single" w:sz="12" w:space="0" w:color="000000"/>
              <w:left w:val="dotted" w:sz="4" w:space="0" w:color="000000"/>
              <w:bottom w:val="single" w:sz="12" w:space="0" w:color="000000"/>
              <w:right w:val="nil" w:sz="6" w:space="0" w:color="auto"/>
            </w:tcBorders>
          </w:tcPr>
          <w:p>
            <w:pPr>
              <w:pStyle w:val="TableParagraph"/>
              <w:spacing w:line="326" w:lineRule="auto" w:before="18"/>
              <w:ind w:left="256" w:right="154" w:hanging="106"/>
              <w:jc w:val="left"/>
              <w:rPr>
                <w:rFonts w:ascii="宋体" w:hAnsi="宋体" w:cs="宋体" w:eastAsia="宋体" w:hint="default"/>
                <w:sz w:val="21"/>
                <w:szCs w:val="21"/>
              </w:rPr>
            </w:pPr>
            <w:r>
              <w:rPr>
                <w:rFonts w:ascii="宋体" w:hAnsi="宋体" w:cs="宋体" w:eastAsia="宋体" w:hint="default"/>
                <w:sz w:val="21"/>
                <w:szCs w:val="21"/>
              </w:rPr>
              <w:t>计入本期非经常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性损益的金额</w:t>
            </w:r>
          </w:p>
        </w:tc>
      </w:tr>
    </w:tbl>
    <w:p>
      <w:pPr>
        <w:spacing w:after="0" w:line="326" w:lineRule="auto"/>
        <w:jc w:val="left"/>
        <w:rPr>
          <w:rFonts w:ascii="宋体" w:hAnsi="宋体" w:cs="宋体" w:eastAsia="宋体" w:hint="default"/>
          <w:sz w:val="21"/>
          <w:szCs w:val="21"/>
        </w:rPr>
        <w:sectPr>
          <w:pgSz w:w="11910" w:h="16840"/>
          <w:pgMar w:header="884" w:footer="980" w:top="1140" w:bottom="1160" w:left="1660" w:right="1600"/>
        </w:sectPr>
      </w:pPr>
    </w:p>
    <w:p>
      <w:pPr>
        <w:spacing w:line="240" w:lineRule="auto" w:before="6"/>
        <w:rPr>
          <w:rFonts w:ascii="宋体" w:hAnsi="宋体" w:cs="宋体" w:eastAsia="宋体" w:hint="default"/>
          <w:b/>
          <w:bCs/>
          <w:sz w:val="21"/>
          <w:szCs w:val="21"/>
        </w:rPr>
      </w:pPr>
    </w:p>
    <w:tbl>
      <w:tblPr>
        <w:tblW w:w="0" w:type="auto"/>
        <w:jc w:val="left"/>
        <w:tblInd w:w="670" w:type="dxa"/>
        <w:tblLayout w:type="fixed"/>
        <w:tblCellMar>
          <w:top w:w="0" w:type="dxa"/>
          <w:left w:w="0" w:type="dxa"/>
          <w:bottom w:w="0" w:type="dxa"/>
          <w:right w:w="0" w:type="dxa"/>
        </w:tblCellMar>
        <w:tblLook w:val="01E0"/>
      </w:tblPr>
      <w:tblGrid>
        <w:gridCol w:w="2686"/>
        <w:gridCol w:w="1680"/>
        <w:gridCol w:w="1680"/>
        <w:gridCol w:w="1786"/>
      </w:tblGrid>
      <w:tr>
        <w:trPr>
          <w:trHeight w:val="394" w:hRule="exact"/>
        </w:trPr>
        <w:tc>
          <w:tcPr>
            <w:tcW w:w="268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1"/>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6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spacing w:val="-2"/>
                <w:sz w:val="21"/>
              </w:rPr>
              <w:t>11,013.70</w:t>
            </w:r>
          </w:p>
        </w:tc>
        <w:tc>
          <w:tcPr>
            <w:tcW w:w="16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8"/>
              <w:ind w:right="98"/>
              <w:jc w:val="right"/>
              <w:rPr>
                <w:rFonts w:ascii="Times New Roman" w:hAnsi="Times New Roman" w:cs="Times New Roman" w:eastAsia="Times New Roman" w:hint="default"/>
                <w:sz w:val="21"/>
                <w:szCs w:val="21"/>
              </w:rPr>
            </w:pPr>
            <w:r>
              <w:rPr>
                <w:rFonts w:ascii="Times New Roman"/>
                <w:spacing w:val="-1"/>
                <w:sz w:val="21"/>
              </w:rPr>
              <w:t>59,368.40</w:t>
            </w:r>
          </w:p>
        </w:tc>
        <w:tc>
          <w:tcPr>
            <w:tcW w:w="178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21"/>
                <w:szCs w:val="21"/>
              </w:rPr>
            </w:pPr>
            <w:r>
              <w:rPr>
                <w:rFonts w:ascii="Times New Roman"/>
                <w:spacing w:val="-2"/>
                <w:sz w:val="21"/>
              </w:rPr>
              <w:t>-11,013.70</w:t>
            </w:r>
          </w:p>
        </w:tc>
      </w:tr>
      <w:tr>
        <w:trPr>
          <w:trHeight w:val="387" w:hRule="exact"/>
        </w:trPr>
        <w:tc>
          <w:tcPr>
            <w:tcW w:w="26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1"/>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6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spacing w:val="-2"/>
                <w:sz w:val="21"/>
              </w:rPr>
              <w:t>11,013.70</w:t>
            </w:r>
          </w:p>
        </w:tc>
        <w:tc>
          <w:tcPr>
            <w:tcW w:w="16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right="98"/>
              <w:jc w:val="right"/>
              <w:rPr>
                <w:rFonts w:ascii="Times New Roman" w:hAnsi="Times New Roman" w:cs="Times New Roman" w:eastAsia="Times New Roman" w:hint="default"/>
                <w:sz w:val="21"/>
                <w:szCs w:val="21"/>
              </w:rPr>
            </w:pPr>
            <w:r>
              <w:rPr>
                <w:rFonts w:ascii="Times New Roman"/>
                <w:spacing w:val="-1"/>
                <w:sz w:val="21"/>
              </w:rPr>
              <w:t>59,368.40</w:t>
            </w:r>
          </w:p>
        </w:tc>
        <w:tc>
          <w:tcPr>
            <w:tcW w:w="17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21"/>
                <w:szCs w:val="21"/>
              </w:rPr>
            </w:pPr>
            <w:r>
              <w:rPr>
                <w:rFonts w:ascii="Times New Roman"/>
                <w:spacing w:val="-2"/>
                <w:sz w:val="21"/>
              </w:rPr>
              <w:t>-11,013.70</w:t>
            </w:r>
          </w:p>
        </w:tc>
      </w:tr>
      <w:tr>
        <w:trPr>
          <w:trHeight w:val="384" w:hRule="exact"/>
        </w:trPr>
        <w:tc>
          <w:tcPr>
            <w:tcW w:w="26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z w:val="21"/>
              </w:rPr>
              <w:t>895.36</w:t>
            </w:r>
          </w:p>
        </w:tc>
        <w:tc>
          <w:tcPr>
            <w:tcW w:w="1680"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7"/>
              <w:jc w:val="right"/>
              <w:rPr>
                <w:rFonts w:ascii="Times New Roman" w:hAnsi="Times New Roman" w:cs="Times New Roman" w:eastAsia="Times New Roman" w:hint="default"/>
                <w:sz w:val="21"/>
                <w:szCs w:val="21"/>
              </w:rPr>
            </w:pPr>
            <w:r>
              <w:rPr>
                <w:rFonts w:ascii="Times New Roman"/>
                <w:spacing w:val="-1"/>
                <w:sz w:val="21"/>
              </w:rPr>
              <w:t>-895.36</w:t>
            </w:r>
          </w:p>
        </w:tc>
      </w:tr>
      <w:tr>
        <w:trPr>
          <w:trHeight w:val="394" w:hRule="exact"/>
        </w:trPr>
        <w:tc>
          <w:tcPr>
            <w:tcW w:w="268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8"/>
              <w:ind w:left="1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2"/>
                <w:sz w:val="21"/>
              </w:rPr>
              <w:t>11,909.06</w:t>
            </w:r>
          </w:p>
        </w:tc>
        <w:tc>
          <w:tcPr>
            <w:tcW w:w="16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59,368.40</w:t>
            </w:r>
          </w:p>
        </w:tc>
        <w:tc>
          <w:tcPr>
            <w:tcW w:w="178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2"/>
                <w:sz w:val="21"/>
              </w:rPr>
              <w:t>-11,909.06</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tabs>
          <w:tab w:pos="1400" w:val="left" w:leader="none"/>
        </w:tabs>
        <w:spacing w:before="0"/>
        <w:ind w:left="140" w:right="138"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三十二</w:t>
      </w:r>
      <w:r>
        <w:rPr>
          <w:rFonts w:ascii="宋体" w:hAnsi="宋体" w:cs="宋体" w:eastAsia="宋体" w:hint="default"/>
          <w:b/>
          <w:bCs/>
          <w:spacing w:val="-1"/>
          <w:sz w:val="21"/>
          <w:szCs w:val="21"/>
        </w:rPr>
        <w:t>)</w:t>
        <w:tab/>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682" w:type="dxa"/>
        <w:tblLayout w:type="fixed"/>
        <w:tblCellMar>
          <w:top w:w="0" w:type="dxa"/>
          <w:left w:w="0" w:type="dxa"/>
          <w:bottom w:w="0" w:type="dxa"/>
          <w:right w:w="0" w:type="dxa"/>
        </w:tblCellMar>
        <w:tblLook w:val="01E0"/>
      </w:tblPr>
      <w:tblGrid>
        <w:gridCol w:w="3800"/>
        <w:gridCol w:w="1968"/>
        <w:gridCol w:w="1969"/>
      </w:tblGrid>
      <w:tr>
        <w:trPr>
          <w:trHeight w:val="396" w:hRule="exact"/>
        </w:trPr>
        <w:tc>
          <w:tcPr>
            <w:tcW w:w="380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1"/>
              <w:ind w:left="1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1"/>
              <w:ind w:left="5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6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1"/>
              <w:ind w:left="5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84" w:hRule="exact"/>
        </w:trPr>
        <w:tc>
          <w:tcPr>
            <w:tcW w:w="38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1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17,333,563.53</w:t>
            </w:r>
          </w:p>
        </w:tc>
        <w:tc>
          <w:tcPr>
            <w:tcW w:w="19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6,102,746.46</w:t>
            </w:r>
          </w:p>
        </w:tc>
      </w:tr>
      <w:tr>
        <w:trPr>
          <w:trHeight w:val="384" w:hRule="exact"/>
        </w:trPr>
        <w:tc>
          <w:tcPr>
            <w:tcW w:w="38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1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-1,758,909.10</w:t>
            </w:r>
          </w:p>
        </w:tc>
        <w:tc>
          <w:tcPr>
            <w:tcW w:w="19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-337,377.20</w:t>
            </w:r>
          </w:p>
        </w:tc>
      </w:tr>
      <w:tr>
        <w:trPr>
          <w:trHeight w:val="396" w:hRule="exact"/>
        </w:trPr>
        <w:tc>
          <w:tcPr>
            <w:tcW w:w="380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8"/>
              <w:ind w:left="1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15,574,654.43</w:t>
            </w:r>
          </w:p>
        </w:tc>
        <w:tc>
          <w:tcPr>
            <w:tcW w:w="196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5,765,369.26</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spacing w:before="36"/>
        <w:ind w:left="858" w:right="138" w:firstLine="0"/>
        <w:jc w:val="left"/>
        <w:rPr>
          <w:rFonts w:ascii="宋体" w:hAnsi="宋体" w:cs="宋体" w:eastAsia="宋体" w:hint="default"/>
          <w:sz w:val="21"/>
          <w:szCs w:val="21"/>
        </w:rPr>
      </w:pPr>
      <w:r>
        <w:rPr>
          <w:rFonts w:ascii="宋体" w:hAnsi="宋体" w:cs="宋体" w:eastAsia="宋体" w:hint="default"/>
          <w:sz w:val="21"/>
          <w:szCs w:val="21"/>
        </w:rPr>
        <w:t>所得税费用（收益）与会计利润关系的说明：</w:t>
      </w:r>
    </w:p>
    <w:p>
      <w:pPr>
        <w:spacing w:line="240" w:lineRule="auto" w:before="7"/>
        <w:rPr>
          <w:rFonts w:ascii="宋体" w:hAnsi="宋体" w:cs="宋体" w:eastAsia="宋体" w:hint="default"/>
          <w:sz w:val="2"/>
          <w:szCs w:val="2"/>
        </w:rPr>
      </w:pPr>
    </w:p>
    <w:tbl>
      <w:tblPr>
        <w:tblW w:w="0" w:type="auto"/>
        <w:jc w:val="left"/>
        <w:tblInd w:w="608" w:type="dxa"/>
        <w:tblLayout w:type="fixed"/>
        <w:tblCellMar>
          <w:top w:w="0" w:type="dxa"/>
          <w:left w:w="0" w:type="dxa"/>
          <w:bottom w:w="0" w:type="dxa"/>
          <w:right w:w="0" w:type="dxa"/>
        </w:tblCellMar>
        <w:tblLook w:val="01E0"/>
      </w:tblPr>
      <w:tblGrid>
        <w:gridCol w:w="4369"/>
        <w:gridCol w:w="1870"/>
        <w:gridCol w:w="1604"/>
      </w:tblGrid>
      <w:tr>
        <w:trPr>
          <w:trHeight w:val="394" w:hRule="exact"/>
        </w:trPr>
        <w:tc>
          <w:tcPr>
            <w:tcW w:w="4369" w:type="dxa"/>
            <w:tcBorders>
              <w:top w:val="single" w:sz="12" w:space="0" w:color="000000"/>
              <w:left w:val="nil" w:sz="6" w:space="0" w:color="auto"/>
              <w:bottom w:val="dotted" w:sz="4" w:space="0" w:color="000000"/>
              <w:right w:val="dotted" w:sz="4" w:space="0" w:color="000000"/>
            </w:tcBorders>
          </w:tcPr>
          <w:p>
            <w:pPr>
              <w:pStyle w:val="TableParagraph"/>
              <w:tabs>
                <w:tab w:pos="653" w:val="left" w:leader="none"/>
              </w:tabs>
              <w:spacing w:line="240" w:lineRule="auto" w:before="18"/>
              <w:ind w:left="2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7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8"/>
              <w:ind w:left="50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60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8"/>
              <w:ind w:left="376"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84" w:hRule="exact"/>
        </w:trPr>
        <w:tc>
          <w:tcPr>
            <w:tcW w:w="43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109,345,106.89</w:t>
            </w:r>
          </w:p>
        </w:tc>
        <w:tc>
          <w:tcPr>
            <w:tcW w:w="16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69,044,316.90</w:t>
            </w:r>
          </w:p>
        </w:tc>
      </w:tr>
      <w:tr>
        <w:trPr>
          <w:trHeight w:val="384" w:hRule="exact"/>
        </w:trPr>
        <w:tc>
          <w:tcPr>
            <w:tcW w:w="43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按适用税率计算的所得税费用</w:t>
            </w:r>
          </w:p>
        </w:tc>
        <w:tc>
          <w:tcPr>
            <w:tcW w:w="18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16,401,766.04</w:t>
            </w:r>
          </w:p>
        </w:tc>
        <w:tc>
          <w:tcPr>
            <w:tcW w:w="16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6,904,431.69</w:t>
            </w:r>
          </w:p>
        </w:tc>
      </w:tr>
      <w:tr>
        <w:trPr>
          <w:trHeight w:val="386" w:hRule="exact"/>
        </w:trPr>
        <w:tc>
          <w:tcPr>
            <w:tcW w:w="43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1"/>
              <w:ind w:left="122"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18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right="98"/>
              <w:jc w:val="right"/>
              <w:rPr>
                <w:rFonts w:ascii="Times New Roman" w:hAnsi="Times New Roman" w:cs="Times New Roman" w:eastAsia="Times New Roman" w:hint="default"/>
                <w:sz w:val="21"/>
                <w:szCs w:val="21"/>
              </w:rPr>
            </w:pPr>
            <w:r>
              <w:rPr>
                <w:rFonts w:ascii="Times New Roman"/>
                <w:spacing w:val="-1"/>
                <w:sz w:val="21"/>
              </w:rPr>
              <w:t>-5,254.42</w:t>
            </w:r>
          </w:p>
        </w:tc>
        <w:tc>
          <w:tcPr>
            <w:tcW w:w="16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21"/>
                <w:szCs w:val="21"/>
              </w:rPr>
            </w:pPr>
            <w:r>
              <w:rPr>
                <w:rFonts w:ascii="Times New Roman"/>
                <w:spacing w:val="-1"/>
                <w:sz w:val="21"/>
              </w:rPr>
              <w:t>208,065.15</w:t>
            </w:r>
          </w:p>
        </w:tc>
      </w:tr>
      <w:tr>
        <w:trPr>
          <w:trHeight w:val="384" w:hRule="exact"/>
        </w:trPr>
        <w:tc>
          <w:tcPr>
            <w:tcW w:w="43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对以前期间所得税的调整影响</w:t>
            </w:r>
          </w:p>
        </w:tc>
        <w:tc>
          <w:tcPr>
            <w:tcW w:w="18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-17,145.37</w:t>
            </w:r>
          </w:p>
        </w:tc>
        <w:tc>
          <w:tcPr>
            <w:tcW w:w="16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-653,049.71</w:t>
            </w:r>
          </w:p>
        </w:tc>
      </w:tr>
      <w:tr>
        <w:trPr>
          <w:trHeight w:val="384" w:hRule="exact"/>
        </w:trPr>
        <w:tc>
          <w:tcPr>
            <w:tcW w:w="43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不征税、减免税收入</w:t>
            </w:r>
          </w:p>
        </w:tc>
        <w:tc>
          <w:tcPr>
            <w:tcW w:w="18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-398,283.05</w:t>
            </w:r>
          </w:p>
        </w:tc>
        <w:tc>
          <w:tcPr>
            <w:tcW w:w="1604"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43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不得扣除的成本、费用和损失</w:t>
            </w:r>
          </w:p>
        </w:tc>
        <w:tc>
          <w:tcPr>
            <w:tcW w:w="18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103,844.43</w:t>
            </w:r>
          </w:p>
        </w:tc>
        <w:tc>
          <w:tcPr>
            <w:tcW w:w="16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-694,077.87</w:t>
            </w:r>
          </w:p>
        </w:tc>
      </w:tr>
      <w:tr>
        <w:trPr>
          <w:trHeight w:val="384" w:hRule="exact"/>
        </w:trPr>
        <w:tc>
          <w:tcPr>
            <w:tcW w:w="43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税率变动对期初递延所得税余额的影响</w:t>
            </w:r>
          </w:p>
        </w:tc>
        <w:tc>
          <w:tcPr>
            <w:tcW w:w="18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-510,273.20</w:t>
            </w:r>
          </w:p>
        </w:tc>
        <w:tc>
          <w:tcPr>
            <w:tcW w:w="1604" w:type="dxa"/>
            <w:tcBorders>
              <w:top w:val="dotted" w:sz="4" w:space="0" w:color="000000"/>
              <w:left w:val="dotted" w:sz="4" w:space="0" w:color="000000"/>
              <w:bottom w:val="dotted" w:sz="4" w:space="0" w:color="000000"/>
              <w:right w:val="nil" w:sz="6" w:space="0" w:color="auto"/>
            </w:tcBorders>
          </w:tcPr>
          <w:p>
            <w:pPr/>
          </w:p>
        </w:tc>
      </w:tr>
      <w:tr>
        <w:trPr>
          <w:trHeight w:val="396" w:hRule="exact"/>
        </w:trPr>
        <w:tc>
          <w:tcPr>
            <w:tcW w:w="436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9"/>
              <w:ind w:left="122"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8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15,574,654.43</w:t>
            </w:r>
          </w:p>
        </w:tc>
        <w:tc>
          <w:tcPr>
            <w:tcW w:w="160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21"/>
                <w:szCs w:val="21"/>
              </w:rPr>
            </w:pPr>
            <w:r>
              <w:rPr>
                <w:rFonts w:ascii="Times New Roman"/>
                <w:spacing w:val="-1"/>
                <w:sz w:val="21"/>
              </w:rPr>
              <w:t>5,765,369.26</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tabs>
          <w:tab w:pos="1400" w:val="left" w:leader="none"/>
        </w:tabs>
        <w:spacing w:before="36"/>
        <w:ind w:left="140" w:right="138"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三十三</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基本每股收益和稀释每股收益的计算过程</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spacing w:line="338" w:lineRule="auto" w:before="0"/>
        <w:ind w:left="858" w:right="5967" w:firstLine="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计算公式：</w:t>
      </w:r>
      <w:r>
        <w:rPr>
          <w:rFonts w:ascii="宋体" w:hAnsi="宋体" w:cs="宋体" w:eastAsia="宋体" w:hint="default"/>
          <w:b/>
          <w:bCs/>
          <w:w w:val="10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、基本每股收益</w:t>
      </w:r>
      <w:r>
        <w:rPr>
          <w:rFonts w:ascii="宋体" w:hAnsi="宋体" w:cs="宋体" w:eastAsia="宋体" w:hint="default"/>
          <w:w w:val="100"/>
          <w:sz w:val="21"/>
          <w:szCs w:val="21"/>
        </w:rPr>
        <w:t> </w:t>
      </w:r>
      <w:r>
        <w:rPr>
          <w:rFonts w:ascii="宋体" w:hAnsi="宋体" w:cs="宋体" w:eastAsia="宋体" w:hint="default"/>
          <w:spacing w:val="-1"/>
          <w:sz w:val="21"/>
          <w:szCs w:val="21"/>
        </w:rPr>
        <w:t>基本每股收益</w:t>
      </w:r>
      <w:r>
        <w:rPr>
          <w:rFonts w:ascii="Times New Roman" w:hAnsi="Times New Roman" w:cs="Times New Roman" w:eastAsia="Times New Roman" w:hint="default"/>
          <w:spacing w:val="-1"/>
          <w:sz w:val="21"/>
          <w:szCs w:val="21"/>
        </w:rPr>
        <w:t>=P0÷S</w:t>
      </w:r>
    </w:p>
    <w:p>
      <w:pPr>
        <w:spacing w:before="14"/>
        <w:ind w:left="858" w:right="138"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S=</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S0</w:t>
      </w:r>
      <w:r>
        <w:rPr>
          <w:rFonts w:ascii="宋体" w:hAnsi="宋体" w:cs="宋体" w:eastAsia="宋体" w:hint="default"/>
          <w:sz w:val="21"/>
          <w:szCs w:val="21"/>
        </w:rPr>
        <w:t>＋</w:t>
      </w:r>
      <w:r>
        <w:rPr>
          <w:rFonts w:ascii="Times New Roman" w:hAnsi="Times New Roman" w:cs="Times New Roman" w:eastAsia="Times New Roman" w:hint="default"/>
          <w:sz w:val="21"/>
          <w:szCs w:val="21"/>
        </w:rPr>
        <w:t>S1</w:t>
      </w:r>
      <w:r>
        <w:rPr>
          <w:rFonts w:ascii="宋体" w:hAnsi="宋体" w:cs="宋体" w:eastAsia="宋体" w:hint="default"/>
          <w:sz w:val="21"/>
          <w:szCs w:val="21"/>
        </w:rPr>
        <w:t>＋</w:t>
      </w:r>
      <w:r>
        <w:rPr>
          <w:rFonts w:ascii="Times New Roman" w:hAnsi="Times New Roman" w:cs="Times New Roman" w:eastAsia="Times New Roman" w:hint="default"/>
          <w:sz w:val="21"/>
          <w:szCs w:val="21"/>
        </w:rPr>
        <w:t>Si×Mi÷M0</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Sj×Mj÷M0</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Sk</w:t>
      </w:r>
    </w:p>
    <w:p>
      <w:pPr>
        <w:spacing w:line="331" w:lineRule="auto" w:before="110"/>
        <w:ind w:left="858" w:right="211" w:firstLine="0"/>
        <w:jc w:val="both"/>
        <w:rPr>
          <w:rFonts w:ascii="宋体" w:hAnsi="宋体" w:cs="宋体" w:eastAsia="宋体" w:hint="default"/>
          <w:sz w:val="21"/>
          <w:szCs w:val="21"/>
        </w:rPr>
      </w:pPr>
      <w:r>
        <w:rPr>
          <w:rFonts w:ascii="宋体" w:hAnsi="宋体" w:cs="宋体" w:eastAsia="宋体" w:hint="default"/>
          <w:spacing w:val="-8"/>
          <w:sz w:val="21"/>
          <w:szCs w:val="21"/>
        </w:rPr>
        <w:t>其中：</w:t>
      </w:r>
      <w:r>
        <w:rPr>
          <w:rFonts w:ascii="Times New Roman" w:hAnsi="Times New Roman" w:cs="Times New Roman" w:eastAsia="Times New Roman" w:hint="default"/>
          <w:spacing w:val="-8"/>
          <w:sz w:val="21"/>
          <w:szCs w:val="21"/>
        </w:rPr>
        <w:t>P0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为归属于公司普通股股东的净利润或扣除非经常性损益后归属于普通股股</w:t>
      </w:r>
      <w:r>
        <w:rPr>
          <w:rFonts w:ascii="宋体" w:hAnsi="宋体" w:cs="宋体" w:eastAsia="宋体" w:hint="default"/>
          <w:w w:val="100"/>
          <w:sz w:val="21"/>
          <w:szCs w:val="21"/>
        </w:rPr>
        <w:t> </w:t>
      </w:r>
      <w:r>
        <w:rPr>
          <w:rFonts w:ascii="宋体" w:hAnsi="宋体" w:cs="宋体" w:eastAsia="宋体" w:hint="default"/>
          <w:spacing w:val="-4"/>
          <w:sz w:val="21"/>
          <w:szCs w:val="21"/>
        </w:rPr>
        <w:t>东的净利润；</w:t>
      </w:r>
      <w:r>
        <w:rPr>
          <w:rFonts w:ascii="Times New Roman" w:hAnsi="Times New Roman" w:cs="Times New Roman" w:eastAsia="Times New Roman" w:hint="default"/>
          <w:spacing w:val="-4"/>
          <w:sz w:val="21"/>
          <w:szCs w:val="21"/>
        </w:rPr>
        <w:t>S</w:t>
      </w:r>
      <w:r>
        <w:rPr>
          <w:rFonts w:ascii="Times New Roman" w:hAnsi="Times New Roman" w:cs="Times New Roman" w:eastAsia="Times New Roman" w:hint="default"/>
          <w:spacing w:val="15"/>
          <w:sz w:val="21"/>
          <w:szCs w:val="21"/>
        </w:rPr>
        <w:t> </w:t>
      </w:r>
      <w:r>
        <w:rPr>
          <w:rFonts w:ascii="宋体" w:hAnsi="宋体" w:cs="宋体" w:eastAsia="宋体" w:hint="default"/>
          <w:spacing w:val="-3"/>
          <w:sz w:val="21"/>
          <w:szCs w:val="21"/>
        </w:rPr>
        <w:t>为发行在外的普通股加权平均数；</w:t>
      </w:r>
      <w:r>
        <w:rPr>
          <w:rFonts w:ascii="Times New Roman" w:hAnsi="Times New Roman" w:cs="Times New Roman" w:eastAsia="Times New Roman" w:hint="default"/>
          <w:spacing w:val="-3"/>
          <w:sz w:val="21"/>
          <w:szCs w:val="21"/>
        </w:rPr>
        <w:t>S0</w:t>
      </w:r>
      <w:r>
        <w:rPr>
          <w:rFonts w:ascii="Times New Roman" w:hAnsi="Times New Roman" w:cs="Times New Roman" w:eastAsia="Times New Roman" w:hint="default"/>
          <w:spacing w:val="15"/>
          <w:sz w:val="21"/>
          <w:szCs w:val="21"/>
        </w:rPr>
        <w:t> </w:t>
      </w:r>
      <w:r>
        <w:rPr>
          <w:rFonts w:ascii="宋体" w:hAnsi="宋体" w:cs="宋体" w:eastAsia="宋体" w:hint="default"/>
          <w:spacing w:val="-4"/>
          <w:sz w:val="21"/>
          <w:szCs w:val="21"/>
        </w:rPr>
        <w:t>为期初股份总数；</w:t>
      </w:r>
      <w:r>
        <w:rPr>
          <w:rFonts w:ascii="Times New Roman" w:hAnsi="Times New Roman" w:cs="Times New Roman" w:eastAsia="Times New Roman" w:hint="default"/>
          <w:spacing w:val="-4"/>
          <w:sz w:val="21"/>
          <w:szCs w:val="21"/>
        </w:rPr>
        <w:t>S1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为报告期</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因公积金转增股本或股票股利分配等增加股份数；</w:t>
      </w:r>
      <w:r>
        <w:rPr>
          <w:rFonts w:ascii="Times New Roman" w:hAnsi="Times New Roman" w:cs="Times New Roman" w:eastAsia="Times New Roman" w:hint="default"/>
          <w:sz w:val="21"/>
          <w:szCs w:val="21"/>
        </w:rPr>
        <w:t>Si</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为报告期因发行新股或债转股</w:t>
      </w:r>
      <w:r>
        <w:rPr>
          <w:rFonts w:ascii="宋体" w:hAnsi="宋体" w:cs="宋体" w:eastAsia="宋体" w:hint="default"/>
          <w:w w:val="100"/>
          <w:sz w:val="21"/>
          <w:szCs w:val="21"/>
        </w:rPr>
        <w:t> </w:t>
      </w:r>
      <w:r>
        <w:rPr>
          <w:rFonts w:ascii="宋体" w:hAnsi="宋体" w:cs="宋体" w:eastAsia="宋体" w:hint="default"/>
          <w:sz w:val="21"/>
          <w:szCs w:val="21"/>
        </w:rPr>
        <w:t>等增加股份数；</w:t>
      </w:r>
      <w:r>
        <w:rPr>
          <w:rFonts w:ascii="Times New Roman" w:hAnsi="Times New Roman" w:cs="Times New Roman" w:eastAsia="Times New Roman" w:hint="default"/>
          <w:sz w:val="21"/>
          <w:szCs w:val="21"/>
        </w:rPr>
        <w:t>Sj </w:t>
      </w:r>
      <w:r>
        <w:rPr>
          <w:rFonts w:ascii="宋体" w:hAnsi="宋体" w:cs="宋体" w:eastAsia="宋体" w:hint="default"/>
          <w:sz w:val="21"/>
          <w:szCs w:val="21"/>
        </w:rPr>
        <w:t>为报告期因回购等减少股份数；</w:t>
      </w:r>
      <w:r>
        <w:rPr>
          <w:rFonts w:ascii="Times New Roman" w:hAnsi="Times New Roman" w:cs="Times New Roman" w:eastAsia="Times New Roman" w:hint="default"/>
          <w:sz w:val="21"/>
          <w:szCs w:val="21"/>
        </w:rPr>
        <w:t>Sk </w:t>
      </w:r>
      <w:r>
        <w:rPr>
          <w:rFonts w:ascii="宋体" w:hAnsi="宋体" w:cs="宋体" w:eastAsia="宋体" w:hint="default"/>
          <w:sz w:val="21"/>
          <w:szCs w:val="21"/>
        </w:rPr>
        <w:t>为报告期缩股数；</w:t>
      </w:r>
      <w:r>
        <w:rPr>
          <w:rFonts w:ascii="Times New Roman" w:hAnsi="Times New Roman" w:cs="Times New Roman" w:eastAsia="Times New Roman" w:hint="default"/>
          <w:sz w:val="21"/>
          <w:szCs w:val="21"/>
        </w:rPr>
        <w:t>M0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报告期</w:t>
      </w:r>
      <w:r>
        <w:rPr>
          <w:rFonts w:ascii="宋体" w:hAnsi="宋体" w:cs="宋体" w:eastAsia="宋体" w:hint="default"/>
          <w:w w:val="100"/>
          <w:sz w:val="21"/>
          <w:szCs w:val="21"/>
        </w:rPr>
        <w:t> </w:t>
      </w:r>
      <w:r>
        <w:rPr>
          <w:rFonts w:ascii="宋体" w:hAnsi="宋体" w:cs="宋体" w:eastAsia="宋体" w:hint="default"/>
          <w:sz w:val="21"/>
          <w:szCs w:val="21"/>
        </w:rPr>
        <w:t>月份数；</w:t>
      </w:r>
      <w:r>
        <w:rPr>
          <w:rFonts w:ascii="Times New Roman" w:hAnsi="Times New Roman" w:cs="Times New Roman" w:eastAsia="Times New Roman" w:hint="default"/>
          <w:sz w:val="21"/>
          <w:szCs w:val="21"/>
        </w:rPr>
        <w:t>Mi </w:t>
      </w:r>
      <w:r>
        <w:rPr>
          <w:rFonts w:ascii="宋体" w:hAnsi="宋体" w:cs="宋体" w:eastAsia="宋体" w:hint="default"/>
          <w:sz w:val="21"/>
          <w:szCs w:val="21"/>
        </w:rPr>
        <w:t>为增加股份次月起至报告期期末的累计月数；</w:t>
      </w:r>
      <w:r>
        <w:rPr>
          <w:rFonts w:ascii="Times New Roman" w:hAnsi="Times New Roman" w:cs="Times New Roman" w:eastAsia="Times New Roman" w:hint="default"/>
          <w:sz w:val="21"/>
          <w:szCs w:val="21"/>
        </w:rPr>
        <w:t>Mj</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为减少股份次月起至</w:t>
      </w:r>
      <w:r>
        <w:rPr>
          <w:rFonts w:ascii="宋体" w:hAnsi="宋体" w:cs="宋体" w:eastAsia="宋体" w:hint="default"/>
          <w:w w:val="100"/>
          <w:sz w:val="21"/>
          <w:szCs w:val="21"/>
        </w:rPr>
        <w:t> </w:t>
      </w:r>
      <w:r>
        <w:rPr>
          <w:rFonts w:ascii="宋体" w:hAnsi="宋体" w:cs="宋体" w:eastAsia="宋体" w:hint="default"/>
          <w:sz w:val="21"/>
          <w:szCs w:val="21"/>
        </w:rPr>
        <w:t>报告期期末的累计月数。</w:t>
      </w:r>
    </w:p>
    <w:p>
      <w:pPr>
        <w:spacing w:after="0" w:line="331" w:lineRule="auto"/>
        <w:jc w:val="both"/>
        <w:rPr>
          <w:rFonts w:ascii="宋体" w:hAnsi="宋体" w:cs="宋体" w:eastAsia="宋体" w:hint="default"/>
          <w:sz w:val="21"/>
          <w:szCs w:val="21"/>
        </w:rPr>
        <w:sectPr>
          <w:pgSz w:w="11910" w:h="16840"/>
          <w:pgMar w:header="884" w:footer="980" w:top="1140" w:bottom="1160" w:left="1660" w:right="1580"/>
        </w:sectPr>
      </w:pPr>
    </w:p>
    <w:p>
      <w:pPr>
        <w:spacing w:line="240" w:lineRule="auto" w:before="11"/>
        <w:rPr>
          <w:rFonts w:ascii="宋体" w:hAnsi="宋体" w:cs="宋体" w:eastAsia="宋体" w:hint="default"/>
          <w:sz w:val="25"/>
          <w:szCs w:val="25"/>
        </w:rPr>
      </w:pPr>
    </w:p>
    <w:p>
      <w:pPr>
        <w:spacing w:line="331" w:lineRule="auto" w:before="36"/>
        <w:ind w:left="858" w:right="182"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、稀释每股收益</w:t>
      </w:r>
      <w:r>
        <w:rPr>
          <w:rFonts w:ascii="宋体" w:hAnsi="宋体" w:cs="宋体" w:eastAsia="宋体" w:hint="default"/>
          <w:w w:val="100"/>
          <w:sz w:val="21"/>
          <w:szCs w:val="21"/>
        </w:rPr>
        <w:t> </w:t>
      </w:r>
      <w:r>
        <w:rPr>
          <w:rFonts w:ascii="宋体" w:hAnsi="宋体" w:cs="宋体" w:eastAsia="宋体" w:hint="default"/>
          <w:spacing w:val="-1"/>
          <w:sz w:val="21"/>
          <w:szCs w:val="21"/>
        </w:rPr>
        <w:t>稀释每股收益</w:t>
      </w:r>
      <w:r>
        <w:rPr>
          <w:rFonts w:ascii="Times New Roman" w:hAnsi="Times New Roman" w:cs="Times New Roman" w:eastAsia="Times New Roman" w:hint="default"/>
          <w:spacing w:val="-1"/>
          <w:sz w:val="21"/>
          <w:szCs w:val="21"/>
        </w:rPr>
        <w:t>=P1/(S0</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S1</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Si×Mi÷M0</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pacing w:val="-1"/>
          <w:sz w:val="21"/>
          <w:szCs w:val="21"/>
        </w:rPr>
        <w:t>Sj×Mj÷M0</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pacing w:val="-1"/>
          <w:sz w:val="21"/>
          <w:szCs w:val="21"/>
        </w:rPr>
        <w:t>Sk+</w:t>
      </w:r>
      <w:r>
        <w:rPr>
          <w:rFonts w:ascii="宋体" w:hAnsi="宋体" w:cs="宋体" w:eastAsia="宋体" w:hint="default"/>
          <w:spacing w:val="-1"/>
          <w:sz w:val="21"/>
          <w:szCs w:val="21"/>
        </w:rPr>
        <w:t>认股权证、股份期权、可转</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换债券等增加的普通股加权平均数</w:t>
      </w:r>
      <w:r>
        <w:rPr>
          <w:rFonts w:ascii="Times New Roman" w:hAnsi="Times New Roman" w:cs="Times New Roman" w:eastAsia="Times New Roman" w:hint="default"/>
          <w:sz w:val="21"/>
          <w:szCs w:val="21"/>
        </w:rPr>
        <w:t>)</w:t>
      </w:r>
    </w:p>
    <w:p>
      <w:pPr>
        <w:spacing w:line="345" w:lineRule="auto" w:before="21"/>
        <w:ind w:left="858" w:right="191" w:firstLine="0"/>
        <w:jc w:val="both"/>
        <w:rPr>
          <w:rFonts w:ascii="宋体" w:hAnsi="宋体" w:cs="宋体" w:eastAsia="宋体" w:hint="default"/>
          <w:sz w:val="21"/>
          <w:szCs w:val="21"/>
        </w:rPr>
      </w:pPr>
      <w:r>
        <w:rPr>
          <w:rFonts w:ascii="宋体" w:hAnsi="宋体" w:cs="宋体" w:eastAsia="宋体" w:hint="default"/>
          <w:spacing w:val="-8"/>
          <w:sz w:val="21"/>
          <w:szCs w:val="21"/>
        </w:rPr>
        <w:t>其中，</w:t>
      </w:r>
      <w:r>
        <w:rPr>
          <w:rFonts w:ascii="Times New Roman" w:hAnsi="Times New Roman" w:cs="Times New Roman" w:eastAsia="Times New Roman" w:hint="default"/>
          <w:spacing w:val="-8"/>
          <w:sz w:val="21"/>
          <w:szCs w:val="21"/>
        </w:rPr>
        <w:t>P1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为归属于公司普通股股东的净利润或扣除非经常性损益后归属于公司普通</w:t>
      </w:r>
      <w:r>
        <w:rPr>
          <w:rFonts w:ascii="宋体" w:hAnsi="宋体" w:cs="宋体" w:eastAsia="宋体" w:hint="default"/>
          <w:w w:val="100"/>
          <w:sz w:val="21"/>
          <w:szCs w:val="21"/>
        </w:rPr>
        <w:t> </w:t>
      </w:r>
      <w:r>
        <w:rPr>
          <w:rFonts w:ascii="宋体" w:hAnsi="宋体" w:cs="宋体" w:eastAsia="宋体" w:hint="default"/>
          <w:spacing w:val="-1"/>
          <w:sz w:val="21"/>
          <w:szCs w:val="21"/>
        </w:rPr>
        <w:t>股股东的净利润，并考虑稀释性潜在普通股对其影响，按《企业会计准则》及有关</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1"/>
          <w:sz w:val="21"/>
          <w:szCs w:val="21"/>
        </w:rPr>
        <w:t>规定进行调整。公司在计算稀释每股收益时，应考虑所有稀释性潜在普通股对归属</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1"/>
          <w:sz w:val="21"/>
          <w:szCs w:val="21"/>
        </w:rPr>
        <w:t>于公司普通股股东的净利润或扣除非经常性损益后归属于公司普通股股东的净利润</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1"/>
          <w:sz w:val="21"/>
          <w:szCs w:val="21"/>
        </w:rPr>
        <w:t>和加权平均股数的影响，按照其稀释程度从大到小的顺序计入稀释每股收益，直至</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稀释每股收益达到最小值。</w:t>
      </w:r>
    </w:p>
    <w:p>
      <w:pPr>
        <w:spacing w:line="240" w:lineRule="auto" w:before="0"/>
        <w:rPr>
          <w:rFonts w:ascii="宋体" w:hAnsi="宋体" w:cs="宋体" w:eastAsia="宋体" w:hint="default"/>
          <w:sz w:val="20"/>
          <w:szCs w:val="20"/>
        </w:rPr>
      </w:pPr>
    </w:p>
    <w:p>
      <w:pPr>
        <w:spacing w:before="173"/>
        <w:ind w:left="858" w:right="182" w:firstLine="0"/>
        <w:jc w:val="left"/>
        <w:rPr>
          <w:rFonts w:ascii="宋体" w:hAnsi="宋体" w:cs="宋体" w:eastAsia="宋体" w:hint="default"/>
          <w:sz w:val="21"/>
          <w:szCs w:val="21"/>
        </w:rPr>
      </w:pPr>
      <w:r>
        <w:rPr>
          <w:rFonts w:ascii="宋体" w:hAnsi="宋体" w:cs="宋体" w:eastAsia="宋体" w:hint="default"/>
          <w:b/>
          <w:bCs/>
          <w:sz w:val="21"/>
          <w:szCs w:val="21"/>
        </w:rPr>
        <w:t>计算过程：</w:t>
      </w:r>
      <w:r>
        <w:rPr>
          <w:rFonts w:ascii="宋体" w:hAnsi="宋体" w:cs="宋体" w:eastAsia="宋体" w:hint="default"/>
          <w:sz w:val="21"/>
          <w:szCs w:val="21"/>
        </w:rPr>
      </w:r>
    </w:p>
    <w:p>
      <w:pPr>
        <w:spacing w:line="381" w:lineRule="auto" w:before="123"/>
        <w:ind w:left="874" w:right="182" w:hanging="17"/>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）基本每股收益</w:t>
      </w:r>
      <w:r>
        <w:rPr>
          <w:rFonts w:ascii="宋体" w:hAnsi="宋体" w:cs="宋体" w:eastAsia="宋体" w:hint="default"/>
          <w:w w:val="100"/>
          <w:sz w:val="21"/>
          <w:szCs w:val="21"/>
        </w:rPr>
        <w:t> </w:t>
      </w:r>
      <w:r>
        <w:rPr>
          <w:rFonts w:ascii="宋体" w:hAnsi="宋体" w:cs="宋体" w:eastAsia="宋体" w:hint="default"/>
          <w:spacing w:val="-1"/>
          <w:sz w:val="21"/>
          <w:szCs w:val="21"/>
        </w:rPr>
        <w:t>基本每股收益以归属于本公司普通股股东的合并净利润除以本公司发行在外普通股</w:t>
      </w:r>
    </w:p>
    <w:p>
      <w:pPr>
        <w:spacing w:before="100"/>
        <w:ind w:left="874" w:right="182" w:firstLine="0"/>
        <w:jc w:val="left"/>
        <w:rPr>
          <w:rFonts w:ascii="宋体" w:hAnsi="宋体" w:cs="宋体" w:eastAsia="宋体" w:hint="default"/>
          <w:sz w:val="21"/>
          <w:szCs w:val="21"/>
        </w:rPr>
      </w:pPr>
      <w:r>
        <w:rPr>
          <w:rFonts w:ascii="宋体" w:hAnsi="宋体" w:cs="宋体" w:eastAsia="宋体" w:hint="default"/>
          <w:sz w:val="21"/>
          <w:szCs w:val="21"/>
        </w:rPr>
        <w:t>的加权平均数计算：</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tbl>
      <w:tblPr>
        <w:tblW w:w="0" w:type="auto"/>
        <w:jc w:val="left"/>
        <w:tblInd w:w="692" w:type="dxa"/>
        <w:tblLayout w:type="fixed"/>
        <w:tblCellMar>
          <w:top w:w="0" w:type="dxa"/>
          <w:left w:w="0" w:type="dxa"/>
          <w:bottom w:w="0" w:type="dxa"/>
          <w:right w:w="0" w:type="dxa"/>
        </w:tblCellMar>
        <w:tblLook w:val="01E0"/>
      </w:tblPr>
      <w:tblGrid>
        <w:gridCol w:w="4362"/>
        <w:gridCol w:w="1721"/>
        <w:gridCol w:w="1721"/>
      </w:tblGrid>
      <w:tr>
        <w:trPr>
          <w:trHeight w:val="394" w:hRule="exact"/>
        </w:trPr>
        <w:tc>
          <w:tcPr>
            <w:tcW w:w="436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1"/>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1"/>
              <w:ind w:left="43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72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1"/>
              <w:ind w:left="434"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86" w:hRule="exact"/>
        </w:trPr>
        <w:tc>
          <w:tcPr>
            <w:tcW w:w="43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1"/>
              <w:ind w:left="122" w:right="0"/>
              <w:jc w:val="left"/>
              <w:rPr>
                <w:rFonts w:ascii="宋体" w:hAnsi="宋体" w:cs="宋体" w:eastAsia="宋体" w:hint="default"/>
                <w:sz w:val="21"/>
                <w:szCs w:val="21"/>
              </w:rPr>
            </w:pPr>
            <w:r>
              <w:rPr>
                <w:rFonts w:ascii="宋体" w:hAnsi="宋体" w:cs="宋体" w:eastAsia="宋体" w:hint="default"/>
                <w:sz w:val="21"/>
                <w:szCs w:val="21"/>
              </w:rPr>
              <w:t>归属于本公司普通股股东的合并净利润</w:t>
            </w:r>
          </w:p>
        </w:tc>
        <w:tc>
          <w:tcPr>
            <w:tcW w:w="17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right="98"/>
              <w:jc w:val="right"/>
              <w:rPr>
                <w:rFonts w:ascii="Times New Roman" w:hAnsi="Times New Roman" w:cs="Times New Roman" w:eastAsia="Times New Roman" w:hint="default"/>
                <w:sz w:val="21"/>
                <w:szCs w:val="21"/>
              </w:rPr>
            </w:pPr>
            <w:r>
              <w:rPr>
                <w:rFonts w:ascii="Times New Roman"/>
                <w:spacing w:val="-1"/>
                <w:sz w:val="21"/>
              </w:rPr>
              <w:t>93,770,452.46</w:t>
            </w:r>
          </w:p>
        </w:tc>
        <w:tc>
          <w:tcPr>
            <w:tcW w:w="17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21"/>
                <w:szCs w:val="21"/>
              </w:rPr>
            </w:pPr>
            <w:r>
              <w:rPr>
                <w:rFonts w:ascii="Times New Roman"/>
                <w:spacing w:val="-1"/>
                <w:sz w:val="21"/>
              </w:rPr>
              <w:t>63,278,947.64</w:t>
            </w:r>
          </w:p>
        </w:tc>
      </w:tr>
      <w:tr>
        <w:trPr>
          <w:trHeight w:val="384" w:hRule="exact"/>
        </w:trPr>
        <w:tc>
          <w:tcPr>
            <w:tcW w:w="43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本公司发行在外普通股的加权平均数</w:t>
            </w:r>
          </w:p>
        </w:tc>
        <w:tc>
          <w:tcPr>
            <w:tcW w:w="17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161,012,649.00</w:t>
            </w:r>
          </w:p>
        </w:tc>
        <w:tc>
          <w:tcPr>
            <w:tcW w:w="17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120,014,274.00</w:t>
            </w:r>
          </w:p>
        </w:tc>
      </w:tr>
      <w:tr>
        <w:trPr>
          <w:trHeight w:val="394" w:hRule="exact"/>
        </w:trPr>
        <w:tc>
          <w:tcPr>
            <w:tcW w:w="436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0.58</w:t>
            </w:r>
          </w:p>
        </w:tc>
        <w:tc>
          <w:tcPr>
            <w:tcW w:w="172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5"/>
              <w:ind w:right="103"/>
              <w:jc w:val="right"/>
              <w:rPr>
                <w:rFonts w:ascii="Times New Roman" w:hAnsi="Times New Roman" w:cs="Times New Roman" w:eastAsia="Times New Roman" w:hint="default"/>
                <w:sz w:val="21"/>
                <w:szCs w:val="21"/>
              </w:rPr>
            </w:pPr>
            <w:r>
              <w:rPr>
                <w:rFonts w:ascii="Times New Roman"/>
                <w:sz w:val="21"/>
              </w:rPr>
              <w:t>0.53</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before="36"/>
        <w:ind w:left="874" w:right="182" w:firstLine="0"/>
        <w:jc w:val="left"/>
        <w:rPr>
          <w:rFonts w:ascii="宋体" w:hAnsi="宋体" w:cs="宋体" w:eastAsia="宋体" w:hint="default"/>
          <w:sz w:val="21"/>
          <w:szCs w:val="21"/>
        </w:rPr>
      </w:pPr>
      <w:r>
        <w:rPr>
          <w:rFonts w:ascii="宋体" w:hAnsi="宋体" w:cs="宋体" w:eastAsia="宋体" w:hint="default"/>
          <w:sz w:val="21"/>
          <w:szCs w:val="21"/>
        </w:rPr>
        <w:t>普通股的加权平均数计算过程如下：</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tbl>
      <w:tblPr>
        <w:tblW w:w="0" w:type="auto"/>
        <w:jc w:val="left"/>
        <w:tblInd w:w="687" w:type="dxa"/>
        <w:tblLayout w:type="fixed"/>
        <w:tblCellMar>
          <w:top w:w="0" w:type="dxa"/>
          <w:left w:w="0" w:type="dxa"/>
          <w:bottom w:w="0" w:type="dxa"/>
          <w:right w:w="0" w:type="dxa"/>
        </w:tblCellMar>
        <w:tblLook w:val="01E0"/>
      </w:tblPr>
      <w:tblGrid>
        <w:gridCol w:w="4335"/>
        <w:gridCol w:w="1709"/>
        <w:gridCol w:w="1709"/>
      </w:tblGrid>
      <w:tr>
        <w:trPr>
          <w:trHeight w:val="396" w:hRule="exact"/>
        </w:trPr>
        <w:tc>
          <w:tcPr>
            <w:tcW w:w="433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1"/>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1"/>
              <w:ind w:left="42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70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1"/>
              <w:ind w:left="42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84" w:hRule="exact"/>
        </w:trPr>
        <w:tc>
          <w:tcPr>
            <w:tcW w:w="43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年初已发行普通股股数</w:t>
            </w:r>
          </w:p>
        </w:tc>
        <w:tc>
          <w:tcPr>
            <w:tcW w:w="17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85,724,482.00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85,724,482.00</w:t>
            </w:r>
          </w:p>
        </w:tc>
      </w:tr>
      <w:tr>
        <w:trPr>
          <w:trHeight w:val="384" w:hRule="exact"/>
        </w:trPr>
        <w:tc>
          <w:tcPr>
            <w:tcW w:w="43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加：本期发行的普通股加权数</w:t>
            </w:r>
          </w:p>
        </w:tc>
        <w:tc>
          <w:tcPr>
            <w:tcW w:w="17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75,288,167.00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34,289,792.00</w:t>
            </w:r>
          </w:p>
        </w:tc>
      </w:tr>
      <w:tr>
        <w:trPr>
          <w:trHeight w:val="384" w:hRule="exact"/>
        </w:trPr>
        <w:tc>
          <w:tcPr>
            <w:tcW w:w="43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减：本期回购的普通股加权数</w:t>
            </w:r>
          </w:p>
        </w:tc>
        <w:tc>
          <w:tcPr>
            <w:tcW w:w="1709" w:type="dxa"/>
            <w:tcBorders>
              <w:top w:val="dotted" w:sz="4" w:space="0" w:color="000000"/>
              <w:left w:val="dotted" w:sz="4" w:space="0" w:color="000000"/>
              <w:bottom w:val="dotted" w:sz="4" w:space="0" w:color="000000"/>
              <w:right w:val="dotted" w:sz="4" w:space="0" w:color="000000"/>
            </w:tcBorders>
          </w:tcPr>
          <w:p>
            <w:pPr/>
          </w:p>
        </w:tc>
        <w:tc>
          <w:tcPr>
            <w:tcW w:w="1709" w:type="dxa"/>
            <w:tcBorders>
              <w:top w:val="dotted" w:sz="4" w:space="0" w:color="000000"/>
              <w:left w:val="dotted" w:sz="4" w:space="0" w:color="000000"/>
              <w:bottom w:val="dotted" w:sz="4" w:space="0" w:color="000000"/>
              <w:right w:val="nil" w:sz="6" w:space="0" w:color="auto"/>
            </w:tcBorders>
          </w:tcPr>
          <w:p>
            <w:pPr/>
          </w:p>
        </w:tc>
      </w:tr>
      <w:tr>
        <w:trPr>
          <w:trHeight w:val="396" w:hRule="exact"/>
        </w:trPr>
        <w:tc>
          <w:tcPr>
            <w:tcW w:w="43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1"/>
              <w:ind w:left="122" w:right="0"/>
              <w:jc w:val="left"/>
              <w:rPr>
                <w:rFonts w:ascii="宋体" w:hAnsi="宋体" w:cs="宋体" w:eastAsia="宋体" w:hint="default"/>
                <w:sz w:val="21"/>
                <w:szCs w:val="21"/>
              </w:rPr>
            </w:pPr>
            <w:r>
              <w:rPr>
                <w:rFonts w:ascii="宋体" w:hAnsi="宋体" w:cs="宋体" w:eastAsia="宋体" w:hint="default"/>
                <w:sz w:val="21"/>
                <w:szCs w:val="21"/>
              </w:rPr>
              <w:t>年末发行在外的普通股加权数</w:t>
            </w:r>
          </w:p>
        </w:tc>
        <w:tc>
          <w:tcPr>
            <w:tcW w:w="17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8"/>
              <w:ind w:right="98"/>
              <w:jc w:val="right"/>
              <w:rPr>
                <w:rFonts w:ascii="Times New Roman" w:hAnsi="Times New Roman" w:cs="Times New Roman" w:eastAsia="Times New Roman" w:hint="default"/>
                <w:sz w:val="21"/>
                <w:szCs w:val="21"/>
              </w:rPr>
            </w:pPr>
            <w:r>
              <w:rPr>
                <w:rFonts w:ascii="Times New Roman"/>
                <w:spacing w:val="-1"/>
                <w:sz w:val="21"/>
              </w:rPr>
              <w:t>161,012,649.00</w:t>
            </w:r>
          </w:p>
        </w:tc>
        <w:tc>
          <w:tcPr>
            <w:tcW w:w="170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21"/>
                <w:szCs w:val="21"/>
              </w:rPr>
            </w:pPr>
            <w:r>
              <w:rPr>
                <w:rFonts w:ascii="Times New Roman"/>
                <w:spacing w:val="-1"/>
                <w:sz w:val="21"/>
              </w:rPr>
              <w:t>120,014,274.00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line="424" w:lineRule="auto" w:before="36"/>
        <w:ind w:left="771" w:right="182" w:firstLine="103"/>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）稀释每股收益</w:t>
      </w:r>
      <w:r>
        <w:rPr>
          <w:rFonts w:ascii="宋体" w:hAnsi="宋体" w:cs="宋体" w:eastAsia="宋体" w:hint="default"/>
          <w:w w:val="100"/>
          <w:sz w:val="21"/>
          <w:szCs w:val="21"/>
        </w:rPr>
        <w:t> </w:t>
      </w:r>
      <w:r>
        <w:rPr>
          <w:rFonts w:ascii="宋体" w:hAnsi="宋体" w:cs="宋体" w:eastAsia="宋体" w:hint="default"/>
          <w:sz w:val="21"/>
          <w:szCs w:val="21"/>
        </w:rPr>
        <w:t>稀释每股收益以调整后的归属于本公司普通股股东的合并净利润除以调整后的本公</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司发行在外普通股的加权平均数计算：</w:t>
      </w:r>
    </w:p>
    <w:p>
      <w:pPr>
        <w:spacing w:after="0" w:line="424" w:lineRule="auto"/>
        <w:jc w:val="left"/>
        <w:rPr>
          <w:rFonts w:ascii="宋体" w:hAnsi="宋体" w:cs="宋体" w:eastAsia="宋体" w:hint="default"/>
          <w:sz w:val="21"/>
          <w:szCs w:val="21"/>
        </w:rPr>
        <w:sectPr>
          <w:pgSz w:w="11910" w:h="16840"/>
          <w:pgMar w:header="884" w:footer="980" w:top="1140" w:bottom="1160" w:left="1660" w:right="1600"/>
        </w:sectPr>
      </w:pPr>
    </w:p>
    <w:p>
      <w:pPr>
        <w:spacing w:line="240" w:lineRule="auto" w:before="6"/>
        <w:rPr>
          <w:rFonts w:ascii="宋体" w:hAnsi="宋体" w:cs="宋体" w:eastAsia="宋体" w:hint="default"/>
          <w:sz w:val="21"/>
          <w:szCs w:val="21"/>
        </w:rPr>
      </w:pPr>
    </w:p>
    <w:tbl>
      <w:tblPr>
        <w:tblW w:w="0" w:type="auto"/>
        <w:jc w:val="left"/>
        <w:tblInd w:w="687" w:type="dxa"/>
        <w:tblLayout w:type="fixed"/>
        <w:tblCellMar>
          <w:top w:w="0" w:type="dxa"/>
          <w:left w:w="0" w:type="dxa"/>
          <w:bottom w:w="0" w:type="dxa"/>
          <w:right w:w="0" w:type="dxa"/>
        </w:tblCellMar>
        <w:tblLook w:val="01E0"/>
      </w:tblPr>
      <w:tblGrid>
        <w:gridCol w:w="4479"/>
        <w:gridCol w:w="1574"/>
        <w:gridCol w:w="1707"/>
      </w:tblGrid>
      <w:tr>
        <w:trPr>
          <w:trHeight w:val="394" w:hRule="exact"/>
        </w:trPr>
        <w:tc>
          <w:tcPr>
            <w:tcW w:w="447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1"/>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7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1"/>
              <w:ind w:left="36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70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1"/>
              <w:ind w:left="427"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87" w:hRule="exact"/>
        </w:trPr>
        <w:tc>
          <w:tcPr>
            <w:tcW w:w="44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1"/>
              <w:ind w:left="122" w:right="-5"/>
              <w:jc w:val="left"/>
              <w:rPr>
                <w:rFonts w:ascii="宋体" w:hAnsi="宋体" w:cs="宋体" w:eastAsia="宋体" w:hint="default"/>
                <w:sz w:val="21"/>
                <w:szCs w:val="21"/>
              </w:rPr>
            </w:pPr>
            <w:r>
              <w:rPr>
                <w:rFonts w:ascii="宋体" w:hAnsi="宋体" w:cs="宋体" w:eastAsia="宋体" w:hint="default"/>
                <w:spacing w:val="-4"/>
                <w:sz w:val="21"/>
                <w:szCs w:val="21"/>
              </w:rPr>
              <w:t>归属于本公司普通股股东的合并净利润（稀释）</w:t>
            </w:r>
          </w:p>
        </w:tc>
        <w:tc>
          <w:tcPr>
            <w:tcW w:w="15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right="98"/>
              <w:jc w:val="right"/>
              <w:rPr>
                <w:rFonts w:ascii="Times New Roman" w:hAnsi="Times New Roman" w:cs="Times New Roman" w:eastAsia="Times New Roman" w:hint="default"/>
                <w:sz w:val="21"/>
                <w:szCs w:val="21"/>
              </w:rPr>
            </w:pPr>
            <w:r>
              <w:rPr>
                <w:rFonts w:ascii="Times New Roman"/>
                <w:spacing w:val="-1"/>
                <w:sz w:val="21"/>
              </w:rPr>
              <w:t>93,770,452.46</w:t>
            </w:r>
          </w:p>
        </w:tc>
        <w:tc>
          <w:tcPr>
            <w:tcW w:w="170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21"/>
                <w:szCs w:val="21"/>
              </w:rPr>
            </w:pPr>
            <w:r>
              <w:rPr>
                <w:rFonts w:ascii="Times New Roman"/>
                <w:spacing w:val="-1"/>
                <w:sz w:val="21"/>
              </w:rPr>
              <w:t>63,278,947.64</w:t>
            </w:r>
          </w:p>
        </w:tc>
      </w:tr>
      <w:tr>
        <w:trPr>
          <w:trHeight w:val="384" w:hRule="exact"/>
        </w:trPr>
        <w:tc>
          <w:tcPr>
            <w:tcW w:w="44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本公司发行在外普通股的加权平均数</w:t>
            </w:r>
            <w:r>
              <w:rPr>
                <w:rFonts w:ascii="宋体" w:hAnsi="宋体" w:cs="宋体" w:eastAsia="宋体" w:hint="default"/>
                <w:spacing w:val="-2"/>
                <w:sz w:val="21"/>
                <w:szCs w:val="21"/>
              </w:rPr>
              <w:t> </w:t>
            </w:r>
            <w:r>
              <w:rPr>
                <w:rFonts w:ascii="宋体" w:hAnsi="宋体" w:cs="宋体" w:eastAsia="宋体" w:hint="default"/>
                <w:sz w:val="21"/>
                <w:szCs w:val="21"/>
              </w:rPr>
              <w:t>（稀释）</w:t>
            </w:r>
          </w:p>
        </w:tc>
        <w:tc>
          <w:tcPr>
            <w:tcW w:w="15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161,012,649.00</w:t>
            </w:r>
          </w:p>
        </w:tc>
        <w:tc>
          <w:tcPr>
            <w:tcW w:w="170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120,014,274.00</w:t>
            </w:r>
          </w:p>
        </w:tc>
      </w:tr>
      <w:tr>
        <w:trPr>
          <w:trHeight w:val="394" w:hRule="exact"/>
        </w:trPr>
        <w:tc>
          <w:tcPr>
            <w:tcW w:w="447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0.58</w:t>
            </w:r>
          </w:p>
        </w:tc>
        <w:tc>
          <w:tcPr>
            <w:tcW w:w="170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5"/>
              <w:ind w:right="103"/>
              <w:jc w:val="right"/>
              <w:rPr>
                <w:rFonts w:ascii="Times New Roman" w:hAnsi="Times New Roman" w:cs="Times New Roman" w:eastAsia="Times New Roman" w:hint="default"/>
                <w:sz w:val="21"/>
                <w:szCs w:val="21"/>
              </w:rPr>
            </w:pPr>
            <w:r>
              <w:rPr>
                <w:rFonts w:ascii="Times New Roman"/>
                <w:sz w:val="21"/>
              </w:rPr>
              <w:t>0.53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36"/>
        <w:ind w:left="771" w:right="159" w:firstLine="0"/>
        <w:jc w:val="left"/>
        <w:rPr>
          <w:rFonts w:ascii="宋体" w:hAnsi="宋体" w:cs="宋体" w:eastAsia="宋体" w:hint="default"/>
          <w:sz w:val="21"/>
          <w:szCs w:val="21"/>
        </w:rPr>
      </w:pPr>
      <w:r>
        <w:rPr>
          <w:rFonts w:ascii="宋体" w:hAnsi="宋体" w:cs="宋体" w:eastAsia="宋体" w:hint="default"/>
          <w:sz w:val="21"/>
          <w:szCs w:val="21"/>
        </w:rPr>
        <w:t>普通股的加权平均数（稀释）计算过程如下：</w:t>
      </w:r>
    </w:p>
    <w:p>
      <w:pPr>
        <w:spacing w:line="240" w:lineRule="auto" w:before="1"/>
        <w:rPr>
          <w:rFonts w:ascii="宋体" w:hAnsi="宋体" w:cs="宋体" w:eastAsia="宋体" w:hint="default"/>
          <w:sz w:val="29"/>
          <w:szCs w:val="29"/>
        </w:rPr>
      </w:pPr>
    </w:p>
    <w:tbl>
      <w:tblPr>
        <w:tblW w:w="0" w:type="auto"/>
        <w:jc w:val="left"/>
        <w:tblInd w:w="687" w:type="dxa"/>
        <w:tblLayout w:type="fixed"/>
        <w:tblCellMar>
          <w:top w:w="0" w:type="dxa"/>
          <w:left w:w="0" w:type="dxa"/>
          <w:bottom w:w="0" w:type="dxa"/>
          <w:right w:w="0" w:type="dxa"/>
        </w:tblCellMar>
        <w:tblLook w:val="01E0"/>
      </w:tblPr>
      <w:tblGrid>
        <w:gridCol w:w="4326"/>
        <w:gridCol w:w="1706"/>
        <w:gridCol w:w="1707"/>
      </w:tblGrid>
      <w:tr>
        <w:trPr>
          <w:trHeight w:val="396" w:hRule="exact"/>
        </w:trPr>
        <w:tc>
          <w:tcPr>
            <w:tcW w:w="432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1"/>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1"/>
              <w:ind w:left="42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70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1"/>
              <w:ind w:left="427"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758" w:hRule="exact"/>
        </w:trPr>
        <w:tc>
          <w:tcPr>
            <w:tcW w:w="4326" w:type="dxa"/>
            <w:tcBorders>
              <w:top w:val="dotted" w:sz="4" w:space="0" w:color="000000"/>
              <w:left w:val="nil" w:sz="6" w:space="0" w:color="auto"/>
              <w:bottom w:val="dotted" w:sz="4" w:space="0" w:color="000000"/>
              <w:right w:val="dotted" w:sz="4" w:space="0" w:color="000000"/>
            </w:tcBorders>
          </w:tcPr>
          <w:p>
            <w:pPr>
              <w:pStyle w:val="TableParagraph"/>
              <w:spacing w:line="326" w:lineRule="auto" w:before="18"/>
              <w:ind w:left="122" w:right="94"/>
              <w:jc w:val="left"/>
              <w:rPr>
                <w:rFonts w:ascii="宋体" w:hAnsi="宋体" w:cs="宋体" w:eastAsia="宋体" w:hint="default"/>
                <w:sz w:val="21"/>
                <w:szCs w:val="21"/>
              </w:rPr>
            </w:pPr>
            <w:r>
              <w:rPr>
                <w:rFonts w:ascii="宋体" w:hAnsi="宋体" w:cs="宋体" w:eastAsia="宋体" w:hint="default"/>
                <w:spacing w:val="2"/>
                <w:sz w:val="21"/>
                <w:szCs w:val="21"/>
              </w:rPr>
              <w:t>计算基本每股收益时年末发行在外的普通股</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加权平均数</w:t>
            </w:r>
          </w:p>
        </w:tc>
        <w:tc>
          <w:tcPr>
            <w:tcW w:w="1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161,012,649.00</w:t>
            </w:r>
          </w:p>
        </w:tc>
        <w:tc>
          <w:tcPr>
            <w:tcW w:w="170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120,014,274.00</w:t>
            </w:r>
          </w:p>
        </w:tc>
      </w:tr>
      <w:tr>
        <w:trPr>
          <w:trHeight w:val="397" w:hRule="exact"/>
        </w:trPr>
        <w:tc>
          <w:tcPr>
            <w:tcW w:w="432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9"/>
              <w:ind w:left="122" w:right="0"/>
              <w:jc w:val="left"/>
              <w:rPr>
                <w:rFonts w:ascii="宋体" w:hAnsi="宋体" w:cs="宋体" w:eastAsia="宋体" w:hint="default"/>
                <w:sz w:val="21"/>
                <w:szCs w:val="21"/>
              </w:rPr>
            </w:pPr>
            <w:r>
              <w:rPr>
                <w:rFonts w:ascii="宋体" w:hAnsi="宋体" w:cs="宋体" w:eastAsia="宋体" w:hint="default"/>
                <w:sz w:val="21"/>
                <w:szCs w:val="21"/>
              </w:rPr>
              <w:t>年末普通股的加权平均数（稀释）</w:t>
            </w:r>
          </w:p>
        </w:tc>
        <w:tc>
          <w:tcPr>
            <w:tcW w:w="170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161,012,649.00</w:t>
            </w:r>
          </w:p>
        </w:tc>
        <w:tc>
          <w:tcPr>
            <w:tcW w:w="170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21"/>
                <w:szCs w:val="21"/>
              </w:rPr>
            </w:pPr>
            <w:r>
              <w:rPr>
                <w:rFonts w:ascii="Times New Roman"/>
                <w:spacing w:val="-1"/>
                <w:sz w:val="21"/>
              </w:rPr>
              <w:t>120,014,274.00</w:t>
            </w:r>
          </w:p>
        </w:tc>
      </w:tr>
    </w:tbl>
    <w:p>
      <w:pPr>
        <w:spacing w:line="240" w:lineRule="auto" w:before="1"/>
        <w:rPr>
          <w:rFonts w:ascii="宋体" w:hAnsi="宋体" w:cs="宋体" w:eastAsia="宋体" w:hint="default"/>
          <w:sz w:val="23"/>
          <w:szCs w:val="23"/>
        </w:rPr>
      </w:pPr>
    </w:p>
    <w:p>
      <w:pPr>
        <w:tabs>
          <w:tab w:pos="1400" w:val="left" w:leader="none"/>
        </w:tabs>
        <w:spacing w:before="36"/>
        <w:ind w:left="140" w:right="159"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三十四</w:t>
      </w:r>
      <w:r>
        <w:rPr>
          <w:rFonts w:ascii="宋体" w:hAnsi="宋体" w:cs="宋体" w:eastAsia="宋体" w:hint="default"/>
          <w:b/>
          <w:bCs/>
          <w:spacing w:val="-1"/>
          <w:sz w:val="21"/>
          <w:szCs w:val="21"/>
        </w:rPr>
        <w:t>)</w:t>
        <w:tab/>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0"/>
          <w:szCs w:val="10"/>
        </w:rPr>
      </w:pPr>
    </w:p>
    <w:tbl>
      <w:tblPr>
        <w:tblW w:w="0" w:type="auto"/>
        <w:jc w:val="left"/>
        <w:tblInd w:w="682" w:type="dxa"/>
        <w:tblLayout w:type="fixed"/>
        <w:tblCellMar>
          <w:top w:w="0" w:type="dxa"/>
          <w:left w:w="0" w:type="dxa"/>
          <w:bottom w:w="0" w:type="dxa"/>
          <w:right w:w="0" w:type="dxa"/>
        </w:tblCellMar>
        <w:tblLook w:val="01E0"/>
      </w:tblPr>
      <w:tblGrid>
        <w:gridCol w:w="4695"/>
        <w:gridCol w:w="1522"/>
        <w:gridCol w:w="1522"/>
      </w:tblGrid>
      <w:tr>
        <w:trPr>
          <w:trHeight w:val="396" w:hRule="exact"/>
        </w:trPr>
        <w:tc>
          <w:tcPr>
            <w:tcW w:w="469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1"/>
              <w:ind w:left="1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2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1"/>
              <w:ind w:left="38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52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1"/>
              <w:ind w:left="102"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96" w:hRule="exact"/>
        </w:trPr>
        <w:tc>
          <w:tcPr>
            <w:tcW w:w="469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p>
        </w:tc>
        <w:tc>
          <w:tcPr>
            <w:tcW w:w="152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5"/>
              <w:ind w:left="388" w:right="0"/>
              <w:jc w:val="left"/>
              <w:rPr>
                <w:rFonts w:ascii="Times New Roman" w:hAnsi="Times New Roman" w:cs="Times New Roman" w:eastAsia="Times New Roman" w:hint="default"/>
                <w:sz w:val="21"/>
                <w:szCs w:val="21"/>
              </w:rPr>
            </w:pPr>
            <w:r>
              <w:rPr>
                <w:rFonts w:ascii="Times New Roman"/>
                <w:sz w:val="21"/>
              </w:rPr>
              <w:t>2,914.11</w:t>
            </w:r>
          </w:p>
        </w:tc>
        <w:tc>
          <w:tcPr>
            <w:tcW w:w="152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-53,648.43</w:t>
            </w:r>
          </w:p>
        </w:tc>
      </w:tr>
    </w:tbl>
    <w:p>
      <w:pPr>
        <w:spacing w:line="240" w:lineRule="auto" w:before="11"/>
        <w:rPr>
          <w:rFonts w:ascii="宋体" w:hAnsi="宋体" w:cs="宋体" w:eastAsia="宋体" w:hint="default"/>
          <w:b/>
          <w:bCs/>
          <w:sz w:val="22"/>
          <w:szCs w:val="22"/>
        </w:rPr>
      </w:pPr>
    </w:p>
    <w:p>
      <w:pPr>
        <w:tabs>
          <w:tab w:pos="1400" w:val="left" w:leader="none"/>
        </w:tabs>
        <w:spacing w:before="36"/>
        <w:ind w:left="140" w:right="159"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三十五</w:t>
      </w:r>
      <w:r>
        <w:rPr>
          <w:rFonts w:ascii="宋体" w:hAnsi="宋体" w:cs="宋体" w:eastAsia="宋体" w:hint="default"/>
          <w:b/>
          <w:bCs/>
          <w:spacing w:val="-1"/>
          <w:sz w:val="21"/>
          <w:szCs w:val="21"/>
        </w:rPr>
        <w:t>)</w:t>
        <w:tab/>
      </w:r>
      <w:r>
        <w:rPr>
          <w:rFonts w:ascii="宋体" w:hAnsi="宋体" w:cs="宋体" w:eastAsia="宋体" w:hint="default"/>
          <w:b/>
          <w:bCs/>
          <w:sz w:val="21"/>
          <w:szCs w:val="21"/>
        </w:rPr>
        <w:t>现金流量表项目注释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tabs>
          <w:tab w:pos="1395" w:val="left" w:leader="none"/>
        </w:tabs>
        <w:spacing w:before="0"/>
        <w:ind w:left="858" w:right="15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tab/>
        <w:t>收到的其他与经营活动有关的现金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tbl>
      <w:tblPr>
        <w:tblW w:w="0" w:type="auto"/>
        <w:jc w:val="left"/>
        <w:tblInd w:w="692" w:type="dxa"/>
        <w:tblLayout w:type="fixed"/>
        <w:tblCellMar>
          <w:top w:w="0" w:type="dxa"/>
          <w:left w:w="0" w:type="dxa"/>
          <w:bottom w:w="0" w:type="dxa"/>
          <w:right w:w="0" w:type="dxa"/>
        </w:tblCellMar>
        <w:tblLook w:val="01E0"/>
      </w:tblPr>
      <w:tblGrid>
        <w:gridCol w:w="5360"/>
        <w:gridCol w:w="2408"/>
      </w:tblGrid>
      <w:tr>
        <w:trPr>
          <w:trHeight w:val="394" w:hRule="exact"/>
        </w:trPr>
        <w:tc>
          <w:tcPr>
            <w:tcW w:w="5360" w:type="dxa"/>
            <w:tcBorders>
              <w:top w:val="single" w:sz="12" w:space="0" w:color="000000"/>
              <w:left w:val="nil" w:sz="6" w:space="0" w:color="auto"/>
              <w:bottom w:val="dotted" w:sz="4" w:space="0" w:color="000000"/>
              <w:right w:val="dotted" w:sz="4" w:space="0" w:color="000000"/>
            </w:tcBorders>
          </w:tcPr>
          <w:p>
            <w:pPr>
              <w:pStyle w:val="TableParagraph"/>
              <w:tabs>
                <w:tab w:pos="650" w:val="left" w:leader="none"/>
              </w:tabs>
              <w:spacing w:line="240" w:lineRule="auto" w:before="18"/>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0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8"/>
              <w:ind w:left="777" w:right="0"/>
              <w:jc w:val="left"/>
              <w:rPr>
                <w:rFonts w:ascii="宋体" w:hAnsi="宋体" w:cs="宋体" w:eastAsia="宋体" w:hint="default"/>
                <w:sz w:val="21"/>
                <w:szCs w:val="21"/>
              </w:rPr>
            </w:pPr>
            <w:r>
              <w:rPr>
                <w:rFonts w:ascii="宋体" w:hAnsi="宋体" w:cs="宋体" w:eastAsia="宋体" w:hint="default"/>
                <w:sz w:val="21"/>
                <w:szCs w:val="21"/>
              </w:rPr>
              <w:t>本期金额</w:t>
            </w:r>
          </w:p>
        </w:tc>
      </w:tr>
      <w:tr>
        <w:trPr>
          <w:trHeight w:val="384" w:hRule="exact"/>
        </w:trPr>
        <w:tc>
          <w:tcPr>
            <w:tcW w:w="53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2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、收回往来款、代垫款</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2,549,149.56</w:t>
            </w:r>
          </w:p>
        </w:tc>
      </w:tr>
      <w:tr>
        <w:trPr>
          <w:trHeight w:val="386" w:hRule="exact"/>
        </w:trPr>
        <w:tc>
          <w:tcPr>
            <w:tcW w:w="53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1"/>
              <w:ind w:left="2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、利息收入</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21"/>
                <w:szCs w:val="21"/>
              </w:rPr>
            </w:pPr>
            <w:r>
              <w:rPr>
                <w:rFonts w:ascii="Times New Roman"/>
                <w:spacing w:val="-1"/>
                <w:sz w:val="21"/>
              </w:rPr>
              <w:t>9,836,400.92</w:t>
            </w:r>
          </w:p>
        </w:tc>
      </w:tr>
      <w:tr>
        <w:trPr>
          <w:trHeight w:val="384" w:hRule="exact"/>
        </w:trPr>
        <w:tc>
          <w:tcPr>
            <w:tcW w:w="53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2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、营业外收入</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17,646,493.66</w:t>
            </w:r>
          </w:p>
        </w:tc>
      </w:tr>
      <w:tr>
        <w:trPr>
          <w:trHeight w:val="394" w:hRule="exact"/>
        </w:trPr>
        <w:tc>
          <w:tcPr>
            <w:tcW w:w="5360" w:type="dxa"/>
            <w:tcBorders>
              <w:top w:val="dotted" w:sz="4" w:space="0" w:color="000000"/>
              <w:left w:val="nil" w:sz="6" w:space="0" w:color="auto"/>
              <w:bottom w:val="single" w:sz="12" w:space="0" w:color="000000"/>
              <w:right w:val="dotted" w:sz="4" w:space="0" w:color="000000"/>
            </w:tcBorders>
          </w:tcPr>
          <w:p>
            <w:pPr>
              <w:pStyle w:val="TableParagraph"/>
              <w:tabs>
                <w:tab w:pos="444" w:val="left" w:leader="none"/>
              </w:tabs>
              <w:spacing w:line="240" w:lineRule="auto" w:before="18"/>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40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30,032,044.14</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tabs>
          <w:tab w:pos="1395" w:val="left" w:leader="none"/>
        </w:tabs>
        <w:spacing w:before="0"/>
        <w:ind w:left="858" w:right="15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t>支付的其他与经营活动有关的现金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tbl>
      <w:tblPr>
        <w:tblW w:w="0" w:type="auto"/>
        <w:jc w:val="left"/>
        <w:tblInd w:w="692" w:type="dxa"/>
        <w:tblLayout w:type="fixed"/>
        <w:tblCellMar>
          <w:top w:w="0" w:type="dxa"/>
          <w:left w:w="0" w:type="dxa"/>
          <w:bottom w:w="0" w:type="dxa"/>
          <w:right w:w="0" w:type="dxa"/>
        </w:tblCellMar>
        <w:tblLook w:val="01E0"/>
      </w:tblPr>
      <w:tblGrid>
        <w:gridCol w:w="5358"/>
        <w:gridCol w:w="2410"/>
      </w:tblGrid>
      <w:tr>
        <w:trPr>
          <w:trHeight w:val="396" w:hRule="exact"/>
        </w:trPr>
        <w:tc>
          <w:tcPr>
            <w:tcW w:w="5358" w:type="dxa"/>
            <w:tcBorders>
              <w:top w:val="single" w:sz="12" w:space="0" w:color="000000"/>
              <w:left w:val="nil" w:sz="6" w:space="0" w:color="auto"/>
              <w:bottom w:val="dotted" w:sz="4" w:space="0" w:color="000000"/>
              <w:right w:val="dotted" w:sz="4" w:space="0" w:color="000000"/>
            </w:tcBorders>
          </w:tcPr>
          <w:p>
            <w:pPr>
              <w:pStyle w:val="TableParagraph"/>
              <w:tabs>
                <w:tab w:pos="652" w:val="left" w:leader="none"/>
              </w:tabs>
              <w:spacing w:line="240" w:lineRule="auto" w:before="21"/>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1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1"/>
              <w:ind w:left="780" w:right="0"/>
              <w:jc w:val="left"/>
              <w:rPr>
                <w:rFonts w:ascii="宋体" w:hAnsi="宋体" w:cs="宋体" w:eastAsia="宋体" w:hint="default"/>
                <w:sz w:val="21"/>
                <w:szCs w:val="21"/>
              </w:rPr>
            </w:pPr>
            <w:r>
              <w:rPr>
                <w:rFonts w:ascii="宋体" w:hAnsi="宋体" w:cs="宋体" w:eastAsia="宋体" w:hint="default"/>
                <w:sz w:val="21"/>
                <w:szCs w:val="21"/>
              </w:rPr>
              <w:t>本期金额</w:t>
            </w:r>
          </w:p>
        </w:tc>
      </w:tr>
      <w:tr>
        <w:trPr>
          <w:trHeight w:val="384" w:hRule="exact"/>
        </w:trPr>
        <w:tc>
          <w:tcPr>
            <w:tcW w:w="535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2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、企业间往来</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8,507,029.90</w:t>
            </w:r>
          </w:p>
        </w:tc>
      </w:tr>
      <w:tr>
        <w:trPr>
          <w:trHeight w:val="384" w:hRule="exact"/>
        </w:trPr>
        <w:tc>
          <w:tcPr>
            <w:tcW w:w="535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2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、销售费用支出</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16,710,220.20</w:t>
            </w:r>
          </w:p>
        </w:tc>
      </w:tr>
      <w:tr>
        <w:trPr>
          <w:trHeight w:val="396" w:hRule="exact"/>
        </w:trPr>
        <w:tc>
          <w:tcPr>
            <w:tcW w:w="535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8"/>
              <w:ind w:left="2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、管理费用支出</w:t>
            </w:r>
          </w:p>
        </w:tc>
        <w:tc>
          <w:tcPr>
            <w:tcW w:w="241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22,517,523.83</w:t>
            </w:r>
          </w:p>
        </w:tc>
      </w:tr>
    </w:tbl>
    <w:p>
      <w:pPr>
        <w:spacing w:after="0" w:line="240" w:lineRule="auto"/>
        <w:jc w:val="right"/>
        <w:rPr>
          <w:rFonts w:ascii="Times New Roman" w:hAnsi="Times New Roman" w:cs="Times New Roman" w:eastAsia="Times New Roman" w:hint="default"/>
          <w:sz w:val="21"/>
          <w:szCs w:val="21"/>
        </w:rPr>
        <w:sectPr>
          <w:pgSz w:w="11910" w:h="16840"/>
          <w:pgMar w:header="884" w:footer="980" w:top="1140" w:bottom="1160" w:left="1660" w:right="1640"/>
        </w:sectPr>
      </w:pPr>
    </w:p>
    <w:p>
      <w:pPr>
        <w:spacing w:line="240" w:lineRule="auto" w:before="6"/>
        <w:rPr>
          <w:rFonts w:ascii="宋体" w:hAnsi="宋体" w:cs="宋体" w:eastAsia="宋体" w:hint="default"/>
          <w:b/>
          <w:bCs/>
          <w:sz w:val="21"/>
          <w:szCs w:val="21"/>
        </w:rPr>
      </w:pPr>
    </w:p>
    <w:tbl>
      <w:tblPr>
        <w:tblW w:w="0" w:type="auto"/>
        <w:jc w:val="left"/>
        <w:tblInd w:w="692" w:type="dxa"/>
        <w:tblLayout w:type="fixed"/>
        <w:tblCellMar>
          <w:top w:w="0" w:type="dxa"/>
          <w:left w:w="0" w:type="dxa"/>
          <w:bottom w:w="0" w:type="dxa"/>
          <w:right w:w="0" w:type="dxa"/>
        </w:tblCellMar>
        <w:tblLook w:val="01E0"/>
      </w:tblPr>
      <w:tblGrid>
        <w:gridCol w:w="5358"/>
        <w:gridCol w:w="2410"/>
      </w:tblGrid>
      <w:tr>
        <w:trPr>
          <w:trHeight w:val="394" w:hRule="exact"/>
        </w:trPr>
        <w:tc>
          <w:tcPr>
            <w:tcW w:w="535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1"/>
              <w:ind w:left="2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、营业外支出</w:t>
            </w:r>
          </w:p>
        </w:tc>
        <w:tc>
          <w:tcPr>
            <w:tcW w:w="241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8"/>
              <w:ind w:right="103"/>
              <w:jc w:val="right"/>
              <w:rPr>
                <w:rFonts w:ascii="Times New Roman" w:hAnsi="Times New Roman" w:cs="Times New Roman" w:eastAsia="Times New Roman" w:hint="default"/>
                <w:sz w:val="21"/>
                <w:szCs w:val="21"/>
              </w:rPr>
            </w:pPr>
            <w:r>
              <w:rPr>
                <w:rFonts w:ascii="Times New Roman"/>
                <w:sz w:val="21"/>
              </w:rPr>
              <w:t>895.36</w:t>
            </w:r>
          </w:p>
        </w:tc>
      </w:tr>
      <w:tr>
        <w:trPr>
          <w:trHeight w:val="387" w:hRule="exact"/>
        </w:trPr>
        <w:tc>
          <w:tcPr>
            <w:tcW w:w="535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1"/>
              <w:ind w:left="2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21"/>
                <w:szCs w:val="21"/>
              </w:rPr>
            </w:pPr>
            <w:r>
              <w:rPr>
                <w:rFonts w:ascii="Times New Roman"/>
                <w:spacing w:val="-1"/>
                <w:sz w:val="21"/>
              </w:rPr>
              <w:t>43,065.15</w:t>
            </w:r>
          </w:p>
        </w:tc>
      </w:tr>
      <w:tr>
        <w:trPr>
          <w:trHeight w:val="394" w:hRule="exact"/>
        </w:trPr>
        <w:tc>
          <w:tcPr>
            <w:tcW w:w="5358" w:type="dxa"/>
            <w:tcBorders>
              <w:top w:val="dotted" w:sz="4" w:space="0" w:color="000000"/>
              <w:left w:val="nil" w:sz="6" w:space="0" w:color="auto"/>
              <w:bottom w:val="single" w:sz="12" w:space="0" w:color="000000"/>
              <w:right w:val="dotted" w:sz="4" w:space="0" w:color="000000"/>
            </w:tcBorders>
          </w:tcPr>
          <w:p>
            <w:pPr>
              <w:pStyle w:val="TableParagraph"/>
              <w:tabs>
                <w:tab w:pos="652" w:val="left" w:leader="none"/>
              </w:tabs>
              <w:spacing w:line="240" w:lineRule="auto" w:before="18"/>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41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47,778,734.44</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tabs>
          <w:tab w:pos="1395" w:val="left" w:leader="none"/>
        </w:tabs>
        <w:spacing w:before="36"/>
        <w:ind w:left="858" w:right="344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tab/>
        <w:t>支付的其他与筹资活动有关的现金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9"/>
          <w:szCs w:val="29"/>
        </w:rPr>
      </w:pPr>
    </w:p>
    <w:tbl>
      <w:tblPr>
        <w:tblW w:w="0" w:type="auto"/>
        <w:jc w:val="left"/>
        <w:tblInd w:w="692" w:type="dxa"/>
        <w:tblLayout w:type="fixed"/>
        <w:tblCellMar>
          <w:top w:w="0" w:type="dxa"/>
          <w:left w:w="0" w:type="dxa"/>
          <w:bottom w:w="0" w:type="dxa"/>
          <w:right w:w="0" w:type="dxa"/>
        </w:tblCellMar>
        <w:tblLook w:val="01E0"/>
      </w:tblPr>
      <w:tblGrid>
        <w:gridCol w:w="5358"/>
        <w:gridCol w:w="2410"/>
      </w:tblGrid>
      <w:tr>
        <w:trPr>
          <w:trHeight w:val="394" w:hRule="exact"/>
        </w:trPr>
        <w:tc>
          <w:tcPr>
            <w:tcW w:w="5358" w:type="dxa"/>
            <w:tcBorders>
              <w:top w:val="single" w:sz="12" w:space="0" w:color="000000"/>
              <w:left w:val="nil" w:sz="6" w:space="0" w:color="auto"/>
              <w:bottom w:val="dotted" w:sz="4" w:space="0" w:color="000000"/>
              <w:right w:val="dotted" w:sz="4" w:space="0" w:color="000000"/>
            </w:tcBorders>
          </w:tcPr>
          <w:p>
            <w:pPr>
              <w:pStyle w:val="TableParagraph"/>
              <w:tabs>
                <w:tab w:pos="652" w:val="left" w:leader="none"/>
              </w:tabs>
              <w:spacing w:line="240" w:lineRule="auto" w:before="18"/>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1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8"/>
              <w:ind w:left="780" w:right="0"/>
              <w:jc w:val="left"/>
              <w:rPr>
                <w:rFonts w:ascii="宋体" w:hAnsi="宋体" w:cs="宋体" w:eastAsia="宋体" w:hint="default"/>
                <w:sz w:val="21"/>
                <w:szCs w:val="21"/>
              </w:rPr>
            </w:pPr>
            <w:r>
              <w:rPr>
                <w:rFonts w:ascii="宋体" w:hAnsi="宋体" w:cs="宋体" w:eastAsia="宋体" w:hint="default"/>
                <w:sz w:val="21"/>
                <w:szCs w:val="21"/>
              </w:rPr>
              <w:t>本期金额</w:t>
            </w:r>
          </w:p>
        </w:tc>
      </w:tr>
      <w:tr>
        <w:trPr>
          <w:trHeight w:val="384" w:hRule="exact"/>
        </w:trPr>
        <w:tc>
          <w:tcPr>
            <w:tcW w:w="535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回购股东股份支付的现金</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631,050.00</w:t>
            </w:r>
          </w:p>
        </w:tc>
      </w:tr>
      <w:tr>
        <w:trPr>
          <w:trHeight w:val="396" w:hRule="exact"/>
        </w:trPr>
        <w:tc>
          <w:tcPr>
            <w:tcW w:w="5358" w:type="dxa"/>
            <w:tcBorders>
              <w:top w:val="dotted" w:sz="4" w:space="0" w:color="000000"/>
              <w:left w:val="nil" w:sz="6" w:space="0" w:color="auto"/>
              <w:bottom w:val="single" w:sz="12" w:space="0" w:color="000000"/>
              <w:right w:val="dotted" w:sz="4" w:space="0" w:color="000000"/>
            </w:tcBorders>
          </w:tcPr>
          <w:p>
            <w:pPr>
              <w:pStyle w:val="TableParagraph"/>
              <w:tabs>
                <w:tab w:pos="441" w:val="left" w:leader="none"/>
              </w:tabs>
              <w:spacing w:line="240" w:lineRule="auto" w:before="21"/>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41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21"/>
                <w:szCs w:val="21"/>
              </w:rPr>
            </w:pPr>
            <w:r>
              <w:rPr>
                <w:rFonts w:ascii="Times New Roman"/>
                <w:spacing w:val="-1"/>
                <w:sz w:val="21"/>
              </w:rPr>
              <w:t>631,050.00</w:t>
            </w:r>
          </w:p>
        </w:tc>
      </w:tr>
    </w:tbl>
    <w:p>
      <w:pPr>
        <w:spacing w:line="240" w:lineRule="auto" w:before="1"/>
        <w:rPr>
          <w:rFonts w:ascii="宋体" w:hAnsi="宋体" w:cs="宋体" w:eastAsia="宋体" w:hint="default"/>
          <w:b/>
          <w:bCs/>
          <w:sz w:val="23"/>
          <w:szCs w:val="23"/>
        </w:rPr>
      </w:pPr>
    </w:p>
    <w:p>
      <w:pPr>
        <w:tabs>
          <w:tab w:pos="1370" w:val="left" w:leader="none"/>
          <w:tab w:pos="1400" w:val="left" w:leader="none"/>
        </w:tabs>
        <w:spacing w:line="364" w:lineRule="auto" w:before="36"/>
        <w:ind w:left="858" w:right="5383" w:hanging="718"/>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三十六</w:t>
      </w:r>
      <w:r>
        <w:rPr>
          <w:rFonts w:ascii="宋体" w:hAnsi="宋体" w:cs="宋体" w:eastAsia="宋体" w:hint="default"/>
          <w:b/>
          <w:bCs/>
          <w:spacing w:val="-1"/>
          <w:sz w:val="21"/>
          <w:szCs w:val="21"/>
        </w:rPr>
        <w:t>)</w:t>
        <w:tab/>
        <w:tab/>
      </w:r>
      <w:r>
        <w:rPr>
          <w:rFonts w:ascii="宋体" w:hAnsi="宋体" w:cs="宋体" w:eastAsia="宋体" w:hint="default"/>
          <w:b/>
          <w:bCs/>
          <w:sz w:val="21"/>
          <w:szCs w:val="21"/>
        </w:rPr>
        <w:t>现金流量表补充资料</w:t>
      </w:r>
      <w:r>
        <w:rPr>
          <w:rFonts w:ascii="宋体" w:hAnsi="宋体" w:cs="宋体" w:eastAsia="宋体" w:hint="default"/>
          <w:b/>
          <w:bCs/>
          <w:spacing w:val="-103"/>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w:t>
        <w:tab/>
        <w:t>现金流量表补充资料</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tbl>
      <w:tblPr>
        <w:tblW w:w="0" w:type="auto"/>
        <w:jc w:val="left"/>
        <w:tblInd w:w="682" w:type="dxa"/>
        <w:tblLayout w:type="fixed"/>
        <w:tblCellMar>
          <w:top w:w="0" w:type="dxa"/>
          <w:left w:w="0" w:type="dxa"/>
          <w:bottom w:w="0" w:type="dxa"/>
          <w:right w:w="0" w:type="dxa"/>
        </w:tblCellMar>
        <w:tblLook w:val="01E0"/>
      </w:tblPr>
      <w:tblGrid>
        <w:gridCol w:w="4695"/>
        <w:gridCol w:w="1574"/>
        <w:gridCol w:w="1575"/>
      </w:tblGrid>
      <w:tr>
        <w:trPr>
          <w:trHeight w:val="396" w:hRule="exact"/>
        </w:trPr>
        <w:tc>
          <w:tcPr>
            <w:tcW w:w="4695" w:type="dxa"/>
            <w:tcBorders>
              <w:top w:val="single" w:sz="12" w:space="0" w:color="000000"/>
              <w:left w:val="nil" w:sz="6" w:space="0" w:color="auto"/>
              <w:bottom w:val="dotted" w:sz="4" w:space="0" w:color="000000"/>
              <w:right w:val="dotted" w:sz="4" w:space="0" w:color="000000"/>
            </w:tcBorders>
          </w:tcPr>
          <w:p>
            <w:pPr>
              <w:pStyle w:val="TableParagraph"/>
              <w:tabs>
                <w:tab w:pos="648" w:val="left" w:leader="none"/>
              </w:tabs>
              <w:spacing w:line="240" w:lineRule="auto" w:before="21"/>
              <w:ind w:left="1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7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1"/>
              <w:ind w:left="360"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57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1"/>
              <w:ind w:left="362"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84" w:hRule="exact"/>
        </w:trPr>
        <w:tc>
          <w:tcPr>
            <w:tcW w:w="4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1574" w:type="dxa"/>
            <w:tcBorders>
              <w:top w:val="dotted" w:sz="4" w:space="0" w:color="000000"/>
              <w:left w:val="dotted" w:sz="4" w:space="0" w:color="000000"/>
              <w:bottom w:val="dotted" w:sz="4" w:space="0" w:color="000000"/>
              <w:right w:val="dotted" w:sz="4" w:space="0" w:color="000000"/>
            </w:tcBorders>
          </w:tcPr>
          <w:p>
            <w:pPr/>
          </w:p>
        </w:tc>
        <w:tc>
          <w:tcPr>
            <w:tcW w:w="1575"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4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93,770,452.46</w:t>
            </w:r>
          </w:p>
        </w:tc>
        <w:tc>
          <w:tcPr>
            <w:tcW w:w="15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63,278,947.64</w:t>
            </w:r>
          </w:p>
        </w:tc>
      </w:tr>
      <w:tr>
        <w:trPr>
          <w:trHeight w:val="384" w:hRule="exact"/>
        </w:trPr>
        <w:tc>
          <w:tcPr>
            <w:tcW w:w="4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5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8,558,510.65</w:t>
            </w:r>
          </w:p>
        </w:tc>
        <w:tc>
          <w:tcPr>
            <w:tcW w:w="15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3,617,600.01</w:t>
            </w:r>
          </w:p>
        </w:tc>
      </w:tr>
      <w:tr>
        <w:trPr>
          <w:trHeight w:val="758" w:hRule="exact"/>
        </w:trPr>
        <w:tc>
          <w:tcPr>
            <w:tcW w:w="4695" w:type="dxa"/>
            <w:tcBorders>
              <w:top w:val="dotted" w:sz="4" w:space="0" w:color="000000"/>
              <w:left w:val="nil" w:sz="6" w:space="0" w:color="auto"/>
              <w:bottom w:val="dotted" w:sz="4" w:space="0" w:color="000000"/>
              <w:right w:val="dotted" w:sz="4" w:space="0" w:color="000000"/>
            </w:tcBorders>
          </w:tcPr>
          <w:p>
            <w:pPr>
              <w:pStyle w:val="TableParagraph"/>
              <w:spacing w:line="326" w:lineRule="auto" w:before="18"/>
              <w:ind w:left="120" w:right="105"/>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折旧</w:t>
            </w:r>
          </w:p>
        </w:tc>
        <w:tc>
          <w:tcPr>
            <w:tcW w:w="15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2,756,379.14</w:t>
            </w:r>
          </w:p>
        </w:tc>
        <w:tc>
          <w:tcPr>
            <w:tcW w:w="15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2,409,182.20</w:t>
            </w:r>
          </w:p>
        </w:tc>
      </w:tr>
      <w:tr>
        <w:trPr>
          <w:trHeight w:val="386" w:hRule="exact"/>
        </w:trPr>
        <w:tc>
          <w:tcPr>
            <w:tcW w:w="4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1"/>
              <w:ind w:left="12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5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right="101"/>
              <w:jc w:val="right"/>
              <w:rPr>
                <w:rFonts w:ascii="Times New Roman" w:hAnsi="Times New Roman" w:cs="Times New Roman" w:eastAsia="Times New Roman" w:hint="default"/>
                <w:sz w:val="21"/>
                <w:szCs w:val="21"/>
              </w:rPr>
            </w:pPr>
            <w:r>
              <w:rPr>
                <w:rFonts w:ascii="Times New Roman"/>
                <w:spacing w:val="-1"/>
                <w:sz w:val="21"/>
              </w:rPr>
              <w:t>105,413.24</w:t>
            </w:r>
          </w:p>
        </w:tc>
        <w:tc>
          <w:tcPr>
            <w:tcW w:w="15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21"/>
                <w:szCs w:val="21"/>
              </w:rPr>
            </w:pPr>
            <w:r>
              <w:rPr>
                <w:rFonts w:ascii="Times New Roman"/>
                <w:spacing w:val="-1"/>
                <w:sz w:val="21"/>
              </w:rPr>
              <w:t>171,224.36</w:t>
            </w:r>
          </w:p>
        </w:tc>
      </w:tr>
      <w:tr>
        <w:trPr>
          <w:trHeight w:val="384" w:hRule="exact"/>
        </w:trPr>
        <w:tc>
          <w:tcPr>
            <w:tcW w:w="4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
              <w:ind w:left="12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5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6"/>
              <w:ind w:right="101"/>
              <w:jc w:val="right"/>
              <w:rPr>
                <w:rFonts w:ascii="Times New Roman" w:hAnsi="Times New Roman" w:cs="Times New Roman" w:eastAsia="Times New Roman" w:hint="default"/>
                <w:sz w:val="21"/>
                <w:szCs w:val="21"/>
              </w:rPr>
            </w:pPr>
            <w:r>
              <w:rPr>
                <w:rFonts w:ascii="Times New Roman"/>
                <w:spacing w:val="-1"/>
                <w:sz w:val="21"/>
              </w:rPr>
              <w:t>1,122,810.19</w:t>
            </w:r>
          </w:p>
        </w:tc>
        <w:tc>
          <w:tcPr>
            <w:tcW w:w="15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21"/>
                <w:szCs w:val="21"/>
              </w:rPr>
            </w:pPr>
            <w:r>
              <w:rPr>
                <w:rFonts w:ascii="Times New Roman"/>
                <w:spacing w:val="-1"/>
                <w:sz w:val="21"/>
              </w:rPr>
              <w:t>886,638.72</w:t>
            </w:r>
          </w:p>
        </w:tc>
      </w:tr>
      <w:tr>
        <w:trPr>
          <w:trHeight w:val="758" w:hRule="exact"/>
        </w:trPr>
        <w:tc>
          <w:tcPr>
            <w:tcW w:w="4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w:t>
            </w:r>
          </w:p>
          <w:p>
            <w:pPr>
              <w:pStyle w:val="TableParagraph"/>
              <w:spacing w:line="240" w:lineRule="auto" w:before="99"/>
              <w:ind w:left="120" w:right="0"/>
              <w:jc w:val="left"/>
              <w:rPr>
                <w:rFonts w:ascii="宋体" w:hAnsi="宋体" w:cs="宋体" w:eastAsia="宋体" w:hint="default"/>
                <w:sz w:val="21"/>
                <w:szCs w:val="21"/>
              </w:rPr>
            </w:pPr>
            <w:r>
              <w:rPr>
                <w:rFonts w:ascii="宋体" w:hAnsi="宋体" w:cs="宋体" w:eastAsia="宋体" w:hint="default"/>
                <w:sz w:val="21"/>
                <w:szCs w:val="21"/>
              </w:rPr>
              <w:t>（收益以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11,013.70</w:t>
            </w:r>
          </w:p>
        </w:tc>
        <w:tc>
          <w:tcPr>
            <w:tcW w:w="15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59,368.40</w:t>
            </w:r>
          </w:p>
        </w:tc>
      </w:tr>
      <w:tr>
        <w:trPr>
          <w:trHeight w:val="384" w:hRule="exact"/>
        </w:trPr>
        <w:tc>
          <w:tcPr>
            <w:tcW w:w="4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74" w:type="dxa"/>
            <w:tcBorders>
              <w:top w:val="dotted" w:sz="4" w:space="0" w:color="000000"/>
              <w:left w:val="dotted" w:sz="4" w:space="0" w:color="000000"/>
              <w:bottom w:val="dotted" w:sz="4" w:space="0" w:color="000000"/>
              <w:right w:val="dotted" w:sz="4" w:space="0" w:color="000000"/>
            </w:tcBorders>
          </w:tcPr>
          <w:p>
            <w:pPr/>
          </w:p>
        </w:tc>
        <w:tc>
          <w:tcPr>
            <w:tcW w:w="1575"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4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74" w:type="dxa"/>
            <w:tcBorders>
              <w:top w:val="dotted" w:sz="4" w:space="0" w:color="000000"/>
              <w:left w:val="dotted" w:sz="4" w:space="0" w:color="000000"/>
              <w:bottom w:val="dotted" w:sz="4" w:space="0" w:color="000000"/>
              <w:right w:val="dotted" w:sz="4" w:space="0" w:color="000000"/>
            </w:tcBorders>
          </w:tcPr>
          <w:p>
            <w:pPr/>
          </w:p>
        </w:tc>
        <w:tc>
          <w:tcPr>
            <w:tcW w:w="1575"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4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2"/>
                <w:sz w:val="21"/>
              </w:rPr>
              <w:t>110,724.72</w:t>
            </w:r>
          </w:p>
        </w:tc>
        <w:tc>
          <w:tcPr>
            <w:tcW w:w="15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-1,290,797.36</w:t>
            </w:r>
          </w:p>
        </w:tc>
      </w:tr>
      <w:tr>
        <w:trPr>
          <w:trHeight w:val="386" w:hRule="exact"/>
        </w:trPr>
        <w:tc>
          <w:tcPr>
            <w:tcW w:w="4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1"/>
              <w:ind w:left="120"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74" w:type="dxa"/>
            <w:tcBorders>
              <w:top w:val="dotted" w:sz="4" w:space="0" w:color="000000"/>
              <w:left w:val="dotted" w:sz="4" w:space="0" w:color="000000"/>
              <w:bottom w:val="dotted" w:sz="4" w:space="0" w:color="000000"/>
              <w:right w:val="dotted" w:sz="4" w:space="0" w:color="000000"/>
            </w:tcBorders>
          </w:tcPr>
          <w:p>
            <w:pPr/>
          </w:p>
        </w:tc>
        <w:tc>
          <w:tcPr>
            <w:tcW w:w="1575"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4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-1,758,909.10</w:t>
            </w:r>
          </w:p>
        </w:tc>
        <w:tc>
          <w:tcPr>
            <w:tcW w:w="15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-337,377.20</w:t>
            </w:r>
          </w:p>
        </w:tc>
      </w:tr>
      <w:tr>
        <w:trPr>
          <w:trHeight w:val="384" w:hRule="exact"/>
        </w:trPr>
        <w:tc>
          <w:tcPr>
            <w:tcW w:w="4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74" w:type="dxa"/>
            <w:tcBorders>
              <w:top w:val="dotted" w:sz="4" w:space="0" w:color="000000"/>
              <w:left w:val="dotted" w:sz="4" w:space="0" w:color="000000"/>
              <w:bottom w:val="dotted" w:sz="4" w:space="0" w:color="000000"/>
              <w:right w:val="dotted" w:sz="4" w:space="0" w:color="000000"/>
            </w:tcBorders>
          </w:tcPr>
          <w:p>
            <w:pPr/>
          </w:p>
        </w:tc>
        <w:tc>
          <w:tcPr>
            <w:tcW w:w="1575"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4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918,012.92</w:t>
            </w:r>
          </w:p>
        </w:tc>
        <w:tc>
          <w:tcPr>
            <w:tcW w:w="15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2,912,308.87</w:t>
            </w:r>
          </w:p>
        </w:tc>
      </w:tr>
      <w:tr>
        <w:trPr>
          <w:trHeight w:val="385" w:hRule="exact"/>
        </w:trPr>
        <w:tc>
          <w:tcPr>
            <w:tcW w:w="4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
              <w:ind w:left="12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6"/>
              <w:ind w:right="101"/>
              <w:jc w:val="right"/>
              <w:rPr>
                <w:rFonts w:ascii="Times New Roman" w:hAnsi="Times New Roman" w:cs="Times New Roman" w:eastAsia="Times New Roman" w:hint="default"/>
                <w:sz w:val="21"/>
                <w:szCs w:val="21"/>
              </w:rPr>
            </w:pPr>
            <w:r>
              <w:rPr>
                <w:rFonts w:ascii="Times New Roman"/>
                <w:spacing w:val="-1"/>
                <w:sz w:val="21"/>
              </w:rPr>
              <w:t>-83,269,931.93</w:t>
            </w:r>
          </w:p>
        </w:tc>
        <w:tc>
          <w:tcPr>
            <w:tcW w:w="15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21"/>
                <w:szCs w:val="21"/>
              </w:rPr>
            </w:pPr>
            <w:r>
              <w:rPr>
                <w:rFonts w:ascii="Times New Roman"/>
                <w:spacing w:val="-1"/>
                <w:sz w:val="21"/>
              </w:rPr>
              <w:t>-33,757,487.90</w:t>
            </w:r>
          </w:p>
        </w:tc>
      </w:tr>
      <w:tr>
        <w:trPr>
          <w:trHeight w:val="384" w:hRule="exact"/>
        </w:trPr>
        <w:tc>
          <w:tcPr>
            <w:tcW w:w="4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18,359,442.15</w:t>
            </w:r>
          </w:p>
        </w:tc>
        <w:tc>
          <w:tcPr>
            <w:tcW w:w="15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-3,919,901.33</w:t>
            </w:r>
          </w:p>
        </w:tc>
      </w:tr>
      <w:tr>
        <w:trPr>
          <w:trHeight w:val="386" w:hRule="exact"/>
        </w:trPr>
        <w:tc>
          <w:tcPr>
            <w:tcW w:w="4695" w:type="dxa"/>
            <w:tcBorders>
              <w:top w:val="dotted" w:sz="4" w:space="0" w:color="000000"/>
              <w:left w:val="nil" w:sz="6" w:space="0" w:color="auto"/>
              <w:bottom w:val="dotted" w:sz="4" w:space="0" w:color="000000"/>
              <w:right w:val="dotted" w:sz="4" w:space="0" w:color="000000"/>
            </w:tcBorders>
          </w:tcPr>
          <w:p>
            <w:pPr>
              <w:pStyle w:val="TableParagraph"/>
              <w:tabs>
                <w:tab w:pos="751" w:val="left" w:leader="none"/>
              </w:tabs>
              <w:spacing w:line="240" w:lineRule="auto" w:before="21"/>
              <w:ind w:left="12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5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right="101"/>
              <w:jc w:val="right"/>
              <w:rPr>
                <w:rFonts w:ascii="Times New Roman" w:hAnsi="Times New Roman" w:cs="Times New Roman" w:eastAsia="Times New Roman" w:hint="default"/>
                <w:sz w:val="21"/>
                <w:szCs w:val="21"/>
              </w:rPr>
            </w:pPr>
            <w:r>
              <w:rPr>
                <w:rFonts w:ascii="Times New Roman"/>
                <w:spacing w:val="-1"/>
                <w:sz w:val="21"/>
              </w:rPr>
              <w:t>3,868,176.21</w:t>
            </w:r>
          </w:p>
        </w:tc>
        <w:tc>
          <w:tcPr>
            <w:tcW w:w="1575"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4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5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44,552,094.35</w:t>
            </w:r>
          </w:p>
        </w:tc>
        <w:tc>
          <w:tcPr>
            <w:tcW w:w="15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34,029,706.41</w:t>
            </w:r>
          </w:p>
        </w:tc>
      </w:tr>
      <w:tr>
        <w:trPr>
          <w:trHeight w:val="384" w:hRule="exact"/>
        </w:trPr>
        <w:tc>
          <w:tcPr>
            <w:tcW w:w="4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1574" w:type="dxa"/>
            <w:tcBorders>
              <w:top w:val="dotted" w:sz="4" w:space="0" w:color="000000"/>
              <w:left w:val="dotted" w:sz="4" w:space="0" w:color="000000"/>
              <w:bottom w:val="dotted" w:sz="4" w:space="0" w:color="000000"/>
              <w:right w:val="dotted" w:sz="4" w:space="0" w:color="000000"/>
            </w:tcBorders>
          </w:tcPr>
          <w:p>
            <w:pPr/>
          </w:p>
        </w:tc>
        <w:tc>
          <w:tcPr>
            <w:tcW w:w="1575" w:type="dxa"/>
            <w:tcBorders>
              <w:top w:val="dotted" w:sz="4" w:space="0" w:color="000000"/>
              <w:left w:val="dotted" w:sz="4" w:space="0" w:color="000000"/>
              <w:bottom w:val="dotted" w:sz="4" w:space="0" w:color="000000"/>
              <w:right w:val="nil" w:sz="6" w:space="0" w:color="auto"/>
            </w:tcBorders>
          </w:tcPr>
          <w:p>
            <w:pPr/>
          </w:p>
        </w:tc>
      </w:tr>
      <w:tr>
        <w:trPr>
          <w:trHeight w:val="396" w:hRule="exact"/>
        </w:trPr>
        <w:tc>
          <w:tcPr>
            <w:tcW w:w="469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574" w:type="dxa"/>
            <w:tcBorders>
              <w:top w:val="dotted" w:sz="4" w:space="0" w:color="000000"/>
              <w:left w:val="dotted" w:sz="4" w:space="0" w:color="000000"/>
              <w:bottom w:val="single" w:sz="12" w:space="0" w:color="000000"/>
              <w:right w:val="dotted" w:sz="4" w:space="0" w:color="000000"/>
            </w:tcBorders>
          </w:tcPr>
          <w:p>
            <w:pPr/>
          </w:p>
        </w:tc>
        <w:tc>
          <w:tcPr>
            <w:tcW w:w="1575"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884" w:footer="980" w:top="1140" w:bottom="1160" w:left="1660" w:right="1560"/>
        </w:sectPr>
      </w:pPr>
    </w:p>
    <w:p>
      <w:pPr>
        <w:spacing w:line="240" w:lineRule="auto" w:before="6"/>
        <w:rPr>
          <w:rFonts w:ascii="宋体" w:hAnsi="宋体" w:cs="宋体" w:eastAsia="宋体" w:hint="default"/>
          <w:b/>
          <w:bCs/>
          <w:sz w:val="21"/>
          <w:szCs w:val="21"/>
        </w:rPr>
      </w:pPr>
    </w:p>
    <w:tbl>
      <w:tblPr>
        <w:tblW w:w="0" w:type="auto"/>
        <w:jc w:val="left"/>
        <w:tblInd w:w="682" w:type="dxa"/>
        <w:tblLayout w:type="fixed"/>
        <w:tblCellMar>
          <w:top w:w="0" w:type="dxa"/>
          <w:left w:w="0" w:type="dxa"/>
          <w:bottom w:w="0" w:type="dxa"/>
          <w:right w:w="0" w:type="dxa"/>
        </w:tblCellMar>
        <w:tblLook w:val="01E0"/>
      </w:tblPr>
      <w:tblGrid>
        <w:gridCol w:w="4695"/>
        <w:gridCol w:w="1574"/>
        <w:gridCol w:w="1575"/>
      </w:tblGrid>
      <w:tr>
        <w:trPr>
          <w:trHeight w:val="394" w:hRule="exact"/>
        </w:trPr>
        <w:tc>
          <w:tcPr>
            <w:tcW w:w="4695" w:type="dxa"/>
            <w:tcBorders>
              <w:top w:val="single" w:sz="12" w:space="0" w:color="000000"/>
              <w:left w:val="nil" w:sz="6" w:space="0" w:color="auto"/>
              <w:bottom w:val="dotted" w:sz="4" w:space="0" w:color="000000"/>
              <w:right w:val="dotted" w:sz="4" w:space="0" w:color="000000"/>
            </w:tcBorders>
          </w:tcPr>
          <w:p>
            <w:pPr>
              <w:pStyle w:val="TableParagraph"/>
              <w:tabs>
                <w:tab w:pos="648" w:val="left" w:leader="none"/>
              </w:tabs>
              <w:spacing w:line="240" w:lineRule="auto" w:before="21"/>
              <w:ind w:left="1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7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157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1"/>
              <w:ind w:left="362"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87" w:hRule="exact"/>
        </w:trPr>
        <w:tc>
          <w:tcPr>
            <w:tcW w:w="4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1"/>
              <w:ind w:left="12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574" w:type="dxa"/>
            <w:tcBorders>
              <w:top w:val="dotted" w:sz="4" w:space="0" w:color="000000"/>
              <w:left w:val="dotted" w:sz="4" w:space="0" w:color="000000"/>
              <w:bottom w:val="dotted" w:sz="4" w:space="0" w:color="000000"/>
              <w:right w:val="dotted" w:sz="4" w:space="0" w:color="000000"/>
            </w:tcBorders>
          </w:tcPr>
          <w:p>
            <w:pPr/>
          </w:p>
        </w:tc>
        <w:tc>
          <w:tcPr>
            <w:tcW w:w="1575"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4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574" w:type="dxa"/>
            <w:tcBorders>
              <w:top w:val="dotted" w:sz="4" w:space="0" w:color="000000"/>
              <w:left w:val="dotted" w:sz="4" w:space="0" w:color="000000"/>
              <w:bottom w:val="dotted" w:sz="4" w:space="0" w:color="000000"/>
              <w:right w:val="dotted" w:sz="4" w:space="0" w:color="000000"/>
            </w:tcBorders>
          </w:tcPr>
          <w:p>
            <w:pPr/>
          </w:p>
        </w:tc>
        <w:tc>
          <w:tcPr>
            <w:tcW w:w="1575"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4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1574" w:type="dxa"/>
            <w:tcBorders>
              <w:top w:val="dotted" w:sz="4" w:space="0" w:color="000000"/>
              <w:left w:val="dotted" w:sz="4" w:space="0" w:color="000000"/>
              <w:bottom w:val="dotted" w:sz="4" w:space="0" w:color="000000"/>
              <w:right w:val="dotted" w:sz="4" w:space="0" w:color="000000"/>
            </w:tcBorders>
          </w:tcPr>
          <w:p>
            <w:pPr/>
          </w:p>
        </w:tc>
        <w:tc>
          <w:tcPr>
            <w:tcW w:w="1575"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4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5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43" w:right="0"/>
              <w:jc w:val="center"/>
              <w:rPr>
                <w:rFonts w:ascii="Times New Roman" w:hAnsi="Times New Roman" w:cs="Times New Roman" w:eastAsia="Times New Roman" w:hint="default"/>
                <w:sz w:val="21"/>
                <w:szCs w:val="21"/>
              </w:rPr>
            </w:pPr>
            <w:r>
              <w:rPr>
                <w:rFonts w:ascii="Times New Roman"/>
                <w:sz w:val="21"/>
              </w:rPr>
              <w:t>936,666,012.17</w:t>
            </w:r>
          </w:p>
        </w:tc>
        <w:tc>
          <w:tcPr>
            <w:tcW w:w="15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171,545,154.07</w:t>
            </w:r>
          </w:p>
        </w:tc>
      </w:tr>
      <w:tr>
        <w:trPr>
          <w:trHeight w:val="384" w:hRule="exact"/>
        </w:trPr>
        <w:tc>
          <w:tcPr>
            <w:tcW w:w="4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5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43" w:right="0"/>
              <w:jc w:val="center"/>
              <w:rPr>
                <w:rFonts w:ascii="Times New Roman" w:hAnsi="Times New Roman" w:cs="Times New Roman" w:eastAsia="Times New Roman" w:hint="default"/>
                <w:sz w:val="21"/>
                <w:szCs w:val="21"/>
              </w:rPr>
            </w:pPr>
            <w:r>
              <w:rPr>
                <w:rFonts w:ascii="Times New Roman"/>
                <w:sz w:val="21"/>
              </w:rPr>
              <w:t>171,545,154.07</w:t>
            </w:r>
          </w:p>
        </w:tc>
        <w:tc>
          <w:tcPr>
            <w:tcW w:w="15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142,279,204.93</w:t>
            </w:r>
          </w:p>
        </w:tc>
      </w:tr>
      <w:tr>
        <w:trPr>
          <w:trHeight w:val="384" w:hRule="exact"/>
        </w:trPr>
        <w:tc>
          <w:tcPr>
            <w:tcW w:w="4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574" w:type="dxa"/>
            <w:tcBorders>
              <w:top w:val="dotted" w:sz="4" w:space="0" w:color="000000"/>
              <w:left w:val="dotted" w:sz="4" w:space="0" w:color="000000"/>
              <w:bottom w:val="dotted" w:sz="4" w:space="0" w:color="000000"/>
              <w:right w:val="dotted" w:sz="4" w:space="0" w:color="000000"/>
            </w:tcBorders>
          </w:tcPr>
          <w:p>
            <w:pPr/>
          </w:p>
        </w:tc>
        <w:tc>
          <w:tcPr>
            <w:tcW w:w="1575" w:type="dxa"/>
            <w:tcBorders>
              <w:top w:val="dotted" w:sz="4" w:space="0" w:color="000000"/>
              <w:left w:val="dotted" w:sz="4" w:space="0" w:color="000000"/>
              <w:bottom w:val="dotted" w:sz="4" w:space="0" w:color="000000"/>
              <w:right w:val="nil" w:sz="6" w:space="0" w:color="auto"/>
            </w:tcBorders>
          </w:tcPr>
          <w:p>
            <w:pPr/>
          </w:p>
        </w:tc>
      </w:tr>
      <w:tr>
        <w:trPr>
          <w:trHeight w:val="386" w:hRule="exact"/>
        </w:trPr>
        <w:tc>
          <w:tcPr>
            <w:tcW w:w="4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1"/>
              <w:ind w:left="12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574" w:type="dxa"/>
            <w:tcBorders>
              <w:top w:val="dotted" w:sz="4" w:space="0" w:color="000000"/>
              <w:left w:val="dotted" w:sz="4" w:space="0" w:color="000000"/>
              <w:bottom w:val="dotted" w:sz="4" w:space="0" w:color="000000"/>
              <w:right w:val="dotted" w:sz="4" w:space="0" w:color="000000"/>
            </w:tcBorders>
          </w:tcPr>
          <w:p>
            <w:pPr/>
          </w:p>
        </w:tc>
        <w:tc>
          <w:tcPr>
            <w:tcW w:w="1575" w:type="dxa"/>
            <w:tcBorders>
              <w:top w:val="dotted" w:sz="4" w:space="0" w:color="000000"/>
              <w:left w:val="dotted" w:sz="4" w:space="0" w:color="000000"/>
              <w:bottom w:val="dotted" w:sz="4" w:space="0" w:color="000000"/>
              <w:right w:val="nil" w:sz="6" w:space="0" w:color="auto"/>
            </w:tcBorders>
          </w:tcPr>
          <w:p>
            <w:pPr/>
          </w:p>
        </w:tc>
      </w:tr>
      <w:tr>
        <w:trPr>
          <w:trHeight w:val="394" w:hRule="exact"/>
        </w:trPr>
        <w:tc>
          <w:tcPr>
            <w:tcW w:w="469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5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5"/>
              <w:ind w:left="43" w:right="0"/>
              <w:jc w:val="center"/>
              <w:rPr>
                <w:rFonts w:ascii="Times New Roman" w:hAnsi="Times New Roman" w:cs="Times New Roman" w:eastAsia="Times New Roman" w:hint="default"/>
                <w:sz w:val="21"/>
                <w:szCs w:val="21"/>
              </w:rPr>
            </w:pPr>
            <w:r>
              <w:rPr>
                <w:rFonts w:ascii="Times New Roman"/>
                <w:sz w:val="21"/>
              </w:rPr>
              <w:t>765,120,858.10</w:t>
            </w:r>
          </w:p>
        </w:tc>
        <w:tc>
          <w:tcPr>
            <w:tcW w:w="157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29,265,949.14</w:t>
            </w:r>
          </w:p>
        </w:tc>
      </w:tr>
    </w:tbl>
    <w:p>
      <w:pPr>
        <w:tabs>
          <w:tab w:pos="1395" w:val="left" w:leader="none"/>
        </w:tabs>
        <w:spacing w:line="657" w:lineRule="auto" w:before="93"/>
        <w:ind w:left="858" w:right="241" w:firstLine="16"/>
        <w:jc w:val="left"/>
        <w:rPr>
          <w:rFonts w:ascii="宋体" w:hAnsi="宋体" w:cs="宋体" w:eastAsia="宋体" w:hint="default"/>
          <w:sz w:val="21"/>
          <w:szCs w:val="21"/>
        </w:rPr>
      </w:pPr>
      <w:r>
        <w:rPr>
          <w:rFonts w:ascii="宋体" w:hAnsi="宋体" w:cs="宋体" w:eastAsia="宋体" w:hint="default"/>
          <w:spacing w:val="-2"/>
          <w:sz w:val="21"/>
          <w:szCs w:val="21"/>
        </w:rPr>
        <w:t>注：现金和现金等价物不含母公司或集团内子公司使用受限制的现金和现金等价物</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tab/>
        <w:t>本期无取得或处置子公司及其他营业单位的情况</w:t>
      </w:r>
      <w:r>
        <w:rPr>
          <w:rFonts w:ascii="宋体" w:hAnsi="宋体" w:cs="宋体" w:eastAsia="宋体" w:hint="default"/>
          <w:sz w:val="21"/>
          <w:szCs w:val="21"/>
        </w:rPr>
      </w:r>
    </w:p>
    <w:p>
      <w:pPr>
        <w:tabs>
          <w:tab w:pos="1395" w:val="left" w:leader="none"/>
        </w:tabs>
        <w:spacing w:before="118"/>
        <w:ind w:left="858" w:right="344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tab/>
        <w:t>现金和现金等价物的构成：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682" w:type="dxa"/>
        <w:tblLayout w:type="fixed"/>
        <w:tblCellMar>
          <w:top w:w="0" w:type="dxa"/>
          <w:left w:w="0" w:type="dxa"/>
          <w:bottom w:w="0" w:type="dxa"/>
          <w:right w:w="0" w:type="dxa"/>
        </w:tblCellMar>
        <w:tblLook w:val="01E0"/>
      </w:tblPr>
      <w:tblGrid>
        <w:gridCol w:w="4225"/>
        <w:gridCol w:w="1800"/>
        <w:gridCol w:w="1801"/>
      </w:tblGrid>
      <w:tr>
        <w:trPr>
          <w:trHeight w:val="394" w:hRule="exact"/>
        </w:trPr>
        <w:tc>
          <w:tcPr>
            <w:tcW w:w="4225" w:type="dxa"/>
            <w:tcBorders>
              <w:top w:val="single" w:sz="12" w:space="0" w:color="000000"/>
              <w:left w:val="nil" w:sz="6" w:space="0" w:color="auto"/>
              <w:bottom w:val="dotted" w:sz="4" w:space="0" w:color="000000"/>
              <w:right w:val="dotted" w:sz="4" w:space="0" w:color="000000"/>
            </w:tcBorders>
          </w:tcPr>
          <w:p>
            <w:pPr>
              <w:pStyle w:val="TableParagraph"/>
              <w:tabs>
                <w:tab w:pos="648" w:val="left" w:leader="none"/>
              </w:tabs>
              <w:spacing w:line="240" w:lineRule="auto" w:before="18"/>
              <w:ind w:left="1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0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8"/>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0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8"/>
              <w:ind w:left="475"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84" w:hRule="exact"/>
        </w:trPr>
        <w:tc>
          <w:tcPr>
            <w:tcW w:w="4225" w:type="dxa"/>
            <w:tcBorders>
              <w:top w:val="dotted" w:sz="4" w:space="0" w:color="000000"/>
              <w:left w:val="nil" w:sz="6" w:space="0" w:color="auto"/>
              <w:bottom w:val="dotted" w:sz="4" w:space="0" w:color="000000"/>
              <w:right w:val="dotted" w:sz="4" w:space="0" w:color="000000"/>
            </w:tcBorders>
          </w:tcPr>
          <w:p>
            <w:pPr>
              <w:pStyle w:val="TableParagraph"/>
              <w:tabs>
                <w:tab w:pos="1171" w:val="left" w:leader="none"/>
              </w:tabs>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一、现</w:t>
              <w:tab/>
              <w:t>金</w:t>
            </w:r>
          </w:p>
        </w:tc>
        <w:tc>
          <w:tcPr>
            <w:tcW w:w="18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936,666,012.17</w:t>
            </w:r>
          </w:p>
        </w:tc>
        <w:tc>
          <w:tcPr>
            <w:tcW w:w="18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171,545,154.07</w:t>
            </w:r>
          </w:p>
        </w:tc>
      </w:tr>
      <w:tr>
        <w:trPr>
          <w:trHeight w:val="386" w:hRule="exact"/>
        </w:trPr>
        <w:tc>
          <w:tcPr>
            <w:tcW w:w="42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1"/>
              <w:ind w:left="12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8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right="98"/>
              <w:jc w:val="right"/>
              <w:rPr>
                <w:rFonts w:ascii="Times New Roman" w:hAnsi="Times New Roman" w:cs="Times New Roman" w:eastAsia="Times New Roman" w:hint="default"/>
                <w:sz w:val="21"/>
                <w:szCs w:val="21"/>
              </w:rPr>
            </w:pPr>
            <w:r>
              <w:rPr>
                <w:rFonts w:ascii="Times New Roman"/>
                <w:spacing w:val="-1"/>
                <w:sz w:val="21"/>
              </w:rPr>
              <w:t>44,850.34</w:t>
            </w:r>
          </w:p>
        </w:tc>
        <w:tc>
          <w:tcPr>
            <w:tcW w:w="18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21"/>
                <w:szCs w:val="21"/>
              </w:rPr>
            </w:pPr>
            <w:r>
              <w:rPr>
                <w:rFonts w:ascii="Times New Roman"/>
                <w:spacing w:val="-2"/>
                <w:sz w:val="21"/>
              </w:rPr>
              <w:t>13,113.43</w:t>
            </w:r>
          </w:p>
        </w:tc>
      </w:tr>
      <w:tr>
        <w:trPr>
          <w:trHeight w:val="384" w:hRule="exact"/>
        </w:trPr>
        <w:tc>
          <w:tcPr>
            <w:tcW w:w="42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751"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8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936,621,161.83</w:t>
            </w:r>
          </w:p>
        </w:tc>
        <w:tc>
          <w:tcPr>
            <w:tcW w:w="18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171,532,040.64</w:t>
            </w:r>
          </w:p>
        </w:tc>
      </w:tr>
      <w:tr>
        <w:trPr>
          <w:trHeight w:val="384" w:hRule="exact"/>
        </w:trPr>
        <w:tc>
          <w:tcPr>
            <w:tcW w:w="42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right="523"/>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1800" w:type="dxa"/>
            <w:tcBorders>
              <w:top w:val="dotted" w:sz="4" w:space="0" w:color="000000"/>
              <w:left w:val="dotted" w:sz="4" w:space="0" w:color="000000"/>
              <w:bottom w:val="dotted" w:sz="4" w:space="0" w:color="000000"/>
              <w:right w:val="dotted" w:sz="4" w:space="0" w:color="000000"/>
            </w:tcBorders>
          </w:tcPr>
          <w:p>
            <w:pPr/>
          </w:p>
        </w:tc>
        <w:tc>
          <w:tcPr>
            <w:tcW w:w="1801"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42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
              <w:ind w:right="523"/>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1800" w:type="dxa"/>
            <w:tcBorders>
              <w:top w:val="dotted" w:sz="4" w:space="0" w:color="000000"/>
              <w:left w:val="dotted" w:sz="4" w:space="0" w:color="000000"/>
              <w:bottom w:val="dotted" w:sz="4" w:space="0" w:color="000000"/>
              <w:right w:val="dotted" w:sz="4" w:space="0" w:color="000000"/>
            </w:tcBorders>
          </w:tcPr>
          <w:p>
            <w:pPr/>
          </w:p>
        </w:tc>
        <w:tc>
          <w:tcPr>
            <w:tcW w:w="1801"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42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751"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1800" w:type="dxa"/>
            <w:tcBorders>
              <w:top w:val="dotted" w:sz="4" w:space="0" w:color="000000"/>
              <w:left w:val="dotted" w:sz="4" w:space="0" w:color="000000"/>
              <w:bottom w:val="dotted" w:sz="4" w:space="0" w:color="000000"/>
              <w:right w:val="dotted" w:sz="4" w:space="0" w:color="000000"/>
            </w:tcBorders>
          </w:tcPr>
          <w:p>
            <w:pPr/>
          </w:p>
        </w:tc>
        <w:tc>
          <w:tcPr>
            <w:tcW w:w="1801"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42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751"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1800" w:type="dxa"/>
            <w:tcBorders>
              <w:top w:val="dotted" w:sz="4" w:space="0" w:color="000000"/>
              <w:left w:val="dotted" w:sz="4" w:space="0" w:color="000000"/>
              <w:bottom w:val="dotted" w:sz="4" w:space="0" w:color="000000"/>
              <w:right w:val="dotted" w:sz="4" w:space="0" w:color="000000"/>
            </w:tcBorders>
          </w:tcPr>
          <w:p>
            <w:pPr/>
          </w:p>
        </w:tc>
        <w:tc>
          <w:tcPr>
            <w:tcW w:w="1801" w:type="dxa"/>
            <w:tcBorders>
              <w:top w:val="dotted" w:sz="4" w:space="0" w:color="000000"/>
              <w:left w:val="dotted" w:sz="4" w:space="0" w:color="000000"/>
              <w:bottom w:val="dotted" w:sz="4" w:space="0" w:color="000000"/>
              <w:right w:val="nil" w:sz="6" w:space="0" w:color="auto"/>
            </w:tcBorders>
          </w:tcPr>
          <w:p>
            <w:pPr/>
          </w:p>
        </w:tc>
      </w:tr>
      <w:tr>
        <w:trPr>
          <w:trHeight w:val="386" w:hRule="exact"/>
        </w:trPr>
        <w:tc>
          <w:tcPr>
            <w:tcW w:w="42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1"/>
              <w:ind w:left="12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1800" w:type="dxa"/>
            <w:tcBorders>
              <w:top w:val="dotted" w:sz="4" w:space="0" w:color="000000"/>
              <w:left w:val="dotted" w:sz="4" w:space="0" w:color="000000"/>
              <w:bottom w:val="dotted" w:sz="4" w:space="0" w:color="000000"/>
              <w:right w:val="dotted" w:sz="4" w:space="0" w:color="000000"/>
            </w:tcBorders>
          </w:tcPr>
          <w:p>
            <w:pPr/>
          </w:p>
        </w:tc>
        <w:tc>
          <w:tcPr>
            <w:tcW w:w="1801"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42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1800" w:type="dxa"/>
            <w:tcBorders>
              <w:top w:val="dotted" w:sz="4" w:space="0" w:color="000000"/>
              <w:left w:val="dotted" w:sz="4" w:space="0" w:color="000000"/>
              <w:bottom w:val="dotted" w:sz="4" w:space="0" w:color="000000"/>
              <w:right w:val="dotted" w:sz="4" w:space="0" w:color="000000"/>
            </w:tcBorders>
          </w:tcPr>
          <w:p>
            <w:pPr/>
          </w:p>
        </w:tc>
        <w:tc>
          <w:tcPr>
            <w:tcW w:w="1801" w:type="dxa"/>
            <w:tcBorders>
              <w:top w:val="dotted" w:sz="4" w:space="0" w:color="000000"/>
              <w:left w:val="dotted" w:sz="4" w:space="0" w:color="000000"/>
              <w:bottom w:val="dotted" w:sz="4" w:space="0" w:color="000000"/>
              <w:right w:val="nil" w:sz="6" w:space="0" w:color="auto"/>
            </w:tcBorders>
          </w:tcPr>
          <w:p>
            <w:pPr/>
          </w:p>
        </w:tc>
      </w:tr>
      <w:tr>
        <w:trPr>
          <w:trHeight w:val="394" w:hRule="exact"/>
        </w:trPr>
        <w:tc>
          <w:tcPr>
            <w:tcW w:w="422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180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936,666,012.17</w:t>
            </w:r>
          </w:p>
        </w:tc>
        <w:tc>
          <w:tcPr>
            <w:tcW w:w="180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5"/>
              <w:ind w:right="103"/>
              <w:jc w:val="right"/>
              <w:rPr>
                <w:rFonts w:ascii="Times New Roman" w:hAnsi="Times New Roman" w:cs="Times New Roman" w:eastAsia="Times New Roman" w:hint="default"/>
                <w:sz w:val="21"/>
                <w:szCs w:val="21"/>
              </w:rPr>
            </w:pPr>
            <w:r>
              <w:rPr>
                <w:rFonts w:ascii="Times New Roman"/>
                <w:spacing w:val="-1"/>
                <w:sz w:val="21"/>
              </w:rPr>
              <w:t>171,545,154.07</w:t>
            </w:r>
          </w:p>
        </w:tc>
      </w:tr>
    </w:tbl>
    <w:p>
      <w:pPr>
        <w:spacing w:after="0" w:line="240" w:lineRule="auto"/>
        <w:jc w:val="right"/>
        <w:rPr>
          <w:rFonts w:ascii="Times New Roman" w:hAnsi="Times New Roman" w:cs="Times New Roman" w:eastAsia="Times New Roman" w:hint="default"/>
          <w:sz w:val="21"/>
          <w:szCs w:val="21"/>
        </w:rPr>
        <w:sectPr>
          <w:pgSz w:w="11910" w:h="16840"/>
          <w:pgMar w:header="884" w:footer="980" w:top="1140" w:bottom="1160" w:left="1660" w:right="1560"/>
        </w:sectPr>
      </w:pPr>
    </w:p>
    <w:p>
      <w:pPr>
        <w:tabs>
          <w:tab w:pos="12545" w:val="left" w:leader="none"/>
        </w:tabs>
        <w:spacing w:before="14"/>
        <w:ind w:left="173" w:right="0" w:firstLine="0"/>
        <w:jc w:val="left"/>
        <w:rPr>
          <w:rFonts w:ascii="宋体" w:hAnsi="宋体" w:cs="宋体" w:eastAsia="宋体" w:hint="default"/>
          <w:sz w:val="21"/>
          <w:szCs w:val="21"/>
        </w:rPr>
      </w:pPr>
      <w:r>
        <w:rPr>
          <w:rFonts w:ascii="宋体" w:hAnsi="宋体" w:cs="宋体" w:eastAsia="宋体" w:hint="default"/>
          <w:sz w:val="21"/>
          <w:szCs w:val="21"/>
        </w:rPr>
        <w:t>上海汉得信息技术股份有限公司（股票代码</w:t>
      </w:r>
      <w:r>
        <w:rPr>
          <w:rFonts w:ascii="宋体" w:hAnsi="宋体" w:cs="宋体" w:eastAsia="宋体" w:hint="default"/>
          <w:spacing w:val="-60"/>
          <w:sz w:val="21"/>
          <w:szCs w:val="21"/>
        </w:rPr>
        <w:t> </w:t>
      </w:r>
      <w:r>
        <w:rPr>
          <w:rFonts w:ascii="宋体" w:hAnsi="宋体" w:cs="宋体" w:eastAsia="宋体" w:hint="default"/>
          <w:sz w:val="21"/>
          <w:szCs w:val="21"/>
        </w:rPr>
        <w:t>300170</w:t>
      </w:r>
      <w:r>
        <w:rPr>
          <w:rFonts w:ascii="宋体" w:hAnsi="宋体" w:cs="宋体" w:eastAsia="宋体" w:hint="default"/>
          <w:sz w:val="21"/>
          <w:szCs w:val="21"/>
        </w:rPr>
        <w:t>）</w:t>
        <w:tab/>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年年度报告</w:t>
      </w:r>
    </w:p>
    <w:p>
      <w:pPr>
        <w:spacing w:line="240" w:lineRule="auto" w:before="10"/>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5"/>
        <w:tabs>
          <w:tab w:pos="980" w:val="left" w:leader="none"/>
        </w:tabs>
        <w:spacing w:line="240" w:lineRule="auto" w:before="26"/>
        <w:ind w:right="0"/>
        <w:jc w:val="left"/>
        <w:rPr>
          <w:b w:val="0"/>
          <w:bCs w:val="0"/>
        </w:rPr>
      </w:pPr>
      <w:r>
        <w:rPr/>
        <w:t>六、</w:t>
        <w:tab/>
        <w:t>关联方及关联交易</w:t>
      </w:r>
      <w:r>
        <w:rPr>
          <w:b w:val="0"/>
          <w:bCs w:val="0"/>
        </w:rPr>
      </w:r>
    </w:p>
    <w:p>
      <w:pPr>
        <w:spacing w:before="172"/>
        <w:ind w:left="858" w:right="0" w:firstLine="0"/>
        <w:jc w:val="left"/>
        <w:rPr>
          <w:rFonts w:ascii="宋体" w:hAnsi="宋体" w:cs="宋体" w:eastAsia="宋体" w:hint="default"/>
          <w:sz w:val="21"/>
          <w:szCs w:val="21"/>
        </w:rPr>
      </w:pPr>
      <w:r>
        <w:rPr>
          <w:rFonts w:ascii="宋体" w:hAnsi="宋体" w:cs="宋体" w:eastAsia="宋体" w:hint="default"/>
          <w:sz w:val="21"/>
          <w:szCs w:val="21"/>
        </w:rPr>
        <w:t>（以下金额单位若未特别注明者均为人民币元）</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8"/>
          <w:sz w:val="21"/>
          <w:szCs w:val="21"/>
        </w:rPr>
        <w:t> </w:t>
      </w:r>
      <w:r>
        <w:rPr>
          <w:rFonts w:ascii="宋体" w:hAnsi="宋体" w:cs="宋体" w:eastAsia="宋体" w:hint="default"/>
          <w:b/>
          <w:bCs/>
          <w:sz w:val="21"/>
          <w:szCs w:val="21"/>
        </w:rPr>
        <w:t>本公司的母公司情况</w:t>
      </w:r>
      <w:r>
        <w:rPr>
          <w:rFonts w:ascii="宋体" w:hAnsi="宋体" w:cs="宋体" w:eastAsia="宋体" w:hint="default"/>
          <w:sz w:val="21"/>
          <w:szCs w:val="21"/>
        </w:rPr>
      </w:r>
    </w:p>
    <w:p>
      <w:pPr>
        <w:spacing w:line="240" w:lineRule="auto" w:before="9"/>
        <w:rPr>
          <w:rFonts w:ascii="宋体" w:hAnsi="宋体" w:cs="宋体" w:eastAsia="宋体" w:hint="default"/>
          <w:b/>
          <w:bCs/>
          <w:sz w:val="12"/>
          <w:szCs w:val="12"/>
        </w:rPr>
      </w:pPr>
    </w:p>
    <w:p>
      <w:pPr>
        <w:spacing w:before="44"/>
        <w:ind w:left="0" w:right="1006" w:firstLine="0"/>
        <w:jc w:val="right"/>
        <w:rPr>
          <w:rFonts w:ascii="宋体" w:hAnsi="宋体" w:cs="宋体" w:eastAsia="宋体" w:hint="default"/>
          <w:sz w:val="18"/>
          <w:szCs w:val="18"/>
        </w:rPr>
      </w:pPr>
      <w:r>
        <w:rPr>
          <w:rFonts w:ascii="宋体" w:hAnsi="宋体" w:cs="宋体" w:eastAsia="宋体" w:hint="default"/>
          <w:sz w:val="18"/>
          <w:szCs w:val="18"/>
        </w:rPr>
        <w:t>（金额单位：万元）</w:t>
      </w:r>
    </w:p>
    <w:p>
      <w:pPr>
        <w:spacing w:line="240" w:lineRule="auto" w:before="1"/>
        <w:rPr>
          <w:rFonts w:ascii="宋体" w:hAnsi="宋体" w:cs="宋体" w:eastAsia="宋体" w:hint="default"/>
          <w:sz w:val="2"/>
          <w:szCs w:val="2"/>
        </w:rPr>
      </w:pPr>
    </w:p>
    <w:tbl>
      <w:tblPr>
        <w:tblW w:w="0" w:type="auto"/>
        <w:jc w:val="left"/>
        <w:tblInd w:w="601" w:type="dxa"/>
        <w:tblLayout w:type="fixed"/>
        <w:tblCellMar>
          <w:top w:w="0" w:type="dxa"/>
          <w:left w:w="0" w:type="dxa"/>
          <w:bottom w:w="0" w:type="dxa"/>
          <w:right w:w="0" w:type="dxa"/>
        </w:tblCellMar>
        <w:tblLook w:val="01E0"/>
      </w:tblPr>
      <w:tblGrid>
        <w:gridCol w:w="1651"/>
        <w:gridCol w:w="734"/>
        <w:gridCol w:w="680"/>
        <w:gridCol w:w="1848"/>
        <w:gridCol w:w="903"/>
        <w:gridCol w:w="1094"/>
        <w:gridCol w:w="1135"/>
        <w:gridCol w:w="1172"/>
        <w:gridCol w:w="1560"/>
        <w:gridCol w:w="1649"/>
        <w:gridCol w:w="1243"/>
      </w:tblGrid>
      <w:tr>
        <w:trPr>
          <w:trHeight w:val="1145" w:hRule="exact"/>
        </w:trPr>
        <w:tc>
          <w:tcPr>
            <w:tcW w:w="1651"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73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381" w:lineRule="auto"/>
              <w:ind w:left="182" w:right="180"/>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6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381" w:lineRule="auto"/>
              <w:ind w:left="153" w:right="154"/>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184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0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381" w:lineRule="auto"/>
              <w:ind w:left="175" w:right="177" w:firstLine="91"/>
              <w:jc w:val="left"/>
              <w:rPr>
                <w:rFonts w:ascii="宋体" w:hAnsi="宋体" w:cs="宋体" w:eastAsia="宋体" w:hint="default"/>
                <w:sz w:val="18"/>
                <w:szCs w:val="18"/>
              </w:rPr>
            </w:pPr>
            <w:r>
              <w:rPr>
                <w:rFonts w:ascii="宋体" w:hAnsi="宋体" w:cs="宋体" w:eastAsia="宋体" w:hint="default"/>
                <w:sz w:val="18"/>
                <w:szCs w:val="18"/>
              </w:rPr>
              <w:t>法定 代表人</w:t>
            </w:r>
          </w:p>
        </w:tc>
        <w:tc>
          <w:tcPr>
            <w:tcW w:w="109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13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72" w:type="dxa"/>
            <w:tcBorders>
              <w:top w:val="single" w:sz="12" w:space="0" w:color="000000"/>
              <w:left w:val="dotted" w:sz="4" w:space="0" w:color="000000"/>
              <w:bottom w:val="dotted" w:sz="4" w:space="0" w:color="000000"/>
              <w:right w:val="dotted" w:sz="4" w:space="0" w:color="000000"/>
            </w:tcBorders>
          </w:tcPr>
          <w:p>
            <w:pPr>
              <w:pStyle w:val="TableParagraph"/>
              <w:spacing w:line="381" w:lineRule="auto" w:before="41"/>
              <w:ind w:left="132" w:right="128"/>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母公司对本 公司的持股 比例</w:t>
            </w:r>
            <w:r>
              <w:rPr>
                <w:rFonts w:ascii="Times New Roman" w:hAnsi="Times New Roman" w:cs="Times New Roman" w:eastAsia="Times New Roman" w:hint="default"/>
                <w:sz w:val="18"/>
                <w:szCs w:val="18"/>
              </w:rPr>
              <w:t>(%)</w:t>
            </w:r>
          </w:p>
        </w:tc>
        <w:tc>
          <w:tcPr>
            <w:tcW w:w="15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381" w:lineRule="auto"/>
              <w:ind w:left="369" w:right="144"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对本公司的表决 权比例</w:t>
            </w:r>
            <w:r>
              <w:rPr>
                <w:rFonts w:ascii="Times New Roman" w:hAnsi="Times New Roman" w:cs="Times New Roman" w:eastAsia="Times New Roman" w:hint="default"/>
                <w:sz w:val="18"/>
                <w:szCs w:val="18"/>
              </w:rPr>
              <w:t>(%)</w:t>
            </w:r>
          </w:p>
        </w:tc>
        <w:tc>
          <w:tcPr>
            <w:tcW w:w="164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381" w:lineRule="auto"/>
              <w:ind w:left="549" w:right="369" w:hanging="180"/>
              <w:jc w:val="left"/>
              <w:rPr>
                <w:rFonts w:ascii="宋体" w:hAnsi="宋体" w:cs="宋体" w:eastAsia="宋体" w:hint="default"/>
                <w:sz w:val="18"/>
                <w:szCs w:val="18"/>
              </w:rPr>
            </w:pPr>
            <w:r>
              <w:rPr>
                <w:rFonts w:ascii="宋体" w:hAnsi="宋体" w:cs="宋体" w:eastAsia="宋体" w:hint="default"/>
                <w:sz w:val="18"/>
                <w:szCs w:val="18"/>
              </w:rPr>
              <w:t>本公司最终 控制方</w:t>
            </w:r>
          </w:p>
        </w:tc>
        <w:tc>
          <w:tcPr>
            <w:tcW w:w="124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381" w:lineRule="auto"/>
              <w:ind w:left="436" w:right="259"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1143" w:hRule="exact"/>
        </w:trPr>
        <w:tc>
          <w:tcPr>
            <w:tcW w:w="165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381" w:lineRule="auto"/>
              <w:ind w:left="122" w:right="77"/>
              <w:jc w:val="left"/>
              <w:rPr>
                <w:rFonts w:ascii="宋体" w:hAnsi="宋体" w:cs="宋体" w:eastAsia="宋体" w:hint="default"/>
                <w:sz w:val="18"/>
                <w:szCs w:val="18"/>
              </w:rPr>
            </w:pPr>
            <w:r>
              <w:rPr>
                <w:rFonts w:ascii="宋体" w:hAnsi="宋体" w:cs="宋体" w:eastAsia="宋体" w:hint="default"/>
                <w:spacing w:val="22"/>
                <w:sz w:val="18"/>
                <w:szCs w:val="18"/>
              </w:rPr>
              <w:t>上海迪宣投资管</w:t>
            </w:r>
            <w:r>
              <w:rPr>
                <w:rFonts w:ascii="宋体" w:hAnsi="宋体" w:cs="宋体" w:eastAsia="宋体" w:hint="default"/>
                <w:spacing w:val="-64"/>
                <w:sz w:val="18"/>
                <w:szCs w:val="18"/>
              </w:rPr>
              <w:t> </w:t>
            </w:r>
            <w:r>
              <w:rPr>
                <w:rFonts w:ascii="宋体" w:hAnsi="宋体" w:cs="宋体" w:eastAsia="宋体" w:hint="default"/>
                <w:sz w:val="18"/>
                <w:szCs w:val="18"/>
              </w:rPr>
              <w:t>理有限公司</w:t>
            </w:r>
          </w:p>
        </w:tc>
        <w:tc>
          <w:tcPr>
            <w:tcW w:w="7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381" w:lineRule="auto"/>
              <w:ind w:left="103" w:right="101"/>
              <w:jc w:val="left"/>
              <w:rPr>
                <w:rFonts w:ascii="宋体" w:hAnsi="宋体" w:cs="宋体" w:eastAsia="宋体" w:hint="default"/>
                <w:sz w:val="18"/>
                <w:szCs w:val="18"/>
              </w:rPr>
            </w:pPr>
            <w:r>
              <w:rPr>
                <w:rFonts w:ascii="宋体" w:hAnsi="宋体" w:cs="宋体" w:eastAsia="宋体" w:hint="default"/>
                <w:sz w:val="18"/>
                <w:szCs w:val="18"/>
              </w:rPr>
              <w:t>母</w:t>
            </w:r>
            <w:r>
              <w:rPr>
                <w:rFonts w:ascii="宋体" w:hAnsi="宋体" w:cs="宋体" w:eastAsia="宋体" w:hint="default"/>
                <w:spacing w:val="68"/>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6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381" w:lineRule="auto"/>
              <w:ind w:left="103" w:right="101"/>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13"/>
                <w:sz w:val="18"/>
                <w:szCs w:val="18"/>
              </w:rPr>
              <w:t> </w:t>
            </w:r>
            <w:r>
              <w:rPr>
                <w:rFonts w:ascii="宋体" w:hAnsi="宋体" w:cs="宋体" w:eastAsia="宋体" w:hint="default"/>
                <w:sz w:val="18"/>
                <w:szCs w:val="18"/>
              </w:rPr>
              <w:t>限</w:t>
            </w:r>
            <w:r>
              <w:rPr>
                <w:rFonts w:ascii="宋体" w:hAnsi="宋体" w:cs="宋体" w:eastAsia="宋体" w:hint="default"/>
                <w:sz w:val="18"/>
                <w:szCs w:val="18"/>
              </w:rPr>
              <w:t> 责任</w:t>
            </w:r>
          </w:p>
        </w:tc>
        <w:tc>
          <w:tcPr>
            <w:tcW w:w="184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上海市青浦区崧秀路</w:t>
            </w:r>
          </w:p>
          <w:p>
            <w:pPr>
              <w:pStyle w:val="TableParagraph"/>
              <w:spacing w:line="240" w:lineRule="auto" w:before="13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555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8036</w:t>
            </w: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室</w:t>
            </w:r>
          </w:p>
        </w:tc>
        <w:tc>
          <w:tcPr>
            <w:tcW w:w="90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10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360" w:lineRule="auto"/>
              <w:ind w:left="103"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3"/>
                <w:sz w:val="18"/>
                <w:szCs w:val="18"/>
              </w:rPr>
              <w:t> </w:t>
            </w:r>
            <w:r>
              <w:rPr>
                <w:rFonts w:ascii="宋体" w:hAnsi="宋体" w:cs="宋体" w:eastAsia="宋体" w:hint="default"/>
                <w:spacing w:val="17"/>
                <w:sz w:val="18"/>
                <w:szCs w:val="18"/>
              </w:rPr>
              <w:t>及咨询</w:t>
            </w:r>
            <w:r>
              <w:rPr>
                <w:rFonts w:ascii="宋体" w:hAnsi="宋体" w:cs="宋体" w:eastAsia="宋体" w:hint="default"/>
                <w:spacing w:val="-64"/>
                <w:w w:val="99"/>
                <w:sz w:val="18"/>
                <w:szCs w:val="18"/>
              </w:rPr>
              <w:t> </w:t>
            </w:r>
            <w:r>
              <w:rPr>
                <w:rFonts w:ascii="宋体" w:hAnsi="宋体" w:cs="宋体" w:eastAsia="宋体" w:hint="default"/>
                <w:sz w:val="18"/>
                <w:szCs w:val="18"/>
              </w:rPr>
              <w:t>业</w:t>
            </w:r>
          </w:p>
        </w:tc>
        <w:tc>
          <w:tcPr>
            <w:tcW w:w="11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867.00</w:t>
            </w:r>
          </w:p>
        </w:tc>
        <w:tc>
          <w:tcPr>
            <w:tcW w:w="11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655" w:right="0"/>
              <w:jc w:val="left"/>
              <w:rPr>
                <w:rFonts w:ascii="Times New Roman" w:hAnsi="Times New Roman" w:cs="Times New Roman" w:eastAsia="Times New Roman" w:hint="default"/>
                <w:sz w:val="18"/>
                <w:szCs w:val="18"/>
              </w:rPr>
            </w:pPr>
            <w:r>
              <w:rPr>
                <w:rFonts w:ascii="Times New Roman"/>
                <w:sz w:val="18"/>
              </w:rPr>
              <w:t>36.12</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36.12</w:t>
            </w:r>
          </w:p>
        </w:tc>
        <w:tc>
          <w:tcPr>
            <w:tcW w:w="164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范建震、陈迪清</w:t>
            </w:r>
          </w:p>
        </w:tc>
        <w:tc>
          <w:tcPr>
            <w:tcW w:w="1243"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67621998-5</w:t>
            </w:r>
          </w:p>
        </w:tc>
      </w:tr>
    </w:tbl>
    <w:p>
      <w:pPr>
        <w:spacing w:line="240" w:lineRule="auto" w:before="0"/>
        <w:rPr>
          <w:rFonts w:ascii="宋体" w:hAnsi="宋体" w:cs="宋体" w:eastAsia="宋体" w:hint="default"/>
          <w:sz w:val="20"/>
          <w:szCs w:val="20"/>
        </w:rPr>
      </w:pPr>
    </w:p>
    <w:p>
      <w:pPr>
        <w:spacing w:before="167"/>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本公司的子公司情况：</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tbl>
      <w:tblPr>
        <w:tblW w:w="0" w:type="auto"/>
        <w:jc w:val="left"/>
        <w:tblInd w:w="610" w:type="dxa"/>
        <w:tblLayout w:type="fixed"/>
        <w:tblCellMar>
          <w:top w:w="0" w:type="dxa"/>
          <w:left w:w="0" w:type="dxa"/>
          <w:bottom w:w="0" w:type="dxa"/>
          <w:right w:w="0" w:type="dxa"/>
        </w:tblCellMar>
        <w:tblLook w:val="01E0"/>
      </w:tblPr>
      <w:tblGrid>
        <w:gridCol w:w="1721"/>
        <w:gridCol w:w="1155"/>
        <w:gridCol w:w="946"/>
        <w:gridCol w:w="1973"/>
        <w:gridCol w:w="1154"/>
        <w:gridCol w:w="1154"/>
        <w:gridCol w:w="1157"/>
        <w:gridCol w:w="1306"/>
        <w:gridCol w:w="1498"/>
        <w:gridCol w:w="1627"/>
      </w:tblGrid>
      <w:tr>
        <w:trPr>
          <w:trHeight w:val="394" w:hRule="exact"/>
        </w:trPr>
        <w:tc>
          <w:tcPr>
            <w:tcW w:w="172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9"/>
              <w:ind w:left="14"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15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94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107"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197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5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5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21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15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right="3"/>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30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right="15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持股比例</w:t>
            </w:r>
            <w:r>
              <w:rPr>
                <w:rFonts w:ascii="Times New Roman" w:hAnsi="Times New Roman" w:cs="Times New Roman" w:eastAsia="Times New Roman" w:hint="default"/>
                <w:spacing w:val="-1"/>
                <w:sz w:val="18"/>
                <w:szCs w:val="18"/>
              </w:rPr>
              <w:t>(%)</w:t>
            </w:r>
          </w:p>
        </w:tc>
        <w:tc>
          <w:tcPr>
            <w:tcW w:w="149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15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p>
        </w:tc>
        <w:tc>
          <w:tcPr>
            <w:tcW w:w="162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9"/>
              <w:ind w:left="26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145" w:hRule="exact"/>
        </w:trPr>
        <w:tc>
          <w:tcPr>
            <w:tcW w:w="1721"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汉得日本株式会社</w:t>
            </w:r>
          </w:p>
        </w:tc>
        <w:tc>
          <w:tcPr>
            <w:tcW w:w="11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1973" w:type="dxa"/>
            <w:tcBorders>
              <w:top w:val="dotted" w:sz="4" w:space="0" w:color="000000"/>
              <w:left w:val="dotted" w:sz="4" w:space="0" w:color="000000"/>
              <w:bottom w:val="single" w:sz="12" w:space="0" w:color="000000"/>
              <w:right w:val="dotted" w:sz="4" w:space="0" w:color="000000"/>
            </w:tcBorders>
          </w:tcPr>
          <w:p>
            <w:pPr>
              <w:pStyle w:val="TableParagraph"/>
              <w:spacing w:line="381" w:lineRule="auto" w:before="39"/>
              <w:ind w:left="103" w:right="87"/>
              <w:jc w:val="left"/>
              <w:rPr>
                <w:rFonts w:ascii="宋体" w:hAnsi="宋体" w:cs="宋体" w:eastAsia="宋体" w:hint="default"/>
                <w:sz w:val="18"/>
                <w:szCs w:val="18"/>
              </w:rPr>
            </w:pPr>
            <w:r>
              <w:rPr>
                <w:rFonts w:ascii="宋体" w:hAnsi="宋体" w:cs="宋体" w:eastAsia="宋体" w:hint="default"/>
                <w:spacing w:val="14"/>
                <w:sz w:val="18"/>
                <w:szCs w:val="18"/>
              </w:rPr>
              <w:t>日本国东京都江东区</w:t>
            </w:r>
            <w:r>
              <w:rPr>
                <w:rFonts w:ascii="宋体" w:hAnsi="宋体" w:cs="宋体" w:eastAsia="宋体" w:hint="default"/>
                <w:spacing w:val="-74"/>
                <w:sz w:val="18"/>
                <w:szCs w:val="18"/>
              </w:rPr>
              <w:t> </w:t>
            </w:r>
            <w:r>
              <w:rPr>
                <w:rFonts w:ascii="宋体" w:hAnsi="宋体" w:cs="宋体" w:eastAsia="宋体" w:hint="default"/>
                <w:spacing w:val="53"/>
                <w:sz w:val="18"/>
                <w:szCs w:val="18"/>
              </w:rPr>
              <w:t>东云一丁目 </w:t>
            </w:r>
            <w:r>
              <w:rPr>
                <w:rFonts w:ascii="Times New Roman" w:hAnsi="Times New Roman" w:cs="Times New Roman" w:eastAsia="Times New Roman" w:hint="default"/>
                <w:sz w:val="18"/>
                <w:szCs w:val="18"/>
              </w:rPr>
              <w:t>9  </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番</w:t>
            </w:r>
          </w:p>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41-2710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徐华</w:t>
            </w:r>
          </w:p>
        </w:tc>
        <w:tc>
          <w:tcPr>
            <w:tcW w:w="11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w:t>
            </w:r>
          </w:p>
        </w:tc>
        <w:tc>
          <w:tcPr>
            <w:tcW w:w="115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万日元</w:t>
            </w:r>
          </w:p>
        </w:tc>
        <w:tc>
          <w:tcPr>
            <w:tcW w:w="130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9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890" w:right="0"/>
              <w:jc w:val="left"/>
              <w:rPr>
                <w:rFonts w:ascii="Times New Roman" w:hAnsi="Times New Roman" w:cs="Times New Roman" w:eastAsia="Times New Roman" w:hint="default"/>
                <w:sz w:val="18"/>
                <w:szCs w:val="18"/>
              </w:rPr>
            </w:pPr>
            <w:r>
              <w:rPr>
                <w:rFonts w:ascii="Times New Roman"/>
                <w:sz w:val="18"/>
              </w:rPr>
              <w:t>100.00</w:t>
            </w:r>
          </w:p>
        </w:tc>
        <w:tc>
          <w:tcPr>
            <w:tcW w:w="1627"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before="76"/>
        <w:ind w:left="6966" w:right="7181" w:firstLine="0"/>
        <w:jc w:val="center"/>
        <w:rPr>
          <w:rFonts w:ascii="Times New Roman" w:hAnsi="Times New Roman" w:cs="Times New Roman" w:eastAsia="Times New Roman" w:hint="default"/>
          <w:sz w:val="18"/>
          <w:szCs w:val="18"/>
        </w:rPr>
      </w:pPr>
      <w:r>
        <w:rPr>
          <w:rFonts w:ascii="Times New Roman"/>
          <w:sz w:val="18"/>
        </w:rPr>
        <w:t>135</w:t>
      </w:r>
    </w:p>
    <w:p>
      <w:pPr>
        <w:spacing w:after="0"/>
        <w:jc w:val="center"/>
        <w:rPr>
          <w:rFonts w:ascii="Times New Roman" w:hAnsi="Times New Roman" w:cs="Times New Roman" w:eastAsia="Times New Roman" w:hint="default"/>
          <w:sz w:val="18"/>
          <w:szCs w:val="18"/>
        </w:rPr>
        <w:sectPr>
          <w:headerReference w:type="default" r:id="rId29"/>
          <w:footerReference w:type="default" r:id="rId30"/>
          <w:pgSz w:w="16840" w:h="11910" w:orient="landscape"/>
          <w:pgMar w:header="0" w:footer="0" w:top="800" w:bottom="280" w:left="1300" w:right="10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tabs>
          <w:tab w:pos="980" w:val="left" w:leader="none"/>
        </w:tabs>
        <w:spacing w:before="159"/>
        <w:ind w:left="140" w:right="1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9"/>
        <w:rPr>
          <w:rFonts w:ascii="宋体" w:hAnsi="宋体" w:cs="宋体" w:eastAsia="宋体" w:hint="default"/>
          <w:b/>
          <w:bCs/>
          <w:sz w:val="29"/>
          <w:szCs w:val="29"/>
        </w:rPr>
      </w:pPr>
    </w:p>
    <w:p>
      <w:pPr>
        <w:tabs>
          <w:tab w:pos="1395" w:val="left" w:leader="none"/>
        </w:tabs>
        <w:spacing w:line="290" w:lineRule="auto" w:before="0"/>
        <w:ind w:left="1395" w:right="193" w:hanging="53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r>
      <w:r>
        <w:rPr>
          <w:rFonts w:ascii="宋体" w:hAnsi="宋体" w:cs="宋体" w:eastAsia="宋体" w:hint="default"/>
          <w:b/>
          <w:bCs/>
          <w:spacing w:val="2"/>
          <w:sz w:val="21"/>
          <w:szCs w:val="21"/>
        </w:rPr>
        <w:t>存在控制关系且已纳入本公司合并报表范围的子公司，其相互间交易及母子</w:t>
      </w:r>
      <w:r>
        <w:rPr>
          <w:rFonts w:ascii="宋体" w:hAnsi="宋体" w:cs="宋体" w:eastAsia="宋体" w:hint="default"/>
          <w:b/>
          <w:bCs/>
          <w:spacing w:val="-88"/>
          <w:sz w:val="21"/>
          <w:szCs w:val="21"/>
        </w:rPr>
        <w:t> </w:t>
      </w:r>
      <w:r>
        <w:rPr>
          <w:rFonts w:ascii="宋体" w:hAnsi="宋体" w:cs="宋体" w:eastAsia="宋体" w:hint="default"/>
          <w:b/>
          <w:bCs/>
          <w:spacing w:val="-88"/>
          <w:sz w:val="21"/>
          <w:szCs w:val="21"/>
        </w:rPr>
      </w:r>
      <w:r>
        <w:rPr>
          <w:rFonts w:ascii="宋体" w:hAnsi="宋体" w:cs="宋体" w:eastAsia="宋体" w:hint="default"/>
          <w:b/>
          <w:bCs/>
          <w:sz w:val="21"/>
          <w:szCs w:val="21"/>
        </w:rPr>
        <w:t>公司交易已作抵销。</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tabs>
          <w:tab w:pos="1412" w:val="left" w:leader="none"/>
        </w:tabs>
        <w:spacing w:before="168"/>
        <w:ind w:left="858" w:right="1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其他关联交易</w:t>
      </w:r>
      <w:r>
        <w:rPr>
          <w:rFonts w:ascii="宋体" w:hAnsi="宋体" w:cs="宋体" w:eastAsia="宋体" w:hint="default"/>
          <w:sz w:val="21"/>
          <w:szCs w:val="21"/>
        </w:rPr>
      </w:r>
    </w:p>
    <w:p>
      <w:pPr>
        <w:spacing w:before="110"/>
        <w:ind w:left="0" w:right="309" w:firstLine="0"/>
        <w:jc w:val="right"/>
        <w:rPr>
          <w:rFonts w:ascii="宋体" w:hAnsi="宋体" w:cs="宋体" w:eastAsia="宋体" w:hint="default"/>
          <w:sz w:val="21"/>
          <w:szCs w:val="21"/>
        </w:rPr>
      </w:pPr>
      <w:r>
        <w:rPr>
          <w:rFonts w:ascii="宋体" w:hAnsi="宋体" w:cs="宋体" w:eastAsia="宋体" w:hint="default"/>
          <w:spacing w:val="-1"/>
          <w:sz w:val="21"/>
          <w:szCs w:val="21"/>
        </w:rPr>
        <w:t>金额单位：万元</w:t>
      </w:r>
    </w:p>
    <w:p>
      <w:pPr>
        <w:spacing w:line="240" w:lineRule="auto" w:before="7"/>
        <w:rPr>
          <w:rFonts w:ascii="宋体" w:hAnsi="宋体" w:cs="宋体" w:eastAsia="宋体" w:hint="default"/>
          <w:sz w:val="2"/>
          <w:szCs w:val="2"/>
        </w:rPr>
      </w:pPr>
    </w:p>
    <w:tbl>
      <w:tblPr>
        <w:tblW w:w="0" w:type="auto"/>
        <w:jc w:val="left"/>
        <w:tblInd w:w="687" w:type="dxa"/>
        <w:tblLayout w:type="fixed"/>
        <w:tblCellMar>
          <w:top w:w="0" w:type="dxa"/>
          <w:left w:w="0" w:type="dxa"/>
          <w:bottom w:w="0" w:type="dxa"/>
          <w:right w:w="0" w:type="dxa"/>
        </w:tblCellMar>
        <w:tblLook w:val="01E0"/>
      </w:tblPr>
      <w:tblGrid>
        <w:gridCol w:w="4359"/>
        <w:gridCol w:w="1718"/>
        <w:gridCol w:w="1721"/>
      </w:tblGrid>
      <w:tr>
        <w:trPr>
          <w:trHeight w:val="394" w:hRule="exact"/>
        </w:trPr>
        <w:tc>
          <w:tcPr>
            <w:tcW w:w="435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8"/>
              <w:ind w:left="21"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1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172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8"/>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96" w:hRule="exact"/>
        </w:trPr>
        <w:tc>
          <w:tcPr>
            <w:tcW w:w="435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关键管理人员薪酬</w:t>
            </w:r>
          </w:p>
        </w:tc>
        <w:tc>
          <w:tcPr>
            <w:tcW w:w="17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364.84</w:t>
            </w:r>
          </w:p>
        </w:tc>
        <w:tc>
          <w:tcPr>
            <w:tcW w:w="172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5"/>
              <w:ind w:right="5"/>
              <w:jc w:val="center"/>
              <w:rPr>
                <w:rFonts w:ascii="Times New Roman" w:hAnsi="Times New Roman" w:cs="Times New Roman" w:eastAsia="Times New Roman" w:hint="default"/>
                <w:sz w:val="21"/>
                <w:szCs w:val="21"/>
              </w:rPr>
            </w:pPr>
            <w:r>
              <w:rPr>
                <w:rFonts w:ascii="Times New Roman"/>
                <w:sz w:val="21"/>
              </w:rPr>
              <w:t>331.64</w:t>
            </w:r>
          </w:p>
        </w:tc>
      </w:tr>
    </w:tbl>
    <w:p>
      <w:pPr>
        <w:spacing w:line="240" w:lineRule="auto" w:before="6"/>
        <w:rPr>
          <w:rFonts w:ascii="宋体" w:hAnsi="宋体" w:cs="宋体" w:eastAsia="宋体" w:hint="default"/>
          <w:sz w:val="25"/>
          <w:szCs w:val="25"/>
        </w:rPr>
      </w:pPr>
    </w:p>
    <w:p>
      <w:pPr>
        <w:pStyle w:val="Heading5"/>
        <w:tabs>
          <w:tab w:pos="980" w:val="left" w:leader="none"/>
        </w:tabs>
        <w:spacing w:line="240" w:lineRule="auto" w:before="26"/>
        <w:ind w:right="182"/>
        <w:jc w:val="left"/>
        <w:rPr>
          <w:b w:val="0"/>
          <w:bCs w:val="0"/>
        </w:rPr>
      </w:pPr>
      <w:r>
        <w:rPr/>
        <w:t>七、</w:t>
        <w:tab/>
        <w:t>股份支付</w:t>
      </w:r>
      <w:r>
        <w:rPr>
          <w:b w:val="0"/>
          <w:bCs w:val="0"/>
        </w:rPr>
      </w:r>
    </w:p>
    <w:p>
      <w:pPr>
        <w:spacing w:before="121"/>
        <w:ind w:left="858" w:right="182" w:firstLine="0"/>
        <w:jc w:val="left"/>
        <w:rPr>
          <w:rFonts w:ascii="宋体" w:hAnsi="宋体" w:cs="宋体" w:eastAsia="宋体" w:hint="default"/>
          <w:sz w:val="21"/>
          <w:szCs w:val="21"/>
        </w:rPr>
      </w:pPr>
      <w:r>
        <w:rPr>
          <w:rFonts w:ascii="宋体" w:hAnsi="宋体" w:cs="宋体" w:eastAsia="宋体" w:hint="default"/>
          <w:sz w:val="21"/>
          <w:szCs w:val="21"/>
        </w:rPr>
        <w:t>（以下金额单位若未特别注明者均为人民币元）</w:t>
      </w:r>
    </w:p>
    <w:p>
      <w:pPr>
        <w:spacing w:line="240" w:lineRule="auto" w:before="0"/>
        <w:rPr>
          <w:rFonts w:ascii="宋体" w:hAnsi="宋体" w:cs="宋体" w:eastAsia="宋体" w:hint="default"/>
          <w:sz w:val="20"/>
          <w:szCs w:val="20"/>
        </w:rPr>
      </w:pPr>
    </w:p>
    <w:p>
      <w:pPr>
        <w:spacing w:before="147"/>
        <w:ind w:left="140" w:right="1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8"/>
          <w:sz w:val="21"/>
          <w:szCs w:val="21"/>
        </w:rPr>
        <w:t> </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line="326" w:lineRule="auto" w:before="117"/>
        <w:ind w:left="858" w:right="2837" w:firstLine="0"/>
        <w:jc w:val="left"/>
        <w:rPr>
          <w:rFonts w:ascii="宋体" w:hAnsi="宋体" w:cs="宋体" w:eastAsia="宋体" w:hint="default"/>
          <w:sz w:val="21"/>
          <w:szCs w:val="21"/>
        </w:rPr>
      </w:pPr>
      <w:r>
        <w:rPr>
          <w:rFonts w:ascii="宋体" w:hAnsi="宋体" w:cs="宋体" w:eastAsia="宋体" w:hint="default"/>
          <w:sz w:val="21"/>
          <w:szCs w:val="21"/>
        </w:rPr>
        <w:t>公司本期授予的限制性股票总额：不超过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6,560,000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公司本期增发的限制性股票总额：</w:t>
      </w:r>
      <w:r>
        <w:rPr>
          <w:rFonts w:ascii="Times New Roman" w:hAnsi="Times New Roman" w:cs="Times New Roman" w:eastAsia="Times New Roman" w:hint="default"/>
          <w:sz w:val="21"/>
          <w:szCs w:val="21"/>
        </w:rPr>
        <w:t>5,993,500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公司本期回购的限制性股票总额：</w:t>
      </w:r>
      <w:r>
        <w:rPr>
          <w:rFonts w:ascii="Times New Roman" w:hAnsi="Times New Roman" w:cs="Times New Roman" w:eastAsia="Times New Roman" w:hint="default"/>
          <w:sz w:val="21"/>
          <w:szCs w:val="21"/>
        </w:rPr>
        <w:t>65,000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公司本期注销的回购股票总额：</w:t>
      </w:r>
      <w:r>
        <w:rPr>
          <w:rFonts w:ascii="Times New Roman" w:hAnsi="Times New Roman" w:cs="Times New Roman" w:eastAsia="Times New Roman" w:hint="default"/>
          <w:sz w:val="21"/>
          <w:szCs w:val="21"/>
        </w:rPr>
        <w:t>0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公司期末无发行在外的股份期权行权。</w:t>
      </w:r>
      <w:r>
        <w:rPr>
          <w:rFonts w:ascii="宋体" w:hAnsi="宋体" w:cs="宋体" w:eastAsia="宋体" w:hint="default"/>
          <w:w w:val="100"/>
          <w:sz w:val="21"/>
          <w:szCs w:val="21"/>
        </w:rPr>
        <w:t> </w:t>
      </w:r>
      <w:r>
        <w:rPr>
          <w:rFonts w:ascii="宋体" w:hAnsi="宋体" w:cs="宋体" w:eastAsia="宋体" w:hint="default"/>
          <w:sz w:val="21"/>
          <w:szCs w:val="21"/>
        </w:rPr>
        <w:t>公司期末限制性股票授予价格和合同剩余期限：</w:t>
      </w:r>
    </w:p>
    <w:p>
      <w:pPr>
        <w:spacing w:line="240" w:lineRule="auto" w:before="6"/>
        <w:rPr>
          <w:rFonts w:ascii="宋体" w:hAnsi="宋体" w:cs="宋体" w:eastAsia="宋体" w:hint="default"/>
          <w:sz w:val="26"/>
          <w:szCs w:val="26"/>
        </w:rPr>
      </w:pPr>
    </w:p>
    <w:tbl>
      <w:tblPr>
        <w:tblW w:w="0" w:type="auto"/>
        <w:jc w:val="left"/>
        <w:tblInd w:w="721" w:type="dxa"/>
        <w:tblLayout w:type="fixed"/>
        <w:tblCellMar>
          <w:top w:w="0" w:type="dxa"/>
          <w:left w:w="0" w:type="dxa"/>
          <w:bottom w:w="0" w:type="dxa"/>
          <w:right w:w="0" w:type="dxa"/>
        </w:tblCellMar>
        <w:tblLook w:val="01E0"/>
      </w:tblPr>
      <w:tblGrid>
        <w:gridCol w:w="1248"/>
        <w:gridCol w:w="2693"/>
        <w:gridCol w:w="1407"/>
        <w:gridCol w:w="2422"/>
      </w:tblGrid>
      <w:tr>
        <w:trPr>
          <w:trHeight w:val="420" w:hRule="exact"/>
        </w:trPr>
        <w:tc>
          <w:tcPr>
            <w:tcW w:w="124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93"/>
              <w:ind w:right="398"/>
              <w:jc w:val="right"/>
              <w:rPr>
                <w:rFonts w:ascii="宋体" w:hAnsi="宋体" w:cs="宋体" w:eastAsia="宋体" w:hint="default"/>
                <w:sz w:val="21"/>
                <w:szCs w:val="21"/>
              </w:rPr>
            </w:pPr>
            <w:r>
              <w:rPr>
                <w:rFonts w:ascii="宋体" w:hAnsi="宋体" w:cs="宋体" w:eastAsia="宋体" w:hint="default"/>
                <w:sz w:val="21"/>
                <w:szCs w:val="21"/>
              </w:rPr>
              <w:t>类别</w:t>
            </w:r>
          </w:p>
        </w:tc>
        <w:tc>
          <w:tcPr>
            <w:tcW w:w="269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3"/>
              <w:ind w:left="290" w:right="0"/>
              <w:jc w:val="left"/>
              <w:rPr>
                <w:rFonts w:ascii="宋体" w:hAnsi="宋体" w:cs="宋体" w:eastAsia="宋体" w:hint="default"/>
                <w:sz w:val="21"/>
                <w:szCs w:val="21"/>
              </w:rPr>
            </w:pPr>
            <w:r>
              <w:rPr>
                <w:rFonts w:ascii="宋体" w:hAnsi="宋体" w:cs="宋体" w:eastAsia="宋体" w:hint="default"/>
                <w:sz w:val="21"/>
                <w:szCs w:val="21"/>
              </w:rPr>
              <w:t>限制性股票数量（股）</w:t>
            </w:r>
          </w:p>
        </w:tc>
        <w:tc>
          <w:tcPr>
            <w:tcW w:w="140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授予价格</w:t>
            </w:r>
          </w:p>
        </w:tc>
        <w:tc>
          <w:tcPr>
            <w:tcW w:w="242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3"/>
              <w:ind w:right="5"/>
              <w:jc w:val="center"/>
              <w:rPr>
                <w:rFonts w:ascii="宋体" w:hAnsi="宋体" w:cs="宋体" w:eastAsia="宋体" w:hint="default"/>
                <w:sz w:val="21"/>
                <w:szCs w:val="21"/>
              </w:rPr>
            </w:pPr>
            <w:r>
              <w:rPr>
                <w:rFonts w:ascii="宋体" w:hAnsi="宋体" w:cs="宋体" w:eastAsia="宋体" w:hint="default"/>
                <w:sz w:val="21"/>
                <w:szCs w:val="21"/>
              </w:rPr>
              <w:t>合同（解锁）剩余期限</w:t>
            </w:r>
          </w:p>
        </w:tc>
      </w:tr>
      <w:tr>
        <w:trPr>
          <w:trHeight w:val="384" w:hRule="exact"/>
        </w:trPr>
        <w:tc>
          <w:tcPr>
            <w:tcW w:w="1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首期</w:t>
            </w:r>
          </w:p>
        </w:tc>
        <w:tc>
          <w:tcPr>
            <w:tcW w:w="26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1,596,000</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9.73</w:t>
            </w:r>
          </w:p>
        </w:tc>
        <w:tc>
          <w:tcPr>
            <w:tcW w:w="24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8"/>
              <w:ind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w:t>
            </w:r>
          </w:p>
        </w:tc>
      </w:tr>
      <w:tr>
        <w:trPr>
          <w:trHeight w:val="384" w:hRule="exact"/>
        </w:trPr>
        <w:tc>
          <w:tcPr>
            <w:tcW w:w="1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首期</w:t>
            </w:r>
          </w:p>
        </w:tc>
        <w:tc>
          <w:tcPr>
            <w:tcW w:w="26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1,596,000</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9.73</w:t>
            </w:r>
          </w:p>
        </w:tc>
        <w:tc>
          <w:tcPr>
            <w:tcW w:w="24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8"/>
              <w:ind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386" w:hRule="exact"/>
        </w:trPr>
        <w:tc>
          <w:tcPr>
            <w:tcW w:w="1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1"/>
              <w:ind w:left="122" w:right="0"/>
              <w:jc w:val="left"/>
              <w:rPr>
                <w:rFonts w:ascii="宋体" w:hAnsi="宋体" w:cs="宋体" w:eastAsia="宋体" w:hint="default"/>
                <w:sz w:val="21"/>
                <w:szCs w:val="21"/>
              </w:rPr>
            </w:pPr>
            <w:r>
              <w:rPr>
                <w:rFonts w:ascii="宋体" w:hAnsi="宋体" w:cs="宋体" w:eastAsia="宋体" w:hint="default"/>
                <w:sz w:val="21"/>
                <w:szCs w:val="21"/>
              </w:rPr>
              <w:t>首期</w:t>
            </w:r>
          </w:p>
        </w:tc>
        <w:tc>
          <w:tcPr>
            <w:tcW w:w="26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right="101"/>
              <w:jc w:val="right"/>
              <w:rPr>
                <w:rFonts w:ascii="Times New Roman" w:hAnsi="Times New Roman" w:cs="Times New Roman" w:eastAsia="Times New Roman" w:hint="default"/>
                <w:sz w:val="21"/>
                <w:szCs w:val="21"/>
              </w:rPr>
            </w:pPr>
            <w:r>
              <w:rPr>
                <w:rFonts w:ascii="Times New Roman"/>
                <w:spacing w:val="-1"/>
                <w:sz w:val="21"/>
              </w:rPr>
              <w:t>2,128,000</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9.73</w:t>
            </w:r>
          </w:p>
        </w:tc>
        <w:tc>
          <w:tcPr>
            <w:tcW w:w="24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1"/>
              <w:ind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384" w:hRule="exact"/>
        </w:trPr>
        <w:tc>
          <w:tcPr>
            <w:tcW w:w="1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预留</w:t>
            </w:r>
          </w:p>
        </w:tc>
        <w:tc>
          <w:tcPr>
            <w:tcW w:w="26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182,550</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9.45</w:t>
            </w:r>
          </w:p>
        </w:tc>
        <w:tc>
          <w:tcPr>
            <w:tcW w:w="24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8"/>
              <w:ind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w:t>
            </w:r>
          </w:p>
        </w:tc>
      </w:tr>
      <w:tr>
        <w:trPr>
          <w:trHeight w:val="384" w:hRule="exact"/>
        </w:trPr>
        <w:tc>
          <w:tcPr>
            <w:tcW w:w="1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预留</w:t>
            </w:r>
          </w:p>
        </w:tc>
        <w:tc>
          <w:tcPr>
            <w:tcW w:w="26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182,550</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9.45</w:t>
            </w:r>
          </w:p>
        </w:tc>
        <w:tc>
          <w:tcPr>
            <w:tcW w:w="24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8"/>
              <w:ind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384" w:hRule="exact"/>
        </w:trPr>
        <w:tc>
          <w:tcPr>
            <w:tcW w:w="1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预留</w:t>
            </w:r>
          </w:p>
        </w:tc>
        <w:tc>
          <w:tcPr>
            <w:tcW w:w="26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243,400</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9.45</w:t>
            </w:r>
          </w:p>
        </w:tc>
        <w:tc>
          <w:tcPr>
            <w:tcW w:w="24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8"/>
              <w:ind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396" w:hRule="exact"/>
        </w:trPr>
        <w:tc>
          <w:tcPr>
            <w:tcW w:w="124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8"/>
              <w:ind w:right="398"/>
              <w:jc w:val="right"/>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5,928,500</w:t>
            </w:r>
          </w:p>
        </w:tc>
        <w:tc>
          <w:tcPr>
            <w:tcW w:w="1407" w:type="dxa"/>
            <w:tcBorders>
              <w:top w:val="dotted" w:sz="4" w:space="0" w:color="000000"/>
              <w:left w:val="dotted" w:sz="4" w:space="0" w:color="000000"/>
              <w:bottom w:val="single" w:sz="12" w:space="0" w:color="000000"/>
              <w:right w:val="dotted" w:sz="4" w:space="0" w:color="000000"/>
            </w:tcBorders>
          </w:tcPr>
          <w:p>
            <w:pPr/>
          </w:p>
        </w:tc>
        <w:tc>
          <w:tcPr>
            <w:tcW w:w="2422"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line="321" w:lineRule="auto" w:before="0"/>
        <w:ind w:left="858" w:right="191" w:firstLine="0"/>
        <w:jc w:val="both"/>
        <w:rPr>
          <w:rFonts w:ascii="Times New Roman" w:hAnsi="Times New Roman" w:cs="Times New Roman" w:eastAsia="Times New Roman" w:hint="default"/>
          <w:sz w:val="21"/>
          <w:szCs w:val="21"/>
        </w:rPr>
      </w:pPr>
      <w:r>
        <w:rPr>
          <w:rFonts w:ascii="宋体" w:hAnsi="宋体" w:cs="宋体" w:eastAsia="宋体" w:hint="default"/>
          <w:spacing w:val="-4"/>
          <w:sz w:val="21"/>
          <w:szCs w:val="21"/>
        </w:rPr>
        <w:t>股份支付情况的说明：经本公司股东大会</w:t>
      </w:r>
      <w:r>
        <w:rPr>
          <w:rFonts w:ascii="宋体" w:hAnsi="宋体" w:cs="宋体" w:eastAsia="宋体" w:hint="default"/>
          <w:spacing w:val="-4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0"/>
          <w:sz w:val="21"/>
          <w:szCs w:val="21"/>
        </w:rPr>
        <w:t> </w:t>
      </w:r>
      <w:r>
        <w:rPr>
          <w:rFonts w:ascii="宋体" w:hAnsi="宋体" w:cs="宋体" w:eastAsia="宋体" w:hint="default"/>
          <w:spacing w:val="-5"/>
          <w:sz w:val="21"/>
          <w:szCs w:val="21"/>
        </w:rPr>
        <w:t>日审议批准，本公司以定向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发行的方式向</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244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名激励对象授予限制性人民币普通股（</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r>
        <w:rPr>
          <w:rFonts w:ascii="Times New Roman" w:hAnsi="Times New Roman" w:cs="Times New Roman" w:eastAsia="Times New Roman" w:hint="default"/>
          <w:sz w:val="21"/>
          <w:szCs w:val="21"/>
        </w:rPr>
        <w:t>5,380,000</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股（每股</w:t>
      </w:r>
      <w:r>
        <w:rPr>
          <w:rFonts w:ascii="宋体" w:hAnsi="宋体" w:cs="宋体" w:eastAsia="宋体" w:hint="default"/>
          <w:w w:val="100"/>
          <w:sz w:val="21"/>
          <w:szCs w:val="21"/>
        </w:rPr>
        <w:t> 面值</w:t>
      </w:r>
      <w:r>
        <w:rPr>
          <w:rFonts w:ascii="宋体" w:hAnsi="宋体" w:cs="宋体" w:eastAsia="宋体" w:hint="default"/>
          <w:spacing w:val="-50"/>
          <w:w w:val="100"/>
          <w:sz w:val="21"/>
          <w:szCs w:val="21"/>
        </w:rPr>
        <w:t> </w:t>
      </w:r>
      <w:r>
        <w:rPr>
          <w:rFonts w:ascii="Times New Roman" w:hAnsi="Times New Roman" w:cs="Times New Roman" w:eastAsia="Times New Roman" w:hint="default"/>
          <w:w w:val="100"/>
          <w:sz w:val="21"/>
          <w:szCs w:val="21"/>
        </w:rPr>
        <w:t>1 </w:t>
      </w:r>
      <w:r>
        <w:rPr>
          <w:rFonts w:ascii="宋体" w:hAnsi="宋体" w:cs="宋体" w:eastAsia="宋体" w:hint="default"/>
          <w:spacing w:val="-28"/>
          <w:w w:val="100"/>
          <w:sz w:val="21"/>
          <w:szCs w:val="21"/>
        </w:rPr>
        <w:t>元），授予价格</w:t>
      </w:r>
      <w:r>
        <w:rPr>
          <w:rFonts w:ascii="宋体" w:hAnsi="宋体" w:cs="宋体" w:eastAsia="宋体" w:hint="default"/>
          <w:spacing w:val="-53"/>
          <w:w w:val="100"/>
          <w:sz w:val="21"/>
          <w:szCs w:val="21"/>
        </w:rPr>
        <w:t> </w:t>
      </w:r>
      <w:r>
        <w:rPr>
          <w:rFonts w:ascii="Times New Roman" w:hAnsi="Times New Roman" w:cs="Times New Roman" w:eastAsia="Times New Roman" w:hint="default"/>
          <w:w w:val="100"/>
          <w:sz w:val="21"/>
          <w:szCs w:val="21"/>
        </w:rPr>
        <w:t>9.73 </w:t>
      </w:r>
      <w:r>
        <w:rPr>
          <w:rFonts w:ascii="宋体" w:hAnsi="宋体" w:cs="宋体" w:eastAsia="宋体" w:hint="default"/>
          <w:spacing w:val="-17"/>
          <w:w w:val="100"/>
          <w:sz w:val="21"/>
          <w:szCs w:val="21"/>
        </w:rPr>
        <w:t>元</w:t>
      </w:r>
      <w:r>
        <w:rPr>
          <w:rFonts w:ascii="Times New Roman" w:hAnsi="Times New Roman" w:cs="Times New Roman" w:eastAsia="Times New Roman" w:hint="default"/>
          <w:spacing w:val="-17"/>
          <w:w w:val="100"/>
          <w:sz w:val="21"/>
          <w:szCs w:val="21"/>
        </w:rPr>
        <w:t>/</w:t>
      </w:r>
      <w:r>
        <w:rPr>
          <w:rFonts w:ascii="宋体" w:hAnsi="宋体" w:cs="宋体" w:eastAsia="宋体" w:hint="default"/>
          <w:spacing w:val="-17"/>
          <w:w w:val="100"/>
          <w:sz w:val="21"/>
          <w:szCs w:val="21"/>
        </w:rPr>
        <w:t>股；向</w:t>
      </w:r>
      <w:r>
        <w:rPr>
          <w:rFonts w:ascii="宋体" w:hAnsi="宋体" w:cs="宋体" w:eastAsia="宋体" w:hint="default"/>
          <w:spacing w:val="-53"/>
          <w:w w:val="100"/>
          <w:sz w:val="21"/>
          <w:szCs w:val="21"/>
        </w:rPr>
        <w:t> </w:t>
      </w:r>
      <w:r>
        <w:rPr>
          <w:rFonts w:ascii="Times New Roman" w:hAnsi="Times New Roman" w:cs="Times New Roman" w:eastAsia="Times New Roman" w:hint="default"/>
          <w:w w:val="100"/>
          <w:sz w:val="21"/>
          <w:szCs w:val="21"/>
        </w:rPr>
        <w:t>70</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6"/>
          <w:w w:val="100"/>
          <w:sz w:val="21"/>
          <w:szCs w:val="21"/>
        </w:rPr>
        <w:t>名预留激励对象授予限制性人民币普通股（</w:t>
      </w:r>
      <w:r>
        <w:rPr>
          <w:rFonts w:ascii="Times New Roman" w:hAnsi="Times New Roman" w:cs="Times New Roman" w:eastAsia="Times New Roman" w:hint="default"/>
          <w:spacing w:val="-6"/>
          <w:w w:val="100"/>
          <w:sz w:val="21"/>
          <w:szCs w:val="21"/>
        </w:rPr>
        <w:t>A</w:t>
      </w:r>
    </w:p>
    <w:p>
      <w:pPr>
        <w:spacing w:before="21"/>
        <w:ind w:left="858" w:right="0" w:firstLine="0"/>
        <w:jc w:val="both"/>
        <w:rPr>
          <w:rFonts w:ascii="Times New Roman" w:hAnsi="Times New Roman" w:cs="Times New Roman" w:eastAsia="Times New Roman" w:hint="default"/>
          <w:sz w:val="21"/>
          <w:szCs w:val="21"/>
        </w:rPr>
      </w:pPr>
      <w:r>
        <w:rPr>
          <w:rFonts w:ascii="宋体" w:hAnsi="宋体" w:cs="宋体" w:eastAsia="宋体" w:hint="default"/>
          <w:w w:val="100"/>
          <w:sz w:val="21"/>
          <w:szCs w:val="21"/>
        </w:rPr>
        <w:t>股）</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3,5</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w:t>
      </w:r>
      <w:r>
        <w:rPr>
          <w:rFonts w:ascii="宋体" w:hAnsi="宋体" w:cs="宋体" w:eastAsia="宋体" w:hint="default"/>
          <w:spacing w:val="-3"/>
          <w:w w:val="100"/>
          <w:sz w:val="21"/>
          <w:szCs w:val="21"/>
        </w:rPr>
        <w:t>每</w:t>
      </w:r>
      <w:r>
        <w:rPr>
          <w:rFonts w:ascii="宋体" w:hAnsi="宋体" w:cs="宋体" w:eastAsia="宋体" w:hint="default"/>
          <w:w w:val="100"/>
          <w:sz w:val="21"/>
          <w:szCs w:val="21"/>
        </w:rPr>
        <w:t>股</w:t>
      </w:r>
      <w:r>
        <w:rPr>
          <w:rFonts w:ascii="宋体" w:hAnsi="宋体" w:cs="宋体" w:eastAsia="宋体" w:hint="default"/>
          <w:spacing w:val="-3"/>
          <w:w w:val="100"/>
          <w:sz w:val="21"/>
          <w:szCs w:val="21"/>
        </w:rPr>
        <w:t>面</w:t>
      </w:r>
      <w:r>
        <w:rPr>
          <w:rFonts w:ascii="宋体" w:hAnsi="宋体" w:cs="宋体" w:eastAsia="宋体" w:hint="default"/>
          <w:w w:val="100"/>
          <w:sz w:val="21"/>
          <w:szCs w:val="21"/>
        </w:rPr>
        <w:t>值</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授</w:t>
      </w:r>
      <w:r>
        <w:rPr>
          <w:rFonts w:ascii="宋体" w:hAnsi="宋体" w:cs="宋体" w:eastAsia="宋体" w:hint="default"/>
          <w:spacing w:val="-3"/>
          <w:w w:val="100"/>
          <w:sz w:val="21"/>
          <w:szCs w:val="21"/>
        </w:rPr>
        <w:t>予</w:t>
      </w:r>
      <w:r>
        <w:rPr>
          <w:rFonts w:ascii="宋体" w:hAnsi="宋体" w:cs="宋体" w:eastAsia="宋体" w:hint="default"/>
          <w:w w:val="100"/>
          <w:sz w:val="21"/>
          <w:szCs w:val="21"/>
        </w:rPr>
        <w:t>价格</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9.45</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元</w:t>
      </w:r>
      <w:r>
        <w:rPr>
          <w:rFonts w:ascii="Times New Roman" w:hAnsi="Times New Roman" w:cs="Times New Roman" w:eastAsia="Times New Roman" w:hint="default"/>
          <w:spacing w:val="-2"/>
          <w:w w:val="100"/>
          <w:sz w:val="21"/>
          <w:szCs w:val="21"/>
        </w:rPr>
        <w:t>/</w:t>
      </w:r>
      <w:r>
        <w:rPr>
          <w:rFonts w:ascii="宋体" w:hAnsi="宋体" w:cs="宋体" w:eastAsia="宋体" w:hint="default"/>
          <w:w w:val="100"/>
          <w:sz w:val="21"/>
          <w:szCs w:val="21"/>
        </w:rPr>
        <w:t>股</w:t>
      </w:r>
      <w:r>
        <w:rPr>
          <w:rFonts w:ascii="宋体" w:hAnsi="宋体" w:cs="宋体" w:eastAsia="宋体" w:hint="default"/>
          <w:spacing w:val="-3"/>
          <w:w w:val="100"/>
          <w:sz w:val="21"/>
          <w:szCs w:val="21"/>
        </w:rPr>
        <w:t>，</w:t>
      </w:r>
      <w:r>
        <w:rPr>
          <w:rFonts w:ascii="宋体" w:hAnsi="宋体" w:cs="宋体" w:eastAsia="宋体" w:hint="default"/>
          <w:w w:val="100"/>
          <w:sz w:val="21"/>
          <w:szCs w:val="21"/>
        </w:rPr>
        <w:t>授</w:t>
      </w:r>
      <w:r>
        <w:rPr>
          <w:rFonts w:ascii="宋体" w:hAnsi="宋体" w:cs="宋体" w:eastAsia="宋体" w:hint="default"/>
          <w:spacing w:val="-3"/>
          <w:w w:val="100"/>
          <w:sz w:val="21"/>
          <w:szCs w:val="21"/>
        </w:rPr>
        <w:t>予</w:t>
      </w:r>
      <w:r>
        <w:rPr>
          <w:rFonts w:ascii="宋体" w:hAnsi="宋体" w:cs="宋体" w:eastAsia="宋体" w:hint="default"/>
          <w:w w:val="100"/>
          <w:sz w:val="21"/>
          <w:szCs w:val="21"/>
        </w:rPr>
        <w:t>日</w:t>
      </w:r>
      <w:r>
        <w:rPr>
          <w:rFonts w:ascii="宋体" w:hAnsi="宋体" w:cs="宋体" w:eastAsia="宋体" w:hint="default"/>
          <w:spacing w:val="-3"/>
          <w:w w:val="100"/>
          <w:sz w:val="21"/>
          <w:szCs w:val="21"/>
        </w:rPr>
        <w:t>均</w:t>
      </w:r>
      <w:r>
        <w:rPr>
          <w:rFonts w:ascii="宋体" w:hAnsi="宋体" w:cs="宋体" w:eastAsia="宋体" w:hint="default"/>
          <w:w w:val="100"/>
          <w:sz w:val="21"/>
          <w:szCs w:val="21"/>
        </w:rPr>
        <w:t>为</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9</w:t>
      </w:r>
    </w:p>
    <w:p>
      <w:pPr>
        <w:spacing w:after="0"/>
        <w:jc w:val="both"/>
        <w:rPr>
          <w:rFonts w:ascii="Times New Roman" w:hAnsi="Times New Roman" w:cs="Times New Roman" w:eastAsia="Times New Roman" w:hint="default"/>
          <w:sz w:val="21"/>
          <w:szCs w:val="21"/>
        </w:rPr>
        <w:sectPr>
          <w:footerReference w:type="default" r:id="rId31"/>
          <w:pgSz w:w="11910" w:h="16840"/>
          <w:pgMar w:footer="980" w:header="0" w:top="1140" w:bottom="1160" w:left="1660" w:right="1600"/>
          <w:pgNumType w:start="136"/>
        </w:sectPr>
      </w:pPr>
    </w:p>
    <w:p>
      <w:pPr>
        <w:spacing w:line="240" w:lineRule="auto" w:before="0"/>
        <w:rPr>
          <w:rFonts w:ascii="Times New Roman" w:hAnsi="Times New Roman" w:cs="Times New Roman" w:eastAsia="Times New Roman" w:hint="default"/>
          <w:sz w:val="20"/>
          <w:szCs w:val="20"/>
        </w:rPr>
      </w:pPr>
    </w:p>
    <w:p>
      <w:pPr>
        <w:spacing w:line="362" w:lineRule="auto" w:before="158"/>
        <w:ind w:left="858" w:right="209" w:firstLine="0"/>
        <w:jc w:val="left"/>
        <w:rPr>
          <w:rFonts w:ascii="宋体" w:hAnsi="宋体" w:cs="宋体" w:eastAsia="宋体" w:hint="default"/>
          <w:sz w:val="21"/>
          <w:szCs w:val="21"/>
        </w:rPr>
      </w:pPr>
      <w:r>
        <w:rPr>
          <w:rFonts w:ascii="宋体" w:hAnsi="宋体" w:cs="宋体" w:eastAsia="宋体" w:hint="default"/>
          <w:sz w:val="21"/>
          <w:szCs w:val="21"/>
        </w:rPr>
        <w:t>日。本次定向增发共计</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5,993,500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股，募集资金总额为</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58,144,975.00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元，其中，记</w:t>
      </w:r>
      <w:r>
        <w:rPr>
          <w:rFonts w:ascii="宋体" w:hAnsi="宋体" w:cs="宋体" w:eastAsia="宋体" w:hint="default"/>
          <w:w w:val="100"/>
          <w:sz w:val="21"/>
          <w:szCs w:val="21"/>
        </w:rPr>
        <w:t> </w:t>
      </w:r>
      <w:r>
        <w:rPr>
          <w:rFonts w:ascii="宋体" w:hAnsi="宋体" w:cs="宋体" w:eastAsia="宋体" w:hint="default"/>
          <w:sz w:val="21"/>
          <w:szCs w:val="21"/>
        </w:rPr>
        <w:t>入股本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5,993,500.00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元，记入资本公积（股本溢价）</w:t>
      </w:r>
      <w:r>
        <w:rPr>
          <w:rFonts w:ascii="Times New Roman" w:hAnsi="Times New Roman" w:cs="Times New Roman" w:eastAsia="Times New Roman" w:hint="default"/>
          <w:sz w:val="21"/>
          <w:szCs w:val="21"/>
        </w:rPr>
        <w:t>52,151,475.00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before="32"/>
        <w:ind w:left="85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pacing w:val="-6"/>
          <w:sz w:val="21"/>
          <w:szCs w:val="21"/>
        </w:rPr>
        <w:t>月，公司按照股权激励计划的规定回购了</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65,000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股已授予的限制性股票，</w:t>
      </w:r>
    </w:p>
    <w:p>
      <w:pPr>
        <w:spacing w:before="148"/>
        <w:ind w:left="858" w:right="0" w:firstLine="0"/>
        <w:jc w:val="left"/>
        <w:rPr>
          <w:rFonts w:ascii="宋体" w:hAnsi="宋体" w:cs="宋体" w:eastAsia="宋体" w:hint="default"/>
          <w:sz w:val="21"/>
          <w:szCs w:val="21"/>
        </w:rPr>
      </w:pPr>
      <w:r>
        <w:rPr>
          <w:rFonts w:ascii="宋体" w:hAnsi="宋体" w:cs="宋体" w:eastAsia="宋体" w:hint="default"/>
          <w:sz w:val="21"/>
          <w:szCs w:val="21"/>
        </w:rPr>
        <w:t>共计出资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631,050.00</w:t>
      </w:r>
      <w:r>
        <w:rPr>
          <w:rFonts w:ascii="Times New Roman" w:hAnsi="Times New Roman" w:cs="Times New Roman" w:eastAsia="Times New Roman" w:hint="default"/>
          <w:spacing w:val="1"/>
          <w:sz w:val="21"/>
          <w:szCs w:val="21"/>
        </w:rPr>
        <w:t> </w:t>
      </w:r>
      <w:r>
        <w:rPr>
          <w:rFonts w:ascii="宋体" w:hAnsi="宋体" w:cs="宋体" w:eastAsia="宋体" w:hint="default"/>
          <w:spacing w:val="-18"/>
          <w:sz w:val="21"/>
          <w:szCs w:val="21"/>
        </w:rPr>
        <w:t>元，其中</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65,000.00</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元记入库存股，</w:t>
      </w:r>
      <w:r>
        <w:rPr>
          <w:rFonts w:ascii="Times New Roman" w:hAnsi="Times New Roman" w:cs="Times New Roman" w:eastAsia="Times New Roman" w:hint="default"/>
          <w:spacing w:val="-5"/>
          <w:sz w:val="21"/>
          <w:szCs w:val="21"/>
        </w:rPr>
        <w:t>566,050.00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元记入资本公积。</w:t>
      </w:r>
    </w:p>
    <w:p>
      <w:pPr>
        <w:spacing w:before="148"/>
        <w:ind w:left="858" w:right="138" w:firstLine="0"/>
        <w:jc w:val="left"/>
        <w:rPr>
          <w:rFonts w:ascii="宋体" w:hAnsi="宋体" w:cs="宋体" w:eastAsia="宋体" w:hint="default"/>
          <w:sz w:val="21"/>
          <w:szCs w:val="21"/>
        </w:rPr>
      </w:pPr>
      <w:r>
        <w:rPr>
          <w:rFonts w:ascii="宋体" w:hAnsi="宋体" w:cs="宋体" w:eastAsia="宋体" w:hint="default"/>
          <w:spacing w:val="-3"/>
          <w:sz w:val="21"/>
          <w:szCs w:val="21"/>
        </w:rPr>
        <w:t>根据公司股权激励计划，激励对象获授限制性股票之日起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个月内为锁定期，锁定</w:t>
      </w:r>
    </w:p>
    <w:p>
      <w:pPr>
        <w:spacing w:line="362" w:lineRule="auto" w:before="151"/>
        <w:ind w:left="858" w:right="131" w:firstLine="0"/>
        <w:jc w:val="left"/>
        <w:rPr>
          <w:rFonts w:ascii="宋体" w:hAnsi="宋体" w:cs="宋体" w:eastAsia="宋体" w:hint="default"/>
          <w:sz w:val="21"/>
          <w:szCs w:val="21"/>
        </w:rPr>
      </w:pPr>
      <w:r>
        <w:rPr>
          <w:rFonts w:ascii="宋体" w:hAnsi="宋体" w:cs="宋体" w:eastAsia="宋体" w:hint="default"/>
          <w:sz w:val="21"/>
          <w:szCs w:val="21"/>
        </w:rPr>
        <w:t>期后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个月为解锁期。在解锁期内，若达到本计划规定的限制性股票的解锁条件，</w:t>
      </w:r>
      <w:r>
        <w:rPr>
          <w:rFonts w:ascii="宋体" w:hAnsi="宋体" w:cs="宋体" w:eastAsia="宋体" w:hint="default"/>
          <w:w w:val="100"/>
          <w:sz w:val="21"/>
          <w:szCs w:val="21"/>
        </w:rPr>
        <w:t> </w:t>
      </w:r>
      <w:r>
        <w:rPr>
          <w:rFonts w:ascii="宋体" w:hAnsi="宋体" w:cs="宋体" w:eastAsia="宋体" w:hint="default"/>
          <w:sz w:val="21"/>
          <w:szCs w:val="21"/>
        </w:rPr>
        <w:t>激励对象可在授予日起 </w:t>
      </w:r>
      <w:r>
        <w:rPr>
          <w:rFonts w:ascii="Times New Roman" w:hAnsi="Times New Roman" w:cs="Times New Roman" w:eastAsia="Times New Roman" w:hint="default"/>
          <w:sz w:val="21"/>
          <w:szCs w:val="21"/>
        </w:rPr>
        <w:t>12 </w:t>
      </w:r>
      <w:r>
        <w:rPr>
          <w:rFonts w:ascii="宋体" w:hAnsi="宋体" w:cs="宋体" w:eastAsia="宋体" w:hint="default"/>
          <w:sz w:val="21"/>
          <w:szCs w:val="21"/>
        </w:rPr>
        <w:t>个月后、</w:t>
      </w:r>
      <w:r>
        <w:rPr>
          <w:rFonts w:ascii="Times New Roman" w:hAnsi="Times New Roman" w:cs="Times New Roman" w:eastAsia="Times New Roman" w:hint="default"/>
          <w:sz w:val="21"/>
          <w:szCs w:val="21"/>
        </w:rPr>
        <w:t>24 </w:t>
      </w:r>
      <w:r>
        <w:rPr>
          <w:rFonts w:ascii="宋体" w:hAnsi="宋体" w:cs="宋体" w:eastAsia="宋体" w:hint="default"/>
          <w:sz w:val="21"/>
          <w:szCs w:val="21"/>
        </w:rPr>
        <w:t>个月后、</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个月后分三期分别申请解锁所获</w:t>
      </w:r>
      <w:r>
        <w:rPr>
          <w:rFonts w:ascii="宋体" w:hAnsi="宋体" w:cs="宋体" w:eastAsia="宋体" w:hint="default"/>
          <w:w w:val="100"/>
          <w:sz w:val="21"/>
          <w:szCs w:val="21"/>
        </w:rPr>
        <w:t> </w:t>
      </w:r>
      <w:r>
        <w:rPr>
          <w:rFonts w:ascii="宋体" w:hAnsi="宋体" w:cs="宋体" w:eastAsia="宋体" w:hint="default"/>
          <w:sz w:val="21"/>
          <w:szCs w:val="21"/>
        </w:rPr>
        <w:t>授限制性股票总量的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w:t>
      </w:r>
      <w:r>
        <w:rPr>
          <w:rFonts w:ascii="Times New Roman" w:hAnsi="Times New Roman" w:cs="Times New Roman" w:eastAsia="Times New Roman" w:hint="default"/>
          <w:sz w:val="21"/>
          <w:szCs w:val="21"/>
        </w:rPr>
        <w:t>30%</w:t>
      </w:r>
      <w:r>
        <w:rPr>
          <w:rFonts w:ascii="宋体" w:hAnsi="宋体" w:cs="宋体" w:eastAsia="宋体" w:hint="default"/>
          <w:sz w:val="21"/>
          <w:szCs w:val="21"/>
        </w:rPr>
        <w:t>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40%</w:t>
      </w:r>
      <w:r>
        <w:rPr>
          <w:rFonts w:ascii="宋体" w:hAnsi="宋体" w:cs="宋体" w:eastAsia="宋体" w:hint="default"/>
          <w:sz w:val="21"/>
          <w:szCs w:val="21"/>
        </w:rPr>
        <w:t>。</w:t>
      </w:r>
    </w:p>
    <w:p>
      <w:pPr>
        <w:spacing w:line="240" w:lineRule="auto" w:before="11"/>
        <w:rPr>
          <w:rFonts w:ascii="宋体" w:hAnsi="宋体" w:cs="宋体" w:eastAsia="宋体" w:hint="default"/>
          <w:sz w:val="26"/>
          <w:szCs w:val="26"/>
        </w:rPr>
      </w:pPr>
    </w:p>
    <w:p>
      <w:pPr>
        <w:spacing w:line="357" w:lineRule="auto" w:before="0"/>
        <w:ind w:left="858" w:right="209" w:hanging="71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3"/>
          <w:sz w:val="21"/>
          <w:szCs w:val="21"/>
        </w:rPr>
        <w:t> </w:t>
      </w:r>
      <w:r>
        <w:rPr>
          <w:rFonts w:ascii="宋体" w:hAnsi="宋体" w:cs="宋体" w:eastAsia="宋体" w:hint="default"/>
          <w:b/>
          <w:bCs/>
          <w:sz w:val="21"/>
          <w:szCs w:val="21"/>
        </w:rPr>
        <w:t>以权益结算的股份支付情况</w:t>
      </w:r>
      <w:r>
        <w:rPr>
          <w:rFonts w:ascii="宋体" w:hAnsi="宋体" w:cs="宋体" w:eastAsia="宋体" w:hint="default"/>
          <w:b/>
          <w:bCs/>
          <w:w w:val="100"/>
          <w:sz w:val="21"/>
          <w:szCs w:val="21"/>
        </w:rPr>
        <w:t> </w:t>
      </w:r>
      <w:r>
        <w:rPr>
          <w:rFonts w:ascii="宋体" w:hAnsi="宋体" w:cs="宋体" w:eastAsia="宋体" w:hint="default"/>
          <w:spacing w:val="-3"/>
          <w:sz w:val="21"/>
          <w:szCs w:val="21"/>
        </w:rPr>
        <w:t>授予日权益工具公允价值的确定方法：以授予日的市场价格（</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日收盘</w:t>
      </w:r>
    </w:p>
    <w:p>
      <w:pPr>
        <w:spacing w:line="372" w:lineRule="auto" w:before="34"/>
        <w:ind w:left="858" w:right="0" w:firstLine="0"/>
        <w:jc w:val="left"/>
        <w:rPr>
          <w:rFonts w:ascii="宋体" w:hAnsi="宋体" w:cs="宋体" w:eastAsia="宋体" w:hint="default"/>
          <w:sz w:val="21"/>
          <w:szCs w:val="21"/>
        </w:rPr>
      </w:pPr>
      <w:r>
        <w:rPr>
          <w:rFonts w:ascii="宋体" w:hAnsi="宋体" w:cs="宋体" w:eastAsia="宋体" w:hint="default"/>
          <w:sz w:val="21"/>
          <w:szCs w:val="21"/>
        </w:rPr>
        <w:t>价 </w:t>
      </w:r>
      <w:r>
        <w:rPr>
          <w:rFonts w:ascii="Times New Roman" w:hAnsi="Times New Roman" w:cs="Times New Roman" w:eastAsia="Times New Roman" w:hint="default"/>
          <w:sz w:val="21"/>
          <w:szCs w:val="21"/>
        </w:rPr>
        <w:t>19.2 </w:t>
      </w:r>
      <w:r>
        <w:rPr>
          <w:rFonts w:ascii="宋体" w:hAnsi="宋体" w:cs="宋体" w:eastAsia="宋体" w:hint="default"/>
          <w:spacing w:val="-3"/>
          <w:sz w:val="21"/>
          <w:szCs w:val="21"/>
        </w:rPr>
        <w:t>元）为基础，考虑由于限售造成的流通性折扣得出授予日限制性股票的公允</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价值。银信资产评估有限公司对上述本公司授予的限制性股票公允价值作了评估，</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在授予日起 </w:t>
      </w:r>
      <w:r>
        <w:rPr>
          <w:rFonts w:ascii="Times New Roman" w:hAnsi="Times New Roman" w:cs="Times New Roman" w:eastAsia="Times New Roman" w:hint="default"/>
          <w:sz w:val="21"/>
          <w:szCs w:val="21"/>
        </w:rPr>
        <w:t>12 </w:t>
      </w:r>
      <w:r>
        <w:rPr>
          <w:rFonts w:ascii="宋体" w:hAnsi="宋体" w:cs="宋体" w:eastAsia="宋体" w:hint="default"/>
          <w:sz w:val="21"/>
          <w:szCs w:val="21"/>
        </w:rPr>
        <w:t>个月后、</w:t>
      </w:r>
      <w:r>
        <w:rPr>
          <w:rFonts w:ascii="Times New Roman" w:hAnsi="Times New Roman" w:cs="Times New Roman" w:eastAsia="Times New Roman" w:hint="default"/>
          <w:sz w:val="21"/>
          <w:szCs w:val="21"/>
        </w:rPr>
        <w:t>24 </w:t>
      </w:r>
      <w:r>
        <w:rPr>
          <w:rFonts w:ascii="宋体" w:hAnsi="宋体" w:cs="宋体" w:eastAsia="宋体" w:hint="default"/>
          <w:sz w:val="21"/>
          <w:szCs w:val="21"/>
        </w:rPr>
        <w:t>个月后、</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个月后解锁的限制性股票的公允价值分别为</w:t>
      </w:r>
      <w:r>
        <w:rPr>
          <w:rFonts w:ascii="宋体" w:hAnsi="宋体" w:cs="宋体" w:eastAsia="宋体" w:hint="default"/>
          <w:w w:val="100"/>
          <w:sz w:val="21"/>
          <w:szCs w:val="21"/>
        </w:rPr>
        <w:t> </w:t>
      </w:r>
      <w:r>
        <w:rPr>
          <w:rFonts w:ascii="宋体" w:hAnsi="宋体" w:cs="宋体" w:eastAsia="宋体" w:hint="default"/>
          <w:sz w:val="21"/>
          <w:szCs w:val="21"/>
        </w:rPr>
        <w:t>每股</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13.77</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w:t>
      </w:r>
      <w:r>
        <w:rPr>
          <w:rFonts w:ascii="Times New Roman" w:hAnsi="Times New Roman" w:cs="Times New Roman" w:eastAsia="Times New Roman" w:hint="default"/>
          <w:spacing w:val="-3"/>
          <w:sz w:val="21"/>
          <w:szCs w:val="21"/>
        </w:rPr>
        <w:t>11.64</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元、</w:t>
      </w:r>
      <w:r>
        <w:rPr>
          <w:rFonts w:ascii="Times New Roman" w:hAnsi="Times New Roman" w:cs="Times New Roman" w:eastAsia="Times New Roman" w:hint="default"/>
          <w:spacing w:val="-3"/>
          <w:sz w:val="21"/>
          <w:szCs w:val="21"/>
        </w:rPr>
        <w:t>10.11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元，并出具银信评财字（</w:t>
      </w:r>
      <w:r>
        <w:rPr>
          <w:rFonts w:ascii="Times New Roman" w:hAnsi="Times New Roman" w:cs="Times New Roman" w:eastAsia="Times New Roman" w:hint="default"/>
          <w:sz w:val="21"/>
          <w:szCs w:val="21"/>
        </w:rPr>
        <w:t>2012</w:t>
      </w:r>
      <w:r>
        <w:rPr>
          <w:rFonts w:ascii="宋体" w:hAnsi="宋体" w:cs="宋体" w:eastAsia="宋体" w:hint="default"/>
          <w:sz w:val="21"/>
          <w:szCs w:val="21"/>
        </w:rPr>
        <w:t>）第</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号评估报告。</w:t>
      </w:r>
      <w:r>
        <w:rPr>
          <w:rFonts w:ascii="宋体" w:hAnsi="宋体" w:cs="宋体" w:eastAsia="宋体" w:hint="default"/>
          <w:w w:val="100"/>
          <w:sz w:val="21"/>
          <w:szCs w:val="21"/>
        </w:rPr>
        <w:t> </w:t>
      </w:r>
      <w:r>
        <w:rPr>
          <w:rFonts w:ascii="宋体" w:hAnsi="宋体" w:cs="宋体" w:eastAsia="宋体" w:hint="default"/>
          <w:sz w:val="21"/>
          <w:szCs w:val="21"/>
        </w:rPr>
        <w:t>授予日限制性股票的公允价值扣除授予价格（</w:t>
      </w:r>
      <w:r>
        <w:rPr>
          <w:rFonts w:ascii="Times New Roman" w:hAnsi="Times New Roman" w:cs="Times New Roman" w:eastAsia="Times New Roman" w:hint="default"/>
          <w:sz w:val="21"/>
          <w:szCs w:val="21"/>
        </w:rPr>
        <w:t>9.73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元和</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9.45</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元）即授予日权益工具</w:t>
      </w:r>
      <w:r>
        <w:rPr>
          <w:rFonts w:ascii="宋体" w:hAnsi="宋体" w:cs="宋体" w:eastAsia="宋体" w:hint="default"/>
          <w:w w:val="100"/>
          <w:sz w:val="21"/>
          <w:szCs w:val="21"/>
        </w:rPr>
        <w:t> </w:t>
      </w:r>
      <w:r>
        <w:rPr>
          <w:rFonts w:ascii="宋体" w:hAnsi="宋体" w:cs="宋体" w:eastAsia="宋体" w:hint="default"/>
          <w:sz w:val="21"/>
          <w:szCs w:val="21"/>
        </w:rPr>
        <w:t>单位公允价值。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授予日权益工具单位公允价值乘以限制性股票数量即授予日权益工具公允价值总</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额。具体如下：</w:t>
      </w:r>
    </w:p>
    <w:p>
      <w:pPr>
        <w:spacing w:line="240" w:lineRule="auto" w:before="1"/>
        <w:rPr>
          <w:rFonts w:ascii="宋体" w:hAnsi="宋体" w:cs="宋体" w:eastAsia="宋体" w:hint="default"/>
          <w:sz w:val="29"/>
          <w:szCs w:val="29"/>
        </w:rPr>
      </w:pPr>
    </w:p>
    <w:tbl>
      <w:tblPr>
        <w:tblW w:w="0" w:type="auto"/>
        <w:jc w:val="left"/>
        <w:tblInd w:w="721" w:type="dxa"/>
        <w:tblLayout w:type="fixed"/>
        <w:tblCellMar>
          <w:top w:w="0" w:type="dxa"/>
          <w:left w:w="0" w:type="dxa"/>
          <w:bottom w:w="0" w:type="dxa"/>
          <w:right w:w="0" w:type="dxa"/>
        </w:tblCellMar>
        <w:tblLook w:val="01E0"/>
      </w:tblPr>
      <w:tblGrid>
        <w:gridCol w:w="4508"/>
        <w:gridCol w:w="3121"/>
      </w:tblGrid>
      <w:tr>
        <w:trPr>
          <w:trHeight w:val="461" w:hRule="exact"/>
        </w:trPr>
        <w:tc>
          <w:tcPr>
            <w:tcW w:w="450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0"/>
              <w:ind w:left="840"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312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公允价值</w:t>
            </w:r>
          </w:p>
        </w:tc>
      </w:tr>
      <w:tr>
        <w:trPr>
          <w:trHeight w:val="451" w:hRule="exact"/>
        </w:trPr>
        <w:tc>
          <w:tcPr>
            <w:tcW w:w="4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第一期（授予日起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个月后解锁）</w:t>
            </w:r>
          </w:p>
        </w:tc>
        <w:tc>
          <w:tcPr>
            <w:tcW w:w="31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6"/>
              <w:ind w:right="140"/>
              <w:jc w:val="right"/>
              <w:rPr>
                <w:rFonts w:ascii="Times New Roman" w:hAnsi="Times New Roman" w:cs="Times New Roman" w:eastAsia="Times New Roman" w:hint="default"/>
                <w:sz w:val="21"/>
                <w:szCs w:val="21"/>
              </w:rPr>
            </w:pPr>
            <w:r>
              <w:rPr>
                <w:rFonts w:ascii="Times New Roman"/>
                <w:spacing w:val="-1"/>
                <w:sz w:val="21"/>
              </w:rPr>
              <w:t>7,236,456.00</w:t>
            </w:r>
          </w:p>
        </w:tc>
      </w:tr>
      <w:tr>
        <w:trPr>
          <w:trHeight w:val="449" w:hRule="exact"/>
        </w:trPr>
        <w:tc>
          <w:tcPr>
            <w:tcW w:w="4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第一期（授予日起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个月后解锁）</w:t>
            </w:r>
          </w:p>
        </w:tc>
        <w:tc>
          <w:tcPr>
            <w:tcW w:w="31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6"/>
              <w:ind w:right="139"/>
              <w:jc w:val="right"/>
              <w:rPr>
                <w:rFonts w:ascii="Times New Roman" w:hAnsi="Times New Roman" w:cs="Times New Roman" w:eastAsia="Times New Roman" w:hint="default"/>
                <w:sz w:val="21"/>
                <w:szCs w:val="21"/>
              </w:rPr>
            </w:pPr>
            <w:r>
              <w:rPr>
                <w:rFonts w:ascii="Times New Roman"/>
                <w:spacing w:val="-1"/>
                <w:sz w:val="21"/>
              </w:rPr>
              <w:t>3,448,144.50</w:t>
            </w:r>
          </w:p>
        </w:tc>
      </w:tr>
      <w:tr>
        <w:trPr>
          <w:trHeight w:val="451" w:hRule="exact"/>
        </w:trPr>
        <w:tc>
          <w:tcPr>
            <w:tcW w:w="4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第一期（授予日起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个月后解锁）</w:t>
            </w:r>
          </w:p>
        </w:tc>
        <w:tc>
          <w:tcPr>
            <w:tcW w:w="31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6"/>
              <w:ind w:right="140"/>
              <w:jc w:val="right"/>
              <w:rPr>
                <w:rFonts w:ascii="Times New Roman" w:hAnsi="Times New Roman" w:cs="Times New Roman" w:eastAsia="Times New Roman" w:hint="default"/>
                <w:sz w:val="21"/>
                <w:szCs w:val="21"/>
              </w:rPr>
            </w:pPr>
            <w:r>
              <w:rPr>
                <w:rFonts w:ascii="Times New Roman"/>
                <w:spacing w:val="-1"/>
                <w:sz w:val="21"/>
              </w:rPr>
              <w:t>969,284.00</w:t>
            </w:r>
          </w:p>
        </w:tc>
      </w:tr>
      <w:tr>
        <w:trPr>
          <w:trHeight w:val="461" w:hRule="exact"/>
        </w:trPr>
        <w:tc>
          <w:tcPr>
            <w:tcW w:w="450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7"/>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2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56"/>
              <w:ind w:right="140"/>
              <w:jc w:val="right"/>
              <w:rPr>
                <w:rFonts w:ascii="Times New Roman" w:hAnsi="Times New Roman" w:cs="Times New Roman" w:eastAsia="Times New Roman" w:hint="default"/>
                <w:sz w:val="21"/>
                <w:szCs w:val="21"/>
              </w:rPr>
            </w:pPr>
            <w:r>
              <w:rPr>
                <w:rFonts w:ascii="Times New Roman"/>
                <w:spacing w:val="-2"/>
                <w:sz w:val="21"/>
              </w:rPr>
              <w:t>11,653,884.50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line="364" w:lineRule="auto" w:before="36"/>
        <w:ind w:left="858" w:right="1597" w:firstLine="0"/>
        <w:jc w:val="left"/>
        <w:rPr>
          <w:rFonts w:ascii="宋体" w:hAnsi="宋体" w:cs="宋体" w:eastAsia="宋体" w:hint="default"/>
          <w:sz w:val="21"/>
          <w:szCs w:val="21"/>
        </w:rPr>
      </w:pPr>
      <w:r>
        <w:rPr>
          <w:rFonts w:ascii="宋体" w:hAnsi="宋体" w:cs="宋体" w:eastAsia="宋体" w:hint="default"/>
          <w:sz w:val="21"/>
          <w:szCs w:val="21"/>
        </w:rPr>
        <w:t>资本公积中以权益结算的股份支付的累计金额：</w:t>
      </w:r>
      <w:r>
        <w:rPr>
          <w:rFonts w:ascii="Times New Roman" w:hAnsi="Times New Roman" w:cs="Times New Roman" w:eastAsia="Times New Roman" w:hint="default"/>
          <w:sz w:val="21"/>
          <w:szCs w:val="21"/>
        </w:rPr>
        <w:t>3,868,176.21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z w:val="21"/>
          <w:szCs w:val="21"/>
        </w:rPr>
        <w:t>本期因以权益结算的股份支付而确认的费用总额：</w:t>
      </w:r>
      <w:r>
        <w:rPr>
          <w:rFonts w:ascii="Times New Roman" w:hAnsi="Times New Roman" w:cs="Times New Roman" w:eastAsia="Times New Roman" w:hint="default"/>
          <w:sz w:val="21"/>
          <w:szCs w:val="21"/>
        </w:rPr>
        <w:t>3,868,176.21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pacing w:val="-6"/>
          <w:w w:val="100"/>
          <w:sz w:val="21"/>
          <w:szCs w:val="21"/>
        </w:rPr>
        <w:t>以权益结算的股份支付的说明：详见附注七（一）。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5"/>
        <w:tabs>
          <w:tab w:pos="980" w:val="left" w:leader="none"/>
        </w:tabs>
        <w:spacing w:line="240" w:lineRule="auto"/>
        <w:ind w:right="138"/>
        <w:jc w:val="left"/>
        <w:rPr>
          <w:b w:val="0"/>
          <w:bCs w:val="0"/>
        </w:rPr>
      </w:pPr>
      <w:r>
        <w:rPr/>
        <w:t>八、</w:t>
        <w:tab/>
        <w:t>或有事项</w:t>
      </w:r>
      <w:r>
        <w:rPr>
          <w:b w:val="0"/>
          <w:bCs w:val="0"/>
        </w:rPr>
      </w:r>
    </w:p>
    <w:p>
      <w:pPr>
        <w:spacing w:after="0" w:line="240" w:lineRule="auto"/>
        <w:jc w:val="left"/>
        <w:sectPr>
          <w:pgSz w:w="11910" w:h="16840"/>
          <w:pgMar w:header="0" w:footer="980" w:top="1140" w:bottom="1160" w:left="1660" w:right="1580"/>
        </w:sectPr>
      </w:pPr>
    </w:p>
    <w:p>
      <w:pPr>
        <w:spacing w:line="240" w:lineRule="auto" w:before="11"/>
        <w:rPr>
          <w:rFonts w:ascii="宋体" w:hAnsi="宋体" w:cs="宋体" w:eastAsia="宋体" w:hint="default"/>
          <w:b/>
          <w:bCs/>
          <w:sz w:val="22"/>
          <w:szCs w:val="22"/>
        </w:rPr>
      </w:pPr>
    </w:p>
    <w:p>
      <w:pPr>
        <w:spacing w:before="36"/>
        <w:ind w:left="858" w:right="182" w:firstLine="0"/>
        <w:jc w:val="left"/>
        <w:rPr>
          <w:rFonts w:ascii="宋体" w:hAnsi="宋体" w:cs="宋体" w:eastAsia="宋体" w:hint="default"/>
          <w:sz w:val="21"/>
          <w:szCs w:val="21"/>
        </w:rPr>
      </w:pPr>
      <w:r>
        <w:rPr>
          <w:rFonts w:ascii="宋体" w:hAnsi="宋体" w:cs="宋体" w:eastAsia="宋体" w:hint="default"/>
          <w:sz w:val="21"/>
          <w:szCs w:val="21"/>
        </w:rPr>
        <w:t>（以下金额单位若未特别注明者均为人民币元）</w:t>
      </w:r>
    </w:p>
    <w:p>
      <w:pPr>
        <w:spacing w:line="240" w:lineRule="auto" w:before="12"/>
        <w:rPr>
          <w:rFonts w:ascii="宋体" w:hAnsi="宋体" w:cs="宋体" w:eastAsia="宋体" w:hint="default"/>
          <w:sz w:val="28"/>
          <w:szCs w:val="28"/>
        </w:rPr>
      </w:pPr>
    </w:p>
    <w:p>
      <w:pPr>
        <w:tabs>
          <w:tab w:pos="877" w:val="left" w:leader="none"/>
        </w:tabs>
        <w:spacing w:before="0"/>
        <w:ind w:left="140" w:right="1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报告期内未决诉讼或仲裁形成的或有负债及其财务影响</w:t>
      </w:r>
      <w:r>
        <w:rPr>
          <w:rFonts w:ascii="宋体" w:hAnsi="宋体" w:cs="宋体" w:eastAsia="宋体" w:hint="default"/>
          <w:sz w:val="21"/>
          <w:szCs w:val="21"/>
        </w:rPr>
      </w:r>
    </w:p>
    <w:p>
      <w:pPr>
        <w:spacing w:before="88"/>
        <w:ind w:left="874" w:right="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日，公司诉购宝商业集团，要求购宝商业集团承担全资子公司购宝</w:t>
      </w:r>
    </w:p>
    <w:p>
      <w:pPr>
        <w:spacing w:before="69"/>
        <w:ind w:left="874" w:right="87" w:firstLine="0"/>
        <w:jc w:val="left"/>
        <w:rPr>
          <w:rFonts w:ascii="宋体" w:hAnsi="宋体" w:cs="宋体" w:eastAsia="宋体" w:hint="default"/>
          <w:sz w:val="21"/>
          <w:szCs w:val="21"/>
        </w:rPr>
      </w:pPr>
      <w:r>
        <w:rPr>
          <w:rFonts w:ascii="宋体" w:hAnsi="宋体" w:cs="宋体" w:eastAsia="宋体" w:hint="default"/>
          <w:sz w:val="21"/>
          <w:szCs w:val="21"/>
        </w:rPr>
        <w:t>联商企业咨询（上海）有限公司的付款义务，支付</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278,000.00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元服务费，及逾期利</w:t>
      </w:r>
    </w:p>
    <w:p>
      <w:pPr>
        <w:spacing w:before="69"/>
        <w:ind w:left="874" w:right="87" w:firstLine="0"/>
        <w:jc w:val="left"/>
        <w:rPr>
          <w:rFonts w:ascii="宋体" w:hAnsi="宋体" w:cs="宋体" w:eastAsia="宋体" w:hint="default"/>
          <w:sz w:val="21"/>
          <w:szCs w:val="21"/>
        </w:rPr>
      </w:pPr>
      <w:r>
        <w:rPr>
          <w:rFonts w:ascii="宋体" w:hAnsi="宋体" w:cs="宋体" w:eastAsia="宋体" w:hint="default"/>
          <w:sz w:val="21"/>
          <w:szCs w:val="21"/>
        </w:rPr>
        <w:t>息</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68,183.00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日，公司诉购宝商业集团，要求购宝商业集团支</w:t>
      </w:r>
    </w:p>
    <w:p>
      <w:pPr>
        <w:spacing w:before="69"/>
        <w:ind w:left="874" w:right="87" w:firstLine="0"/>
        <w:jc w:val="left"/>
        <w:rPr>
          <w:rFonts w:ascii="宋体" w:hAnsi="宋体" w:cs="宋体" w:eastAsia="宋体" w:hint="default"/>
          <w:sz w:val="21"/>
          <w:szCs w:val="21"/>
        </w:rPr>
      </w:pPr>
      <w:r>
        <w:rPr>
          <w:rFonts w:ascii="宋体" w:hAnsi="宋体" w:cs="宋体" w:eastAsia="宋体" w:hint="default"/>
          <w:sz w:val="21"/>
          <w:szCs w:val="21"/>
        </w:rPr>
        <w:t>付</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1,580,000.00 </w:t>
      </w:r>
      <w:r>
        <w:rPr>
          <w:rFonts w:ascii="宋体" w:hAnsi="宋体" w:cs="宋体" w:eastAsia="宋体" w:hint="default"/>
          <w:spacing w:val="-4"/>
          <w:sz w:val="21"/>
          <w:szCs w:val="21"/>
        </w:rPr>
        <w:t>元服务费，上海市第二中级人民法院于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月受理了上述</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项</w:t>
      </w:r>
    </w:p>
    <w:p>
      <w:pPr>
        <w:spacing w:before="69"/>
        <w:ind w:left="874" w:right="0" w:firstLine="0"/>
        <w:jc w:val="left"/>
        <w:rPr>
          <w:rFonts w:ascii="宋体" w:hAnsi="宋体" w:cs="宋体" w:eastAsia="宋体" w:hint="default"/>
          <w:sz w:val="21"/>
          <w:szCs w:val="21"/>
        </w:rPr>
      </w:pPr>
      <w:r>
        <w:rPr>
          <w:rFonts w:ascii="宋体" w:hAnsi="宋体" w:cs="宋体" w:eastAsia="宋体" w:hint="default"/>
          <w:sz w:val="21"/>
          <w:szCs w:val="21"/>
        </w:rPr>
        <w:t>诉讼。截至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日，法院未判决，本公司对购宝联商企业咨询（上海）</w:t>
      </w:r>
    </w:p>
    <w:p>
      <w:pPr>
        <w:spacing w:before="69"/>
        <w:ind w:left="874" w:right="182" w:firstLine="0"/>
        <w:jc w:val="left"/>
        <w:rPr>
          <w:rFonts w:ascii="宋体" w:hAnsi="宋体" w:cs="宋体" w:eastAsia="宋体" w:hint="default"/>
          <w:sz w:val="21"/>
          <w:szCs w:val="21"/>
        </w:rPr>
      </w:pPr>
      <w:r>
        <w:rPr>
          <w:rFonts w:ascii="宋体" w:hAnsi="宋体" w:cs="宋体" w:eastAsia="宋体" w:hint="default"/>
          <w:sz w:val="21"/>
          <w:szCs w:val="21"/>
        </w:rPr>
        <w:t>有限公司应收余额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15,500.00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年末全额计提了坏账准备。</w:t>
      </w:r>
    </w:p>
    <w:p>
      <w:pPr>
        <w:spacing w:before="69"/>
        <w:ind w:left="874" w:right="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日，公司就上述</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项诉讼与被告购宝商业集团达成和解协议：购宝</w:t>
      </w:r>
    </w:p>
    <w:p>
      <w:pPr>
        <w:spacing w:before="69"/>
        <w:ind w:left="874" w:right="87" w:firstLine="0"/>
        <w:jc w:val="left"/>
        <w:rPr>
          <w:rFonts w:ascii="宋体" w:hAnsi="宋体" w:cs="宋体" w:eastAsia="宋体" w:hint="default"/>
          <w:sz w:val="21"/>
          <w:szCs w:val="21"/>
        </w:rPr>
      </w:pPr>
      <w:r>
        <w:rPr>
          <w:rFonts w:ascii="宋体" w:hAnsi="宋体" w:cs="宋体" w:eastAsia="宋体" w:hint="default"/>
          <w:sz w:val="21"/>
          <w:szCs w:val="21"/>
        </w:rPr>
        <w:t>商业集团承诺于</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日前向本公司支付人民币</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80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万元；公司在收到上述</w:t>
      </w:r>
    </w:p>
    <w:p>
      <w:pPr>
        <w:spacing w:line="297" w:lineRule="auto" w:before="69"/>
        <w:ind w:left="874" w:right="19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80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万元之日立即撤回上述两案的起诉。</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日，公司已经收到对方支付</w:t>
      </w:r>
      <w:r>
        <w:rPr>
          <w:rFonts w:ascii="宋体" w:hAnsi="宋体" w:cs="宋体" w:eastAsia="宋体" w:hint="default"/>
          <w:w w:val="100"/>
          <w:sz w:val="21"/>
          <w:szCs w:val="21"/>
        </w:rPr>
        <w:t> </w:t>
      </w:r>
      <w:r>
        <w:rPr>
          <w:rFonts w:ascii="宋体" w:hAnsi="宋体" w:cs="宋体" w:eastAsia="宋体" w:hint="default"/>
          <w:sz w:val="21"/>
          <w:szCs w:val="21"/>
        </w:rPr>
        <w:t>的和解款项并撤回了上述起诉。</w:t>
      </w:r>
    </w:p>
    <w:p>
      <w:pPr>
        <w:spacing w:line="240" w:lineRule="auto" w:before="0"/>
        <w:rPr>
          <w:rFonts w:ascii="宋体" w:hAnsi="宋体" w:cs="宋体" w:eastAsia="宋体" w:hint="default"/>
          <w:sz w:val="20"/>
          <w:szCs w:val="20"/>
        </w:rPr>
      </w:pPr>
    </w:p>
    <w:p>
      <w:pPr>
        <w:spacing w:before="133"/>
        <w:ind w:left="874" w:right="182" w:firstLine="0"/>
        <w:jc w:val="left"/>
        <w:rPr>
          <w:rFonts w:ascii="宋体" w:hAnsi="宋体" w:cs="宋体" w:eastAsia="宋体" w:hint="default"/>
          <w:sz w:val="21"/>
          <w:szCs w:val="21"/>
        </w:rPr>
      </w:pPr>
      <w:r>
        <w:rPr>
          <w:rFonts w:ascii="宋体" w:hAnsi="宋体" w:cs="宋体" w:eastAsia="宋体" w:hint="default"/>
          <w:sz w:val="21"/>
          <w:szCs w:val="21"/>
        </w:rPr>
        <w:t>截止本报告期末，本公司已无尚未了结的诉讼或仲裁事项。</w:t>
      </w:r>
    </w:p>
    <w:p>
      <w:pPr>
        <w:spacing w:line="240" w:lineRule="auto" w:before="12"/>
        <w:rPr>
          <w:rFonts w:ascii="宋体" w:hAnsi="宋体" w:cs="宋体" w:eastAsia="宋体" w:hint="default"/>
          <w:sz w:val="28"/>
          <w:szCs w:val="28"/>
        </w:rPr>
      </w:pPr>
    </w:p>
    <w:p>
      <w:pPr>
        <w:tabs>
          <w:tab w:pos="771" w:val="left" w:leader="none"/>
        </w:tabs>
        <w:spacing w:before="0"/>
        <w:ind w:left="140" w:right="1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报告期内无为其他单位提供债务担保形成的或有负债及其财务影响。</w:t>
      </w:r>
      <w:r>
        <w:rPr>
          <w:rFonts w:ascii="宋体" w:hAnsi="宋体" w:cs="宋体" w:eastAsia="宋体" w:hint="default"/>
          <w:sz w:val="21"/>
          <w:szCs w:val="21"/>
        </w:rPr>
      </w:r>
    </w:p>
    <w:p>
      <w:pPr>
        <w:spacing w:line="240" w:lineRule="auto" w:before="2"/>
        <w:rPr>
          <w:rFonts w:ascii="宋体" w:hAnsi="宋体" w:cs="宋体" w:eastAsia="宋体" w:hint="default"/>
          <w:b/>
          <w:bCs/>
          <w:sz w:val="29"/>
          <w:szCs w:val="29"/>
        </w:rPr>
      </w:pPr>
    </w:p>
    <w:p>
      <w:pPr>
        <w:tabs>
          <w:tab w:pos="807" w:val="left" w:leader="none"/>
        </w:tabs>
        <w:spacing w:before="0"/>
        <w:ind w:left="140" w:right="1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报告期内无其他或有负债。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Heading5"/>
        <w:tabs>
          <w:tab w:pos="980" w:val="left" w:leader="none"/>
        </w:tabs>
        <w:spacing w:line="240" w:lineRule="auto"/>
        <w:ind w:right="182"/>
        <w:jc w:val="left"/>
        <w:rPr>
          <w:b w:val="0"/>
          <w:bCs w:val="0"/>
        </w:rPr>
      </w:pPr>
      <w:r>
        <w:rPr/>
        <w:t>九、</w:t>
        <w:tab/>
        <w:t>承诺事项</w:t>
      </w:r>
      <w:r>
        <w:rPr>
          <w:b w:val="0"/>
          <w:bCs w:val="0"/>
        </w:rPr>
      </w:r>
    </w:p>
    <w:p>
      <w:pPr>
        <w:spacing w:before="131"/>
        <w:ind w:left="858" w:right="182" w:firstLine="0"/>
        <w:jc w:val="left"/>
        <w:rPr>
          <w:rFonts w:ascii="宋体" w:hAnsi="宋体" w:cs="宋体" w:eastAsia="宋体" w:hint="default"/>
          <w:sz w:val="21"/>
          <w:szCs w:val="21"/>
        </w:rPr>
      </w:pPr>
      <w:r>
        <w:rPr>
          <w:rFonts w:ascii="宋体" w:hAnsi="宋体" w:cs="宋体" w:eastAsia="宋体" w:hint="default"/>
          <w:sz w:val="21"/>
          <w:szCs w:val="21"/>
        </w:rPr>
        <w:t>本公司无需披露的承诺事项。</w:t>
      </w:r>
    </w:p>
    <w:p>
      <w:pPr>
        <w:spacing w:line="240" w:lineRule="auto" w:before="12"/>
        <w:rPr>
          <w:rFonts w:ascii="宋体" w:hAnsi="宋体" w:cs="宋体" w:eastAsia="宋体" w:hint="default"/>
          <w:sz w:val="29"/>
          <w:szCs w:val="29"/>
        </w:rPr>
      </w:pPr>
    </w:p>
    <w:p>
      <w:pPr>
        <w:pStyle w:val="Heading5"/>
        <w:tabs>
          <w:tab w:pos="980" w:val="left" w:leader="none"/>
        </w:tabs>
        <w:spacing w:line="240" w:lineRule="auto"/>
        <w:ind w:right="182"/>
        <w:jc w:val="left"/>
        <w:rPr>
          <w:b w:val="0"/>
          <w:bCs w:val="0"/>
        </w:rPr>
      </w:pPr>
      <w:r>
        <w:rPr/>
        <w:t>十、</w:t>
        <w:tab/>
        <w:t>资产负债表日后事项</w:t>
      </w:r>
      <w:r>
        <w:rPr>
          <w:b w:val="0"/>
          <w:bCs w:val="0"/>
        </w:rPr>
      </w:r>
    </w:p>
    <w:p>
      <w:pPr>
        <w:spacing w:line="240" w:lineRule="auto" w:before="8"/>
        <w:rPr>
          <w:rFonts w:ascii="宋体" w:hAnsi="宋体" w:cs="宋体" w:eastAsia="宋体" w:hint="default"/>
          <w:b/>
          <w:bCs/>
          <w:sz w:val="32"/>
          <w:szCs w:val="32"/>
        </w:rPr>
      </w:pPr>
    </w:p>
    <w:p>
      <w:pPr>
        <w:tabs>
          <w:tab w:pos="877" w:val="left" w:leader="none"/>
        </w:tabs>
        <w:spacing w:before="0"/>
        <w:ind w:left="140" w:right="1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重要的资产负债表日后事项说明</w:t>
      </w:r>
      <w:r>
        <w:rPr>
          <w:rFonts w:ascii="宋体" w:hAnsi="宋体" w:cs="宋体" w:eastAsia="宋体" w:hint="default"/>
          <w:sz w:val="21"/>
          <w:szCs w:val="21"/>
        </w:rPr>
      </w:r>
    </w:p>
    <w:p>
      <w:pPr>
        <w:spacing w:line="348" w:lineRule="auto" w:before="127"/>
        <w:ind w:left="1393" w:right="191" w:hanging="536"/>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9"/>
          <w:sz w:val="21"/>
          <w:szCs w:val="21"/>
        </w:rPr>
        <w:t> </w:t>
      </w:r>
      <w:r>
        <w:rPr>
          <w:rFonts w:ascii="宋体" w:hAnsi="宋体" w:cs="宋体" w:eastAsia="宋体" w:hint="default"/>
          <w:sz w:val="21"/>
          <w:szCs w:val="21"/>
        </w:rPr>
        <w:t>2012</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2</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2</w:t>
      </w:r>
      <w:r>
        <w:rPr>
          <w:rFonts w:ascii="宋体" w:hAnsi="宋体" w:cs="宋体" w:eastAsia="宋体" w:hint="default"/>
          <w:spacing w:val="-38"/>
          <w:sz w:val="21"/>
          <w:szCs w:val="21"/>
        </w:rPr>
        <w:t> </w:t>
      </w:r>
      <w:r>
        <w:rPr>
          <w:rFonts w:ascii="宋体" w:hAnsi="宋体" w:cs="宋体" w:eastAsia="宋体" w:hint="default"/>
          <w:sz w:val="21"/>
          <w:szCs w:val="21"/>
        </w:rPr>
        <w:t>日，公司按照相关法律规定及法定程序参与了在上海市青浦区</w:t>
      </w:r>
      <w:r>
        <w:rPr>
          <w:rFonts w:ascii="宋体" w:hAnsi="宋体" w:cs="宋体" w:eastAsia="宋体" w:hint="default"/>
          <w:w w:val="100"/>
          <w:sz w:val="21"/>
          <w:szCs w:val="21"/>
        </w:rPr>
        <w:t> </w:t>
      </w:r>
      <w:r>
        <w:rPr>
          <w:rFonts w:ascii="宋体" w:hAnsi="宋体" w:cs="宋体" w:eastAsia="宋体" w:hint="default"/>
          <w:spacing w:val="-7"/>
          <w:w w:val="100"/>
          <w:sz w:val="21"/>
          <w:szCs w:val="21"/>
        </w:rPr>
        <w:t>土地储备中心举办的国有土地使用权竞买活动，以叁仟肆佰捌拾捌万元（</w:t>
      </w:r>
      <w:r>
        <w:rPr>
          <w:rFonts w:ascii="宋体" w:hAnsi="宋体" w:cs="宋体" w:eastAsia="宋体" w:hint="default"/>
          <w:spacing w:val="-7"/>
          <w:w w:val="100"/>
          <w:sz w:val="21"/>
          <w:szCs w:val="21"/>
        </w:rPr>
        <w:t>3,488</w:t>
      </w:r>
      <w:r>
        <w:rPr>
          <w:rFonts w:ascii="宋体" w:hAnsi="宋体" w:cs="宋体" w:eastAsia="宋体" w:hint="default"/>
          <w:w w:val="100"/>
          <w:sz w:val="21"/>
          <w:szCs w:val="21"/>
        </w:rPr>
        <w:t> </w:t>
      </w:r>
      <w:r>
        <w:rPr>
          <w:rFonts w:ascii="宋体" w:hAnsi="宋体" w:cs="宋体" w:eastAsia="宋体" w:hint="default"/>
          <w:sz w:val="21"/>
          <w:szCs w:val="21"/>
        </w:rPr>
        <w:t>万元）成功竞得编号为沪青园工</w:t>
      </w:r>
      <w:r>
        <w:rPr>
          <w:rFonts w:ascii="宋体" w:hAnsi="宋体" w:cs="宋体" w:eastAsia="宋体" w:hint="default"/>
          <w:spacing w:val="-46"/>
          <w:sz w:val="21"/>
          <w:szCs w:val="21"/>
        </w:rPr>
        <w:t> </w:t>
      </w:r>
      <w:r>
        <w:rPr>
          <w:rFonts w:ascii="宋体" w:hAnsi="宋体" w:cs="宋体" w:eastAsia="宋体" w:hint="default"/>
          <w:sz w:val="21"/>
          <w:szCs w:val="21"/>
        </w:rPr>
        <w:t>11-026</w:t>
      </w:r>
      <w:r>
        <w:rPr>
          <w:rFonts w:ascii="宋体" w:hAnsi="宋体" w:cs="宋体" w:eastAsia="宋体" w:hint="default"/>
          <w:spacing w:val="-46"/>
          <w:sz w:val="21"/>
          <w:szCs w:val="21"/>
        </w:rPr>
        <w:t> </w:t>
      </w:r>
      <w:r>
        <w:rPr>
          <w:rFonts w:ascii="宋体" w:hAnsi="宋体" w:cs="宋体" w:eastAsia="宋体" w:hint="default"/>
          <w:sz w:val="21"/>
          <w:szCs w:val="21"/>
        </w:rPr>
        <w:t>号地块的国有建设用地使用权。土地</w:t>
      </w:r>
    </w:p>
    <w:p>
      <w:pPr>
        <w:spacing w:line="348" w:lineRule="auto" w:before="31"/>
        <w:ind w:left="1393" w:right="191" w:firstLine="0"/>
        <w:jc w:val="both"/>
        <w:rPr>
          <w:rFonts w:ascii="宋体" w:hAnsi="宋体" w:cs="宋体" w:eastAsia="宋体" w:hint="default"/>
          <w:sz w:val="21"/>
          <w:szCs w:val="21"/>
        </w:rPr>
      </w:pPr>
      <w:r>
        <w:rPr>
          <w:rFonts w:ascii="宋体" w:hAnsi="宋体" w:cs="宋体" w:eastAsia="宋体" w:hint="default"/>
          <w:sz w:val="21"/>
          <w:szCs w:val="21"/>
        </w:rPr>
        <w:t>总面积</w:t>
      </w:r>
      <w:r>
        <w:rPr>
          <w:rFonts w:ascii="宋体" w:hAnsi="宋体" w:cs="宋体" w:eastAsia="宋体" w:hint="default"/>
          <w:spacing w:val="-48"/>
          <w:sz w:val="21"/>
          <w:szCs w:val="21"/>
        </w:rPr>
        <w:t> </w:t>
      </w:r>
      <w:r>
        <w:rPr>
          <w:rFonts w:ascii="宋体" w:hAnsi="宋体" w:cs="宋体" w:eastAsia="宋体" w:hint="default"/>
          <w:sz w:val="21"/>
          <w:szCs w:val="21"/>
        </w:rPr>
        <w:t>59,614.70</w:t>
      </w:r>
      <w:r>
        <w:rPr>
          <w:rFonts w:ascii="宋体" w:hAnsi="宋体" w:cs="宋体" w:eastAsia="宋体" w:hint="default"/>
          <w:spacing w:val="-47"/>
          <w:sz w:val="21"/>
          <w:szCs w:val="21"/>
        </w:rPr>
        <w:t> </w:t>
      </w:r>
      <w:r>
        <w:rPr>
          <w:rFonts w:ascii="宋体" w:hAnsi="宋体" w:cs="宋体" w:eastAsia="宋体" w:hint="default"/>
          <w:spacing w:val="-7"/>
          <w:sz w:val="21"/>
          <w:szCs w:val="21"/>
        </w:rPr>
        <w:t>平方米，出让面积</w:t>
      </w:r>
      <w:r>
        <w:rPr>
          <w:rFonts w:ascii="宋体" w:hAnsi="宋体" w:cs="宋体" w:eastAsia="宋体" w:hint="default"/>
          <w:spacing w:val="-48"/>
          <w:sz w:val="21"/>
          <w:szCs w:val="21"/>
        </w:rPr>
        <w:t> </w:t>
      </w:r>
      <w:r>
        <w:rPr>
          <w:rFonts w:ascii="宋体" w:hAnsi="宋体" w:cs="宋体" w:eastAsia="宋体" w:hint="default"/>
          <w:sz w:val="21"/>
          <w:szCs w:val="21"/>
        </w:rPr>
        <w:t>58,125.80</w:t>
      </w:r>
      <w:r>
        <w:rPr>
          <w:rFonts w:ascii="宋体" w:hAnsi="宋体" w:cs="宋体" w:eastAsia="宋体" w:hint="default"/>
          <w:spacing w:val="-50"/>
          <w:sz w:val="21"/>
          <w:szCs w:val="21"/>
        </w:rPr>
        <w:t> </w:t>
      </w:r>
      <w:r>
        <w:rPr>
          <w:rFonts w:ascii="宋体" w:hAnsi="宋体" w:cs="宋体" w:eastAsia="宋体" w:hint="default"/>
          <w:spacing w:val="-5"/>
          <w:sz w:val="21"/>
          <w:szCs w:val="21"/>
        </w:rPr>
        <w:t>平方米。本公司使用募集资金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w w:val="100"/>
          <w:sz w:val="21"/>
          <w:szCs w:val="21"/>
        </w:rPr>
        <w:t>支付本次土地使用权出让的费用。本次竞拍所得土地使用权计划将用于公司自</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用办公场地建设及募投项目建设。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348" w:lineRule="auto" w:before="0"/>
        <w:ind w:left="1393" w:right="193" w:hanging="536"/>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29"/>
          <w:sz w:val="21"/>
          <w:szCs w:val="21"/>
        </w:rPr>
        <w:t> </w:t>
      </w: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27</w:t>
      </w:r>
      <w:r>
        <w:rPr>
          <w:rFonts w:ascii="宋体" w:hAnsi="宋体" w:cs="宋体" w:eastAsia="宋体" w:hint="default"/>
          <w:spacing w:val="-51"/>
          <w:sz w:val="21"/>
          <w:szCs w:val="21"/>
        </w:rPr>
        <w:t> </w:t>
      </w:r>
      <w:r>
        <w:rPr>
          <w:rFonts w:ascii="宋体" w:hAnsi="宋体" w:cs="宋体" w:eastAsia="宋体" w:hint="default"/>
          <w:spacing w:val="-3"/>
          <w:sz w:val="21"/>
          <w:szCs w:val="21"/>
        </w:rPr>
        <w:t>日，公司与交易对手方自然人黄火德、陈平以及公司法定代表</w:t>
      </w:r>
      <w:r>
        <w:rPr>
          <w:rFonts w:ascii="宋体" w:hAnsi="宋体" w:cs="宋体" w:eastAsia="宋体" w:hint="default"/>
          <w:w w:val="100"/>
          <w:sz w:val="21"/>
          <w:szCs w:val="21"/>
        </w:rPr>
        <w:t> </w:t>
      </w:r>
      <w:r>
        <w:rPr>
          <w:rFonts w:ascii="宋体" w:hAnsi="宋体" w:cs="宋体" w:eastAsia="宋体" w:hint="default"/>
          <w:spacing w:val="-5"/>
          <w:sz w:val="21"/>
          <w:szCs w:val="21"/>
        </w:rPr>
        <w:t>人范建震四方签订了《股权收购协议》。公司拟使用超募资金收购自然人黄火</w:t>
      </w:r>
      <w:r>
        <w:rPr>
          <w:rFonts w:ascii="宋体" w:hAnsi="宋体" w:cs="宋体" w:eastAsia="宋体" w:hint="default"/>
          <w:w w:val="100"/>
          <w:sz w:val="21"/>
          <w:szCs w:val="21"/>
        </w:rPr>
        <w:t> </w:t>
      </w:r>
      <w:r>
        <w:rPr>
          <w:rFonts w:ascii="宋体" w:hAnsi="宋体" w:cs="宋体" w:eastAsia="宋体" w:hint="default"/>
          <w:sz w:val="21"/>
          <w:szCs w:val="21"/>
        </w:rPr>
        <w:t>德和陈平持有的上海夏尔软件有限公司</w:t>
      </w:r>
      <w:r>
        <w:rPr>
          <w:rFonts w:ascii="宋体" w:hAnsi="宋体" w:cs="宋体" w:eastAsia="宋体" w:hint="default"/>
          <w:spacing w:val="16"/>
          <w:sz w:val="21"/>
          <w:szCs w:val="21"/>
        </w:rPr>
        <w:t> </w:t>
      </w:r>
      <w:r>
        <w:rPr>
          <w:rFonts w:ascii="宋体" w:hAnsi="宋体" w:cs="宋体" w:eastAsia="宋体" w:hint="default"/>
          <w:sz w:val="21"/>
          <w:szCs w:val="21"/>
        </w:rPr>
        <w:t>100%</w:t>
      </w:r>
      <w:r>
        <w:rPr>
          <w:rFonts w:ascii="宋体" w:hAnsi="宋体" w:cs="宋体" w:eastAsia="宋体" w:hint="default"/>
          <w:sz w:val="21"/>
          <w:szCs w:val="21"/>
        </w:rPr>
        <w:t>股权，收购完成后，夏尔软件将</w:t>
      </w:r>
    </w:p>
    <w:p>
      <w:pPr>
        <w:spacing w:after="0" w:line="348" w:lineRule="auto"/>
        <w:jc w:val="both"/>
        <w:rPr>
          <w:rFonts w:ascii="宋体" w:hAnsi="宋体" w:cs="宋体" w:eastAsia="宋体" w:hint="default"/>
          <w:sz w:val="21"/>
          <w:szCs w:val="21"/>
        </w:rPr>
        <w:sectPr>
          <w:pgSz w:w="11910" w:h="16840"/>
          <w:pgMar w:header="0" w:footer="980" w:top="1140" w:bottom="1160" w:left="1660" w:right="1600"/>
        </w:sectPr>
      </w:pPr>
    </w:p>
    <w:p>
      <w:pPr>
        <w:spacing w:line="240" w:lineRule="auto" w:before="11"/>
        <w:rPr>
          <w:rFonts w:ascii="宋体" w:hAnsi="宋体" w:cs="宋体" w:eastAsia="宋体" w:hint="default"/>
          <w:sz w:val="25"/>
          <w:szCs w:val="25"/>
        </w:rPr>
      </w:pPr>
    </w:p>
    <w:p>
      <w:pPr>
        <w:spacing w:before="36"/>
        <w:ind w:left="1393" w:right="138" w:firstLine="0"/>
        <w:jc w:val="left"/>
        <w:rPr>
          <w:rFonts w:ascii="宋体" w:hAnsi="宋体" w:cs="宋体" w:eastAsia="宋体" w:hint="default"/>
          <w:sz w:val="21"/>
          <w:szCs w:val="21"/>
        </w:rPr>
      </w:pPr>
      <w:r>
        <w:rPr>
          <w:rFonts w:ascii="宋体" w:hAnsi="宋体" w:cs="宋体" w:eastAsia="宋体" w:hint="default"/>
          <w:sz w:val="21"/>
          <w:szCs w:val="21"/>
        </w:rPr>
        <w:t>成为汉得信息的全资子公司。</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line="350" w:lineRule="auto" w:before="0"/>
        <w:ind w:left="1393" w:right="211" w:hanging="536"/>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pacing w:val="12"/>
          <w:sz w:val="21"/>
          <w:szCs w:val="21"/>
        </w:rPr>
        <w:t> </w:t>
      </w:r>
      <w:r>
        <w:rPr>
          <w:rFonts w:ascii="宋体" w:hAnsi="宋体" w:cs="宋体" w:eastAsia="宋体" w:hint="default"/>
          <w:sz w:val="21"/>
          <w:szCs w:val="21"/>
        </w:rPr>
        <w:t>2012</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25</w:t>
      </w:r>
      <w:r>
        <w:rPr>
          <w:rFonts w:ascii="宋体" w:hAnsi="宋体" w:cs="宋体" w:eastAsia="宋体" w:hint="default"/>
          <w:spacing w:val="-44"/>
          <w:sz w:val="21"/>
          <w:szCs w:val="21"/>
        </w:rPr>
        <w:t> </w:t>
      </w:r>
      <w:r>
        <w:rPr>
          <w:rFonts w:ascii="宋体" w:hAnsi="宋体" w:cs="宋体" w:eastAsia="宋体" w:hint="default"/>
          <w:sz w:val="21"/>
          <w:szCs w:val="21"/>
        </w:rPr>
        <w:t>日本公司召开的</w:t>
      </w:r>
      <w:r>
        <w:rPr>
          <w:rFonts w:ascii="宋体" w:hAnsi="宋体" w:cs="宋体" w:eastAsia="宋体" w:hint="default"/>
          <w:spacing w:val="-45"/>
          <w:sz w:val="21"/>
          <w:szCs w:val="21"/>
        </w:rPr>
        <w:t> </w:t>
      </w:r>
      <w:r>
        <w:rPr>
          <w:rFonts w:ascii="宋体" w:hAnsi="宋体" w:cs="宋体" w:eastAsia="宋体" w:hint="default"/>
          <w:sz w:val="21"/>
          <w:szCs w:val="21"/>
        </w:rPr>
        <w:t>2012</w:t>
      </w:r>
      <w:r>
        <w:rPr>
          <w:rFonts w:ascii="宋体" w:hAnsi="宋体" w:cs="宋体" w:eastAsia="宋体" w:hint="default"/>
          <w:spacing w:val="-44"/>
          <w:sz w:val="21"/>
          <w:szCs w:val="21"/>
        </w:rPr>
        <w:t> </w:t>
      </w:r>
      <w:r>
        <w:rPr>
          <w:rFonts w:ascii="宋体" w:hAnsi="宋体" w:cs="宋体" w:eastAsia="宋体" w:hint="default"/>
          <w:sz w:val="21"/>
          <w:szCs w:val="21"/>
        </w:rPr>
        <w:t>年第一次临时股东大会审议通过《关于</w:t>
      </w:r>
      <w:r>
        <w:rPr>
          <w:rFonts w:ascii="宋体" w:hAnsi="宋体" w:cs="宋体" w:eastAsia="宋体" w:hint="default"/>
          <w:w w:val="100"/>
          <w:sz w:val="21"/>
          <w:szCs w:val="21"/>
        </w:rPr>
        <w:t> </w:t>
      </w:r>
      <w:r>
        <w:rPr>
          <w:rFonts w:ascii="宋体" w:hAnsi="宋体" w:cs="宋体" w:eastAsia="宋体" w:hint="default"/>
          <w:sz w:val="21"/>
          <w:szCs w:val="21"/>
        </w:rPr>
        <w:t>公司变更部分募投项目实施方式并使用部分超募资金的议案》，</w:t>
      </w:r>
      <w:r>
        <w:rPr>
          <w:rFonts w:ascii="宋体" w:hAnsi="宋体" w:cs="宋体" w:eastAsia="宋体" w:hint="default"/>
          <w:spacing w:val="14"/>
          <w:sz w:val="21"/>
          <w:szCs w:val="21"/>
        </w:rPr>
        <w:t> </w:t>
      </w:r>
      <w:r>
        <w:rPr>
          <w:rFonts w:ascii="宋体" w:hAnsi="宋体" w:cs="宋体" w:eastAsia="宋体" w:hint="default"/>
          <w:sz w:val="21"/>
          <w:szCs w:val="21"/>
        </w:rPr>
        <w:t>本公司原计</w:t>
      </w:r>
      <w:r>
        <w:rPr>
          <w:rFonts w:ascii="宋体" w:hAnsi="宋体" w:cs="宋体" w:eastAsia="宋体" w:hint="default"/>
          <w:w w:val="100"/>
          <w:sz w:val="21"/>
          <w:szCs w:val="21"/>
        </w:rPr>
        <w:t> </w:t>
      </w:r>
      <w:r>
        <w:rPr>
          <w:rFonts w:ascii="宋体" w:hAnsi="宋体" w:cs="宋体" w:eastAsia="宋体" w:hint="default"/>
          <w:spacing w:val="2"/>
          <w:sz w:val="21"/>
          <w:szCs w:val="21"/>
        </w:rPr>
        <w:t>划通过购置办公场地并装修的方式满足项目建设需要的办公场地投入的募投</w:t>
      </w:r>
      <w:r>
        <w:rPr>
          <w:rFonts w:ascii="宋体" w:hAnsi="宋体" w:cs="宋体" w:eastAsia="宋体" w:hint="default"/>
          <w:w w:val="100"/>
          <w:sz w:val="21"/>
          <w:szCs w:val="21"/>
        </w:rPr>
        <w:t> </w:t>
      </w:r>
      <w:r>
        <w:rPr>
          <w:rFonts w:ascii="宋体" w:hAnsi="宋体" w:cs="宋体" w:eastAsia="宋体" w:hint="default"/>
          <w:sz w:val="21"/>
          <w:szCs w:val="21"/>
        </w:rPr>
        <w:t>项目“ERP 实施服务平台建设项目”、“海外 </w:t>
      </w:r>
      <w:r>
        <w:rPr>
          <w:rFonts w:ascii="宋体" w:hAnsi="宋体" w:cs="宋体" w:eastAsia="宋体" w:hint="default"/>
          <w:sz w:val="21"/>
          <w:szCs w:val="21"/>
        </w:rPr>
        <w:t>ERP</w:t>
      </w:r>
      <w:r>
        <w:rPr>
          <w:rFonts w:ascii="宋体" w:hAnsi="宋体" w:cs="宋体" w:eastAsia="宋体" w:hint="default"/>
          <w:spacing w:val="15"/>
          <w:sz w:val="21"/>
          <w:szCs w:val="21"/>
        </w:rPr>
        <w:t> </w:t>
      </w:r>
      <w:r>
        <w:rPr>
          <w:rFonts w:ascii="宋体" w:hAnsi="宋体" w:cs="宋体" w:eastAsia="宋体" w:hint="default"/>
          <w:sz w:val="21"/>
          <w:szCs w:val="21"/>
        </w:rPr>
        <w:t>软件外包开发中心建设项</w:t>
      </w:r>
      <w:r>
        <w:rPr>
          <w:rFonts w:ascii="宋体" w:hAnsi="宋体" w:cs="宋体" w:eastAsia="宋体" w:hint="default"/>
          <w:w w:val="100"/>
          <w:sz w:val="21"/>
          <w:szCs w:val="21"/>
        </w:rPr>
        <w:t> </w:t>
      </w:r>
      <w:r>
        <w:rPr>
          <w:rFonts w:ascii="宋体" w:hAnsi="宋体" w:cs="宋体" w:eastAsia="宋体" w:hint="default"/>
          <w:sz w:val="21"/>
          <w:szCs w:val="21"/>
        </w:rPr>
        <w:t>目”、“ERP</w:t>
      </w:r>
      <w:r>
        <w:rPr>
          <w:rFonts w:ascii="宋体" w:hAnsi="宋体" w:cs="宋体" w:eastAsia="宋体" w:hint="default"/>
          <w:spacing w:val="-33"/>
          <w:sz w:val="21"/>
          <w:szCs w:val="21"/>
        </w:rPr>
        <w:t> </w:t>
      </w:r>
      <w:r>
        <w:rPr>
          <w:rFonts w:ascii="宋体" w:hAnsi="宋体" w:cs="宋体" w:eastAsia="宋体" w:hint="default"/>
          <w:sz w:val="21"/>
          <w:szCs w:val="21"/>
        </w:rPr>
        <w:t>运维中心建设项目”。鉴于公司已成功获得沪青园工</w:t>
      </w:r>
      <w:r>
        <w:rPr>
          <w:rFonts w:ascii="宋体" w:hAnsi="宋体" w:cs="宋体" w:eastAsia="宋体" w:hint="default"/>
          <w:spacing w:val="-31"/>
          <w:sz w:val="21"/>
          <w:szCs w:val="21"/>
        </w:rPr>
        <w:t> </w:t>
      </w:r>
      <w:r>
        <w:rPr>
          <w:rFonts w:ascii="宋体" w:hAnsi="宋体" w:cs="宋体" w:eastAsia="宋体" w:hint="default"/>
          <w:sz w:val="21"/>
          <w:szCs w:val="21"/>
        </w:rPr>
        <w:t>11-026</w:t>
      </w:r>
      <w:r>
        <w:rPr>
          <w:rFonts w:ascii="宋体" w:hAnsi="宋体" w:cs="宋体" w:eastAsia="宋体" w:hint="default"/>
          <w:spacing w:val="-33"/>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pacing w:val="-4"/>
          <w:w w:val="100"/>
          <w:sz w:val="21"/>
          <w:szCs w:val="21"/>
        </w:rPr>
        <w:t>地块国有建设用地土地使用权，现基于提高募集资金使用效率及募投项目建设</w:t>
      </w:r>
      <w:r>
        <w:rPr>
          <w:rFonts w:ascii="宋体" w:hAnsi="宋体" w:cs="宋体" w:eastAsia="宋体" w:hint="default"/>
          <w:w w:val="100"/>
          <w:sz w:val="21"/>
          <w:szCs w:val="21"/>
        </w:rPr>
        <w:t> </w:t>
      </w:r>
      <w:r>
        <w:rPr>
          <w:rFonts w:ascii="宋体" w:hAnsi="宋体" w:cs="宋体" w:eastAsia="宋体" w:hint="default"/>
          <w:sz w:val="21"/>
          <w:szCs w:val="21"/>
        </w:rPr>
        <w:t>质量的考虑，拟将上述募投项目办公场地的实施方式变更为自主建设。</w:t>
      </w:r>
      <w:r>
        <w:rPr>
          <w:rFonts w:ascii="宋体" w:hAnsi="宋体" w:cs="宋体" w:eastAsia="宋体" w:hint="default"/>
          <w:spacing w:val="15"/>
          <w:sz w:val="21"/>
          <w:szCs w:val="21"/>
        </w:rPr>
        <w:t> </w:t>
      </w:r>
      <w:r>
        <w:rPr>
          <w:rFonts w:ascii="宋体" w:hAnsi="宋体" w:cs="宋体" w:eastAsia="宋体" w:hint="default"/>
          <w:sz w:val="21"/>
          <w:szCs w:val="21"/>
        </w:rPr>
        <w:t>以上</w:t>
      </w:r>
      <w:r>
        <w:rPr>
          <w:rFonts w:ascii="宋体" w:hAnsi="宋体" w:cs="宋体" w:eastAsia="宋体" w:hint="default"/>
          <w:w w:val="100"/>
          <w:sz w:val="21"/>
          <w:szCs w:val="21"/>
        </w:rPr>
        <w:t> </w:t>
      </w:r>
      <w:r>
        <w:rPr>
          <w:rFonts w:ascii="宋体" w:hAnsi="宋体" w:cs="宋体" w:eastAsia="宋体" w:hint="default"/>
          <w:sz w:val="21"/>
          <w:szCs w:val="21"/>
        </w:rPr>
        <w:t>变更之后的建设项目总投入预计约</w:t>
      </w:r>
      <w:r>
        <w:rPr>
          <w:rFonts w:ascii="宋体" w:hAnsi="宋体" w:cs="宋体" w:eastAsia="宋体" w:hint="default"/>
          <w:spacing w:val="-45"/>
          <w:sz w:val="21"/>
          <w:szCs w:val="21"/>
        </w:rPr>
        <w:t> </w:t>
      </w:r>
      <w:r>
        <w:rPr>
          <w:rFonts w:ascii="宋体" w:hAnsi="宋体" w:cs="宋体" w:eastAsia="宋体" w:hint="default"/>
          <w:sz w:val="21"/>
          <w:szCs w:val="21"/>
        </w:rPr>
        <w:t>22,243</w:t>
      </w:r>
      <w:r>
        <w:rPr>
          <w:rFonts w:ascii="宋体" w:hAnsi="宋体" w:cs="宋体" w:eastAsia="宋体" w:hint="default"/>
          <w:spacing w:val="-45"/>
          <w:sz w:val="21"/>
          <w:szCs w:val="21"/>
        </w:rPr>
        <w:t> </w:t>
      </w:r>
      <w:r>
        <w:rPr>
          <w:rFonts w:ascii="宋体" w:hAnsi="宋体" w:cs="宋体" w:eastAsia="宋体" w:hint="default"/>
          <w:sz w:val="21"/>
          <w:szCs w:val="21"/>
        </w:rPr>
        <w:t>万元，资金来源分为三部分：一部</w:t>
      </w:r>
    </w:p>
    <w:p>
      <w:pPr>
        <w:spacing w:before="30"/>
        <w:ind w:left="1393" w:right="0" w:firstLine="0"/>
        <w:jc w:val="left"/>
        <w:rPr>
          <w:rFonts w:ascii="宋体" w:hAnsi="宋体" w:cs="宋体" w:eastAsia="宋体" w:hint="default"/>
          <w:sz w:val="21"/>
          <w:szCs w:val="21"/>
        </w:rPr>
      </w:pPr>
      <w:r>
        <w:rPr>
          <w:rFonts w:ascii="宋体" w:hAnsi="宋体" w:cs="宋体" w:eastAsia="宋体" w:hint="default"/>
          <w:sz w:val="21"/>
          <w:szCs w:val="21"/>
        </w:rPr>
        <w:t>分为募投项目中计划用于办公场地购置及装修的募集资金约</w:t>
      </w:r>
      <w:r>
        <w:rPr>
          <w:rFonts w:ascii="宋体" w:hAnsi="宋体" w:cs="宋体" w:eastAsia="宋体" w:hint="default"/>
          <w:spacing w:val="-54"/>
          <w:sz w:val="21"/>
          <w:szCs w:val="21"/>
        </w:rPr>
        <w:t> </w:t>
      </w:r>
      <w:r>
        <w:rPr>
          <w:rFonts w:ascii="宋体" w:hAnsi="宋体" w:cs="宋体" w:eastAsia="宋体" w:hint="default"/>
          <w:sz w:val="21"/>
          <w:szCs w:val="21"/>
        </w:rPr>
        <w:t>11,801.85</w:t>
      </w:r>
      <w:r>
        <w:rPr>
          <w:rFonts w:ascii="宋体" w:hAnsi="宋体" w:cs="宋体" w:eastAsia="宋体" w:hint="default"/>
          <w:spacing w:val="-56"/>
          <w:sz w:val="21"/>
          <w:szCs w:val="21"/>
        </w:rPr>
        <w:t> </w:t>
      </w:r>
      <w:r>
        <w:rPr>
          <w:rFonts w:ascii="宋体" w:hAnsi="宋体" w:cs="宋体" w:eastAsia="宋体" w:hint="default"/>
          <w:sz w:val="21"/>
          <w:szCs w:val="21"/>
        </w:rPr>
        <w:t>万元；</w:t>
      </w:r>
    </w:p>
    <w:p>
      <w:pPr>
        <w:spacing w:line="350" w:lineRule="auto" w:before="123"/>
        <w:ind w:left="1393" w:right="212" w:firstLine="0"/>
        <w:jc w:val="left"/>
        <w:rPr>
          <w:rFonts w:ascii="宋体" w:hAnsi="宋体" w:cs="宋体" w:eastAsia="宋体" w:hint="default"/>
          <w:sz w:val="21"/>
          <w:szCs w:val="21"/>
        </w:rPr>
      </w:pPr>
      <w:r>
        <w:rPr>
          <w:rFonts w:ascii="宋体" w:hAnsi="宋体" w:cs="宋体" w:eastAsia="宋体" w:hint="default"/>
          <w:sz w:val="21"/>
          <w:szCs w:val="21"/>
        </w:rPr>
        <w:t>一部分为超募资金约</w:t>
      </w:r>
      <w:r>
        <w:rPr>
          <w:rFonts w:ascii="宋体" w:hAnsi="宋体" w:cs="宋体" w:eastAsia="宋体" w:hint="default"/>
          <w:spacing w:val="-50"/>
          <w:sz w:val="21"/>
          <w:szCs w:val="21"/>
        </w:rPr>
        <w:t> </w:t>
      </w:r>
      <w:r>
        <w:rPr>
          <w:rFonts w:ascii="宋体" w:hAnsi="宋体" w:cs="宋体" w:eastAsia="宋体" w:hint="default"/>
          <w:sz w:val="21"/>
          <w:szCs w:val="21"/>
        </w:rPr>
        <w:t>5,224.15</w:t>
      </w:r>
      <w:r>
        <w:rPr>
          <w:rFonts w:ascii="宋体" w:hAnsi="宋体" w:cs="宋体" w:eastAsia="宋体" w:hint="default"/>
          <w:spacing w:val="-52"/>
          <w:sz w:val="21"/>
          <w:szCs w:val="21"/>
        </w:rPr>
        <w:t> </w:t>
      </w:r>
      <w:r>
        <w:rPr>
          <w:rFonts w:ascii="宋体" w:hAnsi="宋体" w:cs="宋体" w:eastAsia="宋体" w:hint="default"/>
          <w:sz w:val="21"/>
          <w:szCs w:val="21"/>
        </w:rPr>
        <w:t>万元；剩余部分员工宿舍建设资金约</w:t>
      </w:r>
      <w:r>
        <w:rPr>
          <w:rFonts w:ascii="宋体" w:hAnsi="宋体" w:cs="宋体" w:eastAsia="宋体" w:hint="default"/>
          <w:spacing w:val="-50"/>
          <w:sz w:val="21"/>
          <w:szCs w:val="21"/>
        </w:rPr>
        <w:t> </w:t>
      </w:r>
      <w:r>
        <w:rPr>
          <w:rFonts w:ascii="宋体" w:hAnsi="宋体" w:cs="宋体" w:eastAsia="宋体" w:hint="default"/>
          <w:sz w:val="21"/>
          <w:szCs w:val="21"/>
        </w:rPr>
        <w:t>5,217</w:t>
      </w:r>
      <w:r>
        <w:rPr>
          <w:rFonts w:ascii="宋体" w:hAnsi="宋体" w:cs="宋体" w:eastAsia="宋体" w:hint="default"/>
          <w:spacing w:val="-52"/>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元为自有资金。</w:t>
      </w:r>
    </w:p>
    <w:p>
      <w:pPr>
        <w:spacing w:line="240" w:lineRule="auto" w:before="0"/>
        <w:rPr>
          <w:rFonts w:ascii="宋体" w:hAnsi="宋体" w:cs="宋体" w:eastAsia="宋体" w:hint="default"/>
          <w:sz w:val="20"/>
          <w:szCs w:val="20"/>
        </w:rPr>
      </w:pPr>
    </w:p>
    <w:p>
      <w:pPr>
        <w:tabs>
          <w:tab w:pos="1393" w:val="left" w:leader="none"/>
        </w:tabs>
        <w:spacing w:before="166"/>
        <w:ind w:left="858" w:right="138"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tab/>
      </w:r>
      <w:r>
        <w:rPr>
          <w:rFonts w:ascii="宋体" w:hAnsi="宋体" w:cs="宋体" w:eastAsia="宋体" w:hint="default"/>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9</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30</w:t>
      </w:r>
      <w:r>
        <w:rPr>
          <w:rFonts w:ascii="宋体" w:hAnsi="宋体" w:cs="宋体" w:eastAsia="宋体" w:hint="default"/>
          <w:spacing w:val="-43"/>
          <w:sz w:val="21"/>
          <w:szCs w:val="21"/>
        </w:rPr>
        <w:t> </w:t>
      </w:r>
      <w:r>
        <w:rPr>
          <w:rFonts w:ascii="宋体" w:hAnsi="宋体" w:cs="宋体" w:eastAsia="宋体" w:hint="default"/>
          <w:sz w:val="21"/>
          <w:szCs w:val="21"/>
        </w:rPr>
        <w:t>日公司</w:t>
      </w:r>
      <w:r>
        <w:rPr>
          <w:rFonts w:ascii="宋体" w:hAnsi="宋体" w:cs="宋体" w:eastAsia="宋体" w:hint="default"/>
          <w:spacing w:val="-41"/>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年第一届董事会第十九次（临时）会议审议通过</w:t>
      </w:r>
    </w:p>
    <w:p>
      <w:pPr>
        <w:spacing w:before="110"/>
        <w:ind w:left="1393" w:right="138" w:firstLine="0"/>
        <w:jc w:val="left"/>
        <w:rPr>
          <w:rFonts w:ascii="宋体" w:hAnsi="宋体" w:cs="宋体" w:eastAsia="宋体" w:hint="default"/>
          <w:sz w:val="21"/>
          <w:szCs w:val="21"/>
        </w:rPr>
      </w:pP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在</w:t>
      </w:r>
      <w:r>
        <w:rPr>
          <w:rFonts w:ascii="宋体" w:hAnsi="宋体" w:cs="宋体" w:eastAsia="宋体" w:hint="default"/>
          <w:spacing w:val="-3"/>
          <w:w w:val="100"/>
          <w:sz w:val="21"/>
          <w:szCs w:val="21"/>
        </w:rPr>
        <w:t>新</w:t>
      </w:r>
      <w:r>
        <w:rPr>
          <w:rFonts w:ascii="宋体" w:hAnsi="宋体" w:cs="宋体" w:eastAsia="宋体" w:hint="default"/>
          <w:w w:val="100"/>
          <w:sz w:val="21"/>
          <w:szCs w:val="21"/>
        </w:rPr>
        <w:t>加</w:t>
      </w:r>
      <w:r>
        <w:rPr>
          <w:rFonts w:ascii="宋体" w:hAnsi="宋体" w:cs="宋体" w:eastAsia="宋体" w:hint="default"/>
          <w:spacing w:val="-3"/>
          <w:w w:val="100"/>
          <w:sz w:val="21"/>
          <w:szCs w:val="21"/>
        </w:rPr>
        <w:t>坡</w:t>
      </w:r>
      <w:r>
        <w:rPr>
          <w:rFonts w:ascii="宋体" w:hAnsi="宋体" w:cs="宋体" w:eastAsia="宋体" w:hint="default"/>
          <w:w w:val="100"/>
          <w:sz w:val="21"/>
          <w:szCs w:val="21"/>
        </w:rPr>
        <w:t>设</w:t>
      </w:r>
      <w:r>
        <w:rPr>
          <w:rFonts w:ascii="宋体" w:hAnsi="宋体" w:cs="宋体" w:eastAsia="宋体" w:hint="default"/>
          <w:spacing w:val="-3"/>
          <w:w w:val="100"/>
          <w:sz w:val="21"/>
          <w:szCs w:val="21"/>
        </w:rPr>
        <w:t>立</w:t>
      </w:r>
      <w:r>
        <w:rPr>
          <w:rFonts w:ascii="宋体" w:hAnsi="宋体" w:cs="宋体" w:eastAsia="宋体" w:hint="default"/>
          <w:w w:val="100"/>
          <w:sz w:val="21"/>
          <w:szCs w:val="21"/>
        </w:rPr>
        <w:t>全</w:t>
      </w:r>
      <w:r>
        <w:rPr>
          <w:rFonts w:ascii="宋体" w:hAnsi="宋体" w:cs="宋体" w:eastAsia="宋体" w:hint="default"/>
          <w:spacing w:val="-3"/>
          <w:w w:val="100"/>
          <w:sz w:val="21"/>
          <w:szCs w:val="21"/>
        </w:rPr>
        <w:t>资</w:t>
      </w:r>
      <w:r>
        <w:rPr>
          <w:rFonts w:ascii="宋体" w:hAnsi="宋体" w:cs="宋体" w:eastAsia="宋体" w:hint="default"/>
          <w:w w:val="100"/>
          <w:sz w:val="21"/>
          <w:szCs w:val="21"/>
        </w:rPr>
        <w:t>子公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spacing w:val="-26"/>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经</w:t>
      </w:r>
      <w:r>
        <w:rPr>
          <w:rFonts w:ascii="宋体" w:hAnsi="宋体" w:cs="宋体" w:eastAsia="宋体" w:hint="default"/>
          <w:spacing w:val="-3"/>
          <w:w w:val="100"/>
          <w:sz w:val="21"/>
          <w:szCs w:val="21"/>
        </w:rPr>
        <w:t>中</w:t>
      </w:r>
      <w:r>
        <w:rPr>
          <w:rFonts w:ascii="宋体" w:hAnsi="宋体" w:cs="宋体" w:eastAsia="宋体" w:hint="default"/>
          <w:w w:val="100"/>
          <w:sz w:val="21"/>
          <w:szCs w:val="21"/>
        </w:rPr>
        <w:t>华</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共</w:t>
      </w:r>
      <w:r>
        <w:rPr>
          <w:rFonts w:ascii="宋体" w:hAnsi="宋体" w:cs="宋体" w:eastAsia="宋体" w:hint="default"/>
          <w:w w:val="100"/>
          <w:sz w:val="21"/>
          <w:szCs w:val="21"/>
        </w:rPr>
        <w:t>和</w:t>
      </w:r>
    </w:p>
    <w:p>
      <w:pPr>
        <w:spacing w:before="110"/>
        <w:ind w:left="1393" w:right="138"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国商务部批准签发商境外投资证第</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3100201100308 </w:t>
      </w:r>
      <w:r>
        <w:rPr>
          <w:rFonts w:ascii="宋体" w:hAnsi="宋体" w:cs="宋体" w:eastAsia="宋体" w:hint="default"/>
          <w:spacing w:val="-7"/>
          <w:sz w:val="21"/>
          <w:szCs w:val="21"/>
        </w:rPr>
        <w:t>号企业境外投资证书。</w:t>
      </w:r>
      <w:r>
        <w:rPr>
          <w:rFonts w:ascii="Times New Roman" w:hAnsi="Times New Roman" w:cs="Times New Roman" w:eastAsia="Times New Roman" w:hint="default"/>
          <w:spacing w:val="-7"/>
          <w:sz w:val="21"/>
          <w:szCs w:val="21"/>
        </w:rPr>
        <w:t>2012</w:t>
      </w:r>
    </w:p>
    <w:p>
      <w:pPr>
        <w:spacing w:line="331" w:lineRule="auto" w:before="107"/>
        <w:ind w:left="1393" w:right="101" w:firstLine="0"/>
        <w:jc w:val="left"/>
        <w:rPr>
          <w:rFonts w:ascii="宋体" w:hAnsi="宋体" w:cs="宋体" w:eastAsia="宋体" w:hint="default"/>
          <w:sz w:val="21"/>
          <w:szCs w:val="21"/>
        </w:rPr>
      </w:pPr>
      <w:r>
        <w:rPr>
          <w:rFonts w:ascii="宋体" w:hAnsi="宋体" w:cs="宋体" w:eastAsia="宋体" w:hint="default"/>
          <w:w w:val="100"/>
          <w:sz w:val="21"/>
          <w:szCs w:val="21"/>
        </w:rPr>
        <w:t>年</w:t>
      </w:r>
      <w:r>
        <w:rPr>
          <w:rFonts w:ascii="宋体" w:hAnsi="宋体" w:cs="宋体" w:eastAsia="宋体" w:hint="default"/>
          <w:spacing w:val="-72"/>
          <w:w w:val="100"/>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22"/>
          <w:w w:val="100"/>
          <w:sz w:val="21"/>
          <w:szCs w:val="21"/>
        </w:rPr>
        <w:t> </w:t>
      </w:r>
      <w:r>
        <w:rPr>
          <w:rFonts w:ascii="宋体" w:hAnsi="宋体" w:cs="宋体" w:eastAsia="宋体" w:hint="default"/>
          <w:spacing w:val="-2"/>
          <w:w w:val="100"/>
          <w:sz w:val="21"/>
          <w:szCs w:val="21"/>
        </w:rPr>
        <w:t>月公司出资</w:t>
      </w:r>
      <w:r>
        <w:rPr>
          <w:rFonts w:ascii="宋体" w:hAnsi="宋体" w:cs="宋体" w:eastAsia="宋体" w:hint="default"/>
          <w:spacing w:val="-72"/>
          <w:w w:val="100"/>
          <w:sz w:val="21"/>
          <w:szCs w:val="21"/>
        </w:rPr>
        <w:t> </w:t>
      </w:r>
      <w:r>
        <w:rPr>
          <w:rFonts w:ascii="Times New Roman" w:hAnsi="Times New Roman" w:cs="Times New Roman" w:eastAsia="Times New Roman" w:hint="default"/>
          <w:spacing w:val="-1"/>
          <w:w w:val="100"/>
          <w:sz w:val="21"/>
          <w:szCs w:val="21"/>
        </w:rPr>
        <w:t>399,986.00</w:t>
      </w:r>
      <w:r>
        <w:rPr>
          <w:rFonts w:ascii="Times New Roman" w:hAnsi="Times New Roman" w:cs="Times New Roman" w:eastAsia="Times New Roman" w:hint="default"/>
          <w:spacing w:val="-22"/>
          <w:w w:val="100"/>
          <w:sz w:val="21"/>
          <w:szCs w:val="21"/>
        </w:rPr>
        <w:t> </w:t>
      </w:r>
      <w:r>
        <w:rPr>
          <w:rFonts w:ascii="宋体" w:hAnsi="宋体" w:cs="宋体" w:eastAsia="宋体" w:hint="default"/>
          <w:spacing w:val="-6"/>
          <w:w w:val="100"/>
          <w:sz w:val="21"/>
          <w:szCs w:val="21"/>
        </w:rPr>
        <w:t>美元投资设立了全资子公司汉得信息技术（新加坡）</w:t>
      </w:r>
      <w:r>
        <w:rPr>
          <w:rFonts w:ascii="宋体" w:hAnsi="宋体" w:cs="宋体" w:eastAsia="宋体" w:hint="default"/>
          <w:w w:val="100"/>
          <w:sz w:val="21"/>
          <w:szCs w:val="21"/>
        </w:rPr>
        <w:t> </w:t>
      </w:r>
      <w:r>
        <w:rPr>
          <w:rFonts w:ascii="宋体" w:hAnsi="宋体" w:cs="宋体" w:eastAsia="宋体" w:hint="default"/>
          <w:sz w:val="21"/>
          <w:szCs w:val="21"/>
        </w:rPr>
        <w:t>有限公司。</w:t>
      </w:r>
    </w:p>
    <w:p>
      <w:pPr>
        <w:spacing w:line="240" w:lineRule="auto" w:before="4"/>
        <w:rPr>
          <w:rFonts w:ascii="宋体" w:hAnsi="宋体" w:cs="宋体" w:eastAsia="宋体" w:hint="default"/>
          <w:sz w:val="19"/>
          <w:szCs w:val="19"/>
        </w:rPr>
      </w:pPr>
    </w:p>
    <w:p>
      <w:pPr>
        <w:tabs>
          <w:tab w:pos="877" w:val="left" w:leader="none"/>
        </w:tabs>
        <w:spacing w:before="0"/>
        <w:ind w:left="140" w:right="13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资产负债表日后利润分配的情况</w:t>
      </w:r>
      <w:r>
        <w:rPr>
          <w:rFonts w:ascii="宋体" w:hAnsi="宋体" w:cs="宋体" w:eastAsia="宋体" w:hint="default"/>
          <w:sz w:val="21"/>
          <w:szCs w:val="21"/>
        </w:rPr>
      </w:r>
    </w:p>
    <w:p>
      <w:pPr>
        <w:spacing w:before="127"/>
        <w:ind w:left="858" w:right="138" w:firstLine="0"/>
        <w:jc w:val="left"/>
        <w:rPr>
          <w:rFonts w:ascii="宋体" w:hAnsi="宋体" w:cs="宋体" w:eastAsia="宋体" w:hint="default"/>
          <w:sz w:val="21"/>
          <w:szCs w:val="21"/>
        </w:rPr>
      </w:pPr>
      <w:r>
        <w:rPr>
          <w:rFonts w:ascii="宋体" w:hAnsi="宋体" w:cs="宋体" w:eastAsia="宋体" w:hint="default"/>
          <w:sz w:val="21"/>
          <w:szCs w:val="21"/>
        </w:rPr>
        <w:t>根据公司</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日第一届董事会第二十七次会议决议，公司</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年利润分</w:t>
      </w:r>
    </w:p>
    <w:p>
      <w:pPr>
        <w:spacing w:before="107"/>
        <w:ind w:left="858" w:right="138" w:firstLine="0"/>
        <w:jc w:val="left"/>
        <w:rPr>
          <w:rFonts w:ascii="宋体" w:hAnsi="宋体" w:cs="宋体" w:eastAsia="宋体" w:hint="default"/>
          <w:sz w:val="21"/>
          <w:szCs w:val="21"/>
        </w:rPr>
      </w:pPr>
      <w:r>
        <w:rPr>
          <w:rFonts w:ascii="宋体" w:hAnsi="宋体" w:cs="宋体" w:eastAsia="宋体" w:hint="default"/>
          <w:spacing w:val="-8"/>
          <w:sz w:val="21"/>
          <w:szCs w:val="21"/>
        </w:rPr>
        <w:t>配方案为：以总股本</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168,007,774</w:t>
      </w:r>
      <w:r>
        <w:rPr>
          <w:rFonts w:ascii="Times New Roman" w:hAnsi="Times New Roman" w:cs="Times New Roman" w:eastAsia="Times New Roman" w:hint="default"/>
          <w:spacing w:val="3"/>
          <w:sz w:val="21"/>
          <w:szCs w:val="21"/>
        </w:rPr>
        <w:t> </w:t>
      </w:r>
      <w:r>
        <w:rPr>
          <w:rFonts w:ascii="宋体" w:hAnsi="宋体" w:cs="宋体" w:eastAsia="宋体" w:hint="default"/>
          <w:spacing w:val="-7"/>
          <w:sz w:val="21"/>
          <w:szCs w:val="21"/>
        </w:rPr>
        <w:t>股为基数，向全体股东以每</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股派发</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6"/>
          <w:sz w:val="21"/>
          <w:szCs w:val="21"/>
        </w:rPr>
        <w:t> </w:t>
      </w:r>
      <w:r>
        <w:rPr>
          <w:rFonts w:ascii="宋体" w:hAnsi="宋体" w:cs="宋体" w:eastAsia="宋体" w:hint="default"/>
          <w:spacing w:val="-14"/>
          <w:sz w:val="21"/>
          <w:szCs w:val="21"/>
        </w:rPr>
        <w:t>元现金（含</w:t>
      </w:r>
    </w:p>
    <w:p>
      <w:pPr>
        <w:spacing w:before="110"/>
        <w:ind w:left="858" w:right="138" w:firstLine="0"/>
        <w:jc w:val="left"/>
        <w:rPr>
          <w:rFonts w:ascii="宋体" w:hAnsi="宋体" w:cs="宋体" w:eastAsia="宋体" w:hint="default"/>
          <w:sz w:val="21"/>
          <w:szCs w:val="21"/>
        </w:rPr>
      </w:pPr>
      <w:r>
        <w:rPr>
          <w:rFonts w:ascii="宋体" w:hAnsi="宋体" w:cs="宋体" w:eastAsia="宋体" w:hint="default"/>
          <w:sz w:val="21"/>
          <w:szCs w:val="21"/>
        </w:rPr>
        <w:t>税）的股利分红，合计派发现金红利人民币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33,601,554.80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0"/>
          <w:szCs w:val="30"/>
        </w:rPr>
      </w:pPr>
    </w:p>
    <w:p>
      <w:pPr>
        <w:tabs>
          <w:tab w:pos="807" w:val="left" w:leader="none"/>
        </w:tabs>
        <w:spacing w:before="0"/>
        <w:ind w:left="140" w:right="13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无其他资产负债表日后事项</w:t>
      </w:r>
      <w:r>
        <w:rPr>
          <w:rFonts w:ascii="宋体" w:hAnsi="宋体" w:cs="宋体" w:eastAsia="宋体" w:hint="default"/>
          <w:sz w:val="21"/>
          <w:szCs w:val="21"/>
        </w:rPr>
      </w:r>
    </w:p>
    <w:p>
      <w:pPr>
        <w:spacing w:line="240" w:lineRule="auto" w:before="2"/>
        <w:rPr>
          <w:rFonts w:ascii="宋体" w:hAnsi="宋体" w:cs="宋体" w:eastAsia="宋体" w:hint="default"/>
          <w:b/>
          <w:bCs/>
          <w:sz w:val="30"/>
          <w:szCs w:val="30"/>
        </w:rPr>
      </w:pPr>
    </w:p>
    <w:p>
      <w:pPr>
        <w:pStyle w:val="Heading5"/>
        <w:spacing w:line="240" w:lineRule="auto"/>
        <w:ind w:right="138"/>
        <w:jc w:val="left"/>
        <w:rPr>
          <w:b w:val="0"/>
          <w:bCs w:val="0"/>
        </w:rPr>
      </w:pPr>
      <w:r>
        <w:rPr/>
        <w:t>十一、</w:t>
      </w:r>
      <w:r>
        <w:rPr>
          <w:spacing w:val="-7"/>
        </w:rPr>
        <w:t> </w:t>
      </w:r>
      <w:r>
        <w:rPr/>
        <w:t>其他重要事项说明</w:t>
      </w:r>
      <w:r>
        <w:rPr>
          <w:b w:val="0"/>
          <w:bCs w:val="0"/>
        </w:rPr>
      </w:r>
    </w:p>
    <w:p>
      <w:pPr>
        <w:spacing w:before="131"/>
        <w:ind w:left="858" w:right="138" w:firstLine="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根据</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制订</w:t>
      </w:r>
      <w:r>
        <w:rPr>
          <w:rFonts w:ascii="宋体" w:hAnsi="宋体" w:cs="宋体" w:eastAsia="宋体" w:hint="default"/>
          <w:spacing w:val="-5"/>
          <w:w w:val="100"/>
          <w:sz w:val="21"/>
          <w:szCs w:val="21"/>
        </w:rPr>
        <w:t>的</w:t>
      </w:r>
      <w:r>
        <w:rPr>
          <w:rFonts w:ascii="宋体" w:hAnsi="宋体" w:cs="宋体" w:eastAsia="宋体" w:hint="default"/>
          <w:w w:val="100"/>
          <w:sz w:val="21"/>
          <w:szCs w:val="21"/>
        </w:rPr>
        <w:t>《</w:t>
      </w:r>
      <w:r>
        <w:rPr>
          <w:rFonts w:ascii="宋体" w:hAnsi="宋体" w:cs="宋体" w:eastAsia="宋体" w:hint="default"/>
          <w:spacing w:val="-3"/>
          <w:w w:val="100"/>
          <w:sz w:val="21"/>
          <w:szCs w:val="21"/>
        </w:rPr>
        <w:t>员</w:t>
      </w:r>
      <w:r>
        <w:rPr>
          <w:rFonts w:ascii="宋体" w:hAnsi="宋体" w:cs="宋体" w:eastAsia="宋体" w:hint="default"/>
          <w:w w:val="100"/>
          <w:sz w:val="21"/>
          <w:szCs w:val="21"/>
        </w:rPr>
        <w:t>工</w:t>
      </w:r>
      <w:r>
        <w:rPr>
          <w:rFonts w:ascii="宋体" w:hAnsi="宋体" w:cs="宋体" w:eastAsia="宋体" w:hint="default"/>
          <w:spacing w:val="-3"/>
          <w:w w:val="100"/>
          <w:sz w:val="21"/>
          <w:szCs w:val="21"/>
        </w:rPr>
        <w:t>购</w:t>
      </w:r>
      <w:r>
        <w:rPr>
          <w:rFonts w:ascii="宋体" w:hAnsi="宋体" w:cs="宋体" w:eastAsia="宋体" w:hint="default"/>
          <w:w w:val="100"/>
          <w:sz w:val="21"/>
          <w:szCs w:val="21"/>
        </w:rPr>
        <w:t>房</w:t>
      </w:r>
      <w:r>
        <w:rPr>
          <w:rFonts w:ascii="宋体" w:hAnsi="宋体" w:cs="宋体" w:eastAsia="宋体" w:hint="default"/>
          <w:spacing w:val="-3"/>
          <w:w w:val="100"/>
          <w:sz w:val="21"/>
          <w:szCs w:val="21"/>
        </w:rPr>
        <w:t>借</w:t>
      </w:r>
      <w:r>
        <w:rPr>
          <w:rFonts w:ascii="宋体" w:hAnsi="宋体" w:cs="宋体" w:eastAsia="宋体" w:hint="default"/>
          <w:w w:val="100"/>
          <w:sz w:val="21"/>
          <w:szCs w:val="21"/>
        </w:rPr>
        <w:t>款</w:t>
      </w:r>
      <w:r>
        <w:rPr>
          <w:rFonts w:ascii="宋体" w:hAnsi="宋体" w:cs="宋体" w:eastAsia="宋体" w:hint="default"/>
          <w:spacing w:val="-3"/>
          <w:w w:val="100"/>
          <w:sz w:val="21"/>
          <w:szCs w:val="21"/>
        </w:rPr>
        <w:t>福</w:t>
      </w:r>
      <w:r>
        <w:rPr>
          <w:rFonts w:ascii="宋体" w:hAnsi="宋体" w:cs="宋体" w:eastAsia="宋体" w:hint="default"/>
          <w:w w:val="100"/>
          <w:sz w:val="21"/>
          <w:szCs w:val="21"/>
        </w:rPr>
        <w:t>利</w:t>
      </w:r>
      <w:r>
        <w:rPr>
          <w:rFonts w:ascii="宋体" w:hAnsi="宋体" w:cs="宋体" w:eastAsia="宋体" w:hint="default"/>
          <w:spacing w:val="-3"/>
          <w:w w:val="100"/>
          <w:sz w:val="21"/>
          <w:szCs w:val="21"/>
        </w:rPr>
        <w:t>管</w:t>
      </w:r>
      <w:r>
        <w:rPr>
          <w:rFonts w:ascii="宋体" w:hAnsi="宋体" w:cs="宋体" w:eastAsia="宋体" w:hint="default"/>
          <w:w w:val="100"/>
          <w:sz w:val="21"/>
          <w:szCs w:val="21"/>
        </w:rPr>
        <w:t>理办</w:t>
      </w:r>
      <w:r>
        <w:rPr>
          <w:rFonts w:ascii="宋体" w:hAnsi="宋体" w:cs="宋体" w:eastAsia="宋体" w:hint="default"/>
          <w:spacing w:val="-3"/>
          <w:w w:val="100"/>
          <w:sz w:val="21"/>
          <w:szCs w:val="21"/>
        </w:rPr>
        <w:t>法</w:t>
      </w:r>
      <w:r>
        <w:rPr>
          <w:rFonts w:ascii="宋体" w:hAnsi="宋体" w:cs="宋体" w:eastAsia="宋体" w:hint="default"/>
          <w:spacing w:val="-106"/>
          <w:w w:val="100"/>
          <w:sz w:val="21"/>
          <w:szCs w:val="21"/>
        </w:rPr>
        <w:t>》</w:t>
      </w:r>
      <w:r>
        <w:rPr>
          <w:rFonts w:ascii="宋体" w:hAnsi="宋体" w:cs="宋体" w:eastAsia="宋体" w:hint="default"/>
          <w:spacing w:val="-8"/>
          <w:w w:val="100"/>
          <w:sz w:val="21"/>
          <w:szCs w:val="21"/>
        </w:rPr>
        <w:t>，</w:t>
      </w:r>
      <w:r>
        <w:rPr>
          <w:rFonts w:ascii="宋体" w:hAnsi="宋体" w:cs="宋体" w:eastAsia="宋体" w:hint="default"/>
          <w:w w:val="100"/>
          <w:sz w:val="21"/>
          <w:szCs w:val="21"/>
        </w:rPr>
        <w:t>截止</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31</w:t>
      </w:r>
    </w:p>
    <w:p>
      <w:pPr>
        <w:spacing w:before="110"/>
        <w:ind w:left="858" w:right="138" w:firstLine="0"/>
        <w:jc w:val="left"/>
        <w:rPr>
          <w:rFonts w:ascii="宋体" w:hAnsi="宋体" w:cs="宋体" w:eastAsia="宋体" w:hint="default"/>
          <w:sz w:val="21"/>
          <w:szCs w:val="21"/>
        </w:rPr>
      </w:pPr>
      <w:r>
        <w:rPr>
          <w:rFonts w:ascii="宋体" w:hAnsi="宋体" w:cs="宋体" w:eastAsia="宋体" w:hint="default"/>
          <w:sz w:val="21"/>
          <w:szCs w:val="21"/>
        </w:rPr>
        <w:t>日员工购房借款余额为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600.37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p>
      <w:pPr>
        <w:spacing w:line="240" w:lineRule="auto" w:before="9"/>
        <w:rPr>
          <w:rFonts w:ascii="宋体" w:hAnsi="宋体" w:cs="宋体" w:eastAsia="宋体" w:hint="default"/>
          <w:sz w:val="28"/>
          <w:szCs w:val="28"/>
        </w:rPr>
      </w:pPr>
    </w:p>
    <w:p>
      <w:pPr>
        <w:pStyle w:val="Heading5"/>
        <w:spacing w:line="240" w:lineRule="auto"/>
        <w:ind w:right="138"/>
        <w:jc w:val="left"/>
        <w:rPr>
          <w:b w:val="0"/>
          <w:bCs w:val="0"/>
        </w:rPr>
      </w:pPr>
      <w:r>
        <w:rPr/>
        <w:t>十二、</w:t>
      </w:r>
      <w:r>
        <w:rPr>
          <w:spacing w:val="-8"/>
        </w:rPr>
        <w:t> </w:t>
      </w:r>
      <w:r>
        <w:rPr/>
        <w:t>母公司财务报表主要项目注释</w:t>
      </w:r>
      <w:r>
        <w:rPr>
          <w:b w:val="0"/>
          <w:bCs w:val="0"/>
        </w:rPr>
      </w:r>
    </w:p>
    <w:p>
      <w:pPr>
        <w:spacing w:before="131"/>
        <w:ind w:left="858" w:right="138" w:firstLine="0"/>
        <w:jc w:val="left"/>
        <w:rPr>
          <w:rFonts w:ascii="宋体" w:hAnsi="宋体" w:cs="宋体" w:eastAsia="宋体" w:hint="default"/>
          <w:sz w:val="21"/>
          <w:szCs w:val="21"/>
        </w:rPr>
      </w:pPr>
      <w:r>
        <w:rPr>
          <w:rFonts w:ascii="宋体" w:hAnsi="宋体" w:cs="宋体" w:eastAsia="宋体" w:hint="default"/>
          <w:sz w:val="21"/>
          <w:szCs w:val="21"/>
        </w:rPr>
        <w:t>（以下金额单位若未特别注明者均为人民币元）</w:t>
      </w:r>
    </w:p>
    <w:p>
      <w:pPr>
        <w:spacing w:line="240" w:lineRule="auto" w:before="0"/>
        <w:rPr>
          <w:rFonts w:ascii="宋体" w:hAnsi="宋体" w:cs="宋体" w:eastAsia="宋体" w:hint="default"/>
          <w:sz w:val="20"/>
          <w:szCs w:val="20"/>
        </w:rPr>
      </w:pPr>
    </w:p>
    <w:p>
      <w:pPr>
        <w:spacing w:before="157"/>
        <w:ind w:left="140" w:right="13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6"/>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32"/>
          <w:pgSz w:w="11910" w:h="16840"/>
          <w:pgMar w:footer="980" w:header="0" w:top="1140" w:bottom="1160" w:left="1660" w:right="1580"/>
          <w:pgNumType w:start="139"/>
        </w:sectPr>
      </w:pPr>
    </w:p>
    <w:p>
      <w:pPr>
        <w:spacing w:line="240" w:lineRule="auto" w:before="11"/>
        <w:rPr>
          <w:rFonts w:ascii="宋体" w:hAnsi="宋体" w:cs="宋体" w:eastAsia="宋体" w:hint="default"/>
          <w:b/>
          <w:bCs/>
          <w:sz w:val="25"/>
          <w:szCs w:val="25"/>
        </w:rPr>
      </w:pPr>
    </w:p>
    <w:p>
      <w:pPr>
        <w:tabs>
          <w:tab w:pos="1395" w:val="left" w:leader="none"/>
        </w:tabs>
        <w:spacing w:before="36"/>
        <w:ind w:left="858" w:right="2012"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tab/>
        <w:t>应收账款账龄分析</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639" w:type="dxa"/>
        <w:tblLayout w:type="fixed"/>
        <w:tblCellMar>
          <w:top w:w="0" w:type="dxa"/>
          <w:left w:w="0" w:type="dxa"/>
          <w:bottom w:w="0" w:type="dxa"/>
          <w:right w:w="0" w:type="dxa"/>
        </w:tblCellMar>
        <w:tblLook w:val="01E0"/>
      </w:tblPr>
      <w:tblGrid>
        <w:gridCol w:w="1188"/>
        <w:gridCol w:w="1275"/>
        <w:gridCol w:w="737"/>
        <w:gridCol w:w="1106"/>
        <w:gridCol w:w="740"/>
        <w:gridCol w:w="1104"/>
        <w:gridCol w:w="734"/>
        <w:gridCol w:w="1109"/>
        <w:gridCol w:w="749"/>
      </w:tblGrid>
      <w:tr>
        <w:trPr>
          <w:trHeight w:val="394" w:hRule="exact"/>
        </w:trPr>
        <w:tc>
          <w:tcPr>
            <w:tcW w:w="1188"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账龄</w:t>
            </w:r>
          </w:p>
        </w:tc>
        <w:tc>
          <w:tcPr>
            <w:tcW w:w="3858" w:type="dxa"/>
            <w:gridSpan w:val="4"/>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left="4"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697"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right="1"/>
              <w:jc w:val="center"/>
              <w:rPr>
                <w:rFonts w:ascii="宋体" w:hAnsi="宋体" w:cs="宋体" w:eastAsia="宋体" w:hint="default"/>
                <w:sz w:val="15"/>
                <w:szCs w:val="15"/>
              </w:rPr>
            </w:pPr>
            <w:r>
              <w:rPr>
                <w:rFonts w:ascii="宋体" w:hAnsi="宋体" w:cs="宋体" w:eastAsia="宋体" w:hint="default"/>
                <w:sz w:val="15"/>
                <w:szCs w:val="15"/>
              </w:rPr>
              <w:t>年初余额</w:t>
            </w:r>
          </w:p>
        </w:tc>
      </w:tr>
      <w:tr>
        <w:trPr>
          <w:trHeight w:val="384" w:hRule="exact"/>
        </w:trPr>
        <w:tc>
          <w:tcPr>
            <w:tcW w:w="1188" w:type="dxa"/>
            <w:vMerge/>
            <w:tcBorders>
              <w:left w:val="nil" w:sz="6" w:space="0" w:color="auto"/>
              <w:right w:val="dotted" w:sz="4" w:space="0" w:color="000000"/>
            </w:tcBorders>
          </w:tcPr>
          <w:p>
            <w:pPr/>
          </w:p>
        </w:tc>
        <w:tc>
          <w:tcPr>
            <w:tcW w:w="201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2"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846"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4"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838"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2"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858"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
              <w:jc w:val="center"/>
              <w:rPr>
                <w:rFonts w:ascii="宋体" w:hAnsi="宋体" w:cs="宋体" w:eastAsia="宋体" w:hint="default"/>
                <w:sz w:val="15"/>
                <w:szCs w:val="15"/>
              </w:rPr>
            </w:pPr>
            <w:r>
              <w:rPr>
                <w:rFonts w:ascii="宋体" w:hAnsi="宋体" w:cs="宋体" w:eastAsia="宋体" w:hint="default"/>
                <w:sz w:val="15"/>
                <w:szCs w:val="15"/>
              </w:rPr>
              <w:t>坏账准备</w:t>
            </w:r>
          </w:p>
        </w:tc>
      </w:tr>
      <w:tr>
        <w:trPr>
          <w:trHeight w:val="758" w:hRule="exact"/>
        </w:trPr>
        <w:tc>
          <w:tcPr>
            <w:tcW w:w="1188" w:type="dxa"/>
            <w:vMerge/>
            <w:tcBorders>
              <w:left w:val="nil" w:sz="6" w:space="0" w:color="auto"/>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211"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48"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11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213"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51"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211"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48"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11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left="218"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55"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r>
      <w:tr>
        <w:trPr>
          <w:trHeight w:val="761" w:hRule="exact"/>
        </w:trPr>
        <w:tc>
          <w:tcPr>
            <w:tcW w:w="11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7"/>
              <w:ind w:left="1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pacing w:val="-5"/>
                <w:sz w:val="15"/>
                <w:szCs w:val="15"/>
              </w:rPr>
              <w:t>年以内（含</w:t>
            </w:r>
            <w:r>
              <w:rPr>
                <w:rFonts w:ascii="宋体" w:hAnsi="宋体" w:cs="宋体" w:eastAsia="宋体" w:hint="default"/>
                <w:spacing w:val="-31"/>
                <w:sz w:val="15"/>
                <w:szCs w:val="15"/>
              </w:rPr>
              <w:t> </w:t>
            </w:r>
            <w:r>
              <w:rPr>
                <w:rFonts w:ascii="Times New Roman" w:hAnsi="Times New Roman" w:cs="Times New Roman" w:eastAsia="Times New Roman" w:hint="default"/>
                <w:sz w:val="15"/>
                <w:szCs w:val="15"/>
              </w:rPr>
              <w:t>1</w:t>
            </w: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年）</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6"/>
              <w:ind w:right="100"/>
              <w:jc w:val="right"/>
              <w:rPr>
                <w:rFonts w:ascii="Times New Roman" w:hAnsi="Times New Roman" w:cs="Times New Roman" w:eastAsia="Times New Roman" w:hint="default"/>
                <w:sz w:val="15"/>
                <w:szCs w:val="15"/>
              </w:rPr>
            </w:pPr>
            <w:r>
              <w:rPr>
                <w:rFonts w:ascii="Times New Roman"/>
                <w:spacing w:val="-1"/>
                <w:sz w:val="15"/>
              </w:rPr>
              <w:t>129,753,307.74</w:t>
            </w:r>
          </w:p>
        </w:tc>
        <w:tc>
          <w:tcPr>
            <w:tcW w:w="7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6"/>
              <w:ind w:right="102"/>
              <w:jc w:val="right"/>
              <w:rPr>
                <w:rFonts w:ascii="Times New Roman" w:hAnsi="Times New Roman" w:cs="Times New Roman" w:eastAsia="Times New Roman" w:hint="default"/>
                <w:sz w:val="15"/>
                <w:szCs w:val="15"/>
              </w:rPr>
            </w:pPr>
            <w:r>
              <w:rPr>
                <w:rFonts w:ascii="Times New Roman"/>
                <w:spacing w:val="-1"/>
                <w:sz w:val="15"/>
              </w:rPr>
              <w:t>88.01</w:t>
            </w:r>
          </w:p>
        </w:tc>
        <w:tc>
          <w:tcPr>
            <w:tcW w:w="11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6"/>
              <w:ind w:left="103" w:right="0"/>
              <w:jc w:val="center"/>
              <w:rPr>
                <w:rFonts w:ascii="Times New Roman" w:hAnsi="Times New Roman" w:cs="Times New Roman" w:eastAsia="Times New Roman" w:hint="default"/>
                <w:sz w:val="15"/>
                <w:szCs w:val="15"/>
              </w:rPr>
            </w:pPr>
            <w:r>
              <w:rPr>
                <w:rFonts w:ascii="Times New Roman"/>
                <w:sz w:val="15"/>
              </w:rPr>
              <w:t>5,851,669.00</w:t>
            </w:r>
          </w:p>
        </w:tc>
        <w:tc>
          <w:tcPr>
            <w:tcW w:w="7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6"/>
              <w:ind w:right="100"/>
              <w:jc w:val="right"/>
              <w:rPr>
                <w:rFonts w:ascii="Times New Roman" w:hAnsi="Times New Roman" w:cs="Times New Roman" w:eastAsia="Times New Roman" w:hint="default"/>
                <w:sz w:val="15"/>
                <w:szCs w:val="15"/>
              </w:rPr>
            </w:pPr>
            <w:r>
              <w:rPr>
                <w:rFonts w:ascii="Times New Roman"/>
                <w:spacing w:val="-1"/>
                <w:sz w:val="15"/>
              </w:rPr>
              <w:t>4.51</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6"/>
              <w:ind w:left="27" w:right="0"/>
              <w:jc w:val="center"/>
              <w:rPr>
                <w:rFonts w:ascii="Times New Roman" w:hAnsi="Times New Roman" w:cs="Times New Roman" w:eastAsia="Times New Roman" w:hint="default"/>
                <w:sz w:val="15"/>
                <w:szCs w:val="15"/>
              </w:rPr>
            </w:pPr>
            <w:r>
              <w:rPr>
                <w:rFonts w:ascii="Times New Roman"/>
                <w:sz w:val="15"/>
              </w:rPr>
              <w:t>76,664,771.73</w:t>
            </w:r>
          </w:p>
        </w:tc>
        <w:tc>
          <w:tcPr>
            <w:tcW w:w="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6"/>
              <w:ind w:right="100"/>
              <w:jc w:val="right"/>
              <w:rPr>
                <w:rFonts w:ascii="Times New Roman" w:hAnsi="Times New Roman" w:cs="Times New Roman" w:eastAsia="Times New Roman" w:hint="default"/>
                <w:sz w:val="15"/>
                <w:szCs w:val="15"/>
              </w:rPr>
            </w:pPr>
            <w:r>
              <w:rPr>
                <w:rFonts w:ascii="Times New Roman"/>
                <w:spacing w:val="-1"/>
                <w:sz w:val="15"/>
              </w:rPr>
              <w:t>90.97</w:t>
            </w:r>
          </w:p>
        </w:tc>
        <w:tc>
          <w:tcPr>
            <w:tcW w:w="11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6"/>
              <w:ind w:right="100"/>
              <w:jc w:val="right"/>
              <w:rPr>
                <w:rFonts w:ascii="Times New Roman" w:hAnsi="Times New Roman" w:cs="Times New Roman" w:eastAsia="Times New Roman" w:hint="default"/>
                <w:sz w:val="15"/>
                <w:szCs w:val="15"/>
              </w:rPr>
            </w:pPr>
            <w:r>
              <w:rPr>
                <w:rFonts w:ascii="Times New Roman"/>
                <w:spacing w:val="-1"/>
                <w:sz w:val="15"/>
              </w:rPr>
              <w:t>3,650,416.25</w:t>
            </w:r>
          </w:p>
        </w:tc>
        <w:tc>
          <w:tcPr>
            <w:tcW w:w="74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6"/>
              <w:ind w:right="104"/>
              <w:jc w:val="right"/>
              <w:rPr>
                <w:rFonts w:ascii="Times New Roman" w:hAnsi="Times New Roman" w:cs="Times New Roman" w:eastAsia="Times New Roman" w:hint="default"/>
                <w:sz w:val="15"/>
                <w:szCs w:val="15"/>
              </w:rPr>
            </w:pPr>
            <w:r>
              <w:rPr>
                <w:rFonts w:ascii="Times New Roman"/>
                <w:spacing w:val="-1"/>
                <w:sz w:val="15"/>
              </w:rPr>
              <w:t>4.76</w:t>
            </w:r>
          </w:p>
        </w:tc>
      </w:tr>
      <w:tr>
        <w:trPr>
          <w:trHeight w:val="384" w:hRule="exact"/>
        </w:trPr>
        <w:tc>
          <w:tcPr>
            <w:tcW w:w="11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2" w:right="0"/>
              <w:jc w:val="left"/>
              <w:rPr>
                <w:rFonts w:ascii="宋体" w:hAnsi="宋体" w:cs="宋体" w:eastAsia="宋体" w:hint="default"/>
                <w:sz w:val="15"/>
                <w:szCs w:val="15"/>
              </w:rPr>
            </w:pPr>
            <w:r>
              <w:rPr>
                <w:rFonts w:ascii="Times New Roman" w:hAnsi="Times New Roman" w:cs="Times New Roman" w:eastAsia="Times New Roman" w:hint="default"/>
                <w:spacing w:val="1"/>
                <w:w w:val="100"/>
                <w:sz w:val="15"/>
                <w:szCs w:val="15"/>
              </w:rPr>
              <w:t>1</w:t>
            </w:r>
            <w:r>
              <w:rPr>
                <w:rFonts w:ascii="Times New Roman" w:hAnsi="Times New Roman" w:cs="Times New Roman" w:eastAsia="Times New Roman" w:hint="default"/>
                <w:spacing w:val="-3"/>
                <w:w w:val="100"/>
                <w:sz w:val="15"/>
                <w:szCs w:val="15"/>
              </w:rPr>
              <w:t>-</w:t>
            </w:r>
            <w:r>
              <w:rPr>
                <w:rFonts w:ascii="Times New Roman" w:hAnsi="Times New Roman" w:cs="Times New Roman" w:eastAsia="Times New Roman" w:hint="default"/>
                <w:w w:val="100"/>
                <w:sz w:val="15"/>
                <w:szCs w:val="15"/>
              </w:rPr>
              <w:t>2</w:t>
            </w:r>
            <w:r>
              <w:rPr>
                <w:rFonts w:ascii="Times New Roman" w:hAnsi="Times New Roman" w:cs="Times New Roman" w:eastAsia="Times New Roman" w:hint="default"/>
                <w:spacing w:val="-10"/>
                <w:sz w:val="15"/>
                <w:szCs w:val="15"/>
              </w:rPr>
              <w:t> </w:t>
            </w:r>
            <w:r>
              <w:rPr>
                <w:rFonts w:ascii="宋体" w:hAnsi="宋体" w:cs="宋体" w:eastAsia="宋体" w:hint="default"/>
                <w:spacing w:val="-75"/>
                <w:w w:val="100"/>
                <w:sz w:val="15"/>
                <w:szCs w:val="15"/>
              </w:rPr>
              <w:t>年</w:t>
            </w:r>
            <w:r>
              <w:rPr>
                <w:rFonts w:ascii="宋体" w:hAnsi="宋体" w:cs="宋体" w:eastAsia="宋体" w:hint="default"/>
                <w:spacing w:val="-3"/>
                <w:w w:val="100"/>
                <w:sz w:val="15"/>
                <w:szCs w:val="15"/>
              </w:rPr>
              <w:t>（</w:t>
            </w:r>
            <w:r>
              <w:rPr>
                <w:rFonts w:ascii="宋体" w:hAnsi="宋体" w:cs="宋体" w:eastAsia="宋体" w:hint="default"/>
                <w:w w:val="100"/>
                <w:sz w:val="15"/>
                <w:szCs w:val="15"/>
              </w:rPr>
              <w:t>含</w:t>
            </w:r>
            <w:r>
              <w:rPr>
                <w:rFonts w:ascii="宋体" w:hAnsi="宋体" w:cs="宋体" w:eastAsia="宋体" w:hint="default"/>
                <w:spacing w:val="-49"/>
                <w:sz w:val="15"/>
                <w:szCs w:val="15"/>
              </w:rPr>
              <w:t> </w:t>
            </w:r>
            <w:r>
              <w:rPr>
                <w:rFonts w:ascii="Times New Roman" w:hAnsi="Times New Roman" w:cs="Times New Roman" w:eastAsia="Times New Roman" w:hint="default"/>
                <w:w w:val="100"/>
                <w:sz w:val="15"/>
                <w:szCs w:val="15"/>
              </w:rPr>
              <w:t>2</w:t>
            </w:r>
            <w:r>
              <w:rPr>
                <w:rFonts w:ascii="Times New Roman" w:hAnsi="Times New Roman" w:cs="Times New Roman" w:eastAsia="Times New Roman" w:hint="default"/>
                <w:spacing w:val="-10"/>
                <w:sz w:val="15"/>
                <w:szCs w:val="15"/>
              </w:rPr>
              <w:t> </w:t>
            </w:r>
            <w:r>
              <w:rPr>
                <w:rFonts w:ascii="宋体" w:hAnsi="宋体" w:cs="宋体" w:eastAsia="宋体" w:hint="default"/>
                <w:spacing w:val="-3"/>
                <w:w w:val="100"/>
                <w:sz w:val="15"/>
                <w:szCs w:val="15"/>
              </w:rPr>
              <w:t>年）</w:t>
            </w:r>
            <w:r>
              <w:rPr>
                <w:rFonts w:ascii="宋体" w:hAnsi="宋体" w:cs="宋体" w:eastAsia="宋体" w:hint="default"/>
                <w:w w:val="100"/>
                <w:sz w:val="15"/>
                <w:szCs w:val="15"/>
              </w:rPr>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spacing w:val="-1"/>
                <w:sz w:val="15"/>
              </w:rPr>
              <w:t>12,334,887.69</w:t>
            </w:r>
          </w:p>
        </w:tc>
        <w:tc>
          <w:tcPr>
            <w:tcW w:w="7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2"/>
              <w:jc w:val="right"/>
              <w:rPr>
                <w:rFonts w:ascii="Times New Roman" w:hAnsi="Times New Roman" w:cs="Times New Roman" w:eastAsia="Times New Roman" w:hint="default"/>
                <w:sz w:val="15"/>
                <w:szCs w:val="15"/>
              </w:rPr>
            </w:pPr>
            <w:r>
              <w:rPr>
                <w:rFonts w:ascii="Times New Roman"/>
                <w:spacing w:val="-1"/>
                <w:sz w:val="15"/>
              </w:rPr>
              <w:t>8.37</w:t>
            </w:r>
          </w:p>
        </w:tc>
        <w:tc>
          <w:tcPr>
            <w:tcW w:w="11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left="103" w:right="0"/>
              <w:jc w:val="center"/>
              <w:rPr>
                <w:rFonts w:ascii="Times New Roman" w:hAnsi="Times New Roman" w:cs="Times New Roman" w:eastAsia="Times New Roman" w:hint="default"/>
                <w:sz w:val="15"/>
                <w:szCs w:val="15"/>
              </w:rPr>
            </w:pPr>
            <w:r>
              <w:rPr>
                <w:rFonts w:ascii="Times New Roman"/>
                <w:sz w:val="15"/>
              </w:rPr>
              <w:t>5,341,061.05</w:t>
            </w:r>
          </w:p>
        </w:tc>
        <w:tc>
          <w:tcPr>
            <w:tcW w:w="7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43.30</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left="101" w:right="0"/>
              <w:jc w:val="center"/>
              <w:rPr>
                <w:rFonts w:ascii="Times New Roman" w:hAnsi="Times New Roman" w:cs="Times New Roman" w:eastAsia="Times New Roman" w:hint="default"/>
                <w:sz w:val="15"/>
                <w:szCs w:val="15"/>
              </w:rPr>
            </w:pPr>
            <w:r>
              <w:rPr>
                <w:rFonts w:ascii="Times New Roman"/>
                <w:sz w:val="15"/>
              </w:rPr>
              <w:t>4,332,059.40</w:t>
            </w:r>
          </w:p>
        </w:tc>
        <w:tc>
          <w:tcPr>
            <w:tcW w:w="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5.14</w:t>
            </w:r>
          </w:p>
        </w:tc>
        <w:tc>
          <w:tcPr>
            <w:tcW w:w="11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2,166,029.70</w:t>
            </w:r>
          </w:p>
        </w:tc>
        <w:tc>
          <w:tcPr>
            <w:tcW w:w="7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15"/>
                <w:szCs w:val="15"/>
              </w:rPr>
            </w:pPr>
            <w:r>
              <w:rPr>
                <w:rFonts w:ascii="Times New Roman"/>
                <w:spacing w:val="-1"/>
                <w:sz w:val="15"/>
              </w:rPr>
              <w:t>50.00</w:t>
            </w:r>
          </w:p>
        </w:tc>
      </w:tr>
      <w:tr>
        <w:trPr>
          <w:trHeight w:val="384" w:hRule="exact"/>
        </w:trPr>
        <w:tc>
          <w:tcPr>
            <w:tcW w:w="11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2" w:right="0"/>
              <w:jc w:val="left"/>
              <w:rPr>
                <w:rFonts w:ascii="宋体" w:hAnsi="宋体" w:cs="宋体" w:eastAsia="宋体" w:hint="default"/>
                <w:sz w:val="15"/>
                <w:szCs w:val="15"/>
              </w:rPr>
            </w:pPr>
            <w:r>
              <w:rPr>
                <w:rFonts w:ascii="Times New Roman" w:hAnsi="Times New Roman" w:cs="Times New Roman" w:eastAsia="Times New Roman" w:hint="default"/>
                <w:spacing w:val="1"/>
                <w:w w:val="100"/>
                <w:sz w:val="15"/>
                <w:szCs w:val="15"/>
              </w:rPr>
              <w:t>2</w:t>
            </w:r>
            <w:r>
              <w:rPr>
                <w:rFonts w:ascii="Times New Roman" w:hAnsi="Times New Roman" w:cs="Times New Roman" w:eastAsia="Times New Roman" w:hint="default"/>
                <w:spacing w:val="-3"/>
                <w:w w:val="100"/>
                <w:sz w:val="15"/>
                <w:szCs w:val="15"/>
              </w:rPr>
              <w:t>-</w:t>
            </w:r>
            <w:r>
              <w:rPr>
                <w:rFonts w:ascii="Times New Roman" w:hAnsi="Times New Roman" w:cs="Times New Roman" w:eastAsia="Times New Roman" w:hint="default"/>
                <w:w w:val="100"/>
                <w:sz w:val="15"/>
                <w:szCs w:val="15"/>
              </w:rPr>
              <w:t>3</w:t>
            </w:r>
            <w:r>
              <w:rPr>
                <w:rFonts w:ascii="Times New Roman" w:hAnsi="Times New Roman" w:cs="Times New Roman" w:eastAsia="Times New Roman" w:hint="default"/>
                <w:spacing w:val="-10"/>
                <w:sz w:val="15"/>
                <w:szCs w:val="15"/>
              </w:rPr>
              <w:t> </w:t>
            </w:r>
            <w:r>
              <w:rPr>
                <w:rFonts w:ascii="宋体" w:hAnsi="宋体" w:cs="宋体" w:eastAsia="宋体" w:hint="default"/>
                <w:spacing w:val="-75"/>
                <w:w w:val="100"/>
                <w:sz w:val="15"/>
                <w:szCs w:val="15"/>
              </w:rPr>
              <w:t>年</w:t>
            </w:r>
            <w:r>
              <w:rPr>
                <w:rFonts w:ascii="宋体" w:hAnsi="宋体" w:cs="宋体" w:eastAsia="宋体" w:hint="default"/>
                <w:spacing w:val="-3"/>
                <w:w w:val="100"/>
                <w:sz w:val="15"/>
                <w:szCs w:val="15"/>
              </w:rPr>
              <w:t>（</w:t>
            </w:r>
            <w:r>
              <w:rPr>
                <w:rFonts w:ascii="宋体" w:hAnsi="宋体" w:cs="宋体" w:eastAsia="宋体" w:hint="default"/>
                <w:w w:val="100"/>
                <w:sz w:val="15"/>
                <w:szCs w:val="15"/>
              </w:rPr>
              <w:t>含</w:t>
            </w:r>
            <w:r>
              <w:rPr>
                <w:rFonts w:ascii="宋体" w:hAnsi="宋体" w:cs="宋体" w:eastAsia="宋体" w:hint="default"/>
                <w:spacing w:val="-49"/>
                <w:sz w:val="15"/>
                <w:szCs w:val="15"/>
              </w:rPr>
              <w:t> </w:t>
            </w:r>
            <w:r>
              <w:rPr>
                <w:rFonts w:ascii="Times New Roman" w:hAnsi="Times New Roman" w:cs="Times New Roman" w:eastAsia="Times New Roman" w:hint="default"/>
                <w:w w:val="100"/>
                <w:sz w:val="15"/>
                <w:szCs w:val="15"/>
              </w:rPr>
              <w:t>3</w:t>
            </w:r>
            <w:r>
              <w:rPr>
                <w:rFonts w:ascii="Times New Roman" w:hAnsi="Times New Roman" w:cs="Times New Roman" w:eastAsia="Times New Roman" w:hint="default"/>
                <w:spacing w:val="-10"/>
                <w:sz w:val="15"/>
                <w:szCs w:val="15"/>
              </w:rPr>
              <w:t> </w:t>
            </w:r>
            <w:r>
              <w:rPr>
                <w:rFonts w:ascii="宋体" w:hAnsi="宋体" w:cs="宋体" w:eastAsia="宋体" w:hint="default"/>
                <w:spacing w:val="-3"/>
                <w:w w:val="100"/>
                <w:sz w:val="15"/>
                <w:szCs w:val="15"/>
              </w:rPr>
              <w:t>年）</w:t>
            </w:r>
            <w:r>
              <w:rPr>
                <w:rFonts w:ascii="宋体" w:hAnsi="宋体" w:cs="宋体" w:eastAsia="宋体" w:hint="default"/>
                <w:w w:val="100"/>
                <w:sz w:val="15"/>
                <w:szCs w:val="15"/>
              </w:rPr>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spacing w:val="-1"/>
                <w:sz w:val="15"/>
              </w:rPr>
              <w:t>2,593,354.68</w:t>
            </w:r>
          </w:p>
        </w:tc>
        <w:tc>
          <w:tcPr>
            <w:tcW w:w="7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2"/>
              <w:jc w:val="right"/>
              <w:rPr>
                <w:rFonts w:ascii="Times New Roman" w:hAnsi="Times New Roman" w:cs="Times New Roman" w:eastAsia="Times New Roman" w:hint="default"/>
                <w:sz w:val="15"/>
                <w:szCs w:val="15"/>
              </w:rPr>
            </w:pPr>
            <w:r>
              <w:rPr>
                <w:rFonts w:ascii="Times New Roman"/>
                <w:spacing w:val="-1"/>
                <w:sz w:val="15"/>
              </w:rPr>
              <w:t>1.76</w:t>
            </w:r>
          </w:p>
        </w:tc>
        <w:tc>
          <w:tcPr>
            <w:tcW w:w="11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left="103" w:right="0"/>
              <w:jc w:val="center"/>
              <w:rPr>
                <w:rFonts w:ascii="Times New Roman" w:hAnsi="Times New Roman" w:cs="Times New Roman" w:eastAsia="Times New Roman" w:hint="default"/>
                <w:sz w:val="15"/>
                <w:szCs w:val="15"/>
              </w:rPr>
            </w:pPr>
            <w:r>
              <w:rPr>
                <w:rFonts w:ascii="Times New Roman"/>
                <w:sz w:val="15"/>
              </w:rPr>
              <w:t>2,593,354.68</w:t>
            </w:r>
          </w:p>
        </w:tc>
        <w:tc>
          <w:tcPr>
            <w:tcW w:w="7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100.00</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left="101" w:right="0"/>
              <w:jc w:val="center"/>
              <w:rPr>
                <w:rFonts w:ascii="Times New Roman" w:hAnsi="Times New Roman" w:cs="Times New Roman" w:eastAsia="Times New Roman" w:hint="default"/>
                <w:sz w:val="15"/>
                <w:szCs w:val="15"/>
              </w:rPr>
            </w:pPr>
            <w:r>
              <w:rPr>
                <w:rFonts w:ascii="Times New Roman"/>
                <w:sz w:val="15"/>
              </w:rPr>
              <w:t>1,558,472.20</w:t>
            </w:r>
          </w:p>
        </w:tc>
        <w:tc>
          <w:tcPr>
            <w:tcW w:w="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1.85</w:t>
            </w:r>
          </w:p>
        </w:tc>
        <w:tc>
          <w:tcPr>
            <w:tcW w:w="11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1,558,472.20</w:t>
            </w:r>
          </w:p>
        </w:tc>
        <w:tc>
          <w:tcPr>
            <w:tcW w:w="7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15"/>
                <w:szCs w:val="15"/>
              </w:rPr>
            </w:pPr>
            <w:r>
              <w:rPr>
                <w:rFonts w:ascii="Times New Roman"/>
                <w:spacing w:val="-1"/>
                <w:sz w:val="15"/>
              </w:rPr>
              <w:t>100.00</w:t>
            </w:r>
          </w:p>
        </w:tc>
      </w:tr>
      <w:tr>
        <w:trPr>
          <w:trHeight w:val="384" w:hRule="exact"/>
        </w:trPr>
        <w:tc>
          <w:tcPr>
            <w:tcW w:w="11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年以上</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spacing w:val="-1"/>
                <w:sz w:val="15"/>
              </w:rPr>
              <w:t>2,741,793.90</w:t>
            </w:r>
          </w:p>
        </w:tc>
        <w:tc>
          <w:tcPr>
            <w:tcW w:w="7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2"/>
              <w:jc w:val="right"/>
              <w:rPr>
                <w:rFonts w:ascii="Times New Roman" w:hAnsi="Times New Roman" w:cs="Times New Roman" w:eastAsia="Times New Roman" w:hint="default"/>
                <w:sz w:val="15"/>
                <w:szCs w:val="15"/>
              </w:rPr>
            </w:pPr>
            <w:r>
              <w:rPr>
                <w:rFonts w:ascii="Times New Roman"/>
                <w:spacing w:val="-1"/>
                <w:sz w:val="15"/>
              </w:rPr>
              <w:t>1.86</w:t>
            </w:r>
          </w:p>
        </w:tc>
        <w:tc>
          <w:tcPr>
            <w:tcW w:w="11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left="103" w:right="0"/>
              <w:jc w:val="center"/>
              <w:rPr>
                <w:rFonts w:ascii="Times New Roman" w:hAnsi="Times New Roman" w:cs="Times New Roman" w:eastAsia="Times New Roman" w:hint="default"/>
                <w:sz w:val="15"/>
                <w:szCs w:val="15"/>
              </w:rPr>
            </w:pPr>
            <w:r>
              <w:rPr>
                <w:rFonts w:ascii="Times New Roman"/>
                <w:sz w:val="15"/>
              </w:rPr>
              <w:t>2,741,793.90</w:t>
            </w:r>
          </w:p>
        </w:tc>
        <w:tc>
          <w:tcPr>
            <w:tcW w:w="7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100.00</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left="100" w:right="0"/>
              <w:jc w:val="center"/>
              <w:rPr>
                <w:rFonts w:ascii="Times New Roman" w:hAnsi="Times New Roman" w:cs="Times New Roman" w:eastAsia="Times New Roman" w:hint="default"/>
                <w:sz w:val="15"/>
                <w:szCs w:val="15"/>
              </w:rPr>
            </w:pPr>
            <w:r>
              <w:rPr>
                <w:rFonts w:ascii="Times New Roman"/>
                <w:sz w:val="15"/>
              </w:rPr>
              <w:t>1,715,266.04</w:t>
            </w:r>
          </w:p>
        </w:tc>
        <w:tc>
          <w:tcPr>
            <w:tcW w:w="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2.04</w:t>
            </w:r>
          </w:p>
        </w:tc>
        <w:tc>
          <w:tcPr>
            <w:tcW w:w="11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1,715,266.04</w:t>
            </w:r>
          </w:p>
        </w:tc>
        <w:tc>
          <w:tcPr>
            <w:tcW w:w="7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15"/>
                <w:szCs w:val="15"/>
              </w:rPr>
            </w:pPr>
            <w:r>
              <w:rPr>
                <w:rFonts w:ascii="Times New Roman"/>
                <w:spacing w:val="-1"/>
                <w:sz w:val="15"/>
              </w:rPr>
              <w:t>100.00</w:t>
            </w:r>
          </w:p>
        </w:tc>
      </w:tr>
      <w:tr>
        <w:trPr>
          <w:trHeight w:val="397" w:hRule="exact"/>
        </w:trPr>
        <w:tc>
          <w:tcPr>
            <w:tcW w:w="118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5"/>
              <w:ind w:left="2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147,423,344.01</w:t>
            </w:r>
          </w:p>
        </w:tc>
        <w:tc>
          <w:tcPr>
            <w:tcW w:w="7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right="102"/>
              <w:jc w:val="right"/>
              <w:rPr>
                <w:rFonts w:ascii="Times New Roman" w:hAnsi="Times New Roman" w:cs="Times New Roman" w:eastAsia="Times New Roman" w:hint="default"/>
                <w:sz w:val="15"/>
                <w:szCs w:val="15"/>
              </w:rPr>
            </w:pPr>
            <w:r>
              <w:rPr>
                <w:rFonts w:ascii="Times New Roman"/>
                <w:spacing w:val="-1"/>
                <w:sz w:val="15"/>
              </w:rPr>
              <w:t>100.00</w:t>
            </w:r>
          </w:p>
        </w:tc>
        <w:tc>
          <w:tcPr>
            <w:tcW w:w="110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left="29" w:right="0"/>
              <w:jc w:val="center"/>
              <w:rPr>
                <w:rFonts w:ascii="Times New Roman" w:hAnsi="Times New Roman" w:cs="Times New Roman" w:eastAsia="Times New Roman" w:hint="default"/>
                <w:sz w:val="15"/>
                <w:szCs w:val="15"/>
              </w:rPr>
            </w:pPr>
            <w:r>
              <w:rPr>
                <w:rFonts w:ascii="Times New Roman"/>
                <w:sz w:val="15"/>
              </w:rPr>
              <w:t>16,527,878.63</w:t>
            </w:r>
          </w:p>
        </w:tc>
        <w:tc>
          <w:tcPr>
            <w:tcW w:w="740" w:type="dxa"/>
            <w:tcBorders>
              <w:top w:val="dotted" w:sz="4" w:space="0" w:color="000000"/>
              <w:left w:val="dotted" w:sz="4" w:space="0" w:color="000000"/>
              <w:bottom w:val="single" w:sz="12" w:space="0" w:color="000000"/>
              <w:right w:val="dotted" w:sz="4" w:space="0" w:color="000000"/>
            </w:tcBorders>
          </w:tcPr>
          <w:p>
            <w:pPr/>
          </w:p>
        </w:tc>
        <w:tc>
          <w:tcPr>
            <w:tcW w:w="11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left="26" w:right="0"/>
              <w:jc w:val="center"/>
              <w:rPr>
                <w:rFonts w:ascii="Times New Roman" w:hAnsi="Times New Roman" w:cs="Times New Roman" w:eastAsia="Times New Roman" w:hint="default"/>
                <w:sz w:val="15"/>
                <w:szCs w:val="15"/>
              </w:rPr>
            </w:pPr>
            <w:r>
              <w:rPr>
                <w:rFonts w:ascii="Times New Roman"/>
                <w:sz w:val="15"/>
              </w:rPr>
              <w:t>84,270,569.37</w:t>
            </w:r>
          </w:p>
        </w:tc>
        <w:tc>
          <w:tcPr>
            <w:tcW w:w="7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100.00</w:t>
            </w:r>
          </w:p>
        </w:tc>
        <w:tc>
          <w:tcPr>
            <w:tcW w:w="11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9,090,184.19</w:t>
            </w:r>
          </w:p>
        </w:tc>
        <w:tc>
          <w:tcPr>
            <w:tcW w:w="749"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tabs>
          <w:tab w:pos="1395" w:val="left" w:leader="none"/>
        </w:tabs>
        <w:spacing w:before="36"/>
        <w:ind w:left="858" w:right="201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t>应收账款按种类披露</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531" w:type="dxa"/>
        <w:tblLayout w:type="fixed"/>
        <w:tblCellMar>
          <w:top w:w="0" w:type="dxa"/>
          <w:left w:w="0" w:type="dxa"/>
          <w:bottom w:w="0" w:type="dxa"/>
          <w:right w:w="0" w:type="dxa"/>
        </w:tblCellMar>
        <w:tblLook w:val="01E0"/>
      </w:tblPr>
      <w:tblGrid>
        <w:gridCol w:w="1296"/>
        <w:gridCol w:w="1162"/>
        <w:gridCol w:w="734"/>
        <w:gridCol w:w="1109"/>
        <w:gridCol w:w="704"/>
        <w:gridCol w:w="1140"/>
        <w:gridCol w:w="778"/>
        <w:gridCol w:w="1205"/>
        <w:gridCol w:w="670"/>
      </w:tblGrid>
      <w:tr>
        <w:trPr>
          <w:trHeight w:val="396" w:hRule="exact"/>
        </w:trPr>
        <w:tc>
          <w:tcPr>
            <w:tcW w:w="129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种类</w:t>
            </w:r>
          </w:p>
        </w:tc>
        <w:tc>
          <w:tcPr>
            <w:tcW w:w="3709" w:type="dxa"/>
            <w:gridSpan w:val="4"/>
            <w:tcBorders>
              <w:top w:val="single" w:sz="12" w:space="0" w:color="000000"/>
              <w:left w:val="dotted" w:sz="4" w:space="0" w:color="000000"/>
              <w:bottom w:val="dotted" w:sz="4" w:space="0" w:color="000000"/>
              <w:right w:val="dotted" w:sz="4" w:space="0" w:color="000000"/>
            </w:tcBorders>
          </w:tcPr>
          <w:p>
            <w:pPr>
              <w:pStyle w:val="TableParagraph"/>
              <w:spacing w:line="240" w:lineRule="auto" w:before="67"/>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793"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67"/>
              <w:ind w:right="1"/>
              <w:jc w:val="center"/>
              <w:rPr>
                <w:rFonts w:ascii="宋体" w:hAnsi="宋体" w:cs="宋体" w:eastAsia="宋体" w:hint="default"/>
                <w:sz w:val="15"/>
                <w:szCs w:val="15"/>
              </w:rPr>
            </w:pPr>
            <w:r>
              <w:rPr>
                <w:rFonts w:ascii="宋体" w:hAnsi="宋体" w:cs="宋体" w:eastAsia="宋体" w:hint="default"/>
                <w:sz w:val="15"/>
                <w:szCs w:val="15"/>
              </w:rPr>
              <w:t>年初余额</w:t>
            </w:r>
          </w:p>
        </w:tc>
      </w:tr>
      <w:tr>
        <w:trPr>
          <w:trHeight w:val="384" w:hRule="exact"/>
        </w:trPr>
        <w:tc>
          <w:tcPr>
            <w:tcW w:w="1296" w:type="dxa"/>
            <w:vMerge/>
            <w:tcBorders>
              <w:left w:val="nil" w:sz="6" w:space="0" w:color="auto"/>
              <w:right w:val="dotted" w:sz="4" w:space="0" w:color="000000"/>
            </w:tcBorders>
          </w:tcPr>
          <w:p>
            <w:pPr/>
          </w:p>
        </w:tc>
        <w:tc>
          <w:tcPr>
            <w:tcW w:w="189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2"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81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600"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918"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875"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2"/>
              <w:jc w:val="center"/>
              <w:rPr>
                <w:rFonts w:ascii="宋体" w:hAnsi="宋体" w:cs="宋体" w:eastAsia="宋体" w:hint="default"/>
                <w:sz w:val="15"/>
                <w:szCs w:val="15"/>
              </w:rPr>
            </w:pPr>
            <w:r>
              <w:rPr>
                <w:rFonts w:ascii="宋体" w:hAnsi="宋体" w:cs="宋体" w:eastAsia="宋体" w:hint="default"/>
                <w:sz w:val="15"/>
                <w:szCs w:val="15"/>
              </w:rPr>
              <w:t>坏账准备</w:t>
            </w:r>
          </w:p>
        </w:tc>
      </w:tr>
      <w:tr>
        <w:trPr>
          <w:trHeight w:val="758" w:hRule="exact"/>
        </w:trPr>
        <w:tc>
          <w:tcPr>
            <w:tcW w:w="1296" w:type="dxa"/>
            <w:vMerge/>
            <w:tcBorders>
              <w:left w:val="nil" w:sz="6" w:space="0" w:color="auto"/>
              <w:bottom w:val="dotted" w:sz="4" w:space="0" w:color="000000"/>
              <w:right w:val="dotted" w:sz="4" w:space="0" w:color="000000"/>
            </w:tcBorders>
          </w:tcPr>
          <w:p>
            <w:pP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211"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48"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11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197"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34"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235"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7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12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left="180"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17"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r>
      <w:tr>
        <w:trPr>
          <w:trHeight w:val="1133" w:hRule="exact"/>
        </w:trPr>
        <w:tc>
          <w:tcPr>
            <w:tcW w:w="1296" w:type="dxa"/>
            <w:tcBorders>
              <w:top w:val="dotted" w:sz="4" w:space="0" w:color="000000"/>
              <w:left w:val="nil" w:sz="6" w:space="0" w:color="auto"/>
              <w:bottom w:val="dotted" w:sz="4" w:space="0" w:color="000000"/>
              <w:right w:val="dotted" w:sz="4" w:space="0" w:color="000000"/>
            </w:tcBorders>
          </w:tcPr>
          <w:p>
            <w:pPr>
              <w:pStyle w:val="TableParagraph"/>
              <w:spacing w:line="458" w:lineRule="auto" w:before="65"/>
              <w:ind w:left="122" w:right="99"/>
              <w:jc w:val="both"/>
              <w:rPr>
                <w:rFonts w:ascii="宋体" w:hAnsi="宋体" w:cs="宋体" w:eastAsia="宋体" w:hint="default"/>
                <w:sz w:val="15"/>
                <w:szCs w:val="15"/>
              </w:rPr>
            </w:pPr>
            <w:r>
              <w:rPr>
                <w:rFonts w:ascii="宋体" w:hAnsi="宋体" w:cs="宋体" w:eastAsia="宋体" w:hint="default"/>
                <w:sz w:val="15"/>
                <w:szCs w:val="15"/>
              </w:rPr>
              <w:t>单项金额重大并</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单项计提坏账准</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备的应收账款</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8"/>
              <w:ind w:left="83" w:right="0"/>
              <w:jc w:val="center"/>
              <w:rPr>
                <w:rFonts w:ascii="Times New Roman" w:hAnsi="Times New Roman" w:cs="Times New Roman" w:eastAsia="Times New Roman" w:hint="default"/>
                <w:sz w:val="15"/>
                <w:szCs w:val="15"/>
              </w:rPr>
            </w:pPr>
            <w:r>
              <w:rPr>
                <w:rFonts w:ascii="Times New Roman"/>
                <w:sz w:val="15"/>
              </w:rPr>
              <w:t>14,372,693.41</w:t>
            </w:r>
          </w:p>
        </w:tc>
        <w:tc>
          <w:tcPr>
            <w:tcW w:w="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pacing w:val="-1"/>
                <w:sz w:val="15"/>
              </w:rPr>
              <w:t>9.75</w:t>
            </w:r>
          </w:p>
        </w:tc>
        <w:tc>
          <w:tcPr>
            <w:tcW w:w="1109" w:type="dxa"/>
            <w:tcBorders>
              <w:top w:val="dotted" w:sz="4" w:space="0" w:color="000000"/>
              <w:left w:val="dotted" w:sz="4" w:space="0" w:color="000000"/>
              <w:bottom w:val="dotted" w:sz="4" w:space="0" w:color="000000"/>
              <w:right w:val="dotted" w:sz="4" w:space="0" w:color="000000"/>
            </w:tcBorders>
          </w:tcPr>
          <w:p>
            <w:pPr/>
          </w:p>
        </w:tc>
        <w:tc>
          <w:tcPr>
            <w:tcW w:w="704"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pacing w:val="-1"/>
                <w:sz w:val="15"/>
              </w:rPr>
              <w:t>3,656,446.64</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8"/>
              <w:ind w:right="97"/>
              <w:jc w:val="right"/>
              <w:rPr>
                <w:rFonts w:ascii="Times New Roman" w:hAnsi="Times New Roman" w:cs="Times New Roman" w:eastAsia="Times New Roman" w:hint="default"/>
                <w:sz w:val="15"/>
                <w:szCs w:val="15"/>
              </w:rPr>
            </w:pPr>
            <w:r>
              <w:rPr>
                <w:rFonts w:ascii="Times New Roman"/>
                <w:spacing w:val="-1"/>
                <w:sz w:val="15"/>
              </w:rPr>
              <w:t>4.34</w:t>
            </w:r>
          </w:p>
        </w:tc>
        <w:tc>
          <w:tcPr>
            <w:tcW w:w="1205" w:type="dxa"/>
            <w:tcBorders>
              <w:top w:val="dotted" w:sz="4" w:space="0" w:color="000000"/>
              <w:left w:val="dotted" w:sz="4" w:space="0" w:color="000000"/>
              <w:bottom w:val="dotted" w:sz="4" w:space="0" w:color="000000"/>
              <w:right w:val="dotted" w:sz="4" w:space="0" w:color="000000"/>
            </w:tcBorders>
          </w:tcPr>
          <w:p>
            <w:pPr/>
          </w:p>
        </w:tc>
        <w:tc>
          <w:tcPr>
            <w:tcW w:w="670" w:type="dxa"/>
            <w:tcBorders>
              <w:top w:val="dotted" w:sz="4" w:space="0" w:color="000000"/>
              <w:left w:val="dotted" w:sz="4" w:space="0" w:color="000000"/>
              <w:bottom w:val="dotted" w:sz="4" w:space="0" w:color="000000"/>
              <w:right w:val="nil" w:sz="6" w:space="0" w:color="auto"/>
            </w:tcBorders>
          </w:tcPr>
          <w:p>
            <w:pPr/>
          </w:p>
        </w:tc>
      </w:tr>
      <w:tr>
        <w:trPr>
          <w:trHeight w:val="759" w:hRule="exact"/>
        </w:trPr>
        <w:tc>
          <w:tcPr>
            <w:tcW w:w="1296" w:type="dxa"/>
            <w:tcBorders>
              <w:top w:val="dotted" w:sz="4" w:space="0" w:color="000000"/>
              <w:left w:val="nil" w:sz="6" w:space="0" w:color="auto"/>
              <w:bottom w:val="dotted" w:sz="4" w:space="0" w:color="000000"/>
              <w:right w:val="dotted" w:sz="4" w:space="0" w:color="000000"/>
            </w:tcBorders>
          </w:tcPr>
          <w:p>
            <w:pPr>
              <w:pStyle w:val="TableParagraph"/>
              <w:spacing w:line="458" w:lineRule="auto" w:before="65"/>
              <w:ind w:left="122" w:right="99"/>
              <w:jc w:val="left"/>
              <w:rPr>
                <w:rFonts w:ascii="宋体" w:hAnsi="宋体" w:cs="宋体" w:eastAsia="宋体" w:hint="default"/>
                <w:sz w:val="15"/>
                <w:szCs w:val="15"/>
              </w:rPr>
            </w:pPr>
            <w:r>
              <w:rPr>
                <w:rFonts w:ascii="宋体" w:hAnsi="宋体" w:cs="宋体" w:eastAsia="宋体" w:hint="default"/>
                <w:sz w:val="15"/>
                <w:szCs w:val="15"/>
              </w:rPr>
              <w:t>按组合计提坏账</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准备的应收账款</w:t>
            </w:r>
          </w:p>
        </w:tc>
        <w:tc>
          <w:tcPr>
            <w:tcW w:w="1162" w:type="dxa"/>
            <w:tcBorders>
              <w:top w:val="dotted" w:sz="4" w:space="0" w:color="000000"/>
              <w:left w:val="dotted" w:sz="4" w:space="0" w:color="000000"/>
              <w:bottom w:val="dotted" w:sz="4" w:space="0" w:color="000000"/>
              <w:right w:val="dotted" w:sz="4" w:space="0" w:color="000000"/>
            </w:tcBorders>
          </w:tcPr>
          <w:p>
            <w:pPr/>
          </w:p>
        </w:tc>
        <w:tc>
          <w:tcPr>
            <w:tcW w:w="734" w:type="dxa"/>
            <w:tcBorders>
              <w:top w:val="dotted" w:sz="4" w:space="0" w:color="000000"/>
              <w:left w:val="dotted" w:sz="4" w:space="0" w:color="000000"/>
              <w:bottom w:val="dotted" w:sz="4" w:space="0" w:color="000000"/>
              <w:right w:val="dotted" w:sz="4" w:space="0" w:color="000000"/>
            </w:tcBorders>
          </w:tcPr>
          <w:p>
            <w:pPr/>
          </w:p>
        </w:tc>
        <w:tc>
          <w:tcPr>
            <w:tcW w:w="1109" w:type="dxa"/>
            <w:tcBorders>
              <w:top w:val="dotted" w:sz="4" w:space="0" w:color="000000"/>
              <w:left w:val="dotted" w:sz="4" w:space="0" w:color="000000"/>
              <w:bottom w:val="dotted" w:sz="4" w:space="0" w:color="000000"/>
              <w:right w:val="dotted" w:sz="4" w:space="0" w:color="000000"/>
            </w:tcBorders>
          </w:tcPr>
          <w:p>
            <w:pPr/>
          </w:p>
        </w:tc>
        <w:tc>
          <w:tcPr>
            <w:tcW w:w="704"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dotted" w:sz="4" w:space="0" w:color="000000"/>
            </w:tcBorders>
          </w:tcPr>
          <w:p>
            <w:pPr/>
          </w:p>
        </w:tc>
        <w:tc>
          <w:tcPr>
            <w:tcW w:w="778" w:type="dxa"/>
            <w:tcBorders>
              <w:top w:val="dotted" w:sz="4" w:space="0" w:color="000000"/>
              <w:left w:val="dotted" w:sz="4" w:space="0" w:color="000000"/>
              <w:bottom w:val="dotted" w:sz="4" w:space="0" w:color="000000"/>
              <w:right w:val="dotted" w:sz="4" w:space="0" w:color="000000"/>
            </w:tcBorders>
          </w:tcPr>
          <w:p>
            <w:pPr/>
          </w:p>
        </w:tc>
        <w:tc>
          <w:tcPr>
            <w:tcW w:w="1205" w:type="dxa"/>
            <w:tcBorders>
              <w:top w:val="dotted" w:sz="4" w:space="0" w:color="000000"/>
              <w:left w:val="dotted" w:sz="4" w:space="0" w:color="000000"/>
              <w:bottom w:val="dotted" w:sz="4" w:space="0" w:color="000000"/>
              <w:right w:val="dotted" w:sz="4" w:space="0" w:color="000000"/>
            </w:tcBorders>
          </w:tcPr>
          <w:p>
            <w:pPr/>
          </w:p>
        </w:tc>
        <w:tc>
          <w:tcPr>
            <w:tcW w:w="670" w:type="dxa"/>
            <w:tcBorders>
              <w:top w:val="dotted" w:sz="4" w:space="0" w:color="000000"/>
              <w:left w:val="dotted" w:sz="4" w:space="0" w:color="000000"/>
              <w:bottom w:val="dotted" w:sz="4" w:space="0" w:color="000000"/>
              <w:right w:val="nil" w:sz="6" w:space="0" w:color="auto"/>
            </w:tcBorders>
          </w:tcPr>
          <w:p>
            <w:pPr/>
          </w:p>
        </w:tc>
      </w:tr>
      <w:tr>
        <w:trPr>
          <w:trHeight w:val="386" w:hRule="exact"/>
        </w:trPr>
        <w:tc>
          <w:tcPr>
            <w:tcW w:w="129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7"/>
              <w:ind w:left="1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组合</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1</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2"/>
              <w:ind w:left="7" w:right="0"/>
              <w:jc w:val="center"/>
              <w:rPr>
                <w:rFonts w:ascii="Times New Roman" w:hAnsi="Times New Roman" w:cs="Times New Roman" w:eastAsia="Times New Roman" w:hint="default"/>
                <w:sz w:val="15"/>
                <w:szCs w:val="15"/>
              </w:rPr>
            </w:pPr>
            <w:r>
              <w:rPr>
                <w:rFonts w:ascii="Times New Roman"/>
                <w:sz w:val="15"/>
              </w:rPr>
              <w:t>133,050,650.60</w:t>
            </w:r>
          </w:p>
        </w:tc>
        <w:tc>
          <w:tcPr>
            <w:tcW w:w="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90.25</w:t>
            </w:r>
          </w:p>
        </w:tc>
        <w:tc>
          <w:tcPr>
            <w:tcW w:w="11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2"/>
              <w:ind w:left="31" w:right="0"/>
              <w:jc w:val="center"/>
              <w:rPr>
                <w:rFonts w:ascii="Times New Roman" w:hAnsi="Times New Roman" w:cs="Times New Roman" w:eastAsia="Times New Roman" w:hint="default"/>
                <w:sz w:val="15"/>
                <w:szCs w:val="15"/>
              </w:rPr>
            </w:pPr>
            <w:r>
              <w:rPr>
                <w:rFonts w:ascii="Times New Roman"/>
                <w:sz w:val="15"/>
              </w:rPr>
              <w:t>16,527,878.63</w:t>
            </w:r>
          </w:p>
        </w:tc>
        <w:tc>
          <w:tcPr>
            <w:tcW w:w="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12.42</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80,614,122.73</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2"/>
              <w:ind w:right="97"/>
              <w:jc w:val="right"/>
              <w:rPr>
                <w:rFonts w:ascii="Times New Roman" w:hAnsi="Times New Roman" w:cs="Times New Roman" w:eastAsia="Times New Roman" w:hint="default"/>
                <w:sz w:val="15"/>
                <w:szCs w:val="15"/>
              </w:rPr>
            </w:pPr>
            <w:r>
              <w:rPr>
                <w:rFonts w:ascii="Times New Roman"/>
                <w:spacing w:val="-1"/>
                <w:sz w:val="15"/>
              </w:rPr>
              <w:t>95.66</w:t>
            </w:r>
          </w:p>
        </w:tc>
        <w:tc>
          <w:tcPr>
            <w:tcW w:w="12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9,090,184.19</w:t>
            </w:r>
          </w:p>
        </w:tc>
        <w:tc>
          <w:tcPr>
            <w:tcW w:w="6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2"/>
              <w:ind w:right="105"/>
              <w:jc w:val="right"/>
              <w:rPr>
                <w:rFonts w:ascii="Times New Roman" w:hAnsi="Times New Roman" w:cs="Times New Roman" w:eastAsia="Times New Roman" w:hint="default"/>
                <w:sz w:val="15"/>
                <w:szCs w:val="15"/>
              </w:rPr>
            </w:pPr>
            <w:r>
              <w:rPr>
                <w:rFonts w:ascii="Times New Roman"/>
                <w:spacing w:val="-2"/>
                <w:sz w:val="15"/>
              </w:rPr>
              <w:t>11.28</w:t>
            </w:r>
          </w:p>
        </w:tc>
      </w:tr>
      <w:tr>
        <w:trPr>
          <w:trHeight w:val="384" w:hRule="exact"/>
        </w:trPr>
        <w:tc>
          <w:tcPr>
            <w:tcW w:w="129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2" w:right="0"/>
              <w:jc w:val="left"/>
              <w:rPr>
                <w:rFonts w:ascii="宋体" w:hAnsi="宋体" w:cs="宋体" w:eastAsia="宋体" w:hint="default"/>
                <w:sz w:val="15"/>
                <w:szCs w:val="15"/>
              </w:rPr>
            </w:pPr>
            <w:r>
              <w:rPr>
                <w:rFonts w:ascii="宋体" w:hAnsi="宋体" w:cs="宋体" w:eastAsia="宋体" w:hint="default"/>
                <w:sz w:val="15"/>
                <w:szCs w:val="15"/>
              </w:rPr>
              <w:t>组合小计</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left="7" w:right="0"/>
              <w:jc w:val="center"/>
              <w:rPr>
                <w:rFonts w:ascii="Times New Roman" w:hAnsi="Times New Roman" w:cs="Times New Roman" w:eastAsia="Times New Roman" w:hint="default"/>
                <w:sz w:val="15"/>
                <w:szCs w:val="15"/>
              </w:rPr>
            </w:pPr>
            <w:r>
              <w:rPr>
                <w:rFonts w:ascii="Times New Roman"/>
                <w:sz w:val="15"/>
              </w:rPr>
              <w:t>133,050,650.60</w:t>
            </w:r>
          </w:p>
        </w:tc>
        <w:tc>
          <w:tcPr>
            <w:tcW w:w="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90.25</w:t>
            </w:r>
          </w:p>
        </w:tc>
        <w:tc>
          <w:tcPr>
            <w:tcW w:w="11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left="31" w:right="0"/>
              <w:jc w:val="center"/>
              <w:rPr>
                <w:rFonts w:ascii="Times New Roman" w:hAnsi="Times New Roman" w:cs="Times New Roman" w:eastAsia="Times New Roman" w:hint="default"/>
                <w:sz w:val="15"/>
                <w:szCs w:val="15"/>
              </w:rPr>
            </w:pPr>
            <w:r>
              <w:rPr>
                <w:rFonts w:ascii="Times New Roman"/>
                <w:sz w:val="15"/>
              </w:rPr>
              <w:t>16,527,878.63</w:t>
            </w:r>
          </w:p>
        </w:tc>
        <w:tc>
          <w:tcPr>
            <w:tcW w:w="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12.42</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80,614,122.73</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97"/>
              <w:jc w:val="right"/>
              <w:rPr>
                <w:rFonts w:ascii="Times New Roman" w:hAnsi="Times New Roman" w:cs="Times New Roman" w:eastAsia="Times New Roman" w:hint="default"/>
                <w:sz w:val="15"/>
                <w:szCs w:val="15"/>
              </w:rPr>
            </w:pPr>
            <w:r>
              <w:rPr>
                <w:rFonts w:ascii="Times New Roman"/>
                <w:spacing w:val="-1"/>
                <w:sz w:val="15"/>
              </w:rPr>
              <w:t>95.66</w:t>
            </w:r>
          </w:p>
        </w:tc>
        <w:tc>
          <w:tcPr>
            <w:tcW w:w="12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9,090,184.19</w:t>
            </w:r>
          </w:p>
        </w:tc>
        <w:tc>
          <w:tcPr>
            <w:tcW w:w="6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15"/>
                <w:szCs w:val="15"/>
              </w:rPr>
            </w:pPr>
            <w:r>
              <w:rPr>
                <w:rFonts w:ascii="Times New Roman"/>
                <w:spacing w:val="-2"/>
                <w:sz w:val="15"/>
              </w:rPr>
              <w:t>11.28</w:t>
            </w:r>
          </w:p>
        </w:tc>
      </w:tr>
      <w:tr>
        <w:trPr>
          <w:trHeight w:val="1507" w:hRule="exact"/>
        </w:trPr>
        <w:tc>
          <w:tcPr>
            <w:tcW w:w="1296" w:type="dxa"/>
            <w:tcBorders>
              <w:top w:val="dotted" w:sz="4" w:space="0" w:color="000000"/>
              <w:left w:val="nil" w:sz="6" w:space="0" w:color="auto"/>
              <w:bottom w:val="dotted" w:sz="4" w:space="0" w:color="000000"/>
              <w:right w:val="dotted" w:sz="4" w:space="0" w:color="000000"/>
            </w:tcBorders>
          </w:tcPr>
          <w:p>
            <w:pPr>
              <w:pStyle w:val="TableParagraph"/>
              <w:spacing w:line="458" w:lineRule="auto" w:before="65"/>
              <w:ind w:left="122" w:right="99"/>
              <w:jc w:val="both"/>
              <w:rPr>
                <w:rFonts w:ascii="宋体" w:hAnsi="宋体" w:cs="宋体" w:eastAsia="宋体" w:hint="default"/>
                <w:sz w:val="15"/>
                <w:szCs w:val="15"/>
              </w:rPr>
            </w:pPr>
            <w:r>
              <w:rPr>
                <w:rFonts w:ascii="宋体" w:hAnsi="宋体" w:cs="宋体" w:eastAsia="宋体" w:hint="default"/>
                <w:sz w:val="15"/>
                <w:szCs w:val="15"/>
              </w:rPr>
              <w:t>单项金额虽不重</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大但单项计提坏</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账准备的应收账</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款</w:t>
            </w:r>
          </w:p>
        </w:tc>
        <w:tc>
          <w:tcPr>
            <w:tcW w:w="1162" w:type="dxa"/>
            <w:tcBorders>
              <w:top w:val="dotted" w:sz="4" w:space="0" w:color="000000"/>
              <w:left w:val="dotted" w:sz="4" w:space="0" w:color="000000"/>
              <w:bottom w:val="dotted" w:sz="4" w:space="0" w:color="000000"/>
              <w:right w:val="dotted" w:sz="4" w:space="0" w:color="000000"/>
            </w:tcBorders>
          </w:tcPr>
          <w:p>
            <w:pPr/>
          </w:p>
        </w:tc>
        <w:tc>
          <w:tcPr>
            <w:tcW w:w="734" w:type="dxa"/>
            <w:tcBorders>
              <w:top w:val="dotted" w:sz="4" w:space="0" w:color="000000"/>
              <w:left w:val="dotted" w:sz="4" w:space="0" w:color="000000"/>
              <w:bottom w:val="dotted" w:sz="4" w:space="0" w:color="000000"/>
              <w:right w:val="dotted" w:sz="4" w:space="0" w:color="000000"/>
            </w:tcBorders>
          </w:tcPr>
          <w:p>
            <w:pPr/>
          </w:p>
        </w:tc>
        <w:tc>
          <w:tcPr>
            <w:tcW w:w="1109" w:type="dxa"/>
            <w:tcBorders>
              <w:top w:val="dotted" w:sz="4" w:space="0" w:color="000000"/>
              <w:left w:val="dotted" w:sz="4" w:space="0" w:color="000000"/>
              <w:bottom w:val="dotted" w:sz="4" w:space="0" w:color="000000"/>
              <w:right w:val="dotted" w:sz="4" w:space="0" w:color="000000"/>
            </w:tcBorders>
          </w:tcPr>
          <w:p>
            <w:pPr/>
          </w:p>
        </w:tc>
        <w:tc>
          <w:tcPr>
            <w:tcW w:w="704"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dotted" w:sz="4" w:space="0" w:color="000000"/>
            </w:tcBorders>
          </w:tcPr>
          <w:p>
            <w:pPr/>
          </w:p>
        </w:tc>
        <w:tc>
          <w:tcPr>
            <w:tcW w:w="778" w:type="dxa"/>
            <w:tcBorders>
              <w:top w:val="dotted" w:sz="4" w:space="0" w:color="000000"/>
              <w:left w:val="dotted" w:sz="4" w:space="0" w:color="000000"/>
              <w:bottom w:val="dotted" w:sz="4" w:space="0" w:color="000000"/>
              <w:right w:val="dotted" w:sz="4" w:space="0" w:color="000000"/>
            </w:tcBorders>
          </w:tcPr>
          <w:p>
            <w:pPr/>
          </w:p>
        </w:tc>
        <w:tc>
          <w:tcPr>
            <w:tcW w:w="1205" w:type="dxa"/>
            <w:tcBorders>
              <w:top w:val="dotted" w:sz="4" w:space="0" w:color="000000"/>
              <w:left w:val="dotted" w:sz="4" w:space="0" w:color="000000"/>
              <w:bottom w:val="dotted" w:sz="4" w:space="0" w:color="000000"/>
              <w:right w:val="dotted" w:sz="4" w:space="0" w:color="000000"/>
            </w:tcBorders>
          </w:tcPr>
          <w:p>
            <w:pPr/>
          </w:p>
        </w:tc>
        <w:tc>
          <w:tcPr>
            <w:tcW w:w="670" w:type="dxa"/>
            <w:tcBorders>
              <w:top w:val="dotted" w:sz="4" w:space="0" w:color="000000"/>
              <w:left w:val="dotted" w:sz="4" w:space="0" w:color="000000"/>
              <w:bottom w:val="dotted" w:sz="4" w:space="0" w:color="000000"/>
              <w:right w:val="nil" w:sz="6" w:space="0" w:color="auto"/>
            </w:tcBorders>
          </w:tcPr>
          <w:p>
            <w:pPr/>
          </w:p>
        </w:tc>
      </w:tr>
      <w:tr>
        <w:trPr>
          <w:trHeight w:val="396" w:hRule="exact"/>
        </w:trPr>
        <w:tc>
          <w:tcPr>
            <w:tcW w:w="129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5"/>
              <w:ind w:left="19"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left="7" w:right="0"/>
              <w:jc w:val="center"/>
              <w:rPr>
                <w:rFonts w:ascii="Times New Roman" w:hAnsi="Times New Roman" w:cs="Times New Roman" w:eastAsia="Times New Roman" w:hint="default"/>
                <w:sz w:val="15"/>
                <w:szCs w:val="15"/>
              </w:rPr>
            </w:pPr>
            <w:r>
              <w:rPr>
                <w:rFonts w:ascii="Times New Roman"/>
                <w:sz w:val="15"/>
              </w:rPr>
              <w:t>147,423,344.01</w:t>
            </w:r>
          </w:p>
        </w:tc>
        <w:tc>
          <w:tcPr>
            <w:tcW w:w="7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100.00</w:t>
            </w:r>
          </w:p>
        </w:tc>
        <w:tc>
          <w:tcPr>
            <w:tcW w:w="11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left="31" w:right="0"/>
              <w:jc w:val="center"/>
              <w:rPr>
                <w:rFonts w:ascii="Times New Roman" w:hAnsi="Times New Roman" w:cs="Times New Roman" w:eastAsia="Times New Roman" w:hint="default"/>
                <w:sz w:val="15"/>
                <w:szCs w:val="15"/>
              </w:rPr>
            </w:pPr>
            <w:r>
              <w:rPr>
                <w:rFonts w:ascii="Times New Roman"/>
                <w:sz w:val="15"/>
              </w:rPr>
              <w:t>16,527,878.63</w:t>
            </w:r>
          </w:p>
        </w:tc>
        <w:tc>
          <w:tcPr>
            <w:tcW w:w="704" w:type="dxa"/>
            <w:tcBorders>
              <w:top w:val="dotted" w:sz="4" w:space="0" w:color="000000"/>
              <w:left w:val="dotted" w:sz="4" w:space="0" w:color="000000"/>
              <w:bottom w:val="single" w:sz="12" w:space="0" w:color="000000"/>
              <w:right w:val="dotted" w:sz="4" w:space="0" w:color="000000"/>
            </w:tcBorders>
          </w:tcPr>
          <w:p>
            <w:pPr/>
          </w:p>
        </w:tc>
        <w:tc>
          <w:tcPr>
            <w:tcW w:w="11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84,270,569.37</w:t>
            </w:r>
          </w:p>
        </w:tc>
        <w:tc>
          <w:tcPr>
            <w:tcW w:w="7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right="97"/>
              <w:jc w:val="right"/>
              <w:rPr>
                <w:rFonts w:ascii="Times New Roman" w:hAnsi="Times New Roman" w:cs="Times New Roman" w:eastAsia="Times New Roman" w:hint="default"/>
                <w:sz w:val="15"/>
                <w:szCs w:val="15"/>
              </w:rPr>
            </w:pPr>
            <w:r>
              <w:rPr>
                <w:rFonts w:ascii="Times New Roman"/>
                <w:spacing w:val="-1"/>
                <w:sz w:val="15"/>
              </w:rPr>
              <w:t>100.00</w:t>
            </w:r>
          </w:p>
        </w:tc>
        <w:tc>
          <w:tcPr>
            <w:tcW w:w="120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9,090,184.19</w:t>
            </w:r>
          </w:p>
        </w:tc>
        <w:tc>
          <w:tcPr>
            <w:tcW w:w="670"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spacing w:line="348" w:lineRule="auto" w:before="36"/>
        <w:ind w:left="858" w:right="2012" w:firstLine="0"/>
        <w:jc w:val="left"/>
        <w:rPr>
          <w:rFonts w:ascii="宋体" w:hAnsi="宋体" w:cs="宋体" w:eastAsia="宋体" w:hint="default"/>
          <w:sz w:val="21"/>
          <w:szCs w:val="21"/>
        </w:rPr>
      </w:pPr>
      <w:r>
        <w:rPr>
          <w:rFonts w:ascii="宋体" w:hAnsi="宋体" w:cs="宋体" w:eastAsia="宋体" w:hint="default"/>
          <w:sz w:val="21"/>
          <w:szCs w:val="21"/>
        </w:rPr>
        <w:t>应收账款种类的说明：</w:t>
      </w:r>
      <w:r>
        <w:rPr>
          <w:rFonts w:ascii="宋体" w:hAnsi="宋体" w:cs="宋体" w:eastAsia="宋体" w:hint="default"/>
          <w:w w:val="100"/>
          <w:sz w:val="21"/>
          <w:szCs w:val="21"/>
        </w:rPr>
        <w:t> </w:t>
      </w:r>
      <w:r>
        <w:rPr>
          <w:rFonts w:ascii="宋体" w:hAnsi="宋体" w:cs="宋体" w:eastAsia="宋体" w:hint="default"/>
          <w:spacing w:val="-2"/>
          <w:sz w:val="21"/>
          <w:szCs w:val="21"/>
        </w:rPr>
        <w:t>期末单项金额重大并单项计提坏账准备的应收账款</w:t>
      </w:r>
    </w:p>
    <w:p>
      <w:pPr>
        <w:spacing w:line="240" w:lineRule="auto" w:before="12"/>
        <w:rPr>
          <w:rFonts w:ascii="宋体" w:hAnsi="宋体" w:cs="宋体" w:eastAsia="宋体" w:hint="default"/>
          <w:sz w:val="25"/>
          <w:szCs w:val="25"/>
        </w:rPr>
      </w:pPr>
    </w:p>
    <w:tbl>
      <w:tblPr>
        <w:tblW w:w="0" w:type="auto"/>
        <w:jc w:val="left"/>
        <w:tblInd w:w="661" w:type="dxa"/>
        <w:tblLayout w:type="fixed"/>
        <w:tblCellMar>
          <w:top w:w="0" w:type="dxa"/>
          <w:left w:w="0" w:type="dxa"/>
          <w:bottom w:w="0" w:type="dxa"/>
          <w:right w:w="0" w:type="dxa"/>
        </w:tblCellMar>
        <w:tblLook w:val="01E0"/>
      </w:tblPr>
      <w:tblGrid>
        <w:gridCol w:w="2494"/>
        <w:gridCol w:w="1447"/>
        <w:gridCol w:w="1560"/>
        <w:gridCol w:w="1015"/>
        <w:gridCol w:w="1455"/>
      </w:tblGrid>
      <w:tr>
        <w:trPr>
          <w:trHeight w:val="394" w:hRule="exact"/>
        </w:trPr>
        <w:tc>
          <w:tcPr>
            <w:tcW w:w="249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9"/>
              <w:ind w:left="7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44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3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4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1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14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45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9"/>
              <w:ind w:left="36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96" w:hRule="exact"/>
        </w:trPr>
        <w:tc>
          <w:tcPr>
            <w:tcW w:w="249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9"/>
              <w:ind w:left="213" w:right="0"/>
              <w:jc w:val="left"/>
              <w:rPr>
                <w:rFonts w:ascii="宋体" w:hAnsi="宋体" w:cs="宋体" w:eastAsia="宋体" w:hint="default"/>
                <w:sz w:val="18"/>
                <w:szCs w:val="18"/>
              </w:rPr>
            </w:pPr>
            <w:r>
              <w:rPr>
                <w:rFonts w:ascii="宋体" w:hAnsi="宋体" w:cs="宋体" w:eastAsia="宋体" w:hint="default"/>
                <w:sz w:val="18"/>
                <w:szCs w:val="18"/>
              </w:rPr>
              <w:t>汉得日本株式会社</w:t>
            </w:r>
          </w:p>
        </w:tc>
        <w:tc>
          <w:tcPr>
            <w:tcW w:w="144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left="300" w:right="0"/>
              <w:jc w:val="left"/>
              <w:rPr>
                <w:rFonts w:ascii="Times New Roman" w:hAnsi="Times New Roman" w:cs="Times New Roman" w:eastAsia="Times New Roman" w:hint="default"/>
                <w:sz w:val="18"/>
                <w:szCs w:val="18"/>
              </w:rPr>
            </w:pPr>
            <w:r>
              <w:rPr>
                <w:rFonts w:ascii="Times New Roman"/>
                <w:sz w:val="18"/>
              </w:rPr>
              <w:t>14,372,693.41</w:t>
            </w:r>
          </w:p>
        </w:tc>
        <w:tc>
          <w:tcPr>
            <w:tcW w:w="1560" w:type="dxa"/>
            <w:tcBorders>
              <w:top w:val="dotted" w:sz="4" w:space="0" w:color="000000"/>
              <w:left w:val="dotted" w:sz="4" w:space="0" w:color="000000"/>
              <w:bottom w:val="single" w:sz="12" w:space="0" w:color="000000"/>
              <w:right w:val="dotted" w:sz="4" w:space="0" w:color="000000"/>
            </w:tcBorders>
          </w:tcPr>
          <w:p>
            <w:pPr/>
          </w:p>
        </w:tc>
        <w:tc>
          <w:tcPr>
            <w:tcW w:w="1015" w:type="dxa"/>
            <w:tcBorders>
              <w:top w:val="dotted" w:sz="4" w:space="0" w:color="000000"/>
              <w:left w:val="dotted" w:sz="4" w:space="0" w:color="000000"/>
              <w:bottom w:val="single" w:sz="12" w:space="0" w:color="000000"/>
              <w:right w:val="dotted" w:sz="4" w:space="0" w:color="000000"/>
            </w:tcBorders>
          </w:tcPr>
          <w:p>
            <w:pPr/>
          </w:p>
        </w:tc>
        <w:tc>
          <w:tcPr>
            <w:tcW w:w="145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z w:val="18"/>
                <w:szCs w:val="18"/>
              </w:rPr>
              <w:t>按会计政策</w:t>
            </w:r>
          </w:p>
        </w:tc>
      </w:tr>
    </w:tbl>
    <w:p>
      <w:pPr>
        <w:spacing w:after="0" w:line="240" w:lineRule="auto"/>
        <w:jc w:val="left"/>
        <w:rPr>
          <w:rFonts w:ascii="宋体" w:hAnsi="宋体" w:cs="宋体" w:eastAsia="宋体" w:hint="default"/>
          <w:sz w:val="18"/>
          <w:szCs w:val="18"/>
        </w:rPr>
        <w:sectPr>
          <w:pgSz w:w="11910" w:h="16840"/>
          <w:pgMar w:header="0" w:footer="980" w:top="1140" w:bottom="1160" w:left="1660" w:right="720"/>
        </w:sectPr>
      </w:pPr>
    </w:p>
    <w:p>
      <w:pPr>
        <w:spacing w:line="240" w:lineRule="auto" w:before="6"/>
        <w:rPr>
          <w:rFonts w:ascii="宋体" w:hAnsi="宋体" w:cs="宋体" w:eastAsia="宋体" w:hint="default"/>
          <w:sz w:val="21"/>
          <w:szCs w:val="21"/>
        </w:rPr>
      </w:pPr>
    </w:p>
    <w:tbl>
      <w:tblPr>
        <w:tblW w:w="0" w:type="auto"/>
        <w:jc w:val="left"/>
        <w:tblInd w:w="675" w:type="dxa"/>
        <w:tblLayout w:type="fixed"/>
        <w:tblCellMar>
          <w:top w:w="0" w:type="dxa"/>
          <w:left w:w="0" w:type="dxa"/>
          <w:bottom w:w="0" w:type="dxa"/>
          <w:right w:w="0" w:type="dxa"/>
        </w:tblCellMar>
        <w:tblLook w:val="01E0"/>
      </w:tblPr>
      <w:tblGrid>
        <w:gridCol w:w="2494"/>
        <w:gridCol w:w="1447"/>
        <w:gridCol w:w="1560"/>
        <w:gridCol w:w="1015"/>
        <w:gridCol w:w="1455"/>
      </w:tblGrid>
      <w:tr>
        <w:trPr>
          <w:trHeight w:val="406" w:hRule="exact"/>
        </w:trPr>
        <w:tc>
          <w:tcPr>
            <w:tcW w:w="2494" w:type="dxa"/>
            <w:tcBorders>
              <w:top w:val="single" w:sz="12" w:space="0" w:color="000000"/>
              <w:left w:val="nil" w:sz="6" w:space="0" w:color="auto"/>
              <w:bottom w:val="single" w:sz="12" w:space="0" w:color="000000"/>
              <w:right w:val="dotted" w:sz="4" w:space="0" w:color="000000"/>
            </w:tcBorders>
          </w:tcPr>
          <w:p>
            <w:pPr>
              <w:pStyle w:val="TableParagraph"/>
              <w:spacing w:line="240" w:lineRule="auto" w:before="41"/>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7" w:type="dxa"/>
            <w:tcBorders>
              <w:top w:val="single" w:sz="12" w:space="0" w:color="000000"/>
              <w:left w:val="dotted" w:sz="4" w:space="0" w:color="000000"/>
              <w:bottom w:val="single" w:sz="12" w:space="0" w:color="000000"/>
              <w:right w:val="dotted" w:sz="4" w:space="0" w:color="000000"/>
            </w:tcBorders>
          </w:tcPr>
          <w:p>
            <w:pPr>
              <w:pStyle w:val="TableParagraph"/>
              <w:spacing w:line="240" w:lineRule="auto" w:before="84"/>
              <w:ind w:left="300" w:right="0"/>
              <w:jc w:val="left"/>
              <w:rPr>
                <w:rFonts w:ascii="Times New Roman" w:hAnsi="Times New Roman" w:cs="Times New Roman" w:eastAsia="Times New Roman" w:hint="default"/>
                <w:sz w:val="18"/>
                <w:szCs w:val="18"/>
              </w:rPr>
            </w:pPr>
            <w:r>
              <w:rPr>
                <w:rFonts w:ascii="Times New Roman"/>
                <w:sz w:val="18"/>
              </w:rPr>
              <w:t>14,372,693.41</w:t>
            </w:r>
          </w:p>
        </w:tc>
        <w:tc>
          <w:tcPr>
            <w:tcW w:w="1560" w:type="dxa"/>
            <w:tcBorders>
              <w:top w:val="single" w:sz="12" w:space="0" w:color="000000"/>
              <w:left w:val="dotted" w:sz="4" w:space="0" w:color="000000"/>
              <w:bottom w:val="single" w:sz="12" w:space="0" w:color="000000"/>
              <w:right w:val="dotted" w:sz="4" w:space="0" w:color="000000"/>
            </w:tcBorders>
          </w:tcPr>
          <w:p>
            <w:pPr/>
          </w:p>
        </w:tc>
        <w:tc>
          <w:tcPr>
            <w:tcW w:w="1015" w:type="dxa"/>
            <w:tcBorders>
              <w:top w:val="single" w:sz="12" w:space="0" w:color="000000"/>
              <w:left w:val="dotted" w:sz="4" w:space="0" w:color="000000"/>
              <w:bottom w:val="single" w:sz="12" w:space="0" w:color="000000"/>
              <w:right w:val="dotted" w:sz="4" w:space="0" w:color="000000"/>
            </w:tcBorders>
          </w:tcPr>
          <w:p>
            <w:pPr/>
          </w:p>
        </w:tc>
        <w:tc>
          <w:tcPr>
            <w:tcW w:w="1455" w:type="dxa"/>
            <w:tcBorders>
              <w:top w:val="single" w:sz="12"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before="36"/>
        <w:ind w:left="858" w:right="0" w:firstLine="0"/>
        <w:jc w:val="left"/>
        <w:rPr>
          <w:rFonts w:ascii="宋体" w:hAnsi="宋体" w:cs="宋体" w:eastAsia="宋体" w:hint="default"/>
          <w:sz w:val="21"/>
          <w:szCs w:val="21"/>
        </w:rPr>
      </w:pPr>
      <w:r>
        <w:rPr>
          <w:rFonts w:ascii="宋体" w:hAnsi="宋体" w:cs="宋体" w:eastAsia="宋体" w:hint="default"/>
          <w:sz w:val="21"/>
          <w:szCs w:val="21"/>
        </w:rPr>
        <w:t>组合中，采用账龄分析法计提坏账准备的应收账款：</w:t>
      </w:r>
    </w:p>
    <w:p>
      <w:pPr>
        <w:spacing w:line="240" w:lineRule="auto" w:before="2"/>
        <w:rPr>
          <w:rFonts w:ascii="宋体" w:hAnsi="宋体" w:cs="宋体" w:eastAsia="宋体" w:hint="default"/>
          <w:sz w:val="26"/>
          <w:szCs w:val="26"/>
        </w:rPr>
      </w:pPr>
    </w:p>
    <w:tbl>
      <w:tblPr>
        <w:tblW w:w="0" w:type="auto"/>
        <w:jc w:val="left"/>
        <w:tblInd w:w="711" w:type="dxa"/>
        <w:tblLayout w:type="fixed"/>
        <w:tblCellMar>
          <w:top w:w="0" w:type="dxa"/>
          <w:left w:w="0" w:type="dxa"/>
          <w:bottom w:w="0" w:type="dxa"/>
          <w:right w:w="0" w:type="dxa"/>
        </w:tblCellMar>
        <w:tblLook w:val="01E0"/>
      </w:tblPr>
      <w:tblGrid>
        <w:gridCol w:w="886"/>
        <w:gridCol w:w="1347"/>
        <w:gridCol w:w="886"/>
        <w:gridCol w:w="1325"/>
        <w:gridCol w:w="1315"/>
        <w:gridCol w:w="902"/>
        <w:gridCol w:w="1261"/>
      </w:tblGrid>
      <w:tr>
        <w:trPr>
          <w:trHeight w:val="396" w:hRule="exact"/>
        </w:trPr>
        <w:tc>
          <w:tcPr>
            <w:tcW w:w="88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6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558"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78"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4" w:hRule="exact"/>
        </w:trPr>
        <w:tc>
          <w:tcPr>
            <w:tcW w:w="886" w:type="dxa"/>
            <w:vMerge/>
            <w:tcBorders>
              <w:left w:val="nil" w:sz="6" w:space="0" w:color="auto"/>
              <w:right w:val="dotted" w:sz="4" w:space="0" w:color="000000"/>
            </w:tcBorders>
          </w:tcPr>
          <w:p>
            <w:pPr/>
          </w:p>
        </w:tc>
        <w:tc>
          <w:tcPr>
            <w:tcW w:w="223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25"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18"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61"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58" w:hRule="exact"/>
        </w:trPr>
        <w:tc>
          <w:tcPr>
            <w:tcW w:w="886" w:type="dxa"/>
            <w:vMerge/>
            <w:tcBorders>
              <w:left w:val="nil" w:sz="6" w:space="0" w:color="auto"/>
              <w:bottom w:val="dotted" w:sz="4" w:space="0" w:color="000000"/>
              <w:right w:val="dotted" w:sz="4" w:space="0" w:color="000000"/>
            </w:tcBorders>
          </w:tcPr>
          <w:p>
            <w:pP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25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39"/>
              <w:ind w:left="1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25" w:type="dxa"/>
            <w:vMerge/>
            <w:tcBorders>
              <w:left w:val="dotted" w:sz="4" w:space="0" w:color="000000"/>
              <w:bottom w:val="dotted" w:sz="4" w:space="0" w:color="000000"/>
              <w:right w:val="dotted" w:sz="4" w:space="0" w:color="000000"/>
            </w:tcBorders>
          </w:tcPr>
          <w:p>
            <w:pPr/>
          </w:p>
        </w:tc>
        <w:tc>
          <w:tcPr>
            <w:tcW w:w="13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26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39"/>
              <w:ind w:left="19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1" w:type="dxa"/>
            <w:vMerge/>
            <w:tcBorders>
              <w:left w:val="dotted" w:sz="4" w:space="0" w:color="000000"/>
              <w:bottom w:val="dotted" w:sz="4" w:space="0" w:color="000000"/>
              <w:right w:val="nil" w:sz="6" w:space="0" w:color="auto"/>
            </w:tcBorders>
          </w:tcPr>
          <w:p>
            <w:pPr/>
          </w:p>
        </w:tc>
      </w:tr>
      <w:tr>
        <w:trPr>
          <w:trHeight w:val="384" w:hRule="exact"/>
        </w:trPr>
        <w:tc>
          <w:tcPr>
            <w:tcW w:w="8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年以内</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117,033,379.93</w:t>
            </w:r>
          </w:p>
        </w:tc>
        <w:tc>
          <w:tcPr>
            <w:tcW w:w="8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87.96</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5,851,669.00</w:t>
            </w:r>
          </w:p>
        </w:tc>
        <w:tc>
          <w:tcPr>
            <w:tcW w:w="13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73,008,325.09</w:t>
            </w:r>
          </w:p>
        </w:tc>
        <w:tc>
          <w:tcPr>
            <w:tcW w:w="9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90.57</w:t>
            </w:r>
          </w:p>
        </w:tc>
        <w:tc>
          <w:tcPr>
            <w:tcW w:w="12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3,650,416.25</w:t>
            </w:r>
          </w:p>
        </w:tc>
      </w:tr>
      <w:tr>
        <w:trPr>
          <w:trHeight w:val="384" w:hRule="exact"/>
        </w:trPr>
        <w:tc>
          <w:tcPr>
            <w:tcW w:w="8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10,682,122.09</w:t>
            </w:r>
          </w:p>
        </w:tc>
        <w:tc>
          <w:tcPr>
            <w:tcW w:w="8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8.03</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5,341,061.05</w:t>
            </w:r>
          </w:p>
        </w:tc>
        <w:tc>
          <w:tcPr>
            <w:tcW w:w="13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4,332,059.40</w:t>
            </w:r>
          </w:p>
        </w:tc>
        <w:tc>
          <w:tcPr>
            <w:tcW w:w="9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5.37</w:t>
            </w:r>
          </w:p>
        </w:tc>
        <w:tc>
          <w:tcPr>
            <w:tcW w:w="12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2,166,029.70</w:t>
            </w:r>
          </w:p>
        </w:tc>
      </w:tr>
      <w:tr>
        <w:trPr>
          <w:trHeight w:val="387" w:hRule="exact"/>
        </w:trPr>
        <w:tc>
          <w:tcPr>
            <w:tcW w:w="8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2,593,354.68</w:t>
            </w:r>
          </w:p>
        </w:tc>
        <w:tc>
          <w:tcPr>
            <w:tcW w:w="8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1.95</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2,593,354.68</w:t>
            </w:r>
          </w:p>
        </w:tc>
        <w:tc>
          <w:tcPr>
            <w:tcW w:w="13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1,558,472.20</w:t>
            </w:r>
          </w:p>
        </w:tc>
        <w:tc>
          <w:tcPr>
            <w:tcW w:w="9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1.93</w:t>
            </w:r>
          </w:p>
        </w:tc>
        <w:tc>
          <w:tcPr>
            <w:tcW w:w="12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18"/>
                <w:szCs w:val="18"/>
              </w:rPr>
            </w:pPr>
            <w:r>
              <w:rPr>
                <w:rFonts w:ascii="Times New Roman"/>
                <w:spacing w:val="-1"/>
                <w:sz w:val="18"/>
              </w:rPr>
              <w:t>1,558,472.20</w:t>
            </w:r>
          </w:p>
        </w:tc>
      </w:tr>
      <w:tr>
        <w:trPr>
          <w:trHeight w:val="384" w:hRule="exact"/>
        </w:trPr>
        <w:tc>
          <w:tcPr>
            <w:tcW w:w="8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年以上</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2,741,793.90</w:t>
            </w:r>
          </w:p>
        </w:tc>
        <w:tc>
          <w:tcPr>
            <w:tcW w:w="8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2.06</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2,741,793.90</w:t>
            </w:r>
          </w:p>
        </w:tc>
        <w:tc>
          <w:tcPr>
            <w:tcW w:w="13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1,715,266.04</w:t>
            </w:r>
          </w:p>
        </w:tc>
        <w:tc>
          <w:tcPr>
            <w:tcW w:w="9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2.13</w:t>
            </w:r>
          </w:p>
        </w:tc>
        <w:tc>
          <w:tcPr>
            <w:tcW w:w="12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1,715,266.04</w:t>
            </w:r>
          </w:p>
        </w:tc>
      </w:tr>
      <w:tr>
        <w:trPr>
          <w:trHeight w:val="394" w:hRule="exact"/>
        </w:trPr>
        <w:tc>
          <w:tcPr>
            <w:tcW w:w="88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9"/>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133,050,650.60</w:t>
            </w:r>
          </w:p>
        </w:tc>
        <w:tc>
          <w:tcPr>
            <w:tcW w:w="88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16,527,878.63</w:t>
            </w:r>
          </w:p>
        </w:tc>
        <w:tc>
          <w:tcPr>
            <w:tcW w:w="131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80,614,122.73</w:t>
            </w:r>
          </w:p>
        </w:tc>
        <w:tc>
          <w:tcPr>
            <w:tcW w:w="9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6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9,090,184.19</w:t>
            </w:r>
          </w:p>
        </w:tc>
      </w:tr>
    </w:tbl>
    <w:p>
      <w:pPr>
        <w:spacing w:line="240" w:lineRule="auto" w:before="2"/>
        <w:rPr>
          <w:rFonts w:ascii="宋体" w:hAnsi="宋体" w:cs="宋体" w:eastAsia="宋体" w:hint="default"/>
          <w:sz w:val="28"/>
          <w:szCs w:val="28"/>
        </w:rPr>
      </w:pPr>
    </w:p>
    <w:p>
      <w:pPr>
        <w:tabs>
          <w:tab w:pos="1395" w:val="left" w:leader="none"/>
        </w:tabs>
        <w:spacing w:before="36"/>
        <w:ind w:left="85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tab/>
        <w:t>本期转回或收回应收账款的情况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661" w:type="dxa"/>
        <w:tblLayout w:type="fixed"/>
        <w:tblCellMar>
          <w:top w:w="0" w:type="dxa"/>
          <w:left w:w="0" w:type="dxa"/>
          <w:bottom w:w="0" w:type="dxa"/>
          <w:right w:w="0" w:type="dxa"/>
        </w:tblCellMar>
        <w:tblLook w:val="01E0"/>
      </w:tblPr>
      <w:tblGrid>
        <w:gridCol w:w="2197"/>
        <w:gridCol w:w="1574"/>
        <w:gridCol w:w="1260"/>
        <w:gridCol w:w="1366"/>
        <w:gridCol w:w="1469"/>
      </w:tblGrid>
      <w:tr>
        <w:trPr>
          <w:trHeight w:val="1142" w:hRule="exact"/>
        </w:trPr>
        <w:tc>
          <w:tcPr>
            <w:tcW w:w="2197"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57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2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381" w:lineRule="auto"/>
              <w:ind w:left="175" w:right="173"/>
              <w:jc w:val="left"/>
              <w:rPr>
                <w:rFonts w:ascii="宋体" w:hAnsi="宋体" w:cs="宋体" w:eastAsia="宋体" w:hint="default"/>
                <w:sz w:val="18"/>
                <w:szCs w:val="18"/>
              </w:rPr>
            </w:pPr>
            <w:r>
              <w:rPr>
                <w:rFonts w:ascii="宋体" w:hAnsi="宋体" w:cs="宋体" w:eastAsia="宋体" w:hint="default"/>
                <w:sz w:val="18"/>
                <w:szCs w:val="18"/>
              </w:rPr>
              <w:t>确定原坏账 准备的依据</w:t>
            </w:r>
          </w:p>
        </w:tc>
        <w:tc>
          <w:tcPr>
            <w:tcW w:w="136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381" w:lineRule="auto"/>
              <w:ind w:left="496" w:right="227" w:hanging="269"/>
              <w:jc w:val="left"/>
              <w:rPr>
                <w:rFonts w:ascii="宋体" w:hAnsi="宋体" w:cs="宋体" w:eastAsia="宋体" w:hint="default"/>
                <w:sz w:val="18"/>
                <w:szCs w:val="18"/>
              </w:rPr>
            </w:pPr>
            <w:r>
              <w:rPr>
                <w:rFonts w:ascii="宋体" w:hAnsi="宋体" w:cs="宋体" w:eastAsia="宋体" w:hint="default"/>
                <w:sz w:val="18"/>
                <w:szCs w:val="18"/>
              </w:rPr>
              <w:t>转回或收回 金额</w:t>
            </w:r>
          </w:p>
        </w:tc>
        <w:tc>
          <w:tcPr>
            <w:tcW w:w="1469" w:type="dxa"/>
            <w:tcBorders>
              <w:top w:val="single" w:sz="12" w:space="0" w:color="000000"/>
              <w:left w:val="dotted" w:sz="4" w:space="0" w:color="000000"/>
              <w:bottom w:val="dotted" w:sz="4" w:space="0" w:color="000000"/>
              <w:right w:val="nil" w:sz="6" w:space="0" w:color="auto"/>
            </w:tcBorders>
          </w:tcPr>
          <w:p>
            <w:pPr>
              <w:pStyle w:val="TableParagraph"/>
              <w:spacing w:line="381" w:lineRule="auto" w:before="39"/>
              <w:ind w:left="187" w:right="195"/>
              <w:jc w:val="both"/>
              <w:rPr>
                <w:rFonts w:ascii="宋体" w:hAnsi="宋体" w:cs="宋体" w:eastAsia="宋体" w:hint="default"/>
                <w:sz w:val="18"/>
                <w:szCs w:val="18"/>
              </w:rPr>
            </w:pPr>
            <w:r>
              <w:rPr>
                <w:rFonts w:ascii="宋体" w:hAnsi="宋体" w:cs="宋体" w:eastAsia="宋体" w:hint="default"/>
                <w:sz w:val="18"/>
                <w:szCs w:val="18"/>
              </w:rPr>
              <w:t>转回或收回前 累计已计提坏 账准备金额</w:t>
            </w:r>
          </w:p>
        </w:tc>
      </w:tr>
      <w:tr>
        <w:trPr>
          <w:trHeight w:val="1508" w:hRule="exact"/>
        </w:trPr>
        <w:tc>
          <w:tcPr>
            <w:tcW w:w="2197" w:type="dxa"/>
            <w:tcBorders>
              <w:top w:val="dotted" w:sz="4" w:space="0" w:color="000000"/>
              <w:left w:val="nil" w:sz="6" w:space="0" w:color="auto"/>
              <w:bottom w:val="dotted" w:sz="4" w:space="0" w:color="000000"/>
              <w:right w:val="dotted" w:sz="4" w:space="0" w:color="000000"/>
            </w:tcBorders>
          </w:tcPr>
          <w:p>
            <w:pPr>
              <w:pStyle w:val="TableParagraph"/>
              <w:spacing w:line="381" w:lineRule="auto" w:before="39"/>
              <w:ind w:left="122" w:right="101"/>
              <w:jc w:val="both"/>
              <w:rPr>
                <w:rFonts w:ascii="宋体" w:hAnsi="宋体" w:cs="宋体" w:eastAsia="宋体" w:hint="default"/>
                <w:sz w:val="18"/>
                <w:szCs w:val="18"/>
              </w:rPr>
            </w:pPr>
            <w:r>
              <w:rPr>
                <w:rFonts w:ascii="宋体" w:hAnsi="宋体" w:cs="宋体" w:eastAsia="宋体" w:hint="default"/>
                <w:spacing w:val="16"/>
                <w:sz w:val="18"/>
                <w:szCs w:val="18"/>
              </w:rPr>
              <w:t>浙江盾安人工环境设备</w:t>
            </w:r>
            <w:r>
              <w:rPr>
                <w:rFonts w:ascii="宋体" w:hAnsi="宋体" w:cs="宋体" w:eastAsia="宋体" w:hint="default"/>
                <w:sz w:val="18"/>
                <w:szCs w:val="18"/>
              </w:rPr>
              <w:t> </w:t>
            </w:r>
            <w:r>
              <w:rPr>
                <w:rFonts w:ascii="宋体" w:hAnsi="宋体" w:cs="宋体" w:eastAsia="宋体" w:hint="default"/>
                <w:spacing w:val="16"/>
                <w:sz w:val="18"/>
                <w:szCs w:val="18"/>
              </w:rPr>
              <w:t>股份有限公司和佳通轮</w:t>
            </w:r>
            <w:r>
              <w:rPr>
                <w:rFonts w:ascii="宋体" w:hAnsi="宋体" w:cs="宋体" w:eastAsia="宋体" w:hint="default"/>
                <w:sz w:val="18"/>
                <w:szCs w:val="18"/>
              </w:rPr>
              <w:t> </w:t>
            </w:r>
            <w:r>
              <w:rPr>
                <w:rFonts w:ascii="宋体" w:hAnsi="宋体" w:cs="宋体" w:eastAsia="宋体" w:hint="default"/>
                <w:spacing w:val="-2"/>
                <w:sz w:val="18"/>
                <w:szCs w:val="18"/>
              </w:rPr>
              <w:t>胎（中国）投资有限公司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等</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家客户</w:t>
            </w:r>
          </w:p>
        </w:tc>
        <w:tc>
          <w:tcPr>
            <w:tcW w:w="15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客户还款。</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按会计政策</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1,648,092.69</w:t>
            </w:r>
          </w:p>
        </w:tc>
        <w:tc>
          <w:tcPr>
            <w:tcW w:w="146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824,046.35</w:t>
            </w:r>
          </w:p>
        </w:tc>
      </w:tr>
      <w:tr>
        <w:trPr>
          <w:trHeight w:val="761" w:hRule="exact"/>
        </w:trPr>
        <w:tc>
          <w:tcPr>
            <w:tcW w:w="2197" w:type="dxa"/>
            <w:tcBorders>
              <w:top w:val="dotted" w:sz="4" w:space="0" w:color="000000"/>
              <w:left w:val="nil" w:sz="6" w:space="0" w:color="auto"/>
              <w:bottom w:val="dotted" w:sz="4" w:space="0" w:color="000000"/>
              <w:right w:val="dotted" w:sz="4" w:space="0" w:color="000000"/>
            </w:tcBorders>
          </w:tcPr>
          <w:p>
            <w:pPr>
              <w:pStyle w:val="TableParagraph"/>
              <w:spacing w:line="381" w:lineRule="auto" w:before="41"/>
              <w:ind w:left="122" w:right="101"/>
              <w:jc w:val="left"/>
              <w:rPr>
                <w:rFonts w:ascii="宋体" w:hAnsi="宋体" w:cs="宋体" w:eastAsia="宋体" w:hint="default"/>
                <w:sz w:val="18"/>
                <w:szCs w:val="18"/>
              </w:rPr>
            </w:pPr>
            <w:r>
              <w:rPr>
                <w:rFonts w:ascii="宋体" w:hAnsi="宋体" w:cs="宋体" w:eastAsia="宋体" w:hint="default"/>
                <w:spacing w:val="-2"/>
                <w:sz w:val="18"/>
                <w:szCs w:val="18"/>
              </w:rPr>
              <w:t>卓越动力软件（北京）有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家客户</w:t>
            </w:r>
          </w:p>
        </w:tc>
        <w:tc>
          <w:tcPr>
            <w:tcW w:w="15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客户还款。</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按会计政策</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168,500.00</w:t>
            </w:r>
          </w:p>
        </w:tc>
        <w:tc>
          <w:tcPr>
            <w:tcW w:w="14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168,500.00</w:t>
            </w:r>
          </w:p>
        </w:tc>
      </w:tr>
      <w:tr>
        <w:trPr>
          <w:trHeight w:val="384" w:hRule="exact"/>
        </w:trPr>
        <w:tc>
          <w:tcPr>
            <w:tcW w:w="21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陕西重型汽车有限公司</w:t>
            </w:r>
          </w:p>
        </w:tc>
        <w:tc>
          <w:tcPr>
            <w:tcW w:w="15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z w:val="18"/>
                <w:szCs w:val="18"/>
              </w:rPr>
              <w:t>客户还款。</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按会计政策</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322,500.00</w:t>
            </w:r>
          </w:p>
        </w:tc>
        <w:tc>
          <w:tcPr>
            <w:tcW w:w="14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8"/>
              <w:jc w:val="right"/>
              <w:rPr>
                <w:rFonts w:ascii="Times New Roman" w:hAnsi="Times New Roman" w:cs="Times New Roman" w:eastAsia="Times New Roman" w:hint="default"/>
                <w:sz w:val="18"/>
                <w:szCs w:val="18"/>
              </w:rPr>
            </w:pPr>
            <w:r>
              <w:rPr>
                <w:rFonts w:ascii="Times New Roman"/>
                <w:spacing w:val="-1"/>
                <w:sz w:val="18"/>
              </w:rPr>
              <w:t>322,500.00</w:t>
            </w:r>
          </w:p>
        </w:tc>
      </w:tr>
      <w:tr>
        <w:trPr>
          <w:trHeight w:val="394" w:hRule="exact"/>
        </w:trPr>
        <w:tc>
          <w:tcPr>
            <w:tcW w:w="219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9"/>
              <w:ind w:left="16"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74" w:type="dxa"/>
            <w:tcBorders>
              <w:top w:val="dotted" w:sz="4" w:space="0" w:color="000000"/>
              <w:left w:val="dotted" w:sz="4" w:space="0" w:color="000000"/>
              <w:bottom w:val="single" w:sz="12" w:space="0" w:color="000000"/>
              <w:right w:val="dotted" w:sz="4" w:space="0" w:color="000000"/>
            </w:tcBorders>
          </w:tcPr>
          <w:p>
            <w:pPr/>
          </w:p>
        </w:tc>
        <w:tc>
          <w:tcPr>
            <w:tcW w:w="1260" w:type="dxa"/>
            <w:tcBorders>
              <w:top w:val="dotted" w:sz="4" w:space="0" w:color="000000"/>
              <w:left w:val="dotted" w:sz="4" w:space="0" w:color="000000"/>
              <w:bottom w:val="single" w:sz="12" w:space="0" w:color="000000"/>
              <w:right w:val="dotted" w:sz="4" w:space="0" w:color="000000"/>
            </w:tcBorders>
          </w:tcPr>
          <w:p>
            <w:pPr/>
          </w:p>
        </w:tc>
        <w:tc>
          <w:tcPr>
            <w:tcW w:w="13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2,139,092.69</w:t>
            </w:r>
          </w:p>
        </w:tc>
        <w:tc>
          <w:tcPr>
            <w:tcW w:w="146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1"/>
              <w:ind w:right="108"/>
              <w:jc w:val="right"/>
              <w:rPr>
                <w:rFonts w:ascii="Times New Roman" w:hAnsi="Times New Roman" w:cs="Times New Roman" w:eastAsia="Times New Roman" w:hint="default"/>
                <w:sz w:val="18"/>
                <w:szCs w:val="18"/>
              </w:rPr>
            </w:pPr>
            <w:r>
              <w:rPr>
                <w:rFonts w:ascii="Times New Roman"/>
                <w:spacing w:val="-1"/>
                <w:sz w:val="18"/>
              </w:rPr>
              <w:t>1,315,046.35</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tabs>
          <w:tab w:pos="1395" w:val="left" w:leader="none"/>
        </w:tabs>
        <w:spacing w:before="36"/>
        <w:ind w:left="85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tab/>
        <w:t>期末应收账款中无持本公司</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tabs>
          <w:tab w:pos="1395" w:val="left" w:leader="none"/>
        </w:tabs>
        <w:spacing w:before="0"/>
        <w:ind w:left="85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tab/>
        <w:t>应收账款中欠款金额前五名</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394" w:type="dxa"/>
        <w:tblLayout w:type="fixed"/>
        <w:tblCellMar>
          <w:top w:w="0" w:type="dxa"/>
          <w:left w:w="0" w:type="dxa"/>
          <w:bottom w:w="0" w:type="dxa"/>
          <w:right w:w="0" w:type="dxa"/>
        </w:tblCellMar>
        <w:tblLook w:val="01E0"/>
      </w:tblPr>
      <w:tblGrid>
        <w:gridCol w:w="3783"/>
        <w:gridCol w:w="840"/>
        <w:gridCol w:w="1279"/>
        <w:gridCol w:w="1628"/>
        <w:gridCol w:w="1702"/>
      </w:tblGrid>
      <w:tr>
        <w:trPr>
          <w:trHeight w:val="768" w:hRule="exact"/>
        </w:trPr>
        <w:tc>
          <w:tcPr>
            <w:tcW w:w="378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840" w:type="dxa"/>
            <w:tcBorders>
              <w:top w:val="single" w:sz="12" w:space="0" w:color="000000"/>
              <w:left w:val="dotted" w:sz="4" w:space="0" w:color="000000"/>
              <w:bottom w:val="dotted" w:sz="4" w:space="0" w:color="000000"/>
              <w:right w:val="dotted" w:sz="4" w:space="0" w:color="000000"/>
            </w:tcBorders>
          </w:tcPr>
          <w:p>
            <w:pPr>
              <w:pStyle w:val="TableParagraph"/>
              <w:spacing w:line="381" w:lineRule="auto" w:before="39"/>
              <w:ind w:left="141" w:right="147"/>
              <w:jc w:val="left"/>
              <w:rPr>
                <w:rFonts w:ascii="宋体" w:hAnsi="宋体" w:cs="宋体" w:eastAsia="宋体" w:hint="default"/>
                <w:sz w:val="18"/>
                <w:szCs w:val="18"/>
              </w:rPr>
            </w:pPr>
            <w:r>
              <w:rPr>
                <w:rFonts w:ascii="宋体" w:hAnsi="宋体" w:cs="宋体" w:eastAsia="宋体" w:hint="default"/>
                <w:sz w:val="18"/>
                <w:szCs w:val="18"/>
              </w:rPr>
              <w:t>与本公 司关系</w:t>
            </w:r>
          </w:p>
        </w:tc>
        <w:tc>
          <w:tcPr>
            <w:tcW w:w="127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2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702" w:type="dxa"/>
            <w:tcBorders>
              <w:top w:val="single" w:sz="12" w:space="0" w:color="000000"/>
              <w:left w:val="dotted" w:sz="4" w:space="0" w:color="000000"/>
              <w:bottom w:val="dotted" w:sz="4" w:space="0" w:color="000000"/>
              <w:right w:val="nil" w:sz="6" w:space="0" w:color="auto"/>
            </w:tcBorders>
          </w:tcPr>
          <w:p>
            <w:pPr>
              <w:pStyle w:val="TableParagraph"/>
              <w:spacing w:line="381" w:lineRule="auto" w:before="39"/>
              <w:ind w:left="530" w:right="131" w:hanging="40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 比例</w:t>
            </w:r>
            <w:r>
              <w:rPr>
                <w:rFonts w:ascii="Times New Roman" w:hAnsi="Times New Roman" w:cs="Times New Roman" w:eastAsia="Times New Roman" w:hint="default"/>
                <w:sz w:val="18"/>
                <w:szCs w:val="18"/>
              </w:rPr>
              <w:t>(%)</w:t>
            </w:r>
          </w:p>
        </w:tc>
      </w:tr>
      <w:tr>
        <w:trPr>
          <w:trHeight w:val="384" w:hRule="exact"/>
        </w:trPr>
        <w:tc>
          <w:tcPr>
            <w:tcW w:w="37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213" w:right="0"/>
              <w:jc w:val="left"/>
              <w:rPr>
                <w:rFonts w:ascii="宋体" w:hAnsi="宋体" w:cs="宋体" w:eastAsia="宋体" w:hint="default"/>
                <w:sz w:val="18"/>
                <w:szCs w:val="18"/>
              </w:rPr>
            </w:pPr>
            <w:r>
              <w:rPr>
                <w:rFonts w:ascii="宋体" w:hAnsi="宋体" w:cs="宋体" w:eastAsia="宋体" w:hint="default"/>
                <w:sz w:val="18"/>
                <w:szCs w:val="18"/>
              </w:rPr>
              <w:t>日立（上海）贸易有限公司</w:t>
            </w:r>
          </w:p>
        </w:tc>
        <w:tc>
          <w:tcPr>
            <w:tcW w:w="8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2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28" w:right="0"/>
              <w:jc w:val="center"/>
              <w:rPr>
                <w:rFonts w:ascii="Times New Roman" w:hAnsi="Times New Roman" w:cs="Times New Roman" w:eastAsia="Times New Roman" w:hint="default"/>
                <w:sz w:val="18"/>
                <w:szCs w:val="18"/>
              </w:rPr>
            </w:pPr>
            <w:r>
              <w:rPr>
                <w:rFonts w:ascii="Times New Roman"/>
                <w:sz w:val="18"/>
              </w:rPr>
              <w:t>15,970,012.01</w:t>
            </w:r>
          </w:p>
        </w:tc>
        <w:tc>
          <w:tcPr>
            <w:tcW w:w="16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10.83</w:t>
            </w:r>
          </w:p>
        </w:tc>
      </w:tr>
      <w:tr>
        <w:trPr>
          <w:trHeight w:val="396" w:hRule="exact"/>
        </w:trPr>
        <w:tc>
          <w:tcPr>
            <w:tcW w:w="378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left="213" w:right="0"/>
              <w:jc w:val="left"/>
              <w:rPr>
                <w:rFonts w:ascii="宋体" w:hAnsi="宋体" w:cs="宋体" w:eastAsia="宋体" w:hint="default"/>
                <w:sz w:val="18"/>
                <w:szCs w:val="18"/>
              </w:rPr>
            </w:pPr>
            <w:r>
              <w:rPr>
                <w:rFonts w:ascii="宋体" w:hAnsi="宋体" w:cs="宋体" w:eastAsia="宋体" w:hint="default"/>
                <w:sz w:val="18"/>
                <w:szCs w:val="18"/>
              </w:rPr>
              <w:t>汉得日本株式会社</w:t>
            </w:r>
          </w:p>
        </w:tc>
        <w:tc>
          <w:tcPr>
            <w:tcW w:w="8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4"/>
              <w:ind w:left="28" w:right="0"/>
              <w:jc w:val="center"/>
              <w:rPr>
                <w:rFonts w:ascii="Times New Roman" w:hAnsi="Times New Roman" w:cs="Times New Roman" w:eastAsia="Times New Roman" w:hint="default"/>
                <w:sz w:val="18"/>
                <w:szCs w:val="18"/>
              </w:rPr>
            </w:pPr>
            <w:r>
              <w:rPr>
                <w:rFonts w:ascii="Times New Roman"/>
                <w:sz w:val="18"/>
              </w:rPr>
              <w:t>14,372,693.41</w:t>
            </w:r>
          </w:p>
        </w:tc>
        <w:tc>
          <w:tcPr>
            <w:tcW w:w="162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9.75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40" w:bottom="1160" w:left="1660" w:right="460"/>
        </w:sectPr>
      </w:pPr>
    </w:p>
    <w:p>
      <w:pPr>
        <w:spacing w:line="240" w:lineRule="auto" w:before="6"/>
        <w:rPr>
          <w:rFonts w:ascii="宋体" w:hAnsi="宋体" w:cs="宋体" w:eastAsia="宋体" w:hint="default"/>
          <w:b/>
          <w:bCs/>
          <w:sz w:val="21"/>
          <w:szCs w:val="21"/>
        </w:rPr>
      </w:pPr>
    </w:p>
    <w:tbl>
      <w:tblPr>
        <w:tblW w:w="0" w:type="auto"/>
        <w:jc w:val="left"/>
        <w:tblInd w:w="394" w:type="dxa"/>
        <w:tblLayout w:type="fixed"/>
        <w:tblCellMar>
          <w:top w:w="0" w:type="dxa"/>
          <w:left w:w="0" w:type="dxa"/>
          <w:bottom w:w="0" w:type="dxa"/>
          <w:right w:w="0" w:type="dxa"/>
        </w:tblCellMar>
        <w:tblLook w:val="01E0"/>
      </w:tblPr>
      <w:tblGrid>
        <w:gridCol w:w="3783"/>
        <w:gridCol w:w="840"/>
        <w:gridCol w:w="1279"/>
        <w:gridCol w:w="1628"/>
        <w:gridCol w:w="1702"/>
      </w:tblGrid>
      <w:tr>
        <w:trPr>
          <w:trHeight w:val="394" w:hRule="exact"/>
        </w:trPr>
        <w:tc>
          <w:tcPr>
            <w:tcW w:w="378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1"/>
              <w:ind w:left="213" w:right="0"/>
              <w:jc w:val="left"/>
              <w:rPr>
                <w:rFonts w:ascii="宋体" w:hAnsi="宋体" w:cs="宋体" w:eastAsia="宋体" w:hint="default"/>
                <w:sz w:val="18"/>
                <w:szCs w:val="18"/>
              </w:rPr>
            </w:pPr>
            <w:r>
              <w:rPr>
                <w:rFonts w:ascii="宋体" w:hAnsi="宋体" w:cs="宋体" w:eastAsia="宋体" w:hint="default"/>
                <w:sz w:val="18"/>
                <w:szCs w:val="18"/>
              </w:rPr>
              <w:t>富士通（中国）信息系统有限公司</w:t>
            </w:r>
          </w:p>
        </w:tc>
        <w:tc>
          <w:tcPr>
            <w:tcW w:w="84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27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4"/>
              <w:ind w:left="117" w:right="0"/>
              <w:jc w:val="center"/>
              <w:rPr>
                <w:rFonts w:ascii="Times New Roman" w:hAnsi="Times New Roman" w:cs="Times New Roman" w:eastAsia="Times New Roman" w:hint="default"/>
                <w:sz w:val="18"/>
                <w:szCs w:val="18"/>
              </w:rPr>
            </w:pPr>
            <w:r>
              <w:rPr>
                <w:rFonts w:ascii="Times New Roman"/>
                <w:sz w:val="18"/>
              </w:rPr>
              <w:t>7,751,722.75</w:t>
            </w:r>
          </w:p>
        </w:tc>
        <w:tc>
          <w:tcPr>
            <w:tcW w:w="162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5.26</w:t>
            </w:r>
          </w:p>
        </w:tc>
      </w:tr>
      <w:tr>
        <w:trPr>
          <w:trHeight w:val="387" w:hRule="exact"/>
        </w:trPr>
        <w:tc>
          <w:tcPr>
            <w:tcW w:w="37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2"/>
              <w:ind w:left="213" w:right="0"/>
              <w:jc w:val="left"/>
              <w:rPr>
                <w:rFonts w:ascii="宋体" w:hAnsi="宋体" w:cs="宋体" w:eastAsia="宋体" w:hint="default"/>
                <w:sz w:val="18"/>
                <w:szCs w:val="18"/>
              </w:rPr>
            </w:pPr>
            <w:r>
              <w:rPr>
                <w:rFonts w:ascii="宋体" w:hAnsi="宋体" w:cs="宋体" w:eastAsia="宋体" w:hint="default"/>
                <w:sz w:val="18"/>
                <w:szCs w:val="18"/>
              </w:rPr>
              <w:t>松下电器（中国）有限公司上海分公司</w:t>
            </w:r>
          </w:p>
        </w:tc>
        <w:tc>
          <w:tcPr>
            <w:tcW w:w="8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2"/>
              <w:ind w:left="100"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2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left="117" w:right="0"/>
              <w:jc w:val="center"/>
              <w:rPr>
                <w:rFonts w:ascii="Times New Roman" w:hAnsi="Times New Roman" w:cs="Times New Roman" w:eastAsia="Times New Roman" w:hint="default"/>
                <w:sz w:val="18"/>
                <w:szCs w:val="18"/>
              </w:rPr>
            </w:pPr>
            <w:r>
              <w:rPr>
                <w:rFonts w:ascii="Times New Roman"/>
                <w:sz w:val="18"/>
              </w:rPr>
              <w:t>6,819,862.45</w:t>
            </w:r>
          </w:p>
        </w:tc>
        <w:tc>
          <w:tcPr>
            <w:tcW w:w="16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4.63</w:t>
            </w:r>
          </w:p>
        </w:tc>
      </w:tr>
      <w:tr>
        <w:trPr>
          <w:trHeight w:val="394" w:hRule="exact"/>
        </w:trPr>
        <w:tc>
          <w:tcPr>
            <w:tcW w:w="378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9"/>
              <w:ind w:left="213" w:right="0"/>
              <w:jc w:val="left"/>
              <w:rPr>
                <w:rFonts w:ascii="宋体" w:hAnsi="宋体" w:cs="宋体" w:eastAsia="宋体" w:hint="default"/>
                <w:sz w:val="18"/>
                <w:szCs w:val="18"/>
              </w:rPr>
            </w:pPr>
            <w:r>
              <w:rPr>
                <w:rFonts w:ascii="宋体" w:hAnsi="宋体" w:cs="宋体" w:eastAsia="宋体" w:hint="default"/>
                <w:sz w:val="18"/>
                <w:szCs w:val="18"/>
              </w:rPr>
              <w:t>北京医药集团有限责任公司</w:t>
            </w:r>
          </w:p>
        </w:tc>
        <w:tc>
          <w:tcPr>
            <w:tcW w:w="8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27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left="117" w:right="0"/>
              <w:jc w:val="center"/>
              <w:rPr>
                <w:rFonts w:ascii="Times New Roman" w:hAnsi="Times New Roman" w:cs="Times New Roman" w:eastAsia="Times New Roman" w:hint="default"/>
                <w:sz w:val="18"/>
                <w:szCs w:val="18"/>
              </w:rPr>
            </w:pPr>
            <w:r>
              <w:rPr>
                <w:rFonts w:ascii="Times New Roman"/>
                <w:sz w:val="18"/>
              </w:rPr>
              <w:t>5,649,822.60</w:t>
            </w:r>
          </w:p>
        </w:tc>
        <w:tc>
          <w:tcPr>
            <w:tcW w:w="162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3.83</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tabs>
          <w:tab w:pos="1395" w:val="left" w:leader="none"/>
        </w:tabs>
        <w:spacing w:before="36"/>
        <w:ind w:left="858" w:right="0"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w:t>
        <w:tab/>
        <w:t>应收关联方账款情况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394" w:type="dxa"/>
        <w:tblLayout w:type="fixed"/>
        <w:tblCellMar>
          <w:top w:w="0" w:type="dxa"/>
          <w:left w:w="0" w:type="dxa"/>
          <w:bottom w:w="0" w:type="dxa"/>
          <w:right w:w="0" w:type="dxa"/>
        </w:tblCellMar>
        <w:tblLook w:val="01E0"/>
      </w:tblPr>
      <w:tblGrid>
        <w:gridCol w:w="2569"/>
        <w:gridCol w:w="1841"/>
        <w:gridCol w:w="1985"/>
        <w:gridCol w:w="2837"/>
      </w:tblGrid>
      <w:tr>
        <w:trPr>
          <w:trHeight w:val="396" w:hRule="exact"/>
        </w:trPr>
        <w:tc>
          <w:tcPr>
            <w:tcW w:w="256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1"/>
              <w:ind w:left="86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4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1"/>
              <w:ind w:left="285"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8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1"/>
              <w:ind w:left="56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83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1"/>
              <w:ind w:left="2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占应收账款总额的比例</w:t>
            </w:r>
            <w:r>
              <w:rPr>
                <w:rFonts w:ascii="Times New Roman" w:hAnsi="Times New Roman" w:cs="Times New Roman" w:eastAsia="Times New Roman" w:hint="default"/>
                <w:sz w:val="21"/>
                <w:szCs w:val="21"/>
              </w:rPr>
              <w:t>(%)</w:t>
            </w:r>
          </w:p>
        </w:tc>
      </w:tr>
      <w:tr>
        <w:trPr>
          <w:trHeight w:val="394" w:hRule="exact"/>
        </w:trPr>
        <w:tc>
          <w:tcPr>
            <w:tcW w:w="256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汉得日本株式会社</w:t>
            </w:r>
          </w:p>
        </w:tc>
        <w:tc>
          <w:tcPr>
            <w:tcW w:w="184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9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5"/>
              <w:ind w:left="665" w:right="0"/>
              <w:jc w:val="left"/>
              <w:rPr>
                <w:rFonts w:ascii="Times New Roman" w:hAnsi="Times New Roman" w:cs="Times New Roman" w:eastAsia="Times New Roman" w:hint="default"/>
                <w:sz w:val="21"/>
                <w:szCs w:val="21"/>
              </w:rPr>
            </w:pPr>
            <w:r>
              <w:rPr>
                <w:rFonts w:ascii="Times New Roman"/>
                <w:sz w:val="21"/>
              </w:rPr>
              <w:t>14,372,693.41</w:t>
            </w:r>
          </w:p>
        </w:tc>
        <w:tc>
          <w:tcPr>
            <w:tcW w:w="283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5"/>
              <w:ind w:right="107"/>
              <w:jc w:val="right"/>
              <w:rPr>
                <w:rFonts w:ascii="Times New Roman" w:hAnsi="Times New Roman" w:cs="Times New Roman" w:eastAsia="Times New Roman" w:hint="default"/>
                <w:sz w:val="21"/>
                <w:szCs w:val="21"/>
              </w:rPr>
            </w:pPr>
            <w:r>
              <w:rPr>
                <w:rFonts w:ascii="Times New Roman"/>
                <w:sz w:val="21"/>
              </w:rPr>
              <w:t>9.75</w:t>
            </w:r>
          </w:p>
        </w:tc>
      </w:tr>
    </w:tbl>
    <w:p>
      <w:pPr>
        <w:spacing w:line="240" w:lineRule="auto" w:before="12"/>
        <w:rPr>
          <w:rFonts w:ascii="宋体" w:hAnsi="宋体" w:cs="宋体" w:eastAsia="宋体" w:hint="default"/>
          <w:b/>
          <w:bCs/>
          <w:sz w:val="26"/>
          <w:szCs w:val="26"/>
        </w:rPr>
      </w:pPr>
    </w:p>
    <w:p>
      <w:pPr>
        <w:spacing w:before="36"/>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7"/>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8"/>
          <w:szCs w:val="18"/>
        </w:rPr>
      </w:pPr>
    </w:p>
    <w:p>
      <w:pPr>
        <w:tabs>
          <w:tab w:pos="1395" w:val="left" w:leader="none"/>
        </w:tabs>
        <w:spacing w:before="0"/>
        <w:ind w:left="85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tab/>
        <w:t>其他应收款账龄分析</w:t>
      </w:r>
      <w:r>
        <w:rPr>
          <w:rFonts w:ascii="宋体" w:hAnsi="宋体" w:cs="宋体" w:eastAsia="宋体" w:hint="default"/>
          <w:sz w:val="21"/>
          <w:szCs w:val="21"/>
        </w:rPr>
      </w:r>
    </w:p>
    <w:p>
      <w:pPr>
        <w:spacing w:line="240" w:lineRule="auto" w:before="11"/>
        <w:rPr>
          <w:rFonts w:ascii="宋体" w:hAnsi="宋体" w:cs="宋体" w:eastAsia="宋体" w:hint="default"/>
          <w:b/>
          <w:bCs/>
          <w:sz w:val="29"/>
          <w:szCs w:val="29"/>
        </w:rPr>
      </w:pPr>
    </w:p>
    <w:tbl>
      <w:tblPr>
        <w:tblW w:w="0" w:type="auto"/>
        <w:jc w:val="left"/>
        <w:tblInd w:w="322" w:type="dxa"/>
        <w:tblLayout w:type="fixed"/>
        <w:tblCellMar>
          <w:top w:w="0" w:type="dxa"/>
          <w:left w:w="0" w:type="dxa"/>
          <w:bottom w:w="0" w:type="dxa"/>
          <w:right w:w="0" w:type="dxa"/>
        </w:tblCellMar>
        <w:tblLook w:val="01E0"/>
      </w:tblPr>
      <w:tblGrid>
        <w:gridCol w:w="1080"/>
        <w:gridCol w:w="1294"/>
        <w:gridCol w:w="734"/>
        <w:gridCol w:w="1260"/>
        <w:gridCol w:w="735"/>
        <w:gridCol w:w="1260"/>
        <w:gridCol w:w="806"/>
        <w:gridCol w:w="1261"/>
        <w:gridCol w:w="840"/>
      </w:tblGrid>
      <w:tr>
        <w:trPr>
          <w:trHeight w:val="396" w:hRule="exact"/>
        </w:trPr>
        <w:tc>
          <w:tcPr>
            <w:tcW w:w="108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2"/>
              <w:ind w:left="36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023" w:type="dxa"/>
            <w:gridSpan w:val="4"/>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67"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4" w:hRule="exact"/>
        </w:trPr>
        <w:tc>
          <w:tcPr>
            <w:tcW w:w="1080" w:type="dxa"/>
            <w:vMerge/>
            <w:tcBorders>
              <w:left w:val="nil" w:sz="6" w:space="0" w:color="auto"/>
              <w:right w:val="dotted" w:sz="4" w:space="0" w:color="000000"/>
            </w:tcBorders>
          </w:tcPr>
          <w:p>
            <w:pPr/>
          </w:p>
        </w:tc>
        <w:tc>
          <w:tcPr>
            <w:tcW w:w="2029"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64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66"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6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01"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68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58" w:hRule="exact"/>
        </w:trPr>
        <w:tc>
          <w:tcPr>
            <w:tcW w:w="1080" w:type="dxa"/>
            <w:vMerge/>
            <w:tcBorders>
              <w:left w:val="nil" w:sz="6" w:space="0" w:color="auto"/>
              <w:bottom w:val="dotted" w:sz="4" w:space="0" w:color="000000"/>
              <w:right w:val="dotted" w:sz="4" w:space="0" w:color="000000"/>
            </w:tcBorders>
          </w:tcPr>
          <w:p>
            <w:pPr/>
          </w:p>
        </w:tc>
        <w:tc>
          <w:tcPr>
            <w:tcW w:w="12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8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3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8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39"/>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21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39"/>
              <w:ind w:left="14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23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39"/>
              <w:ind w:left="1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58" w:hRule="exact"/>
        </w:trPr>
        <w:tc>
          <w:tcPr>
            <w:tcW w:w="10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
                <w:sz w:val="18"/>
                <w:szCs w:val="18"/>
              </w:rPr>
              <w:t> </w:t>
            </w:r>
            <w:r>
              <w:rPr>
                <w:rFonts w:ascii="宋体" w:hAnsi="宋体" w:cs="宋体" w:eastAsia="宋体" w:hint="default"/>
                <w:spacing w:val="28"/>
                <w:sz w:val="18"/>
                <w:szCs w:val="18"/>
              </w:rPr>
              <w:t>年以内</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40" w:lineRule="auto" w:before="125"/>
              <w:ind w:left="119" w:right="0"/>
              <w:jc w:val="left"/>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13,000,054.59</w:t>
            </w:r>
          </w:p>
        </w:tc>
        <w:tc>
          <w:tcPr>
            <w:tcW w:w="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73.35</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537,627.24</w:t>
            </w:r>
          </w:p>
        </w:tc>
        <w:tc>
          <w:tcPr>
            <w:tcW w:w="7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4.14</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7,642,503.24</w:t>
            </w:r>
          </w:p>
        </w:tc>
        <w:tc>
          <w:tcPr>
            <w:tcW w:w="8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81.10</w:t>
            </w:r>
          </w:p>
        </w:tc>
        <w:tc>
          <w:tcPr>
            <w:tcW w:w="12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2,094,814.97</w:t>
            </w:r>
          </w:p>
        </w:tc>
        <w:tc>
          <w:tcPr>
            <w:tcW w:w="8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27.41</w:t>
            </w:r>
          </w:p>
        </w:tc>
      </w:tr>
      <w:tr>
        <w:trPr>
          <w:trHeight w:val="761" w:hRule="exact"/>
        </w:trPr>
        <w:tc>
          <w:tcPr>
            <w:tcW w:w="10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年（含</w:t>
            </w:r>
          </w:p>
          <w:p>
            <w:pPr>
              <w:pStyle w:val="TableParagraph"/>
              <w:spacing w:line="240" w:lineRule="auto" w:before="125"/>
              <w:ind w:left="1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838,746.47</w:t>
            </w:r>
          </w:p>
        </w:tc>
        <w:tc>
          <w:tcPr>
            <w:tcW w:w="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4.73</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419,373.24</w:t>
            </w:r>
          </w:p>
        </w:tc>
        <w:tc>
          <w:tcPr>
            <w:tcW w:w="7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753,167.07</w:t>
            </w:r>
          </w:p>
        </w:tc>
        <w:tc>
          <w:tcPr>
            <w:tcW w:w="8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w:t>
            </w:r>
          </w:p>
        </w:tc>
        <w:tc>
          <w:tcPr>
            <w:tcW w:w="12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236,224.52</w:t>
            </w:r>
          </w:p>
        </w:tc>
        <w:tc>
          <w:tcPr>
            <w:tcW w:w="8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31.36</w:t>
            </w:r>
          </w:p>
        </w:tc>
      </w:tr>
      <w:tr>
        <w:trPr>
          <w:trHeight w:val="758" w:hRule="exact"/>
        </w:trPr>
        <w:tc>
          <w:tcPr>
            <w:tcW w:w="10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年（含</w:t>
            </w:r>
          </w:p>
          <w:p>
            <w:pPr>
              <w:pStyle w:val="TableParagraph"/>
              <w:spacing w:line="240" w:lineRule="auto" w:before="125"/>
              <w:ind w:left="1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3,034,303.39</w:t>
            </w:r>
          </w:p>
        </w:tc>
        <w:tc>
          <w:tcPr>
            <w:tcW w:w="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17.12</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2,196,336.10</w:t>
            </w:r>
          </w:p>
        </w:tc>
        <w:tc>
          <w:tcPr>
            <w:tcW w:w="7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72.38</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370,752.07</w:t>
            </w:r>
          </w:p>
        </w:tc>
        <w:tc>
          <w:tcPr>
            <w:tcW w:w="8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3.93</w:t>
            </w:r>
          </w:p>
        </w:tc>
        <w:tc>
          <w:tcPr>
            <w:tcW w:w="12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170,752.07</w:t>
            </w:r>
          </w:p>
        </w:tc>
        <w:tc>
          <w:tcPr>
            <w:tcW w:w="8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46.06</w:t>
            </w:r>
          </w:p>
        </w:tc>
      </w:tr>
      <w:tr>
        <w:trPr>
          <w:trHeight w:val="384" w:hRule="exact"/>
        </w:trPr>
        <w:tc>
          <w:tcPr>
            <w:tcW w:w="10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right="276"/>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2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850,223.94</w:t>
            </w:r>
          </w:p>
        </w:tc>
        <w:tc>
          <w:tcPr>
            <w:tcW w:w="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4.80</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850,223.94</w:t>
            </w:r>
          </w:p>
        </w:tc>
        <w:tc>
          <w:tcPr>
            <w:tcW w:w="7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656,687.03</w:t>
            </w:r>
          </w:p>
        </w:tc>
        <w:tc>
          <w:tcPr>
            <w:tcW w:w="8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6.97</w:t>
            </w:r>
          </w:p>
        </w:tc>
        <w:tc>
          <w:tcPr>
            <w:tcW w:w="12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656,687.03</w:t>
            </w:r>
          </w:p>
        </w:tc>
        <w:tc>
          <w:tcPr>
            <w:tcW w:w="8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108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9"/>
              <w:ind w:right="348"/>
              <w:jc w:val="right"/>
              <w:rPr>
                <w:rFonts w:ascii="宋体" w:hAnsi="宋体" w:cs="宋体" w:eastAsia="宋体" w:hint="default"/>
                <w:sz w:val="18"/>
                <w:szCs w:val="18"/>
              </w:rPr>
            </w:pPr>
            <w:r>
              <w:rPr>
                <w:rFonts w:ascii="宋体" w:hAnsi="宋体" w:cs="宋体" w:eastAsia="宋体" w:hint="default"/>
                <w:sz w:val="18"/>
                <w:szCs w:val="18"/>
              </w:rPr>
              <w:t>合计</w:t>
            </w:r>
          </w:p>
        </w:tc>
        <w:tc>
          <w:tcPr>
            <w:tcW w:w="12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17,723,328.39</w:t>
            </w:r>
          </w:p>
        </w:tc>
        <w:tc>
          <w:tcPr>
            <w:tcW w:w="7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4,003,560.52</w:t>
            </w:r>
          </w:p>
        </w:tc>
        <w:tc>
          <w:tcPr>
            <w:tcW w:w="735" w:type="dxa"/>
            <w:tcBorders>
              <w:top w:val="dotted" w:sz="4" w:space="0" w:color="000000"/>
              <w:left w:val="dotted" w:sz="4" w:space="0" w:color="000000"/>
              <w:bottom w:val="single" w:sz="12" w:space="0" w:color="000000"/>
              <w:right w:val="dotted" w:sz="4" w:space="0" w:color="000000"/>
            </w:tcBorders>
          </w:tcPr>
          <w:p>
            <w:pPr/>
          </w:p>
        </w:tc>
        <w:tc>
          <w:tcPr>
            <w:tcW w:w="12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9,423,109.41</w:t>
            </w:r>
          </w:p>
        </w:tc>
        <w:tc>
          <w:tcPr>
            <w:tcW w:w="80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3,158,478.59</w:t>
            </w:r>
          </w:p>
        </w:tc>
        <w:tc>
          <w:tcPr>
            <w:tcW w:w="840"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0" w:footer="980" w:top="1140" w:bottom="1160" w:left="1660" w:right="46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p>
      <w:pPr>
        <w:tabs>
          <w:tab w:pos="1395" w:val="left" w:leader="none"/>
        </w:tabs>
        <w:spacing w:before="36"/>
        <w:ind w:left="858" w:right="177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t>其他应收款按种类披露：</w:t>
      </w:r>
      <w:r>
        <w:rPr>
          <w:rFonts w:ascii="宋体" w:hAnsi="宋体" w:cs="宋体" w:eastAsia="宋体" w:hint="default"/>
          <w:sz w:val="21"/>
          <w:szCs w:val="21"/>
        </w:rPr>
      </w:r>
    </w:p>
    <w:p>
      <w:pPr>
        <w:spacing w:line="240" w:lineRule="auto" w:before="3"/>
        <w:rPr>
          <w:rFonts w:ascii="宋体" w:hAnsi="宋体" w:cs="宋体" w:eastAsia="宋体" w:hint="default"/>
          <w:b/>
          <w:bCs/>
          <w:sz w:val="3"/>
          <w:szCs w:val="3"/>
        </w:rPr>
      </w:pPr>
    </w:p>
    <w:tbl>
      <w:tblPr>
        <w:tblW w:w="0" w:type="auto"/>
        <w:jc w:val="left"/>
        <w:tblInd w:w="721" w:type="dxa"/>
        <w:tblLayout w:type="fixed"/>
        <w:tblCellMar>
          <w:top w:w="0" w:type="dxa"/>
          <w:left w:w="0" w:type="dxa"/>
          <w:bottom w:w="0" w:type="dxa"/>
          <w:right w:w="0" w:type="dxa"/>
        </w:tblCellMar>
        <w:tblLook w:val="01E0"/>
      </w:tblPr>
      <w:tblGrid>
        <w:gridCol w:w="1390"/>
        <w:gridCol w:w="1136"/>
        <w:gridCol w:w="734"/>
        <w:gridCol w:w="1107"/>
        <w:gridCol w:w="734"/>
        <w:gridCol w:w="1109"/>
        <w:gridCol w:w="735"/>
        <w:gridCol w:w="1109"/>
        <w:gridCol w:w="749"/>
      </w:tblGrid>
      <w:tr>
        <w:trPr>
          <w:trHeight w:val="382" w:hRule="exact"/>
        </w:trPr>
        <w:tc>
          <w:tcPr>
            <w:tcW w:w="139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5"/>
              <w:ind w:left="21" w:right="0"/>
              <w:jc w:val="center"/>
              <w:rPr>
                <w:rFonts w:ascii="宋体" w:hAnsi="宋体" w:cs="宋体" w:eastAsia="宋体" w:hint="default"/>
                <w:sz w:val="15"/>
                <w:szCs w:val="15"/>
              </w:rPr>
            </w:pPr>
            <w:r>
              <w:rPr>
                <w:rFonts w:ascii="宋体" w:hAnsi="宋体" w:cs="宋体" w:eastAsia="宋体" w:hint="default"/>
                <w:sz w:val="15"/>
                <w:szCs w:val="15"/>
              </w:rPr>
              <w:t>种类</w:t>
            </w:r>
          </w:p>
        </w:tc>
        <w:tc>
          <w:tcPr>
            <w:tcW w:w="3711" w:type="dxa"/>
            <w:gridSpan w:val="4"/>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5"/>
              <w:ind w:left="2"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701"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115"/>
              <w:ind w:right="1"/>
              <w:jc w:val="center"/>
              <w:rPr>
                <w:rFonts w:ascii="宋体" w:hAnsi="宋体" w:cs="宋体" w:eastAsia="宋体" w:hint="default"/>
                <w:sz w:val="15"/>
                <w:szCs w:val="15"/>
              </w:rPr>
            </w:pPr>
            <w:r>
              <w:rPr>
                <w:rFonts w:ascii="宋体" w:hAnsi="宋体" w:cs="宋体" w:eastAsia="宋体" w:hint="default"/>
                <w:sz w:val="15"/>
                <w:szCs w:val="15"/>
              </w:rPr>
              <w:t>年初余额</w:t>
            </w:r>
          </w:p>
        </w:tc>
      </w:tr>
      <w:tr>
        <w:trPr>
          <w:trHeight w:val="370" w:hRule="exact"/>
        </w:trPr>
        <w:tc>
          <w:tcPr>
            <w:tcW w:w="1390" w:type="dxa"/>
            <w:vMerge/>
            <w:tcBorders>
              <w:left w:val="nil" w:sz="6" w:space="0" w:color="auto"/>
              <w:right w:val="dotted" w:sz="4" w:space="0" w:color="000000"/>
            </w:tcBorders>
          </w:tcPr>
          <w:p>
            <w:pPr/>
          </w:p>
        </w:tc>
        <w:tc>
          <w:tcPr>
            <w:tcW w:w="1870"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841"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13"/>
              <w:ind w:left="4"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844"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858"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sz w:val="15"/>
                <w:szCs w:val="15"/>
              </w:rPr>
              <w:t>坏账准备</w:t>
            </w:r>
          </w:p>
        </w:tc>
      </w:tr>
      <w:tr>
        <w:trPr>
          <w:trHeight w:val="730" w:hRule="exact"/>
        </w:trPr>
        <w:tc>
          <w:tcPr>
            <w:tcW w:w="1390" w:type="dxa"/>
            <w:vMerge/>
            <w:tcBorders>
              <w:left w:val="nil" w:sz="6" w:space="0" w:color="auto"/>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9"/>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3"/>
              <w:ind w:left="211"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48"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11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9"/>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3"/>
              <w:ind w:left="211"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48"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11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9"/>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3"/>
              <w:ind w:left="211"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48"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11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9"/>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3"/>
              <w:ind w:left="218"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55"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r>
      <w:tr>
        <w:trPr>
          <w:trHeight w:val="1090" w:hRule="exact"/>
        </w:trPr>
        <w:tc>
          <w:tcPr>
            <w:tcW w:w="1390" w:type="dxa"/>
            <w:tcBorders>
              <w:top w:val="dotted" w:sz="4" w:space="0" w:color="000000"/>
              <w:left w:val="nil" w:sz="6" w:space="0" w:color="auto"/>
              <w:bottom w:val="dotted" w:sz="4" w:space="0" w:color="000000"/>
              <w:right w:val="dotted" w:sz="4" w:space="0" w:color="000000"/>
            </w:tcBorders>
          </w:tcPr>
          <w:p>
            <w:pPr>
              <w:pStyle w:val="TableParagraph"/>
              <w:spacing w:line="360" w:lineRule="exact"/>
              <w:ind w:left="122" w:right="99"/>
              <w:jc w:val="both"/>
              <w:rPr>
                <w:rFonts w:ascii="宋体" w:hAnsi="宋体" w:cs="宋体" w:eastAsia="宋体" w:hint="default"/>
                <w:sz w:val="15"/>
                <w:szCs w:val="15"/>
              </w:rPr>
            </w:pPr>
            <w:r>
              <w:rPr>
                <w:rFonts w:ascii="宋体" w:hAnsi="宋体" w:cs="宋体" w:eastAsia="宋体" w:hint="default"/>
                <w:spacing w:val="12"/>
                <w:sz w:val="15"/>
                <w:szCs w:val="15"/>
              </w:rPr>
              <w:t>单项金额重大</w:t>
            </w:r>
            <w:r>
              <w:rPr>
                <w:rFonts w:ascii="宋体" w:hAnsi="宋体" w:cs="宋体" w:eastAsia="宋体" w:hint="default"/>
                <w:spacing w:val="-46"/>
                <w:sz w:val="15"/>
                <w:szCs w:val="15"/>
              </w:rPr>
              <w:t> </w:t>
            </w:r>
            <w:r>
              <w:rPr>
                <w:rFonts w:ascii="宋体" w:hAnsi="宋体" w:cs="宋体" w:eastAsia="宋体" w:hint="default"/>
                <w:sz w:val="15"/>
                <w:szCs w:val="15"/>
              </w:rPr>
              <w:t>并</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pacing w:val="12"/>
                <w:sz w:val="15"/>
                <w:szCs w:val="15"/>
              </w:rPr>
              <w:t>单项计提坏账</w:t>
            </w:r>
            <w:r>
              <w:rPr>
                <w:rFonts w:ascii="宋体" w:hAnsi="宋体" w:cs="宋体" w:eastAsia="宋体" w:hint="default"/>
                <w:spacing w:val="-46"/>
                <w:sz w:val="15"/>
                <w:szCs w:val="15"/>
              </w:rPr>
              <w:t> </w:t>
            </w:r>
            <w:r>
              <w:rPr>
                <w:rFonts w:ascii="宋体" w:hAnsi="宋体" w:cs="宋体" w:eastAsia="宋体" w:hint="default"/>
                <w:sz w:val="15"/>
                <w:szCs w:val="15"/>
              </w:rPr>
              <w:t>准</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备的其他应收款</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5,087,212.96</w:t>
            </w:r>
          </w:p>
        </w:tc>
        <w:tc>
          <w:tcPr>
            <w:tcW w:w="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left="180" w:right="0"/>
              <w:jc w:val="center"/>
              <w:rPr>
                <w:rFonts w:ascii="Times New Roman" w:hAnsi="Times New Roman" w:cs="Times New Roman" w:eastAsia="Times New Roman" w:hint="default"/>
                <w:sz w:val="15"/>
                <w:szCs w:val="15"/>
              </w:rPr>
            </w:pPr>
            <w:r>
              <w:rPr>
                <w:rFonts w:ascii="Times New Roman"/>
                <w:sz w:val="15"/>
              </w:rPr>
              <w:t>28.70</w:t>
            </w:r>
          </w:p>
        </w:tc>
        <w:tc>
          <w:tcPr>
            <w:tcW w:w="11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left="103" w:right="0"/>
              <w:jc w:val="center"/>
              <w:rPr>
                <w:rFonts w:ascii="Times New Roman" w:hAnsi="Times New Roman" w:cs="Times New Roman" w:eastAsia="Times New Roman" w:hint="default"/>
                <w:sz w:val="15"/>
                <w:szCs w:val="15"/>
              </w:rPr>
            </w:pPr>
            <w:r>
              <w:rPr>
                <w:rFonts w:ascii="Times New Roman"/>
                <w:sz w:val="15"/>
              </w:rPr>
              <w:t>2,001,735.84</w:t>
            </w:r>
          </w:p>
        </w:tc>
        <w:tc>
          <w:tcPr>
            <w:tcW w:w="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39.35</w:t>
            </w:r>
          </w:p>
        </w:tc>
        <w:tc>
          <w:tcPr>
            <w:tcW w:w="11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left="106" w:right="0"/>
              <w:jc w:val="center"/>
              <w:rPr>
                <w:rFonts w:ascii="Times New Roman" w:hAnsi="Times New Roman" w:cs="Times New Roman" w:eastAsia="Times New Roman" w:hint="default"/>
                <w:sz w:val="15"/>
                <w:szCs w:val="15"/>
              </w:rPr>
            </w:pPr>
            <w:r>
              <w:rPr>
                <w:rFonts w:ascii="Times New Roman"/>
                <w:sz w:val="15"/>
              </w:rPr>
              <w:t>3,025,623.00</w:t>
            </w:r>
          </w:p>
        </w:tc>
        <w:tc>
          <w:tcPr>
            <w:tcW w:w="7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left="187" w:right="0"/>
              <w:jc w:val="center"/>
              <w:rPr>
                <w:rFonts w:ascii="Times New Roman" w:hAnsi="Times New Roman" w:cs="Times New Roman" w:eastAsia="Times New Roman" w:hint="default"/>
                <w:sz w:val="15"/>
                <w:szCs w:val="15"/>
              </w:rPr>
            </w:pPr>
            <w:r>
              <w:rPr>
                <w:rFonts w:ascii="Times New Roman"/>
                <w:sz w:val="15"/>
              </w:rPr>
              <w:t>32.11</w:t>
            </w:r>
          </w:p>
        </w:tc>
        <w:tc>
          <w:tcPr>
            <w:tcW w:w="1109" w:type="dxa"/>
            <w:tcBorders>
              <w:top w:val="dotted" w:sz="4" w:space="0" w:color="000000"/>
              <w:left w:val="dotted" w:sz="4" w:space="0" w:color="000000"/>
              <w:bottom w:val="dotted" w:sz="4" w:space="0" w:color="000000"/>
              <w:right w:val="dotted" w:sz="4" w:space="0" w:color="000000"/>
            </w:tcBorders>
          </w:tcPr>
          <w:p>
            <w:pPr/>
          </w:p>
        </w:tc>
        <w:tc>
          <w:tcPr>
            <w:tcW w:w="749" w:type="dxa"/>
            <w:tcBorders>
              <w:top w:val="dotted" w:sz="4" w:space="0" w:color="000000"/>
              <w:left w:val="dotted" w:sz="4" w:space="0" w:color="000000"/>
              <w:bottom w:val="dotted" w:sz="4" w:space="0" w:color="000000"/>
              <w:right w:val="nil" w:sz="6" w:space="0" w:color="auto"/>
            </w:tcBorders>
          </w:tcPr>
          <w:p>
            <w:pPr/>
          </w:p>
        </w:tc>
      </w:tr>
      <w:tr>
        <w:trPr>
          <w:trHeight w:val="1090" w:hRule="exact"/>
        </w:trPr>
        <w:tc>
          <w:tcPr>
            <w:tcW w:w="1390" w:type="dxa"/>
            <w:tcBorders>
              <w:top w:val="dotted" w:sz="4" w:space="0" w:color="000000"/>
              <w:left w:val="nil" w:sz="6" w:space="0" w:color="auto"/>
              <w:bottom w:val="dotted" w:sz="4" w:space="0" w:color="000000"/>
              <w:right w:val="dotted" w:sz="4" w:space="0" w:color="000000"/>
            </w:tcBorders>
          </w:tcPr>
          <w:p>
            <w:pPr>
              <w:pStyle w:val="TableParagraph"/>
              <w:spacing w:line="439" w:lineRule="auto" w:before="113"/>
              <w:ind w:left="122" w:right="99"/>
              <w:jc w:val="left"/>
              <w:rPr>
                <w:rFonts w:ascii="宋体" w:hAnsi="宋体" w:cs="宋体" w:eastAsia="宋体" w:hint="default"/>
                <w:sz w:val="15"/>
                <w:szCs w:val="15"/>
              </w:rPr>
            </w:pPr>
            <w:r>
              <w:rPr>
                <w:rFonts w:ascii="宋体" w:hAnsi="宋体" w:cs="宋体" w:eastAsia="宋体" w:hint="default"/>
                <w:spacing w:val="12"/>
                <w:sz w:val="15"/>
                <w:szCs w:val="15"/>
              </w:rPr>
              <w:t>按组合计提坏</w:t>
            </w:r>
            <w:r>
              <w:rPr>
                <w:rFonts w:ascii="宋体" w:hAnsi="宋体" w:cs="宋体" w:eastAsia="宋体" w:hint="default"/>
                <w:spacing w:val="-46"/>
                <w:sz w:val="15"/>
                <w:szCs w:val="15"/>
              </w:rPr>
              <w:t> </w:t>
            </w:r>
            <w:r>
              <w:rPr>
                <w:rFonts w:ascii="宋体" w:hAnsi="宋体" w:cs="宋体" w:eastAsia="宋体" w:hint="default"/>
                <w:sz w:val="15"/>
                <w:szCs w:val="15"/>
              </w:rPr>
              <w:t>账</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pacing w:val="12"/>
                <w:sz w:val="15"/>
                <w:szCs w:val="15"/>
              </w:rPr>
              <w:t>准备的其他应</w:t>
            </w:r>
            <w:r>
              <w:rPr>
                <w:rFonts w:ascii="宋体" w:hAnsi="宋体" w:cs="宋体" w:eastAsia="宋体" w:hint="default"/>
                <w:spacing w:val="-40"/>
                <w:sz w:val="15"/>
                <w:szCs w:val="15"/>
              </w:rPr>
              <w:t> </w:t>
            </w:r>
            <w:r>
              <w:rPr>
                <w:rFonts w:ascii="宋体" w:hAnsi="宋体" w:cs="宋体" w:eastAsia="宋体" w:hint="default"/>
                <w:sz w:val="15"/>
                <w:szCs w:val="15"/>
              </w:rPr>
              <w:t>收</w:t>
            </w:r>
          </w:p>
          <w:p>
            <w:pPr>
              <w:pStyle w:val="TableParagraph"/>
              <w:spacing w:line="240" w:lineRule="auto" w:before="40"/>
              <w:ind w:left="122" w:right="0"/>
              <w:jc w:val="left"/>
              <w:rPr>
                <w:rFonts w:ascii="宋体" w:hAnsi="宋体" w:cs="宋体" w:eastAsia="宋体" w:hint="default"/>
                <w:sz w:val="15"/>
                <w:szCs w:val="15"/>
              </w:rPr>
            </w:pPr>
            <w:r>
              <w:rPr>
                <w:rFonts w:ascii="宋体" w:hAnsi="宋体" w:cs="宋体" w:eastAsia="宋体" w:hint="default"/>
                <w:w w:val="100"/>
                <w:sz w:val="15"/>
                <w:szCs w:val="15"/>
              </w:rPr>
              <w:t>款</w:t>
            </w:r>
          </w:p>
        </w:tc>
        <w:tc>
          <w:tcPr>
            <w:tcW w:w="1136" w:type="dxa"/>
            <w:tcBorders>
              <w:top w:val="dotted" w:sz="4" w:space="0" w:color="000000"/>
              <w:left w:val="dotted" w:sz="4" w:space="0" w:color="000000"/>
              <w:bottom w:val="dotted" w:sz="4" w:space="0" w:color="000000"/>
              <w:right w:val="dotted" w:sz="4" w:space="0" w:color="000000"/>
            </w:tcBorders>
          </w:tcPr>
          <w:p>
            <w:pPr/>
          </w:p>
        </w:tc>
        <w:tc>
          <w:tcPr>
            <w:tcW w:w="734" w:type="dxa"/>
            <w:tcBorders>
              <w:top w:val="dotted" w:sz="4" w:space="0" w:color="000000"/>
              <w:left w:val="dotted" w:sz="4" w:space="0" w:color="000000"/>
              <w:bottom w:val="dotted" w:sz="4" w:space="0" w:color="000000"/>
              <w:right w:val="dotted" w:sz="4" w:space="0" w:color="000000"/>
            </w:tcBorders>
          </w:tcPr>
          <w:p>
            <w:pPr/>
          </w:p>
        </w:tc>
        <w:tc>
          <w:tcPr>
            <w:tcW w:w="1107" w:type="dxa"/>
            <w:tcBorders>
              <w:top w:val="dotted" w:sz="4" w:space="0" w:color="000000"/>
              <w:left w:val="dotted" w:sz="4" w:space="0" w:color="000000"/>
              <w:bottom w:val="dotted" w:sz="4" w:space="0" w:color="000000"/>
              <w:right w:val="dotted" w:sz="4" w:space="0" w:color="000000"/>
            </w:tcBorders>
          </w:tcPr>
          <w:p>
            <w:pPr/>
          </w:p>
        </w:tc>
        <w:tc>
          <w:tcPr>
            <w:tcW w:w="734" w:type="dxa"/>
            <w:tcBorders>
              <w:top w:val="dotted" w:sz="4" w:space="0" w:color="000000"/>
              <w:left w:val="dotted" w:sz="4" w:space="0" w:color="000000"/>
              <w:bottom w:val="dotted" w:sz="4" w:space="0" w:color="000000"/>
              <w:right w:val="dotted" w:sz="4" w:space="0" w:color="000000"/>
            </w:tcBorders>
          </w:tcPr>
          <w:p>
            <w:pPr/>
          </w:p>
        </w:tc>
        <w:tc>
          <w:tcPr>
            <w:tcW w:w="1109" w:type="dxa"/>
            <w:tcBorders>
              <w:top w:val="dotted" w:sz="4" w:space="0" w:color="000000"/>
              <w:left w:val="dotted" w:sz="4" w:space="0" w:color="000000"/>
              <w:bottom w:val="dotted" w:sz="4" w:space="0" w:color="000000"/>
              <w:right w:val="dotted" w:sz="4" w:space="0" w:color="000000"/>
            </w:tcBorders>
          </w:tcPr>
          <w:p>
            <w:pPr/>
          </w:p>
        </w:tc>
        <w:tc>
          <w:tcPr>
            <w:tcW w:w="735" w:type="dxa"/>
            <w:tcBorders>
              <w:top w:val="dotted" w:sz="4" w:space="0" w:color="000000"/>
              <w:left w:val="dotted" w:sz="4" w:space="0" w:color="000000"/>
              <w:bottom w:val="dotted" w:sz="4" w:space="0" w:color="000000"/>
              <w:right w:val="dotted" w:sz="4" w:space="0" w:color="000000"/>
            </w:tcBorders>
          </w:tcPr>
          <w:p>
            <w:pPr/>
          </w:p>
        </w:tc>
        <w:tc>
          <w:tcPr>
            <w:tcW w:w="1109" w:type="dxa"/>
            <w:tcBorders>
              <w:top w:val="dotted" w:sz="4" w:space="0" w:color="000000"/>
              <w:left w:val="dotted" w:sz="4" w:space="0" w:color="000000"/>
              <w:bottom w:val="dotted" w:sz="4" w:space="0" w:color="000000"/>
              <w:right w:val="dotted" w:sz="4" w:space="0" w:color="000000"/>
            </w:tcBorders>
          </w:tcPr>
          <w:p>
            <w:pPr/>
          </w:p>
        </w:tc>
        <w:tc>
          <w:tcPr>
            <w:tcW w:w="749"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13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3"/>
              <w:ind w:left="1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组合</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1</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2"/>
                <w:sz w:val="15"/>
              </w:rPr>
              <w:t>12,636,115.43</w:t>
            </w:r>
          </w:p>
        </w:tc>
        <w:tc>
          <w:tcPr>
            <w:tcW w:w="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180" w:right="0"/>
              <w:jc w:val="center"/>
              <w:rPr>
                <w:rFonts w:ascii="Times New Roman" w:hAnsi="Times New Roman" w:cs="Times New Roman" w:eastAsia="Times New Roman" w:hint="default"/>
                <w:sz w:val="15"/>
                <w:szCs w:val="15"/>
              </w:rPr>
            </w:pPr>
            <w:r>
              <w:rPr>
                <w:rFonts w:ascii="Times New Roman"/>
                <w:sz w:val="15"/>
              </w:rPr>
              <w:t>71.30</w:t>
            </w:r>
          </w:p>
        </w:tc>
        <w:tc>
          <w:tcPr>
            <w:tcW w:w="11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103" w:right="0"/>
              <w:jc w:val="center"/>
              <w:rPr>
                <w:rFonts w:ascii="Times New Roman" w:hAnsi="Times New Roman" w:cs="Times New Roman" w:eastAsia="Times New Roman" w:hint="default"/>
                <w:sz w:val="15"/>
                <w:szCs w:val="15"/>
              </w:rPr>
            </w:pPr>
            <w:r>
              <w:rPr>
                <w:rFonts w:ascii="Times New Roman"/>
                <w:sz w:val="15"/>
              </w:rPr>
              <w:t>2,001,824.68</w:t>
            </w:r>
          </w:p>
        </w:tc>
        <w:tc>
          <w:tcPr>
            <w:tcW w:w="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15.84</w:t>
            </w:r>
          </w:p>
        </w:tc>
        <w:tc>
          <w:tcPr>
            <w:tcW w:w="11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106" w:right="0"/>
              <w:jc w:val="center"/>
              <w:rPr>
                <w:rFonts w:ascii="Times New Roman" w:hAnsi="Times New Roman" w:cs="Times New Roman" w:eastAsia="Times New Roman" w:hint="default"/>
                <w:sz w:val="15"/>
                <w:szCs w:val="15"/>
              </w:rPr>
            </w:pPr>
            <w:r>
              <w:rPr>
                <w:rFonts w:ascii="Times New Roman"/>
                <w:sz w:val="15"/>
              </w:rPr>
              <w:t>3,552,286.15</w:t>
            </w:r>
          </w:p>
        </w:tc>
        <w:tc>
          <w:tcPr>
            <w:tcW w:w="7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180" w:right="0"/>
              <w:jc w:val="center"/>
              <w:rPr>
                <w:rFonts w:ascii="Times New Roman" w:hAnsi="Times New Roman" w:cs="Times New Roman" w:eastAsia="Times New Roman" w:hint="default"/>
                <w:sz w:val="15"/>
                <w:szCs w:val="15"/>
              </w:rPr>
            </w:pPr>
            <w:r>
              <w:rPr>
                <w:rFonts w:ascii="Times New Roman"/>
                <w:sz w:val="15"/>
              </w:rPr>
              <w:t>37.70</w:t>
            </w:r>
          </w:p>
        </w:tc>
        <w:tc>
          <w:tcPr>
            <w:tcW w:w="11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110" w:right="0"/>
              <w:jc w:val="center"/>
              <w:rPr>
                <w:rFonts w:ascii="Times New Roman" w:hAnsi="Times New Roman" w:cs="Times New Roman" w:eastAsia="Times New Roman" w:hint="default"/>
                <w:sz w:val="15"/>
                <w:szCs w:val="15"/>
              </w:rPr>
            </w:pPr>
            <w:r>
              <w:rPr>
                <w:rFonts w:ascii="Times New Roman"/>
                <w:sz w:val="15"/>
              </w:rPr>
              <w:t>1,115,279.75</w:t>
            </w:r>
          </w:p>
        </w:tc>
        <w:tc>
          <w:tcPr>
            <w:tcW w:w="7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31.40</w:t>
            </w:r>
          </w:p>
        </w:tc>
      </w:tr>
      <w:tr>
        <w:trPr>
          <w:trHeight w:val="372" w:hRule="exact"/>
        </w:trPr>
        <w:tc>
          <w:tcPr>
            <w:tcW w:w="13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5"/>
              <w:ind w:left="122" w:right="0"/>
              <w:jc w:val="left"/>
              <w:rPr>
                <w:rFonts w:ascii="宋体" w:hAnsi="宋体" w:cs="宋体" w:eastAsia="宋体" w:hint="default"/>
                <w:sz w:val="15"/>
                <w:szCs w:val="15"/>
              </w:rPr>
            </w:pPr>
            <w:r>
              <w:rPr>
                <w:rFonts w:ascii="宋体" w:hAnsi="宋体" w:cs="宋体" w:eastAsia="宋体" w:hint="default"/>
                <w:sz w:val="15"/>
                <w:szCs w:val="15"/>
              </w:rPr>
              <w:t>组合小计</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1"/>
                <w:szCs w:val="11"/>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2"/>
                <w:sz w:val="15"/>
              </w:rPr>
              <w:t>12,636,115.43</w:t>
            </w:r>
          </w:p>
        </w:tc>
        <w:tc>
          <w:tcPr>
            <w:tcW w:w="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1"/>
                <w:szCs w:val="11"/>
              </w:rPr>
            </w:pPr>
          </w:p>
          <w:p>
            <w:pPr>
              <w:pStyle w:val="TableParagraph"/>
              <w:spacing w:line="240" w:lineRule="auto"/>
              <w:ind w:left="180" w:right="0"/>
              <w:jc w:val="center"/>
              <w:rPr>
                <w:rFonts w:ascii="Times New Roman" w:hAnsi="Times New Roman" w:cs="Times New Roman" w:eastAsia="Times New Roman" w:hint="default"/>
                <w:sz w:val="15"/>
                <w:szCs w:val="15"/>
              </w:rPr>
            </w:pPr>
            <w:r>
              <w:rPr>
                <w:rFonts w:ascii="Times New Roman"/>
                <w:sz w:val="15"/>
              </w:rPr>
              <w:t>71.30</w:t>
            </w:r>
          </w:p>
        </w:tc>
        <w:tc>
          <w:tcPr>
            <w:tcW w:w="11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1"/>
                <w:szCs w:val="11"/>
              </w:rPr>
            </w:pPr>
          </w:p>
          <w:p>
            <w:pPr>
              <w:pStyle w:val="TableParagraph"/>
              <w:spacing w:line="240" w:lineRule="auto"/>
              <w:ind w:left="103" w:right="0"/>
              <w:jc w:val="center"/>
              <w:rPr>
                <w:rFonts w:ascii="Times New Roman" w:hAnsi="Times New Roman" w:cs="Times New Roman" w:eastAsia="Times New Roman" w:hint="default"/>
                <w:sz w:val="15"/>
                <w:szCs w:val="15"/>
              </w:rPr>
            </w:pPr>
            <w:r>
              <w:rPr>
                <w:rFonts w:ascii="Times New Roman"/>
                <w:sz w:val="15"/>
              </w:rPr>
              <w:t>2,001,824.68</w:t>
            </w:r>
          </w:p>
        </w:tc>
        <w:tc>
          <w:tcPr>
            <w:tcW w:w="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15.84</w:t>
            </w:r>
          </w:p>
        </w:tc>
        <w:tc>
          <w:tcPr>
            <w:tcW w:w="11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1"/>
                <w:szCs w:val="11"/>
              </w:rPr>
            </w:pPr>
          </w:p>
          <w:p>
            <w:pPr>
              <w:pStyle w:val="TableParagraph"/>
              <w:spacing w:line="240" w:lineRule="auto"/>
              <w:ind w:left="106" w:right="0"/>
              <w:jc w:val="center"/>
              <w:rPr>
                <w:rFonts w:ascii="Times New Roman" w:hAnsi="Times New Roman" w:cs="Times New Roman" w:eastAsia="Times New Roman" w:hint="default"/>
                <w:sz w:val="15"/>
                <w:szCs w:val="15"/>
              </w:rPr>
            </w:pPr>
            <w:r>
              <w:rPr>
                <w:rFonts w:ascii="Times New Roman"/>
                <w:sz w:val="15"/>
              </w:rPr>
              <w:t>3,552,286.15</w:t>
            </w:r>
          </w:p>
        </w:tc>
        <w:tc>
          <w:tcPr>
            <w:tcW w:w="7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1"/>
                <w:szCs w:val="11"/>
              </w:rPr>
            </w:pPr>
          </w:p>
          <w:p>
            <w:pPr>
              <w:pStyle w:val="TableParagraph"/>
              <w:spacing w:line="240" w:lineRule="auto"/>
              <w:ind w:left="180" w:right="0"/>
              <w:jc w:val="center"/>
              <w:rPr>
                <w:rFonts w:ascii="Times New Roman" w:hAnsi="Times New Roman" w:cs="Times New Roman" w:eastAsia="Times New Roman" w:hint="default"/>
                <w:sz w:val="15"/>
                <w:szCs w:val="15"/>
              </w:rPr>
            </w:pPr>
            <w:r>
              <w:rPr>
                <w:rFonts w:ascii="Times New Roman"/>
                <w:sz w:val="15"/>
              </w:rPr>
              <w:t>37.70</w:t>
            </w:r>
          </w:p>
        </w:tc>
        <w:tc>
          <w:tcPr>
            <w:tcW w:w="11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1"/>
                <w:szCs w:val="11"/>
              </w:rPr>
            </w:pPr>
          </w:p>
          <w:p>
            <w:pPr>
              <w:pStyle w:val="TableParagraph"/>
              <w:spacing w:line="240" w:lineRule="auto"/>
              <w:ind w:left="110" w:right="0"/>
              <w:jc w:val="center"/>
              <w:rPr>
                <w:rFonts w:ascii="Times New Roman" w:hAnsi="Times New Roman" w:cs="Times New Roman" w:eastAsia="Times New Roman" w:hint="default"/>
                <w:sz w:val="15"/>
                <w:szCs w:val="15"/>
              </w:rPr>
            </w:pPr>
            <w:r>
              <w:rPr>
                <w:rFonts w:ascii="Times New Roman"/>
                <w:sz w:val="15"/>
              </w:rPr>
              <w:t>1,115,279.75</w:t>
            </w:r>
          </w:p>
        </w:tc>
        <w:tc>
          <w:tcPr>
            <w:tcW w:w="7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1"/>
                <w:szCs w:val="11"/>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31.40</w:t>
            </w:r>
          </w:p>
        </w:tc>
      </w:tr>
      <w:tr>
        <w:trPr>
          <w:trHeight w:val="1450" w:hRule="exact"/>
        </w:trPr>
        <w:tc>
          <w:tcPr>
            <w:tcW w:w="1390" w:type="dxa"/>
            <w:tcBorders>
              <w:top w:val="dotted" w:sz="4" w:space="0" w:color="000000"/>
              <w:left w:val="nil" w:sz="6" w:space="0" w:color="auto"/>
              <w:bottom w:val="dotted" w:sz="4" w:space="0" w:color="000000"/>
              <w:right w:val="dotted" w:sz="4" w:space="0" w:color="000000"/>
            </w:tcBorders>
          </w:tcPr>
          <w:p>
            <w:pPr>
              <w:pStyle w:val="TableParagraph"/>
              <w:spacing w:line="360" w:lineRule="exact"/>
              <w:ind w:left="122" w:right="99"/>
              <w:jc w:val="both"/>
              <w:rPr>
                <w:rFonts w:ascii="宋体" w:hAnsi="宋体" w:cs="宋体" w:eastAsia="宋体" w:hint="default"/>
                <w:sz w:val="15"/>
                <w:szCs w:val="15"/>
              </w:rPr>
            </w:pPr>
            <w:r>
              <w:rPr>
                <w:rFonts w:ascii="宋体" w:hAnsi="宋体" w:cs="宋体" w:eastAsia="宋体" w:hint="default"/>
                <w:spacing w:val="12"/>
                <w:sz w:val="15"/>
                <w:szCs w:val="15"/>
              </w:rPr>
              <w:t>单项金额虽不</w:t>
            </w:r>
            <w:r>
              <w:rPr>
                <w:rFonts w:ascii="宋体" w:hAnsi="宋体" w:cs="宋体" w:eastAsia="宋体" w:hint="default"/>
                <w:spacing w:val="-46"/>
                <w:sz w:val="15"/>
                <w:szCs w:val="15"/>
              </w:rPr>
              <w:t> </w:t>
            </w:r>
            <w:r>
              <w:rPr>
                <w:rFonts w:ascii="宋体" w:hAnsi="宋体" w:cs="宋体" w:eastAsia="宋体" w:hint="default"/>
                <w:sz w:val="15"/>
                <w:szCs w:val="15"/>
              </w:rPr>
              <w:t>重</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pacing w:val="12"/>
                <w:sz w:val="15"/>
                <w:szCs w:val="15"/>
              </w:rPr>
              <w:t>大但单项计提</w:t>
            </w:r>
            <w:r>
              <w:rPr>
                <w:rFonts w:ascii="宋体" w:hAnsi="宋体" w:cs="宋体" w:eastAsia="宋体" w:hint="default"/>
                <w:spacing w:val="-46"/>
                <w:sz w:val="15"/>
                <w:szCs w:val="15"/>
              </w:rPr>
              <w:t> </w:t>
            </w:r>
            <w:r>
              <w:rPr>
                <w:rFonts w:ascii="宋体" w:hAnsi="宋体" w:cs="宋体" w:eastAsia="宋体" w:hint="default"/>
                <w:sz w:val="15"/>
                <w:szCs w:val="15"/>
              </w:rPr>
              <w:t>坏</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pacing w:val="12"/>
                <w:sz w:val="15"/>
                <w:szCs w:val="15"/>
              </w:rPr>
              <w:t>账准备的其他</w:t>
            </w:r>
            <w:r>
              <w:rPr>
                <w:rFonts w:ascii="宋体" w:hAnsi="宋体" w:cs="宋体" w:eastAsia="宋体" w:hint="default"/>
                <w:spacing w:val="-46"/>
                <w:sz w:val="15"/>
                <w:szCs w:val="15"/>
              </w:rPr>
              <w:t> </w:t>
            </w:r>
            <w:r>
              <w:rPr>
                <w:rFonts w:ascii="宋体" w:hAnsi="宋体" w:cs="宋体" w:eastAsia="宋体" w:hint="default"/>
                <w:sz w:val="15"/>
                <w:szCs w:val="15"/>
              </w:rPr>
              <w:t>应</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收款</w:t>
            </w:r>
          </w:p>
        </w:tc>
        <w:tc>
          <w:tcPr>
            <w:tcW w:w="1136" w:type="dxa"/>
            <w:tcBorders>
              <w:top w:val="dotted" w:sz="4" w:space="0" w:color="000000"/>
              <w:left w:val="dotted" w:sz="4" w:space="0" w:color="000000"/>
              <w:bottom w:val="dotted" w:sz="4" w:space="0" w:color="000000"/>
              <w:right w:val="dotted" w:sz="4" w:space="0" w:color="000000"/>
            </w:tcBorders>
          </w:tcPr>
          <w:p>
            <w:pPr/>
          </w:p>
        </w:tc>
        <w:tc>
          <w:tcPr>
            <w:tcW w:w="734" w:type="dxa"/>
            <w:tcBorders>
              <w:top w:val="dotted" w:sz="4" w:space="0" w:color="000000"/>
              <w:left w:val="dotted" w:sz="4" w:space="0" w:color="000000"/>
              <w:bottom w:val="dotted" w:sz="4" w:space="0" w:color="000000"/>
              <w:right w:val="dotted" w:sz="4" w:space="0" w:color="000000"/>
            </w:tcBorders>
          </w:tcPr>
          <w:p>
            <w:pPr/>
          </w:p>
        </w:tc>
        <w:tc>
          <w:tcPr>
            <w:tcW w:w="1107" w:type="dxa"/>
            <w:tcBorders>
              <w:top w:val="dotted" w:sz="4" w:space="0" w:color="000000"/>
              <w:left w:val="dotted" w:sz="4" w:space="0" w:color="000000"/>
              <w:bottom w:val="dotted" w:sz="4" w:space="0" w:color="000000"/>
              <w:right w:val="dotted" w:sz="4" w:space="0" w:color="000000"/>
            </w:tcBorders>
          </w:tcPr>
          <w:p>
            <w:pPr/>
          </w:p>
        </w:tc>
        <w:tc>
          <w:tcPr>
            <w:tcW w:w="734" w:type="dxa"/>
            <w:tcBorders>
              <w:top w:val="dotted" w:sz="4" w:space="0" w:color="000000"/>
              <w:left w:val="dotted" w:sz="4" w:space="0" w:color="000000"/>
              <w:bottom w:val="dotted" w:sz="4" w:space="0" w:color="000000"/>
              <w:right w:val="dotted" w:sz="4" w:space="0" w:color="000000"/>
            </w:tcBorders>
          </w:tcPr>
          <w:p>
            <w:pPr/>
          </w:p>
        </w:tc>
        <w:tc>
          <w:tcPr>
            <w:tcW w:w="11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0"/>
                <w:szCs w:val="10"/>
              </w:rPr>
            </w:pPr>
          </w:p>
          <w:p>
            <w:pPr>
              <w:pStyle w:val="TableParagraph"/>
              <w:spacing w:line="240" w:lineRule="auto"/>
              <w:ind w:left="106" w:right="0"/>
              <w:jc w:val="center"/>
              <w:rPr>
                <w:rFonts w:ascii="Times New Roman" w:hAnsi="Times New Roman" w:cs="Times New Roman" w:eastAsia="Times New Roman" w:hint="default"/>
                <w:sz w:val="15"/>
                <w:szCs w:val="15"/>
              </w:rPr>
            </w:pPr>
            <w:r>
              <w:rPr>
                <w:rFonts w:ascii="Times New Roman"/>
                <w:sz w:val="15"/>
              </w:rPr>
              <w:t>2,845,200.26</w:t>
            </w:r>
          </w:p>
        </w:tc>
        <w:tc>
          <w:tcPr>
            <w:tcW w:w="7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0"/>
                <w:szCs w:val="10"/>
              </w:rPr>
            </w:pPr>
          </w:p>
          <w:p>
            <w:pPr>
              <w:pStyle w:val="TableParagraph"/>
              <w:spacing w:line="240" w:lineRule="auto"/>
              <w:ind w:left="180" w:right="0"/>
              <w:jc w:val="center"/>
              <w:rPr>
                <w:rFonts w:ascii="Times New Roman" w:hAnsi="Times New Roman" w:cs="Times New Roman" w:eastAsia="Times New Roman" w:hint="default"/>
                <w:sz w:val="15"/>
                <w:szCs w:val="15"/>
              </w:rPr>
            </w:pPr>
            <w:r>
              <w:rPr>
                <w:rFonts w:ascii="Times New Roman"/>
                <w:sz w:val="15"/>
              </w:rPr>
              <w:t>30.19</w:t>
            </w:r>
          </w:p>
        </w:tc>
        <w:tc>
          <w:tcPr>
            <w:tcW w:w="11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0"/>
                <w:szCs w:val="10"/>
              </w:rPr>
            </w:pPr>
          </w:p>
          <w:p>
            <w:pPr>
              <w:pStyle w:val="TableParagraph"/>
              <w:spacing w:line="240" w:lineRule="auto"/>
              <w:ind w:left="106" w:right="0"/>
              <w:jc w:val="center"/>
              <w:rPr>
                <w:rFonts w:ascii="Times New Roman" w:hAnsi="Times New Roman" w:cs="Times New Roman" w:eastAsia="Times New Roman" w:hint="default"/>
                <w:sz w:val="15"/>
                <w:szCs w:val="15"/>
              </w:rPr>
            </w:pPr>
            <w:r>
              <w:rPr>
                <w:rFonts w:ascii="Times New Roman"/>
                <w:sz w:val="15"/>
              </w:rPr>
              <w:t>2,043,198.84</w:t>
            </w:r>
          </w:p>
        </w:tc>
        <w:tc>
          <w:tcPr>
            <w:tcW w:w="74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71.81</w:t>
            </w:r>
          </w:p>
        </w:tc>
      </w:tr>
      <w:tr>
        <w:trPr>
          <w:trHeight w:val="379" w:hRule="exact"/>
        </w:trPr>
        <w:tc>
          <w:tcPr>
            <w:tcW w:w="139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3"/>
              <w:ind w:left="2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17,723,328.39</w:t>
            </w:r>
          </w:p>
        </w:tc>
        <w:tc>
          <w:tcPr>
            <w:tcW w:w="7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106" w:right="0"/>
              <w:jc w:val="center"/>
              <w:rPr>
                <w:rFonts w:ascii="Times New Roman" w:hAnsi="Times New Roman" w:cs="Times New Roman" w:eastAsia="Times New Roman" w:hint="default"/>
                <w:sz w:val="15"/>
                <w:szCs w:val="15"/>
              </w:rPr>
            </w:pPr>
            <w:r>
              <w:rPr>
                <w:rFonts w:ascii="Times New Roman"/>
                <w:sz w:val="15"/>
              </w:rPr>
              <w:t>100.00</w:t>
            </w:r>
          </w:p>
        </w:tc>
        <w:tc>
          <w:tcPr>
            <w:tcW w:w="110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103" w:right="0"/>
              <w:jc w:val="center"/>
              <w:rPr>
                <w:rFonts w:ascii="Times New Roman" w:hAnsi="Times New Roman" w:cs="Times New Roman" w:eastAsia="Times New Roman" w:hint="default"/>
                <w:sz w:val="15"/>
                <w:szCs w:val="15"/>
              </w:rPr>
            </w:pPr>
            <w:r>
              <w:rPr>
                <w:rFonts w:ascii="Times New Roman"/>
                <w:sz w:val="15"/>
              </w:rPr>
              <w:t>4,003,560.52</w:t>
            </w:r>
          </w:p>
        </w:tc>
        <w:tc>
          <w:tcPr>
            <w:tcW w:w="734" w:type="dxa"/>
            <w:tcBorders>
              <w:top w:val="dotted" w:sz="4" w:space="0" w:color="000000"/>
              <w:left w:val="dotted" w:sz="4" w:space="0" w:color="000000"/>
              <w:bottom w:val="single" w:sz="12" w:space="0" w:color="000000"/>
              <w:right w:val="dotted" w:sz="4" w:space="0" w:color="000000"/>
            </w:tcBorders>
          </w:tcPr>
          <w:p>
            <w:pPr/>
          </w:p>
        </w:tc>
        <w:tc>
          <w:tcPr>
            <w:tcW w:w="11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106" w:right="0"/>
              <w:jc w:val="center"/>
              <w:rPr>
                <w:rFonts w:ascii="Times New Roman" w:hAnsi="Times New Roman" w:cs="Times New Roman" w:eastAsia="Times New Roman" w:hint="default"/>
                <w:sz w:val="15"/>
                <w:szCs w:val="15"/>
              </w:rPr>
            </w:pPr>
            <w:r>
              <w:rPr>
                <w:rFonts w:ascii="Times New Roman"/>
                <w:sz w:val="15"/>
              </w:rPr>
              <w:t>9,423,109.41</w:t>
            </w:r>
          </w:p>
        </w:tc>
        <w:tc>
          <w:tcPr>
            <w:tcW w:w="7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105" w:right="0"/>
              <w:jc w:val="center"/>
              <w:rPr>
                <w:rFonts w:ascii="Times New Roman" w:hAnsi="Times New Roman" w:cs="Times New Roman" w:eastAsia="Times New Roman" w:hint="default"/>
                <w:sz w:val="15"/>
                <w:szCs w:val="15"/>
              </w:rPr>
            </w:pPr>
            <w:r>
              <w:rPr>
                <w:rFonts w:ascii="Times New Roman"/>
                <w:sz w:val="15"/>
              </w:rPr>
              <w:t>100.00</w:t>
            </w:r>
          </w:p>
        </w:tc>
        <w:tc>
          <w:tcPr>
            <w:tcW w:w="11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106" w:right="0"/>
              <w:jc w:val="center"/>
              <w:rPr>
                <w:rFonts w:ascii="Times New Roman" w:hAnsi="Times New Roman" w:cs="Times New Roman" w:eastAsia="Times New Roman" w:hint="default"/>
                <w:sz w:val="15"/>
                <w:szCs w:val="15"/>
              </w:rPr>
            </w:pPr>
            <w:r>
              <w:rPr>
                <w:rFonts w:ascii="Times New Roman"/>
                <w:sz w:val="15"/>
              </w:rPr>
              <w:t>3,158,478.59</w:t>
            </w:r>
          </w:p>
        </w:tc>
        <w:tc>
          <w:tcPr>
            <w:tcW w:w="749"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8"/>
          <w:szCs w:val="28"/>
        </w:rPr>
      </w:pPr>
    </w:p>
    <w:p>
      <w:pPr>
        <w:spacing w:line="314" w:lineRule="auto" w:before="36"/>
        <w:ind w:left="858" w:right="1774" w:firstLine="0"/>
        <w:jc w:val="left"/>
        <w:rPr>
          <w:rFonts w:ascii="宋体" w:hAnsi="宋体" w:cs="宋体" w:eastAsia="宋体" w:hint="default"/>
          <w:sz w:val="21"/>
          <w:szCs w:val="21"/>
        </w:rPr>
      </w:pPr>
      <w:r>
        <w:rPr/>
        <w:pict>
          <v:shape style="position:absolute;margin-left:119.059998pt;margin-top:35.683681pt;width:443.5pt;height:76.1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81"/>
                    <w:gridCol w:w="1560"/>
                    <w:gridCol w:w="1419"/>
                    <w:gridCol w:w="946"/>
                    <w:gridCol w:w="2521"/>
                  </w:tblGrid>
                  <w:tr>
                    <w:trPr>
                      <w:trHeight w:val="382" w:hRule="exact"/>
                    </w:trPr>
                    <w:tc>
                      <w:tcPr>
                        <w:tcW w:w="238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0"/>
                          <w:ind w:left="566"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5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0"/>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0"/>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4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0"/>
                          <w:ind w:right="107"/>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252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30" w:hRule="exact"/>
                    </w:trPr>
                    <w:tc>
                      <w:tcPr>
                        <w:tcW w:w="23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汉得日本株式会社</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5,087,212.96</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2,001,735.84</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39.35%</w:t>
                        </w:r>
                      </w:p>
                    </w:tc>
                    <w:tc>
                      <w:tcPr>
                        <w:tcW w:w="2521" w:type="dxa"/>
                        <w:tcBorders>
                          <w:top w:val="dotted" w:sz="4" w:space="0" w:color="000000"/>
                          <w:left w:val="dotted" w:sz="4" w:space="0" w:color="000000"/>
                          <w:bottom w:val="dotted" w:sz="4" w:space="0" w:color="000000"/>
                          <w:right w:val="nil" w:sz="6" w:space="0" w:color="auto"/>
                        </w:tcBorders>
                      </w:tcPr>
                      <w:p>
                        <w:pPr>
                          <w:pStyle w:val="TableParagraph"/>
                          <w:spacing w:line="360" w:lineRule="exact"/>
                          <w:ind w:left="103" w:right="110"/>
                          <w:jc w:val="left"/>
                          <w:rPr>
                            <w:rFonts w:ascii="宋体" w:hAnsi="宋体" w:cs="宋体" w:eastAsia="宋体" w:hint="default"/>
                            <w:sz w:val="18"/>
                            <w:szCs w:val="18"/>
                          </w:rPr>
                        </w:pPr>
                        <w:r>
                          <w:rPr>
                            <w:rFonts w:ascii="宋体" w:hAnsi="宋体" w:cs="宋体" w:eastAsia="宋体" w:hint="default"/>
                            <w:spacing w:val="11"/>
                            <w:sz w:val="18"/>
                            <w:szCs w:val="18"/>
                          </w:rPr>
                          <w:t>根据汉得日本株式会社超额</w:t>
                        </w:r>
                        <w:r>
                          <w:rPr>
                            <w:rFonts w:ascii="宋体" w:hAnsi="宋体" w:cs="宋体" w:eastAsia="宋体" w:hint="default"/>
                            <w:sz w:val="18"/>
                            <w:szCs w:val="18"/>
                          </w:rPr>
                          <w:t> 亏损金额计提</w:t>
                        </w:r>
                      </w:p>
                    </w:tc>
                  </w:tr>
                  <w:tr>
                    <w:trPr>
                      <w:trHeight w:val="382" w:hRule="exact"/>
                    </w:trPr>
                    <w:tc>
                      <w:tcPr>
                        <w:tcW w:w="238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7"/>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5,087,212.96</w:t>
                        </w:r>
                      </w:p>
                    </w:tc>
                    <w:tc>
                      <w:tcPr>
                        <w:tcW w:w="14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0"/>
                          <w:ind w:left="360" w:right="0"/>
                          <w:jc w:val="left"/>
                          <w:rPr>
                            <w:rFonts w:ascii="Times New Roman" w:hAnsi="Times New Roman" w:cs="Times New Roman" w:eastAsia="Times New Roman" w:hint="default"/>
                            <w:sz w:val="18"/>
                            <w:szCs w:val="18"/>
                          </w:rPr>
                        </w:pPr>
                        <w:r>
                          <w:rPr>
                            <w:rFonts w:ascii="Times New Roman"/>
                            <w:sz w:val="18"/>
                          </w:rPr>
                          <w:t>2,001,735.84</w:t>
                        </w:r>
                      </w:p>
                    </w:tc>
                    <w:tc>
                      <w:tcPr>
                        <w:tcW w:w="946" w:type="dxa"/>
                        <w:tcBorders>
                          <w:top w:val="dotted" w:sz="4" w:space="0" w:color="000000"/>
                          <w:left w:val="dotted" w:sz="4" w:space="0" w:color="000000"/>
                          <w:bottom w:val="single" w:sz="12" w:space="0" w:color="000000"/>
                          <w:right w:val="dotted" w:sz="4" w:space="0" w:color="000000"/>
                        </w:tcBorders>
                      </w:tcPr>
                      <w:p>
                        <w:pPr/>
                      </w:p>
                    </w:tc>
                    <w:tc>
                      <w:tcPr>
                        <w:tcW w:w="2521" w:type="dxa"/>
                        <w:tcBorders>
                          <w:top w:val="dotted" w:sz="4" w:space="0" w:color="000000"/>
                          <w:left w:val="dotted" w:sz="4" w:space="0" w:color="000000"/>
                          <w:bottom w:val="single" w:sz="12" w:space="0" w:color="000000"/>
                          <w:right w:val="nil" w:sz="6" w:space="0" w:color="auto"/>
                        </w:tcBorders>
                      </w:tcPr>
                      <w:p>
                        <w:pPr/>
                      </w:p>
                    </w:tc>
                  </w:tr>
                </w:tbl>
                <w:p>
                  <w:pPr/>
                </w:p>
              </w:txbxContent>
            </v:textbox>
            <w10:wrap type="none"/>
          </v:shape>
        </w:pict>
      </w:r>
      <w:r>
        <w:rPr>
          <w:rFonts w:ascii="宋体" w:hAnsi="宋体" w:cs="宋体" w:eastAsia="宋体" w:hint="default"/>
          <w:sz w:val="21"/>
          <w:szCs w:val="21"/>
        </w:rPr>
        <w:t>其他应收款种类的说明：</w:t>
      </w:r>
      <w:r>
        <w:rPr>
          <w:rFonts w:ascii="宋体" w:hAnsi="宋体" w:cs="宋体" w:eastAsia="宋体" w:hint="default"/>
          <w:w w:val="100"/>
          <w:sz w:val="21"/>
          <w:szCs w:val="21"/>
        </w:rPr>
        <w:t> </w:t>
      </w:r>
      <w:r>
        <w:rPr>
          <w:rFonts w:ascii="宋体" w:hAnsi="宋体" w:cs="宋体" w:eastAsia="宋体" w:hint="default"/>
          <w:spacing w:val="-2"/>
          <w:sz w:val="21"/>
          <w:szCs w:val="21"/>
        </w:rPr>
        <w:t>期末单项金额重大并单项计提坏账准备的其他应收款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before="36"/>
        <w:ind w:left="848" w:right="1774" w:firstLine="0"/>
        <w:jc w:val="left"/>
        <w:rPr>
          <w:rFonts w:ascii="宋体" w:hAnsi="宋体" w:cs="宋体" w:eastAsia="宋体" w:hint="default"/>
          <w:sz w:val="21"/>
          <w:szCs w:val="21"/>
        </w:rPr>
      </w:pPr>
      <w:r>
        <w:rPr>
          <w:rFonts w:ascii="宋体" w:hAnsi="宋体" w:cs="宋体" w:eastAsia="宋体" w:hint="default"/>
          <w:sz w:val="21"/>
          <w:szCs w:val="21"/>
        </w:rPr>
        <w:t>组合中，采用账龄分析法计提坏账准备的其他应收款：</w:t>
      </w:r>
    </w:p>
    <w:p>
      <w:pPr>
        <w:spacing w:line="240" w:lineRule="auto" w:before="3"/>
        <w:rPr>
          <w:rFonts w:ascii="宋体" w:hAnsi="宋体" w:cs="宋体" w:eastAsia="宋体" w:hint="default"/>
          <w:sz w:val="3"/>
          <w:szCs w:val="3"/>
        </w:rPr>
      </w:pPr>
    </w:p>
    <w:tbl>
      <w:tblPr>
        <w:tblW w:w="0" w:type="auto"/>
        <w:jc w:val="left"/>
        <w:tblInd w:w="711" w:type="dxa"/>
        <w:tblLayout w:type="fixed"/>
        <w:tblCellMar>
          <w:top w:w="0" w:type="dxa"/>
          <w:left w:w="0" w:type="dxa"/>
          <w:bottom w:w="0" w:type="dxa"/>
          <w:right w:w="0" w:type="dxa"/>
        </w:tblCellMar>
        <w:tblLook w:val="01E0"/>
      </w:tblPr>
      <w:tblGrid>
        <w:gridCol w:w="1541"/>
        <w:gridCol w:w="1277"/>
        <w:gridCol w:w="991"/>
        <w:gridCol w:w="1277"/>
        <w:gridCol w:w="1274"/>
        <w:gridCol w:w="994"/>
        <w:gridCol w:w="1416"/>
      </w:tblGrid>
      <w:tr>
        <w:trPr>
          <w:trHeight w:val="379" w:hRule="exact"/>
        </w:trPr>
        <w:tc>
          <w:tcPr>
            <w:tcW w:w="1541"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546"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85"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77"/>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0" w:hRule="exact"/>
        </w:trPr>
        <w:tc>
          <w:tcPr>
            <w:tcW w:w="1541" w:type="dxa"/>
            <w:vMerge/>
            <w:tcBorders>
              <w:left w:val="nil" w:sz="6" w:space="0" w:color="auto"/>
              <w:right w:val="dotted" w:sz="4" w:space="0" w:color="000000"/>
            </w:tcBorders>
          </w:tcPr>
          <w:p>
            <w:pPr/>
          </w:p>
        </w:tc>
        <w:tc>
          <w:tcPr>
            <w:tcW w:w="2269"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vMerge w:val="restart"/>
            <w:tcBorders>
              <w:top w:val="dotted" w:sz="4" w:space="0" w:color="000000"/>
              <w:left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69"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16" w:type="dxa"/>
            <w:vMerge w:val="restart"/>
            <w:tcBorders>
              <w:top w:val="dotted" w:sz="4" w:space="0" w:color="000000"/>
              <w:left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72" w:hRule="exact"/>
        </w:trPr>
        <w:tc>
          <w:tcPr>
            <w:tcW w:w="1541" w:type="dxa"/>
            <w:vMerge/>
            <w:tcBorders>
              <w:left w:val="nil" w:sz="6" w:space="0" w:color="auto"/>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hAnsi="宋体" w:cs="宋体" w:eastAsia="宋体" w:hint="default"/>
                <w:spacing w:val="-2"/>
                <w:sz w:val="18"/>
                <w:szCs w:val="18"/>
              </w:rPr>
              <w:t>比例（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p>
        </w:tc>
        <w:tc>
          <w:tcPr>
            <w:tcW w:w="1277" w:type="dxa"/>
            <w:vMerge/>
            <w:tcBorders>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0"/>
              <w:ind w:right="14"/>
              <w:jc w:val="right"/>
              <w:rPr>
                <w:rFonts w:ascii="宋体" w:hAnsi="宋体" w:cs="宋体" w:eastAsia="宋体" w:hint="default"/>
                <w:sz w:val="18"/>
                <w:szCs w:val="18"/>
              </w:rPr>
            </w:pPr>
            <w:r>
              <w:rPr>
                <w:rFonts w:ascii="宋体" w:hAnsi="宋体" w:cs="宋体" w:eastAsia="宋体" w:hint="default"/>
                <w:spacing w:val="-2"/>
                <w:sz w:val="18"/>
                <w:szCs w:val="18"/>
              </w:rPr>
              <w:t>比例（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p>
        </w:tc>
        <w:tc>
          <w:tcPr>
            <w:tcW w:w="1416" w:type="dxa"/>
            <w:vMerge/>
            <w:tcBorders>
              <w:left w:val="dotted" w:sz="4" w:space="0" w:color="000000"/>
              <w:bottom w:val="dotted" w:sz="4" w:space="0" w:color="000000"/>
              <w:right w:val="nil" w:sz="6" w:space="0" w:color="auto"/>
            </w:tcBorders>
          </w:tcPr>
          <w:p>
            <w:pPr/>
          </w:p>
        </w:tc>
      </w:tr>
      <w:tr>
        <w:trPr>
          <w:trHeight w:val="370" w:hRule="exact"/>
        </w:trPr>
        <w:tc>
          <w:tcPr>
            <w:tcW w:w="15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10,752,544.76</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z w:val="18"/>
              </w:rPr>
              <w:t>85.09</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537,627.24</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2,387,961.95</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z w:val="18"/>
              </w:rPr>
              <w:t>67.22</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119,398.10</w:t>
            </w:r>
          </w:p>
        </w:tc>
      </w:tr>
      <w:tr>
        <w:trPr>
          <w:trHeight w:val="370" w:hRule="exact"/>
        </w:trPr>
        <w:tc>
          <w:tcPr>
            <w:tcW w:w="15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838,746.47</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6.64</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419,373.24</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336,885.10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9.48</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168,442.55</w:t>
            </w:r>
          </w:p>
        </w:tc>
      </w:tr>
      <w:tr>
        <w:trPr>
          <w:trHeight w:val="370" w:hRule="exact"/>
        </w:trPr>
        <w:tc>
          <w:tcPr>
            <w:tcW w:w="15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256,885.10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z w:val="18"/>
              </w:rPr>
              <w:t>2.03</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256,885.10</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170,752.07</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4.81</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170,752.07</w:t>
            </w:r>
          </w:p>
        </w:tc>
      </w:tr>
      <w:tr>
        <w:trPr>
          <w:trHeight w:val="370" w:hRule="exact"/>
        </w:trPr>
        <w:tc>
          <w:tcPr>
            <w:tcW w:w="15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787,939.10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6.24</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787,939.10</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656,687.03</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z w:val="18"/>
              </w:rPr>
              <w:t>18.49</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656,687.03</w:t>
            </w:r>
          </w:p>
        </w:tc>
      </w:tr>
      <w:tr>
        <w:trPr>
          <w:trHeight w:val="382" w:hRule="exact"/>
        </w:trPr>
        <w:tc>
          <w:tcPr>
            <w:tcW w:w="154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7"/>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12,636,115.43</w:t>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2,001,824.68</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3,552,286.15</w:t>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0"/>
              <w:ind w:left="383" w:right="0"/>
              <w:jc w:val="left"/>
              <w:rPr>
                <w:rFonts w:ascii="Times New Roman" w:hAnsi="Times New Roman" w:cs="Times New Roman" w:eastAsia="Times New Roman" w:hint="default"/>
                <w:sz w:val="18"/>
                <w:szCs w:val="18"/>
              </w:rPr>
            </w:pPr>
            <w:r>
              <w:rPr>
                <w:rFonts w:ascii="Times New Roman"/>
                <w:sz w:val="18"/>
              </w:rPr>
              <w:t>100.00</w:t>
            </w:r>
          </w:p>
        </w:tc>
        <w:tc>
          <w:tcPr>
            <w:tcW w:w="141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1,115,279.75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40" w:bottom="1160" w:left="1660" w:right="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tabs>
          <w:tab w:pos="1395" w:val="left" w:leader="none"/>
        </w:tabs>
        <w:spacing w:before="36"/>
        <w:ind w:left="85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tab/>
        <w:t>期末其他应收款中无持本公司</w:t>
      </w:r>
      <w:r>
        <w:rPr>
          <w:rFonts w:ascii="宋体" w:hAnsi="宋体" w:cs="宋体" w:eastAsia="宋体" w:hint="default"/>
          <w:b/>
          <w:bCs/>
          <w:spacing w:val="-43"/>
          <w:sz w:val="21"/>
          <w:szCs w:val="21"/>
        </w:rPr>
        <w:t> </w:t>
      </w:r>
      <w:r>
        <w:rPr>
          <w:rFonts w:ascii="宋体" w:hAnsi="宋体" w:cs="宋体" w:eastAsia="宋体" w:hint="default"/>
          <w:b/>
          <w:bCs/>
          <w:spacing w:val="-10"/>
          <w:sz w:val="21"/>
          <w:szCs w:val="21"/>
        </w:rPr>
        <w:t>5</w:t>
      </w:r>
      <w:r>
        <w:rPr>
          <w:rFonts w:ascii="宋体" w:hAnsi="宋体" w:cs="宋体" w:eastAsia="宋体" w:hint="default"/>
          <w:b/>
          <w:bCs/>
          <w:spacing w:val="-10"/>
          <w:sz w:val="21"/>
          <w:szCs w:val="21"/>
        </w:rPr>
        <w:t>％以上（含</w:t>
      </w:r>
      <w:r>
        <w:rPr>
          <w:rFonts w:ascii="宋体" w:hAnsi="宋体" w:cs="宋体" w:eastAsia="宋体" w:hint="default"/>
          <w:b/>
          <w:bCs/>
          <w:spacing w:val="-43"/>
          <w:sz w:val="21"/>
          <w:szCs w:val="21"/>
        </w:rPr>
        <w:t> </w:t>
      </w:r>
      <w:r>
        <w:rPr>
          <w:rFonts w:ascii="宋体" w:hAnsi="宋体" w:cs="宋体" w:eastAsia="宋体" w:hint="default"/>
          <w:b/>
          <w:bCs/>
          <w:spacing w:val="-5"/>
          <w:sz w:val="21"/>
          <w:szCs w:val="21"/>
        </w:rPr>
        <w:t>5</w:t>
      </w:r>
      <w:r>
        <w:rPr>
          <w:rFonts w:ascii="宋体" w:hAnsi="宋体" w:cs="宋体" w:eastAsia="宋体" w:hint="default"/>
          <w:b/>
          <w:bCs/>
          <w:spacing w:val="-5"/>
          <w:sz w:val="21"/>
          <w:szCs w:val="21"/>
        </w:rPr>
        <w:t>％）表决权股份的股东单位欠款。</w:t>
      </w:r>
      <w:r>
        <w:rPr>
          <w:rFonts w:ascii="宋体" w:hAnsi="宋体" w:cs="宋体" w:eastAsia="宋体" w:hint="default"/>
          <w:spacing w:val="-5"/>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p>
      <w:pPr>
        <w:tabs>
          <w:tab w:pos="1395" w:val="left" w:leader="none"/>
        </w:tabs>
        <w:spacing w:before="0"/>
        <w:ind w:left="85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tab/>
        <w:t>其他应收款金额前五名情况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tbl>
      <w:tblPr>
        <w:tblW w:w="0" w:type="auto"/>
        <w:jc w:val="left"/>
        <w:tblInd w:w="651" w:type="dxa"/>
        <w:tblLayout w:type="fixed"/>
        <w:tblCellMar>
          <w:top w:w="0" w:type="dxa"/>
          <w:left w:w="0" w:type="dxa"/>
          <w:bottom w:w="0" w:type="dxa"/>
          <w:right w:w="0" w:type="dxa"/>
        </w:tblCellMar>
        <w:tblLook w:val="01E0"/>
      </w:tblPr>
      <w:tblGrid>
        <w:gridCol w:w="1995"/>
        <w:gridCol w:w="883"/>
        <w:gridCol w:w="1181"/>
        <w:gridCol w:w="1613"/>
        <w:gridCol w:w="1154"/>
        <w:gridCol w:w="1117"/>
      </w:tblGrid>
      <w:tr>
        <w:trPr>
          <w:trHeight w:val="1402" w:hRule="exact"/>
        </w:trPr>
        <w:tc>
          <w:tcPr>
            <w:tcW w:w="1995"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left="64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88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468" w:lineRule="auto" w:before="154"/>
              <w:ind w:left="165" w:right="167"/>
              <w:jc w:val="left"/>
              <w:rPr>
                <w:rFonts w:ascii="宋体" w:hAnsi="宋体" w:cs="宋体" w:eastAsia="宋体" w:hint="default"/>
                <w:sz w:val="18"/>
                <w:szCs w:val="18"/>
              </w:rPr>
            </w:pPr>
            <w:r>
              <w:rPr>
                <w:rFonts w:ascii="宋体" w:hAnsi="宋体" w:cs="宋体" w:eastAsia="宋体" w:hint="default"/>
                <w:sz w:val="18"/>
                <w:szCs w:val="18"/>
              </w:rPr>
              <w:t>与本公 司关系</w:t>
            </w:r>
          </w:p>
        </w:tc>
        <w:tc>
          <w:tcPr>
            <w:tcW w:w="118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left="2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1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15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占其他应收</w:t>
            </w:r>
          </w:p>
          <w:p>
            <w:pPr>
              <w:pStyle w:val="TableParagraph"/>
              <w:spacing w:line="458" w:lineRule="exact" w:before="69"/>
              <w:ind w:left="122" w:right="120"/>
              <w:jc w:val="center"/>
              <w:rPr>
                <w:rFonts w:ascii="Times New Roman" w:hAnsi="Times New Roman" w:cs="Times New Roman" w:eastAsia="Times New Roman" w:hint="default"/>
                <w:sz w:val="18"/>
                <w:szCs w:val="18"/>
              </w:rPr>
            </w:pPr>
            <w:r>
              <w:rPr>
                <w:rFonts w:ascii="宋体" w:hAnsi="宋体" w:cs="宋体" w:eastAsia="宋体" w:hint="default"/>
                <w:sz w:val="18"/>
                <w:szCs w:val="18"/>
              </w:rPr>
              <w:t>款总额的比 例</w:t>
            </w:r>
            <w:r>
              <w:rPr>
                <w:rFonts w:ascii="Times New Roman" w:hAnsi="Times New Roman" w:cs="Times New Roman" w:eastAsia="Times New Roman" w:hint="default"/>
                <w:sz w:val="18"/>
                <w:szCs w:val="18"/>
              </w:rPr>
              <w:t>(%)</w:t>
            </w:r>
          </w:p>
        </w:tc>
        <w:tc>
          <w:tcPr>
            <w:tcW w:w="1117"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929" w:hRule="exact"/>
        </w:trPr>
        <w:tc>
          <w:tcPr>
            <w:tcW w:w="199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left="213" w:right="0"/>
              <w:jc w:val="left"/>
              <w:rPr>
                <w:rFonts w:ascii="宋体" w:hAnsi="宋体" w:cs="宋体" w:eastAsia="宋体" w:hint="default"/>
                <w:sz w:val="18"/>
                <w:szCs w:val="18"/>
              </w:rPr>
            </w:pPr>
            <w:r>
              <w:rPr>
                <w:rFonts w:ascii="宋体" w:hAnsi="宋体" w:cs="宋体" w:eastAsia="宋体" w:hint="default"/>
                <w:sz w:val="18"/>
                <w:szCs w:val="18"/>
              </w:rPr>
              <w:t>汉得日本株式会社</w:t>
            </w:r>
          </w:p>
        </w:tc>
        <w:tc>
          <w:tcPr>
            <w:tcW w:w="8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5,087,212.96</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p>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28.70</w:t>
            </w:r>
          </w:p>
        </w:tc>
        <w:tc>
          <w:tcPr>
            <w:tcW w:w="111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931" w:hRule="exact"/>
        </w:trPr>
        <w:tc>
          <w:tcPr>
            <w:tcW w:w="1995" w:type="dxa"/>
            <w:tcBorders>
              <w:top w:val="dotted" w:sz="4" w:space="0" w:color="000000"/>
              <w:left w:val="nil" w:sz="6" w:space="0" w:color="auto"/>
              <w:bottom w:val="dotted" w:sz="4" w:space="0" w:color="000000"/>
              <w:right w:val="dotted" w:sz="4" w:space="0" w:color="000000"/>
            </w:tcBorders>
          </w:tcPr>
          <w:p>
            <w:pPr>
              <w:pStyle w:val="TableParagraph"/>
              <w:spacing w:line="458" w:lineRule="exact" w:before="3"/>
              <w:ind w:left="122" w:right="104" w:firstLine="91"/>
              <w:jc w:val="left"/>
              <w:rPr>
                <w:rFonts w:ascii="宋体" w:hAnsi="宋体" w:cs="宋体" w:eastAsia="宋体" w:hint="default"/>
                <w:sz w:val="18"/>
                <w:szCs w:val="18"/>
              </w:rPr>
            </w:pPr>
            <w:r>
              <w:rPr>
                <w:rFonts w:ascii="宋体" w:hAnsi="宋体" w:cs="宋体" w:eastAsia="宋体" w:hint="default"/>
                <w:spacing w:val="10"/>
                <w:sz w:val="18"/>
                <w:szCs w:val="18"/>
              </w:rPr>
              <w:t>日立</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上海</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贸易有限</w:t>
            </w:r>
            <w:r>
              <w:rPr>
                <w:rFonts w:ascii="宋体" w:hAnsi="宋体" w:cs="宋体" w:eastAsia="宋体" w:hint="default"/>
                <w:sz w:val="18"/>
                <w:szCs w:val="18"/>
              </w:rPr>
              <w:t> 公司</w:t>
            </w:r>
          </w:p>
        </w:tc>
        <w:tc>
          <w:tcPr>
            <w:tcW w:w="8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1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851,887.42</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4.81</w:t>
            </w:r>
          </w:p>
        </w:tc>
        <w:tc>
          <w:tcPr>
            <w:tcW w:w="111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项目垫付款</w:t>
            </w:r>
          </w:p>
        </w:tc>
      </w:tr>
      <w:tr>
        <w:trPr>
          <w:trHeight w:val="929" w:hRule="exact"/>
        </w:trPr>
        <w:tc>
          <w:tcPr>
            <w:tcW w:w="19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7"/>
              <w:ind w:left="213" w:right="0"/>
              <w:jc w:val="left"/>
              <w:rPr>
                <w:rFonts w:ascii="宋体" w:hAnsi="宋体" w:cs="宋体" w:eastAsia="宋体" w:hint="default"/>
                <w:sz w:val="18"/>
                <w:szCs w:val="18"/>
              </w:rPr>
            </w:pPr>
            <w:r>
              <w:rPr>
                <w:rFonts w:ascii="宋体" w:hAnsi="宋体" w:cs="宋体" w:eastAsia="宋体" w:hint="default"/>
                <w:spacing w:val="5"/>
                <w:sz w:val="18"/>
                <w:szCs w:val="18"/>
              </w:rPr>
              <w:t>徐州徐工斗山发动机</w:t>
            </w: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1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300,000.00</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1.69</w:t>
            </w:r>
          </w:p>
        </w:tc>
        <w:tc>
          <w:tcPr>
            <w:tcW w:w="111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931" w:hRule="exact"/>
        </w:trPr>
        <w:tc>
          <w:tcPr>
            <w:tcW w:w="1995" w:type="dxa"/>
            <w:tcBorders>
              <w:top w:val="dotted" w:sz="4" w:space="0" w:color="000000"/>
              <w:left w:val="nil" w:sz="6" w:space="0" w:color="auto"/>
              <w:bottom w:val="dotted" w:sz="4" w:space="0" w:color="000000"/>
              <w:right w:val="dotted" w:sz="4" w:space="0" w:color="000000"/>
            </w:tcBorders>
          </w:tcPr>
          <w:p>
            <w:pPr>
              <w:pStyle w:val="TableParagraph"/>
              <w:spacing w:line="458" w:lineRule="exact" w:before="3"/>
              <w:ind w:left="122" w:right="100" w:firstLine="91"/>
              <w:jc w:val="left"/>
              <w:rPr>
                <w:rFonts w:ascii="宋体" w:hAnsi="宋体" w:cs="宋体" w:eastAsia="宋体" w:hint="default"/>
                <w:sz w:val="18"/>
                <w:szCs w:val="18"/>
              </w:rPr>
            </w:pPr>
            <w:r>
              <w:rPr>
                <w:rFonts w:ascii="宋体" w:hAnsi="宋体" w:cs="宋体" w:eastAsia="宋体" w:hint="default"/>
                <w:spacing w:val="5"/>
                <w:sz w:val="18"/>
                <w:szCs w:val="18"/>
              </w:rPr>
              <w:t>松下电器（中国）有</w:t>
            </w:r>
            <w:r>
              <w:rPr>
                <w:rFonts w:ascii="宋体" w:hAnsi="宋体" w:cs="宋体" w:eastAsia="宋体" w:hint="default"/>
                <w:sz w:val="18"/>
                <w:szCs w:val="18"/>
              </w:rPr>
              <w:t> 限公司上海分公司</w:t>
            </w:r>
          </w:p>
        </w:tc>
        <w:tc>
          <w:tcPr>
            <w:tcW w:w="8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1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298,050.77</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1.68</w:t>
            </w:r>
          </w:p>
        </w:tc>
        <w:tc>
          <w:tcPr>
            <w:tcW w:w="111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项目代垫款</w:t>
            </w:r>
          </w:p>
        </w:tc>
      </w:tr>
      <w:tr>
        <w:trPr>
          <w:trHeight w:val="480" w:hRule="exact"/>
        </w:trPr>
        <w:tc>
          <w:tcPr>
            <w:tcW w:w="199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7"/>
              <w:ind w:left="213" w:right="0"/>
              <w:jc w:val="left"/>
              <w:rPr>
                <w:rFonts w:ascii="宋体" w:hAnsi="宋体" w:cs="宋体" w:eastAsia="宋体" w:hint="default"/>
                <w:sz w:val="18"/>
                <w:szCs w:val="18"/>
              </w:rPr>
            </w:pPr>
            <w:r>
              <w:rPr>
                <w:rFonts w:ascii="宋体" w:hAnsi="宋体" w:cs="宋体" w:eastAsia="宋体" w:hint="default"/>
                <w:sz w:val="18"/>
                <w:szCs w:val="18"/>
              </w:rPr>
              <w:t>中纺粮油进出口公司</w:t>
            </w:r>
          </w:p>
        </w:tc>
        <w:tc>
          <w:tcPr>
            <w:tcW w:w="88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18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200,000.00</w:t>
            </w:r>
          </w:p>
        </w:tc>
        <w:tc>
          <w:tcPr>
            <w:tcW w:w="161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1.13</w:t>
            </w:r>
          </w:p>
        </w:tc>
        <w:tc>
          <w:tcPr>
            <w:tcW w:w="111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投标保证金</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1"/>
          <w:szCs w:val="21"/>
        </w:rPr>
      </w:pPr>
    </w:p>
    <w:p>
      <w:pPr>
        <w:tabs>
          <w:tab w:pos="1395" w:val="left" w:leader="none"/>
        </w:tabs>
        <w:spacing w:before="36"/>
        <w:ind w:left="85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tab/>
        <w:t>应收关联方账款情况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tbl>
      <w:tblPr>
        <w:tblW w:w="0" w:type="auto"/>
        <w:jc w:val="left"/>
        <w:tblInd w:w="721" w:type="dxa"/>
        <w:tblLayout w:type="fixed"/>
        <w:tblCellMar>
          <w:top w:w="0" w:type="dxa"/>
          <w:left w:w="0" w:type="dxa"/>
          <w:bottom w:w="0" w:type="dxa"/>
          <w:right w:w="0" w:type="dxa"/>
        </w:tblCellMar>
        <w:tblLook w:val="01E0"/>
      </w:tblPr>
      <w:tblGrid>
        <w:gridCol w:w="2612"/>
        <w:gridCol w:w="1507"/>
        <w:gridCol w:w="1656"/>
        <w:gridCol w:w="2137"/>
      </w:tblGrid>
      <w:tr>
        <w:trPr>
          <w:trHeight w:val="941" w:hRule="exact"/>
        </w:trPr>
        <w:tc>
          <w:tcPr>
            <w:tcW w:w="261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832" w:right="0"/>
              <w:jc w:val="left"/>
              <w:rPr>
                <w:rFonts w:ascii="宋体" w:hAnsi="宋体" w:cs="宋体" w:eastAsia="宋体" w:hint="default"/>
                <w:sz w:val="24"/>
                <w:szCs w:val="24"/>
              </w:rPr>
            </w:pPr>
            <w:r>
              <w:rPr>
                <w:rFonts w:ascii="宋体" w:hAnsi="宋体" w:cs="宋体" w:eastAsia="宋体" w:hint="default"/>
                <w:sz w:val="24"/>
                <w:szCs w:val="24"/>
              </w:rPr>
              <w:t>单位名称</w:t>
            </w:r>
          </w:p>
        </w:tc>
        <w:tc>
          <w:tcPr>
            <w:tcW w:w="1507" w:type="dxa"/>
            <w:tcBorders>
              <w:top w:val="single" w:sz="12" w:space="0" w:color="000000"/>
              <w:left w:val="dotted" w:sz="4" w:space="0" w:color="000000"/>
              <w:bottom w:val="dotted" w:sz="4" w:space="0" w:color="000000"/>
              <w:right w:val="dotted" w:sz="4" w:space="0" w:color="000000"/>
            </w:tcBorders>
          </w:tcPr>
          <w:p>
            <w:pPr>
              <w:pStyle w:val="TableParagraph"/>
              <w:spacing w:line="458" w:lineRule="exact" w:before="3"/>
              <w:ind w:left="628" w:right="146" w:hanging="480"/>
              <w:jc w:val="left"/>
              <w:rPr>
                <w:rFonts w:ascii="宋体" w:hAnsi="宋体" w:cs="宋体" w:eastAsia="宋体" w:hint="default"/>
                <w:sz w:val="24"/>
                <w:szCs w:val="24"/>
              </w:rPr>
            </w:pPr>
            <w:r>
              <w:rPr>
                <w:rFonts w:ascii="宋体" w:hAnsi="宋体" w:cs="宋体" w:eastAsia="宋体" w:hint="default"/>
                <w:sz w:val="24"/>
                <w:szCs w:val="24"/>
              </w:rPr>
              <w:t>与本公司关 系</w:t>
            </w:r>
          </w:p>
        </w:tc>
        <w:tc>
          <w:tcPr>
            <w:tcW w:w="16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账面余额</w:t>
            </w:r>
          </w:p>
        </w:tc>
        <w:tc>
          <w:tcPr>
            <w:tcW w:w="2137" w:type="dxa"/>
            <w:tcBorders>
              <w:top w:val="single" w:sz="12" w:space="0" w:color="000000"/>
              <w:left w:val="dotted" w:sz="4" w:space="0" w:color="000000"/>
              <w:bottom w:val="dotted" w:sz="4" w:space="0" w:color="000000"/>
              <w:right w:val="nil" w:sz="6" w:space="0" w:color="auto"/>
            </w:tcBorders>
          </w:tcPr>
          <w:p>
            <w:pPr>
              <w:pStyle w:val="TableParagraph"/>
              <w:spacing w:line="458" w:lineRule="exact" w:before="3"/>
              <w:ind w:left="523" w:right="106" w:hanging="420"/>
              <w:jc w:val="left"/>
              <w:rPr>
                <w:rFonts w:ascii="宋体" w:hAnsi="宋体" w:cs="宋体" w:eastAsia="宋体" w:hint="default"/>
                <w:sz w:val="24"/>
                <w:szCs w:val="24"/>
              </w:rPr>
            </w:pPr>
            <w:r>
              <w:rPr>
                <w:rFonts w:ascii="宋体" w:hAnsi="宋体" w:cs="宋体" w:eastAsia="宋体" w:hint="default"/>
                <w:sz w:val="24"/>
                <w:szCs w:val="24"/>
              </w:rPr>
              <w:t>占其他应收款总额 的比例</w:t>
            </w:r>
            <w:r>
              <w:rPr>
                <w:rFonts w:ascii="宋体" w:hAnsi="宋体" w:cs="宋体" w:eastAsia="宋体" w:hint="default"/>
                <w:sz w:val="24"/>
                <w:szCs w:val="24"/>
              </w:rPr>
              <w:t>(%)</w:t>
            </w:r>
          </w:p>
        </w:tc>
      </w:tr>
      <w:tr>
        <w:trPr>
          <w:trHeight w:val="470" w:hRule="exact"/>
        </w:trPr>
        <w:tc>
          <w:tcPr>
            <w:tcW w:w="26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242" w:right="0"/>
              <w:jc w:val="left"/>
              <w:rPr>
                <w:rFonts w:ascii="宋体" w:hAnsi="宋体" w:cs="宋体" w:eastAsia="宋体" w:hint="default"/>
                <w:sz w:val="24"/>
                <w:szCs w:val="24"/>
              </w:rPr>
            </w:pPr>
            <w:r>
              <w:rPr>
                <w:rFonts w:ascii="宋体" w:hAnsi="宋体" w:cs="宋体" w:eastAsia="宋体" w:hint="default"/>
                <w:sz w:val="24"/>
                <w:szCs w:val="24"/>
              </w:rPr>
              <w:t>汉得日本株式会社</w:t>
            </w:r>
          </w:p>
        </w:tc>
        <w:tc>
          <w:tcPr>
            <w:tcW w:w="15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388" w:right="0"/>
              <w:jc w:val="left"/>
              <w:rPr>
                <w:rFonts w:ascii="宋体" w:hAnsi="宋体" w:cs="宋体" w:eastAsia="宋体" w:hint="default"/>
                <w:sz w:val="24"/>
                <w:szCs w:val="24"/>
              </w:rPr>
            </w:pPr>
            <w:r>
              <w:rPr>
                <w:rFonts w:ascii="宋体" w:hAnsi="宋体" w:cs="宋体" w:eastAsia="宋体" w:hint="default"/>
                <w:sz w:val="24"/>
                <w:szCs w:val="24"/>
              </w:rPr>
              <w:t>子公司</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sz w:val="24"/>
              </w:rPr>
              <w:t>5,087,212.96</w:t>
            </w:r>
          </w:p>
        </w:tc>
        <w:tc>
          <w:tcPr>
            <w:tcW w:w="21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7"/>
              <w:ind w:right="3"/>
              <w:jc w:val="center"/>
              <w:rPr>
                <w:rFonts w:ascii="宋体" w:hAnsi="宋体" w:cs="宋体" w:eastAsia="宋体" w:hint="default"/>
                <w:sz w:val="24"/>
                <w:szCs w:val="24"/>
              </w:rPr>
            </w:pPr>
            <w:r>
              <w:rPr>
                <w:rFonts w:ascii="宋体"/>
                <w:sz w:val="24"/>
              </w:rPr>
              <w:t>28.70</w:t>
            </w:r>
          </w:p>
        </w:tc>
      </w:tr>
      <w:tr>
        <w:trPr>
          <w:trHeight w:val="480" w:hRule="exact"/>
        </w:trPr>
        <w:tc>
          <w:tcPr>
            <w:tcW w:w="261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7"/>
              <w:ind w:left="18"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507" w:type="dxa"/>
            <w:tcBorders>
              <w:top w:val="dotted" w:sz="4" w:space="0" w:color="000000"/>
              <w:left w:val="dotted" w:sz="4" w:space="0" w:color="000000"/>
              <w:bottom w:val="single" w:sz="12" w:space="0" w:color="000000"/>
              <w:right w:val="dotted" w:sz="4" w:space="0" w:color="000000"/>
            </w:tcBorders>
          </w:tcPr>
          <w:p>
            <w:pPr/>
          </w:p>
        </w:tc>
        <w:tc>
          <w:tcPr>
            <w:tcW w:w="16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sz w:val="24"/>
              </w:rPr>
              <w:t>5,087,212.96</w:t>
            </w:r>
          </w:p>
        </w:tc>
        <w:tc>
          <w:tcPr>
            <w:tcW w:w="2137"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0" w:footer="980" w:top="1140" w:bottom="1160" w:left="1660" w:right="1460"/>
        </w:sectPr>
      </w:pPr>
    </w:p>
    <w:p>
      <w:pPr>
        <w:tabs>
          <w:tab w:pos="12725" w:val="left" w:leader="none"/>
        </w:tabs>
        <w:spacing w:before="14"/>
        <w:ind w:left="353" w:right="0" w:firstLine="0"/>
        <w:jc w:val="left"/>
        <w:rPr>
          <w:rFonts w:ascii="宋体" w:hAnsi="宋体" w:cs="宋体" w:eastAsia="宋体" w:hint="default"/>
          <w:sz w:val="21"/>
          <w:szCs w:val="21"/>
        </w:rPr>
      </w:pPr>
      <w:r>
        <w:rPr>
          <w:rFonts w:ascii="宋体" w:hAnsi="宋体" w:cs="宋体" w:eastAsia="宋体" w:hint="default"/>
          <w:sz w:val="21"/>
          <w:szCs w:val="21"/>
        </w:rPr>
        <w:t>上海汉得信息技术股份有限公司（股票代码</w:t>
      </w:r>
      <w:r>
        <w:rPr>
          <w:rFonts w:ascii="宋体" w:hAnsi="宋体" w:cs="宋体" w:eastAsia="宋体" w:hint="default"/>
          <w:spacing w:val="-60"/>
          <w:sz w:val="21"/>
          <w:szCs w:val="21"/>
        </w:rPr>
        <w:t> </w:t>
      </w:r>
      <w:r>
        <w:rPr>
          <w:rFonts w:ascii="宋体" w:hAnsi="宋体" w:cs="宋体" w:eastAsia="宋体" w:hint="default"/>
          <w:sz w:val="21"/>
          <w:szCs w:val="21"/>
        </w:rPr>
        <w:t>300170</w:t>
      </w:r>
      <w:r>
        <w:rPr>
          <w:rFonts w:ascii="宋体" w:hAnsi="宋体" w:cs="宋体" w:eastAsia="宋体" w:hint="default"/>
          <w:sz w:val="21"/>
          <w:szCs w:val="21"/>
        </w:rPr>
        <w:t>）</w:t>
        <w:tab/>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年年度报告</w:t>
      </w:r>
    </w:p>
    <w:p>
      <w:pPr>
        <w:spacing w:line="240" w:lineRule="auto" w:before="10"/>
        <w:rPr>
          <w:rFonts w:ascii="宋体" w:hAnsi="宋体" w:cs="宋体" w:eastAsia="宋体" w:hint="default"/>
          <w:sz w:val="3"/>
          <w:szCs w:val="3"/>
        </w:rPr>
      </w:pPr>
    </w:p>
    <w:p>
      <w:pPr>
        <w:spacing w:line="20" w:lineRule="exact"/>
        <w:ind w:left="28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spacing w:before="36"/>
        <w:ind w:left="32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7"/>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spacing w:before="0"/>
        <w:ind w:left="1038" w:right="0" w:firstLine="0"/>
        <w:jc w:val="left"/>
        <w:rPr>
          <w:rFonts w:ascii="宋体" w:hAnsi="宋体" w:cs="宋体" w:eastAsia="宋体" w:hint="default"/>
          <w:sz w:val="21"/>
          <w:szCs w:val="21"/>
        </w:rPr>
      </w:pPr>
      <w:r>
        <w:rPr>
          <w:rFonts w:ascii="宋体" w:hAnsi="宋体" w:cs="宋体" w:eastAsia="宋体" w:hint="default"/>
          <w:b/>
          <w:bCs/>
          <w:sz w:val="21"/>
          <w:szCs w:val="21"/>
        </w:rPr>
        <w:t>长期股权投资明细情况</w:t>
      </w:r>
      <w:r>
        <w:rPr>
          <w:rFonts w:ascii="宋体" w:hAnsi="宋体" w:cs="宋体" w:eastAsia="宋体" w:hint="default"/>
          <w:sz w:val="21"/>
          <w:szCs w:val="21"/>
        </w:rPr>
      </w:r>
    </w:p>
    <w:p>
      <w:pPr>
        <w:spacing w:before="47"/>
        <w:ind w:left="0" w:right="1312"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800"/>
        <w:gridCol w:w="991"/>
        <w:gridCol w:w="1073"/>
        <w:gridCol w:w="1051"/>
        <w:gridCol w:w="1049"/>
        <w:gridCol w:w="1450"/>
        <w:gridCol w:w="1176"/>
        <w:gridCol w:w="1023"/>
        <w:gridCol w:w="1135"/>
        <w:gridCol w:w="1447"/>
        <w:gridCol w:w="711"/>
        <w:gridCol w:w="991"/>
        <w:gridCol w:w="994"/>
      </w:tblGrid>
      <w:tr>
        <w:trPr>
          <w:trHeight w:val="1519" w:hRule="exact"/>
        </w:trPr>
        <w:tc>
          <w:tcPr>
            <w:tcW w:w="1800"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56"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99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29"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107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2"/>
              <w:jc w:val="center"/>
              <w:rPr>
                <w:rFonts w:ascii="宋体" w:hAnsi="宋体" w:cs="宋体" w:eastAsia="宋体" w:hint="default"/>
                <w:sz w:val="18"/>
                <w:szCs w:val="18"/>
              </w:rPr>
            </w:pPr>
            <w:r>
              <w:rPr>
                <w:rFonts w:ascii="宋体" w:hAnsi="宋体" w:cs="宋体" w:eastAsia="宋体" w:hint="default"/>
                <w:sz w:val="18"/>
                <w:szCs w:val="18"/>
              </w:rPr>
              <w:t>投资成本</w:t>
            </w:r>
          </w:p>
        </w:tc>
        <w:tc>
          <w:tcPr>
            <w:tcW w:w="105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5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04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58"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450" w:type="dxa"/>
            <w:tcBorders>
              <w:top w:val="single" w:sz="12" w:space="0" w:color="000000"/>
              <w:left w:val="dotted" w:sz="4" w:space="0" w:color="000000"/>
              <w:bottom w:val="dotted" w:sz="4" w:space="0" w:color="000000"/>
              <w:right w:val="dotted" w:sz="4" w:space="0" w:color="000000"/>
            </w:tcBorders>
          </w:tcPr>
          <w:p>
            <w:pPr>
              <w:pStyle w:val="TableParagraph"/>
              <w:spacing w:line="381" w:lineRule="auto" w:before="41"/>
              <w:ind w:left="103" w:right="105"/>
              <w:jc w:val="center"/>
              <w:rPr>
                <w:rFonts w:ascii="宋体" w:hAnsi="宋体" w:cs="宋体" w:eastAsia="宋体" w:hint="default"/>
                <w:sz w:val="18"/>
                <w:szCs w:val="18"/>
              </w:rPr>
            </w:pPr>
            <w:r>
              <w:rPr>
                <w:rFonts w:ascii="宋体" w:hAnsi="宋体" w:cs="宋体" w:eastAsia="宋体" w:hint="default"/>
                <w:spacing w:val="-5"/>
                <w:sz w:val="18"/>
                <w:szCs w:val="18"/>
              </w:rPr>
              <w:t>其中：联营及合</w:t>
            </w:r>
            <w:r>
              <w:rPr>
                <w:rFonts w:ascii="宋体" w:hAnsi="宋体" w:cs="宋体" w:eastAsia="宋体" w:hint="default"/>
                <w:sz w:val="18"/>
                <w:szCs w:val="18"/>
              </w:rPr>
              <w:t> 营企业其他综 合收益变动中 享有的份额</w:t>
            </w:r>
          </w:p>
        </w:tc>
        <w:tc>
          <w:tcPr>
            <w:tcW w:w="117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2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381" w:lineRule="auto"/>
              <w:ind w:left="146" w:right="146"/>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113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381" w:lineRule="auto"/>
              <w:ind w:left="110"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在被投资单 位表决权 比例</w:t>
            </w:r>
            <w:r>
              <w:rPr>
                <w:rFonts w:ascii="Times New Roman" w:hAnsi="Times New Roman" w:cs="Times New Roman" w:eastAsia="Times New Roman" w:hint="default"/>
                <w:sz w:val="18"/>
                <w:szCs w:val="18"/>
              </w:rPr>
              <w:t>(%)</w:t>
            </w:r>
          </w:p>
        </w:tc>
        <w:tc>
          <w:tcPr>
            <w:tcW w:w="1447" w:type="dxa"/>
            <w:tcBorders>
              <w:top w:val="single" w:sz="12" w:space="0" w:color="000000"/>
              <w:left w:val="dotted" w:sz="4" w:space="0" w:color="000000"/>
              <w:bottom w:val="dotted" w:sz="4" w:space="0" w:color="000000"/>
              <w:right w:val="dotted" w:sz="4" w:space="0" w:color="000000"/>
            </w:tcBorders>
          </w:tcPr>
          <w:p>
            <w:pPr>
              <w:pStyle w:val="TableParagraph"/>
              <w:spacing w:line="381" w:lineRule="auto" w:before="41"/>
              <w:ind w:left="177" w:right="179"/>
              <w:jc w:val="center"/>
              <w:rPr>
                <w:rFonts w:ascii="宋体" w:hAnsi="宋体" w:cs="宋体" w:eastAsia="宋体" w:hint="default"/>
                <w:sz w:val="18"/>
                <w:szCs w:val="18"/>
              </w:rPr>
            </w:pPr>
            <w:r>
              <w:rPr>
                <w:rFonts w:ascii="宋体" w:hAnsi="宋体" w:cs="宋体" w:eastAsia="宋体" w:hint="default"/>
                <w:sz w:val="18"/>
                <w:szCs w:val="18"/>
              </w:rPr>
              <w:t>在被投资单位 持股比例与表 决权比例不一 致的说明</w:t>
            </w:r>
          </w:p>
        </w:tc>
        <w:tc>
          <w:tcPr>
            <w:tcW w:w="71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81" w:lineRule="auto"/>
              <w:ind w:left="167" w:right="171"/>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99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81" w:lineRule="auto"/>
              <w:ind w:left="129" w:right="131"/>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994"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81" w:lineRule="auto"/>
              <w:ind w:left="309" w:right="137"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84" w:hRule="exact"/>
        </w:trPr>
        <w:tc>
          <w:tcPr>
            <w:tcW w:w="18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1" w:type="dxa"/>
            <w:tcBorders>
              <w:top w:val="dotted" w:sz="4" w:space="0" w:color="000000"/>
              <w:left w:val="dotted" w:sz="4" w:space="0" w:color="000000"/>
              <w:bottom w:val="dotted" w:sz="4" w:space="0" w:color="000000"/>
              <w:right w:val="dotted" w:sz="4" w:space="0" w:color="000000"/>
            </w:tcBorders>
          </w:tcPr>
          <w:p>
            <w:pPr/>
          </w:p>
        </w:tc>
        <w:tc>
          <w:tcPr>
            <w:tcW w:w="1073" w:type="dxa"/>
            <w:tcBorders>
              <w:top w:val="dotted" w:sz="4" w:space="0" w:color="000000"/>
              <w:left w:val="dotted" w:sz="4" w:space="0" w:color="000000"/>
              <w:bottom w:val="dotted" w:sz="4" w:space="0" w:color="000000"/>
              <w:right w:val="dotted" w:sz="4" w:space="0" w:color="000000"/>
            </w:tcBorders>
          </w:tcPr>
          <w:p>
            <w:pPr/>
          </w:p>
        </w:tc>
        <w:tc>
          <w:tcPr>
            <w:tcW w:w="1051" w:type="dxa"/>
            <w:tcBorders>
              <w:top w:val="dotted" w:sz="4" w:space="0" w:color="000000"/>
              <w:left w:val="dotted" w:sz="4" w:space="0" w:color="000000"/>
              <w:bottom w:val="dotted" w:sz="4" w:space="0" w:color="000000"/>
              <w:right w:val="dotted" w:sz="4" w:space="0" w:color="000000"/>
            </w:tcBorders>
          </w:tcPr>
          <w:p>
            <w:pPr/>
          </w:p>
        </w:tc>
        <w:tc>
          <w:tcPr>
            <w:tcW w:w="1049" w:type="dxa"/>
            <w:tcBorders>
              <w:top w:val="dotted" w:sz="4" w:space="0" w:color="000000"/>
              <w:left w:val="dotted" w:sz="4" w:space="0" w:color="000000"/>
              <w:bottom w:val="dotted" w:sz="4" w:space="0" w:color="000000"/>
              <w:right w:val="dotted" w:sz="4" w:space="0" w:color="000000"/>
            </w:tcBorders>
          </w:tcPr>
          <w:p>
            <w:pPr/>
          </w:p>
        </w:tc>
        <w:tc>
          <w:tcPr>
            <w:tcW w:w="1450" w:type="dxa"/>
            <w:tcBorders>
              <w:top w:val="dotted" w:sz="4" w:space="0" w:color="000000"/>
              <w:left w:val="dotted" w:sz="4" w:space="0" w:color="000000"/>
              <w:bottom w:val="dotted" w:sz="4" w:space="0" w:color="000000"/>
              <w:right w:val="dotted" w:sz="4" w:space="0" w:color="000000"/>
            </w:tcBorders>
          </w:tcPr>
          <w:p>
            <w:pPr/>
          </w:p>
        </w:tc>
        <w:tc>
          <w:tcPr>
            <w:tcW w:w="1176" w:type="dxa"/>
            <w:tcBorders>
              <w:top w:val="dotted" w:sz="4" w:space="0" w:color="000000"/>
              <w:left w:val="dotted" w:sz="4" w:space="0" w:color="000000"/>
              <w:bottom w:val="dotted" w:sz="4" w:space="0" w:color="000000"/>
              <w:right w:val="dotted" w:sz="4" w:space="0" w:color="000000"/>
            </w:tcBorders>
          </w:tcPr>
          <w:p>
            <w:pPr/>
          </w:p>
        </w:tc>
        <w:tc>
          <w:tcPr>
            <w:tcW w:w="1023"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dotted" w:sz="4" w:space="0" w:color="000000"/>
            </w:tcBorders>
          </w:tcPr>
          <w:p>
            <w:pPr/>
          </w:p>
        </w:tc>
        <w:tc>
          <w:tcPr>
            <w:tcW w:w="1447" w:type="dxa"/>
            <w:tcBorders>
              <w:top w:val="dotted" w:sz="4" w:space="0" w:color="000000"/>
              <w:left w:val="dotted" w:sz="4" w:space="0" w:color="000000"/>
              <w:bottom w:val="dotted" w:sz="4" w:space="0" w:color="000000"/>
              <w:right w:val="dotted" w:sz="4" w:space="0" w:color="000000"/>
            </w:tcBorders>
          </w:tcPr>
          <w:p>
            <w:pPr/>
          </w:p>
        </w:tc>
        <w:tc>
          <w:tcPr>
            <w:tcW w:w="711"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18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213" w:right="0"/>
              <w:jc w:val="left"/>
              <w:rPr>
                <w:rFonts w:ascii="宋体" w:hAnsi="宋体" w:cs="宋体" w:eastAsia="宋体" w:hint="default"/>
                <w:sz w:val="18"/>
                <w:szCs w:val="18"/>
              </w:rPr>
            </w:pPr>
            <w:r>
              <w:rPr>
                <w:rFonts w:ascii="宋体" w:hAnsi="宋体" w:cs="宋体" w:eastAsia="宋体" w:hint="default"/>
                <w:sz w:val="18"/>
                <w:szCs w:val="18"/>
              </w:rPr>
              <w:t>汉得日本株式会社</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0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45" w:right="0"/>
              <w:jc w:val="center"/>
              <w:rPr>
                <w:rFonts w:ascii="Times New Roman" w:hAnsi="Times New Roman" w:cs="Times New Roman" w:eastAsia="Times New Roman" w:hint="default"/>
                <w:sz w:val="18"/>
                <w:szCs w:val="18"/>
              </w:rPr>
            </w:pPr>
            <w:r>
              <w:rPr>
                <w:rFonts w:ascii="Times New Roman"/>
                <w:sz w:val="18"/>
              </w:rPr>
              <w:t>757,470.00</w:t>
            </w:r>
          </w:p>
        </w:tc>
        <w:tc>
          <w:tcPr>
            <w:tcW w:w="10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124" w:right="0"/>
              <w:jc w:val="left"/>
              <w:rPr>
                <w:rFonts w:ascii="Times New Roman" w:hAnsi="Times New Roman" w:cs="Times New Roman" w:eastAsia="Times New Roman" w:hint="default"/>
                <w:sz w:val="18"/>
                <w:szCs w:val="18"/>
              </w:rPr>
            </w:pPr>
            <w:r>
              <w:rPr>
                <w:rFonts w:ascii="Times New Roman"/>
                <w:sz w:val="18"/>
              </w:rPr>
              <w:t>574,886.68</w:t>
            </w:r>
          </w:p>
        </w:tc>
        <w:tc>
          <w:tcPr>
            <w:tcW w:w="1049" w:type="dxa"/>
            <w:tcBorders>
              <w:top w:val="dotted" w:sz="4" w:space="0" w:color="000000"/>
              <w:left w:val="dotted" w:sz="4" w:space="0" w:color="000000"/>
              <w:bottom w:val="dotted" w:sz="4" w:space="0" w:color="000000"/>
              <w:right w:val="dotted" w:sz="4" w:space="0" w:color="000000"/>
            </w:tcBorders>
          </w:tcPr>
          <w:p>
            <w:pPr/>
          </w:p>
        </w:tc>
        <w:tc>
          <w:tcPr>
            <w:tcW w:w="1450" w:type="dxa"/>
            <w:tcBorders>
              <w:top w:val="dotted" w:sz="4" w:space="0" w:color="000000"/>
              <w:left w:val="dotted" w:sz="4" w:space="0" w:color="000000"/>
              <w:bottom w:val="dotted" w:sz="4" w:space="0" w:color="000000"/>
              <w:right w:val="dotted" w:sz="4" w:space="0" w:color="000000"/>
            </w:tcBorders>
          </w:tcPr>
          <w:p>
            <w:pPr/>
          </w:p>
        </w:tc>
        <w:tc>
          <w:tcPr>
            <w:tcW w:w="11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252" w:right="0"/>
              <w:jc w:val="left"/>
              <w:rPr>
                <w:rFonts w:ascii="Times New Roman" w:hAnsi="Times New Roman" w:cs="Times New Roman" w:eastAsia="Times New Roman" w:hint="default"/>
                <w:sz w:val="18"/>
                <w:szCs w:val="18"/>
              </w:rPr>
            </w:pPr>
            <w:r>
              <w:rPr>
                <w:rFonts w:ascii="Times New Roman"/>
                <w:sz w:val="18"/>
              </w:rPr>
              <w:t>574,886.68</w:t>
            </w:r>
          </w:p>
        </w:tc>
        <w:tc>
          <w:tcPr>
            <w:tcW w:w="1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415" w:right="0"/>
              <w:jc w:val="left"/>
              <w:rPr>
                <w:rFonts w:ascii="Times New Roman" w:hAnsi="Times New Roman" w:cs="Times New Roman" w:eastAsia="Times New Roman" w:hint="default"/>
                <w:sz w:val="18"/>
                <w:szCs w:val="18"/>
              </w:rPr>
            </w:pPr>
            <w:r>
              <w:rPr>
                <w:rFonts w:ascii="Times New Roman"/>
                <w:sz w:val="18"/>
              </w:rPr>
              <w:t>100.00</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525" w:right="0"/>
              <w:jc w:val="left"/>
              <w:rPr>
                <w:rFonts w:ascii="Times New Roman" w:hAnsi="Times New Roman" w:cs="Times New Roman" w:eastAsia="Times New Roman" w:hint="default"/>
                <w:sz w:val="18"/>
                <w:szCs w:val="18"/>
              </w:rPr>
            </w:pPr>
            <w:r>
              <w:rPr>
                <w:rFonts w:ascii="Times New Roman"/>
                <w:sz w:val="18"/>
              </w:rPr>
              <w:t>100.00</w:t>
            </w:r>
          </w:p>
        </w:tc>
        <w:tc>
          <w:tcPr>
            <w:tcW w:w="1447" w:type="dxa"/>
            <w:tcBorders>
              <w:top w:val="dotted" w:sz="4" w:space="0" w:color="000000"/>
              <w:left w:val="dotted" w:sz="4" w:space="0" w:color="000000"/>
              <w:bottom w:val="dotted" w:sz="4" w:space="0" w:color="000000"/>
              <w:right w:val="dotted" w:sz="4" w:space="0" w:color="000000"/>
            </w:tcBorders>
          </w:tcPr>
          <w:p>
            <w:pPr/>
          </w:p>
        </w:tc>
        <w:tc>
          <w:tcPr>
            <w:tcW w:w="711"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18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成本法小计</w:t>
            </w:r>
          </w:p>
        </w:tc>
        <w:tc>
          <w:tcPr>
            <w:tcW w:w="991" w:type="dxa"/>
            <w:tcBorders>
              <w:top w:val="dotted" w:sz="4" w:space="0" w:color="000000"/>
              <w:left w:val="dotted" w:sz="4" w:space="0" w:color="000000"/>
              <w:bottom w:val="dotted" w:sz="4" w:space="0" w:color="000000"/>
              <w:right w:val="dotted" w:sz="4" w:space="0" w:color="000000"/>
            </w:tcBorders>
          </w:tcPr>
          <w:p>
            <w:pPr/>
          </w:p>
        </w:tc>
        <w:tc>
          <w:tcPr>
            <w:tcW w:w="1073" w:type="dxa"/>
            <w:tcBorders>
              <w:top w:val="dotted" w:sz="4" w:space="0" w:color="000000"/>
              <w:left w:val="dotted" w:sz="4" w:space="0" w:color="000000"/>
              <w:bottom w:val="dotted" w:sz="4" w:space="0" w:color="000000"/>
              <w:right w:val="dotted" w:sz="4" w:space="0" w:color="000000"/>
            </w:tcBorders>
          </w:tcPr>
          <w:p>
            <w:pPr/>
          </w:p>
        </w:tc>
        <w:tc>
          <w:tcPr>
            <w:tcW w:w="10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124" w:right="0"/>
              <w:jc w:val="left"/>
              <w:rPr>
                <w:rFonts w:ascii="Times New Roman" w:hAnsi="Times New Roman" w:cs="Times New Roman" w:eastAsia="Times New Roman" w:hint="default"/>
                <w:sz w:val="18"/>
                <w:szCs w:val="18"/>
              </w:rPr>
            </w:pPr>
            <w:r>
              <w:rPr>
                <w:rFonts w:ascii="Times New Roman"/>
                <w:sz w:val="18"/>
              </w:rPr>
              <w:t>574,886.68</w:t>
            </w:r>
          </w:p>
        </w:tc>
        <w:tc>
          <w:tcPr>
            <w:tcW w:w="1049" w:type="dxa"/>
            <w:tcBorders>
              <w:top w:val="dotted" w:sz="4" w:space="0" w:color="000000"/>
              <w:left w:val="dotted" w:sz="4" w:space="0" w:color="000000"/>
              <w:bottom w:val="dotted" w:sz="4" w:space="0" w:color="000000"/>
              <w:right w:val="dotted" w:sz="4" w:space="0" w:color="000000"/>
            </w:tcBorders>
          </w:tcPr>
          <w:p>
            <w:pPr/>
          </w:p>
        </w:tc>
        <w:tc>
          <w:tcPr>
            <w:tcW w:w="1450" w:type="dxa"/>
            <w:tcBorders>
              <w:top w:val="dotted" w:sz="4" w:space="0" w:color="000000"/>
              <w:left w:val="dotted" w:sz="4" w:space="0" w:color="000000"/>
              <w:bottom w:val="dotted" w:sz="4" w:space="0" w:color="000000"/>
              <w:right w:val="dotted" w:sz="4" w:space="0" w:color="000000"/>
            </w:tcBorders>
          </w:tcPr>
          <w:p>
            <w:pPr/>
          </w:p>
        </w:tc>
        <w:tc>
          <w:tcPr>
            <w:tcW w:w="11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252" w:right="0"/>
              <w:jc w:val="left"/>
              <w:rPr>
                <w:rFonts w:ascii="Times New Roman" w:hAnsi="Times New Roman" w:cs="Times New Roman" w:eastAsia="Times New Roman" w:hint="default"/>
                <w:sz w:val="18"/>
                <w:szCs w:val="18"/>
              </w:rPr>
            </w:pPr>
            <w:r>
              <w:rPr>
                <w:rFonts w:ascii="Times New Roman"/>
                <w:sz w:val="18"/>
              </w:rPr>
              <w:t>574,886.68</w:t>
            </w:r>
          </w:p>
        </w:tc>
        <w:tc>
          <w:tcPr>
            <w:tcW w:w="1023"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dotted" w:sz="4" w:space="0" w:color="000000"/>
            </w:tcBorders>
          </w:tcPr>
          <w:p>
            <w:pPr/>
          </w:p>
        </w:tc>
        <w:tc>
          <w:tcPr>
            <w:tcW w:w="1447" w:type="dxa"/>
            <w:tcBorders>
              <w:top w:val="dotted" w:sz="4" w:space="0" w:color="000000"/>
              <w:left w:val="dotted" w:sz="4" w:space="0" w:color="000000"/>
              <w:bottom w:val="dotted" w:sz="4" w:space="0" w:color="000000"/>
              <w:right w:val="dotted" w:sz="4" w:space="0" w:color="000000"/>
            </w:tcBorders>
          </w:tcPr>
          <w:p>
            <w:pPr/>
          </w:p>
        </w:tc>
        <w:tc>
          <w:tcPr>
            <w:tcW w:w="711"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nil" w:sz="6" w:space="0" w:color="auto"/>
            </w:tcBorders>
          </w:tcPr>
          <w:p>
            <w:pPr/>
          </w:p>
        </w:tc>
      </w:tr>
      <w:tr>
        <w:trPr>
          <w:trHeight w:val="396" w:hRule="exact"/>
        </w:trPr>
        <w:tc>
          <w:tcPr>
            <w:tcW w:w="180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9"/>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dotted" w:sz="4" w:space="0" w:color="000000"/>
              <w:left w:val="dotted" w:sz="4" w:space="0" w:color="000000"/>
              <w:bottom w:val="single" w:sz="12" w:space="0" w:color="000000"/>
              <w:right w:val="dotted" w:sz="4" w:space="0" w:color="000000"/>
            </w:tcBorders>
          </w:tcPr>
          <w:p>
            <w:pPr/>
          </w:p>
        </w:tc>
        <w:tc>
          <w:tcPr>
            <w:tcW w:w="1073" w:type="dxa"/>
            <w:tcBorders>
              <w:top w:val="dotted" w:sz="4" w:space="0" w:color="000000"/>
              <w:left w:val="dotted" w:sz="4" w:space="0" w:color="000000"/>
              <w:bottom w:val="single" w:sz="12" w:space="0" w:color="000000"/>
              <w:right w:val="dotted" w:sz="4" w:space="0" w:color="000000"/>
            </w:tcBorders>
          </w:tcPr>
          <w:p>
            <w:pPr/>
          </w:p>
        </w:tc>
        <w:tc>
          <w:tcPr>
            <w:tcW w:w="105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left="124" w:right="0"/>
              <w:jc w:val="left"/>
              <w:rPr>
                <w:rFonts w:ascii="Times New Roman" w:hAnsi="Times New Roman" w:cs="Times New Roman" w:eastAsia="Times New Roman" w:hint="default"/>
                <w:sz w:val="18"/>
                <w:szCs w:val="18"/>
              </w:rPr>
            </w:pPr>
            <w:r>
              <w:rPr>
                <w:rFonts w:ascii="Times New Roman"/>
                <w:sz w:val="18"/>
              </w:rPr>
              <w:t>574,886.68</w:t>
            </w:r>
          </w:p>
        </w:tc>
        <w:tc>
          <w:tcPr>
            <w:tcW w:w="1049" w:type="dxa"/>
            <w:tcBorders>
              <w:top w:val="dotted" w:sz="4" w:space="0" w:color="000000"/>
              <w:left w:val="dotted" w:sz="4" w:space="0" w:color="000000"/>
              <w:bottom w:val="single" w:sz="12" w:space="0" w:color="000000"/>
              <w:right w:val="dotted" w:sz="4" w:space="0" w:color="000000"/>
            </w:tcBorders>
          </w:tcPr>
          <w:p>
            <w:pPr/>
          </w:p>
        </w:tc>
        <w:tc>
          <w:tcPr>
            <w:tcW w:w="1450" w:type="dxa"/>
            <w:tcBorders>
              <w:top w:val="dotted" w:sz="4" w:space="0" w:color="000000"/>
              <w:left w:val="dotted" w:sz="4" w:space="0" w:color="000000"/>
              <w:bottom w:val="single" w:sz="12" w:space="0" w:color="000000"/>
              <w:right w:val="dotted" w:sz="4" w:space="0" w:color="000000"/>
            </w:tcBorders>
          </w:tcPr>
          <w:p>
            <w:pPr/>
          </w:p>
        </w:tc>
        <w:tc>
          <w:tcPr>
            <w:tcW w:w="11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left="252" w:right="0"/>
              <w:jc w:val="left"/>
              <w:rPr>
                <w:rFonts w:ascii="Times New Roman" w:hAnsi="Times New Roman" w:cs="Times New Roman" w:eastAsia="Times New Roman" w:hint="default"/>
                <w:sz w:val="18"/>
                <w:szCs w:val="18"/>
              </w:rPr>
            </w:pPr>
            <w:r>
              <w:rPr>
                <w:rFonts w:ascii="Times New Roman"/>
                <w:sz w:val="18"/>
              </w:rPr>
              <w:t>574,886.68</w:t>
            </w:r>
          </w:p>
        </w:tc>
        <w:tc>
          <w:tcPr>
            <w:tcW w:w="1023" w:type="dxa"/>
            <w:tcBorders>
              <w:top w:val="dotted" w:sz="4" w:space="0" w:color="000000"/>
              <w:left w:val="dotted" w:sz="4" w:space="0" w:color="000000"/>
              <w:bottom w:val="single" w:sz="12" w:space="0" w:color="000000"/>
              <w:right w:val="dotted" w:sz="4" w:space="0" w:color="000000"/>
            </w:tcBorders>
          </w:tcPr>
          <w:p>
            <w:pPr/>
          </w:p>
        </w:tc>
        <w:tc>
          <w:tcPr>
            <w:tcW w:w="1135" w:type="dxa"/>
            <w:tcBorders>
              <w:top w:val="dotted" w:sz="4" w:space="0" w:color="000000"/>
              <w:left w:val="dotted" w:sz="4" w:space="0" w:color="000000"/>
              <w:bottom w:val="single" w:sz="12" w:space="0" w:color="000000"/>
              <w:right w:val="dotted" w:sz="4" w:space="0" w:color="000000"/>
            </w:tcBorders>
          </w:tcPr>
          <w:p>
            <w:pPr/>
          </w:p>
        </w:tc>
        <w:tc>
          <w:tcPr>
            <w:tcW w:w="1447" w:type="dxa"/>
            <w:tcBorders>
              <w:top w:val="dotted" w:sz="4" w:space="0" w:color="000000"/>
              <w:left w:val="dotted" w:sz="4" w:space="0" w:color="000000"/>
              <w:bottom w:val="single" w:sz="12" w:space="0" w:color="000000"/>
              <w:right w:val="dotted" w:sz="4" w:space="0" w:color="000000"/>
            </w:tcBorders>
          </w:tcPr>
          <w:p>
            <w:pPr/>
          </w:p>
        </w:tc>
        <w:tc>
          <w:tcPr>
            <w:tcW w:w="711" w:type="dxa"/>
            <w:tcBorders>
              <w:top w:val="dotted" w:sz="4" w:space="0" w:color="000000"/>
              <w:left w:val="dotted" w:sz="4" w:space="0" w:color="000000"/>
              <w:bottom w:val="single" w:sz="12" w:space="0" w:color="000000"/>
              <w:right w:val="dotted" w:sz="4" w:space="0" w:color="000000"/>
            </w:tcBorders>
          </w:tcPr>
          <w:p>
            <w:pPr/>
          </w:p>
        </w:tc>
        <w:tc>
          <w:tcPr>
            <w:tcW w:w="991" w:type="dxa"/>
            <w:tcBorders>
              <w:top w:val="dotted" w:sz="4" w:space="0" w:color="000000"/>
              <w:left w:val="dotted" w:sz="4" w:space="0" w:color="000000"/>
              <w:bottom w:val="single" w:sz="12" w:space="0" w:color="000000"/>
              <w:right w:val="dotted" w:sz="4" w:space="0" w:color="000000"/>
            </w:tcBorders>
          </w:tcPr>
          <w:p>
            <w:pPr/>
          </w:p>
        </w:tc>
        <w:tc>
          <w:tcPr>
            <w:tcW w:w="994"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76"/>
        <w:ind w:left="7146" w:right="7701" w:firstLine="0"/>
        <w:jc w:val="center"/>
        <w:rPr>
          <w:rFonts w:ascii="Times New Roman" w:hAnsi="Times New Roman" w:cs="Times New Roman" w:eastAsia="Times New Roman" w:hint="default"/>
          <w:sz w:val="18"/>
          <w:szCs w:val="18"/>
        </w:rPr>
      </w:pPr>
      <w:r>
        <w:rPr>
          <w:rFonts w:ascii="Times New Roman"/>
          <w:sz w:val="18"/>
        </w:rPr>
        <w:t>145</w:t>
      </w:r>
    </w:p>
    <w:p>
      <w:pPr>
        <w:spacing w:after="0"/>
        <w:jc w:val="center"/>
        <w:rPr>
          <w:rFonts w:ascii="Times New Roman" w:hAnsi="Times New Roman" w:cs="Times New Roman" w:eastAsia="Times New Roman" w:hint="default"/>
          <w:sz w:val="18"/>
          <w:szCs w:val="18"/>
        </w:rPr>
        <w:sectPr>
          <w:headerReference w:type="default" r:id="rId33"/>
          <w:footerReference w:type="default" r:id="rId34"/>
          <w:pgSz w:w="16840" w:h="11910" w:orient="landscape"/>
          <w:pgMar w:header="0" w:footer="0" w:top="800" w:bottom="280" w:left="1120" w:right="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p>
      <w:pPr>
        <w:spacing w:before="0"/>
        <w:ind w:left="151" w:right="13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8"/>
          <w:sz w:val="21"/>
          <w:szCs w:val="21"/>
        </w:rPr>
        <w:t> </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2"/>
        <w:rPr>
          <w:rFonts w:ascii="宋体" w:hAnsi="宋体" w:cs="宋体" w:eastAsia="宋体" w:hint="default"/>
          <w:b/>
          <w:bCs/>
          <w:sz w:val="18"/>
          <w:szCs w:val="18"/>
        </w:rPr>
      </w:pPr>
    </w:p>
    <w:p>
      <w:pPr>
        <w:tabs>
          <w:tab w:pos="1406" w:val="left" w:leader="none"/>
        </w:tabs>
        <w:spacing w:before="0"/>
        <w:ind w:left="869" w:right="132"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tab/>
        <w:t>营业收入、营业成本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2"/>
          <w:szCs w:val="12"/>
        </w:rPr>
      </w:pPr>
    </w:p>
    <w:tbl>
      <w:tblPr>
        <w:tblW w:w="0" w:type="auto"/>
        <w:jc w:val="left"/>
        <w:tblInd w:w="694" w:type="dxa"/>
        <w:tblLayout w:type="fixed"/>
        <w:tblCellMar>
          <w:top w:w="0" w:type="dxa"/>
          <w:left w:w="0" w:type="dxa"/>
          <w:bottom w:w="0" w:type="dxa"/>
          <w:right w:w="0" w:type="dxa"/>
        </w:tblCellMar>
        <w:tblLook w:val="01E0"/>
      </w:tblPr>
      <w:tblGrid>
        <w:gridCol w:w="2948"/>
        <w:gridCol w:w="2592"/>
        <w:gridCol w:w="2552"/>
      </w:tblGrid>
      <w:tr>
        <w:trPr>
          <w:trHeight w:val="396" w:hRule="exact"/>
        </w:trPr>
        <w:tc>
          <w:tcPr>
            <w:tcW w:w="2948" w:type="dxa"/>
            <w:tcBorders>
              <w:top w:val="single" w:sz="12" w:space="0" w:color="000000"/>
              <w:left w:val="nil" w:sz="6" w:space="0" w:color="auto"/>
              <w:bottom w:val="dotted" w:sz="4" w:space="0" w:color="000000"/>
              <w:right w:val="dotted" w:sz="4" w:space="0" w:color="000000"/>
            </w:tcBorders>
          </w:tcPr>
          <w:p>
            <w:pPr>
              <w:pStyle w:val="TableParagraph"/>
              <w:tabs>
                <w:tab w:pos="647" w:val="left" w:leader="none"/>
              </w:tabs>
              <w:spacing w:line="240" w:lineRule="auto" w:before="21"/>
              <w:ind w:left="1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1"/>
              <w:ind w:left="2"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55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1"/>
              <w:ind w:right="3"/>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84"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5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501,351,174.59</w:t>
            </w:r>
          </w:p>
        </w:tc>
        <w:tc>
          <w:tcPr>
            <w:tcW w:w="25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356,542,921.22</w:t>
            </w:r>
          </w:p>
        </w:tc>
      </w:tr>
      <w:tr>
        <w:trPr>
          <w:trHeight w:val="384"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5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2,591,093.83</w:t>
            </w:r>
          </w:p>
        </w:tc>
        <w:tc>
          <w:tcPr>
            <w:tcW w:w="25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442,652.00</w:t>
            </w:r>
          </w:p>
        </w:tc>
      </w:tr>
      <w:tr>
        <w:trPr>
          <w:trHeight w:val="396" w:hRule="exact"/>
        </w:trPr>
        <w:tc>
          <w:tcPr>
            <w:tcW w:w="294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5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335,068,269.30</w:t>
            </w:r>
          </w:p>
        </w:tc>
        <w:tc>
          <w:tcPr>
            <w:tcW w:w="255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228,689,442.41</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tabs>
          <w:tab w:pos="1406" w:val="left" w:leader="none"/>
        </w:tabs>
        <w:spacing w:before="36"/>
        <w:ind w:left="869" w:right="13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t>主营业务（分行业）</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2"/>
          <w:szCs w:val="12"/>
        </w:rPr>
      </w:pPr>
    </w:p>
    <w:tbl>
      <w:tblPr>
        <w:tblW w:w="0" w:type="auto"/>
        <w:jc w:val="left"/>
        <w:tblInd w:w="722" w:type="dxa"/>
        <w:tblLayout w:type="fixed"/>
        <w:tblCellMar>
          <w:top w:w="0" w:type="dxa"/>
          <w:left w:w="0" w:type="dxa"/>
          <w:bottom w:w="0" w:type="dxa"/>
          <w:right w:w="0" w:type="dxa"/>
        </w:tblCellMar>
        <w:tblLook w:val="01E0"/>
      </w:tblPr>
      <w:tblGrid>
        <w:gridCol w:w="1620"/>
        <w:gridCol w:w="1765"/>
        <w:gridCol w:w="1560"/>
        <w:gridCol w:w="1702"/>
        <w:gridCol w:w="1417"/>
      </w:tblGrid>
      <w:tr>
        <w:trPr>
          <w:trHeight w:val="396" w:hRule="exact"/>
        </w:trPr>
        <w:tc>
          <w:tcPr>
            <w:tcW w:w="1620" w:type="dxa"/>
            <w:vMerge w:val="restart"/>
            <w:tcBorders>
              <w:top w:val="single" w:sz="12" w:space="0" w:color="000000"/>
              <w:left w:val="nil" w:sz="6" w:space="0" w:color="auto"/>
              <w:right w:val="dotted"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tabs>
                <w:tab w:pos="995" w:val="left" w:leader="none"/>
              </w:tabs>
              <w:spacing w:line="240" w:lineRule="auto"/>
              <w:ind w:left="455"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325"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18"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84" w:hRule="exact"/>
        </w:trPr>
        <w:tc>
          <w:tcPr>
            <w:tcW w:w="1620" w:type="dxa"/>
            <w:vMerge/>
            <w:tcBorders>
              <w:left w:val="nil" w:sz="6" w:space="0" w:color="auto"/>
              <w:bottom w:val="dotted" w:sz="4" w:space="0" w:color="000000"/>
              <w:right w:val="dotted" w:sz="4" w:space="0" w:color="000000"/>
            </w:tcBorders>
          </w:tcPr>
          <w:p>
            <w:pPr/>
          </w:p>
        </w:tc>
        <w:tc>
          <w:tcPr>
            <w:tcW w:w="17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5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4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48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right="8"/>
              <w:jc w:val="center"/>
              <w:rPr>
                <w:rFonts w:ascii="宋体" w:hAnsi="宋体" w:cs="宋体" w:eastAsia="宋体" w:hint="default"/>
                <w:sz w:val="18"/>
                <w:szCs w:val="18"/>
              </w:rPr>
            </w:pPr>
            <w:r>
              <w:rPr>
                <w:rFonts w:ascii="宋体" w:hAnsi="宋体" w:cs="宋体" w:eastAsia="宋体" w:hint="default"/>
                <w:sz w:val="18"/>
                <w:szCs w:val="18"/>
              </w:rPr>
              <w:t>营业成本</w:t>
            </w:r>
          </w:p>
        </w:tc>
      </w:tr>
      <w:tr>
        <w:trPr>
          <w:trHeight w:val="384" w:hRule="exact"/>
        </w:trPr>
        <w:tc>
          <w:tcPr>
            <w:tcW w:w="16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w:t>
            </w:r>
          </w:p>
        </w:tc>
        <w:tc>
          <w:tcPr>
            <w:tcW w:w="17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526" w:right="0"/>
              <w:jc w:val="left"/>
              <w:rPr>
                <w:rFonts w:ascii="Times New Roman" w:hAnsi="Times New Roman" w:cs="Times New Roman" w:eastAsia="Times New Roman" w:hint="default"/>
                <w:sz w:val="18"/>
                <w:szCs w:val="18"/>
              </w:rPr>
            </w:pPr>
            <w:r>
              <w:rPr>
                <w:rFonts w:ascii="Times New Roman"/>
                <w:sz w:val="18"/>
              </w:rPr>
              <w:t>501,351,174.59</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335,068,269.30</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left="463" w:right="0"/>
              <w:jc w:val="left"/>
              <w:rPr>
                <w:rFonts w:ascii="Times New Roman" w:hAnsi="Times New Roman" w:cs="Times New Roman" w:eastAsia="Times New Roman" w:hint="default"/>
                <w:sz w:val="18"/>
                <w:szCs w:val="18"/>
              </w:rPr>
            </w:pPr>
            <w:r>
              <w:rPr>
                <w:rFonts w:ascii="Times New Roman"/>
                <w:sz w:val="18"/>
              </w:rPr>
              <w:t>356,542,921.22</w:t>
            </w:r>
          </w:p>
        </w:tc>
        <w:tc>
          <w:tcPr>
            <w:tcW w:w="14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left="64" w:right="0"/>
              <w:jc w:val="center"/>
              <w:rPr>
                <w:rFonts w:ascii="Times New Roman" w:hAnsi="Times New Roman" w:cs="Times New Roman" w:eastAsia="Times New Roman" w:hint="default"/>
                <w:sz w:val="18"/>
                <w:szCs w:val="18"/>
              </w:rPr>
            </w:pPr>
            <w:r>
              <w:rPr>
                <w:rFonts w:ascii="Times New Roman"/>
                <w:sz w:val="18"/>
              </w:rPr>
              <w:t>228,555,627.60</w:t>
            </w:r>
          </w:p>
        </w:tc>
      </w:tr>
      <w:tr>
        <w:trPr>
          <w:trHeight w:val="396" w:hRule="exact"/>
        </w:trPr>
        <w:tc>
          <w:tcPr>
            <w:tcW w:w="1620" w:type="dxa"/>
            <w:tcBorders>
              <w:top w:val="dotted" w:sz="4" w:space="0" w:color="000000"/>
              <w:left w:val="nil" w:sz="6" w:space="0" w:color="auto"/>
              <w:bottom w:val="single" w:sz="12" w:space="0" w:color="000000"/>
              <w:right w:val="dotted" w:sz="4" w:space="0" w:color="000000"/>
            </w:tcBorders>
          </w:tcPr>
          <w:p>
            <w:pPr>
              <w:pStyle w:val="TableParagraph"/>
              <w:tabs>
                <w:tab w:pos="955" w:val="left" w:leader="none"/>
              </w:tabs>
              <w:spacing w:line="240" w:lineRule="auto" w:before="39"/>
              <w:ind w:left="50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left="526" w:right="0"/>
              <w:jc w:val="left"/>
              <w:rPr>
                <w:rFonts w:ascii="Times New Roman" w:hAnsi="Times New Roman" w:cs="Times New Roman" w:eastAsia="Times New Roman" w:hint="default"/>
                <w:sz w:val="18"/>
                <w:szCs w:val="18"/>
              </w:rPr>
            </w:pPr>
            <w:r>
              <w:rPr>
                <w:rFonts w:ascii="Times New Roman"/>
                <w:sz w:val="18"/>
              </w:rPr>
              <w:t>501,351,174.59</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335,068,269.30</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left="463" w:right="0"/>
              <w:jc w:val="left"/>
              <w:rPr>
                <w:rFonts w:ascii="Times New Roman" w:hAnsi="Times New Roman" w:cs="Times New Roman" w:eastAsia="Times New Roman" w:hint="default"/>
                <w:sz w:val="18"/>
                <w:szCs w:val="18"/>
              </w:rPr>
            </w:pPr>
            <w:r>
              <w:rPr>
                <w:rFonts w:ascii="Times New Roman"/>
                <w:sz w:val="18"/>
              </w:rPr>
              <w:t>356,542,921.22</w:t>
            </w:r>
          </w:p>
        </w:tc>
        <w:tc>
          <w:tcPr>
            <w:tcW w:w="141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1"/>
              <w:ind w:left="64" w:right="0"/>
              <w:jc w:val="center"/>
              <w:rPr>
                <w:rFonts w:ascii="Times New Roman" w:hAnsi="Times New Roman" w:cs="Times New Roman" w:eastAsia="Times New Roman" w:hint="default"/>
                <w:sz w:val="18"/>
                <w:szCs w:val="18"/>
              </w:rPr>
            </w:pPr>
            <w:r>
              <w:rPr>
                <w:rFonts w:ascii="Times New Roman"/>
                <w:sz w:val="18"/>
              </w:rPr>
              <w:t>228,555,627.60</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tabs>
          <w:tab w:pos="1406" w:val="left" w:leader="none"/>
        </w:tabs>
        <w:spacing w:before="36"/>
        <w:ind w:left="869" w:right="13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tab/>
        <w:t>主营业务（分产品）</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2"/>
          <w:szCs w:val="12"/>
        </w:rPr>
      </w:pPr>
    </w:p>
    <w:tbl>
      <w:tblPr>
        <w:tblW w:w="0" w:type="auto"/>
        <w:jc w:val="left"/>
        <w:tblInd w:w="722" w:type="dxa"/>
        <w:tblLayout w:type="fixed"/>
        <w:tblCellMar>
          <w:top w:w="0" w:type="dxa"/>
          <w:left w:w="0" w:type="dxa"/>
          <w:bottom w:w="0" w:type="dxa"/>
          <w:right w:w="0" w:type="dxa"/>
        </w:tblCellMar>
        <w:tblLook w:val="01E0"/>
      </w:tblPr>
      <w:tblGrid>
        <w:gridCol w:w="2249"/>
        <w:gridCol w:w="1471"/>
        <w:gridCol w:w="1443"/>
        <w:gridCol w:w="1471"/>
        <w:gridCol w:w="1373"/>
      </w:tblGrid>
      <w:tr>
        <w:trPr>
          <w:trHeight w:val="394" w:hRule="exact"/>
        </w:trPr>
        <w:tc>
          <w:tcPr>
            <w:tcW w:w="2249" w:type="dxa"/>
            <w:vMerge w:val="restart"/>
            <w:tcBorders>
              <w:top w:val="single" w:sz="12" w:space="0" w:color="000000"/>
              <w:left w:val="nil" w:sz="6" w:space="0" w:color="auto"/>
              <w:right w:val="dotted"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tabs>
                <w:tab w:pos="556" w:val="left" w:leader="none"/>
              </w:tabs>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914"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845"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39"/>
              <w:ind w:right="5"/>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84" w:hRule="exact"/>
        </w:trPr>
        <w:tc>
          <w:tcPr>
            <w:tcW w:w="2249" w:type="dxa"/>
            <w:vMerge/>
            <w:tcBorders>
              <w:left w:val="nil" w:sz="6" w:space="0" w:color="auto"/>
              <w:bottom w:val="dotted" w:sz="4" w:space="0" w:color="000000"/>
              <w:right w:val="dotted" w:sz="4" w:space="0" w:color="000000"/>
            </w:tcBorders>
          </w:tcPr>
          <w:p>
            <w:pP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36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35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36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84"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59,332,029.22</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54,265,177.51</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54,174,388.71</w:t>
            </w:r>
          </w:p>
        </w:tc>
        <w:tc>
          <w:tcPr>
            <w:tcW w:w="13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9"/>
              <w:jc w:val="right"/>
              <w:rPr>
                <w:rFonts w:ascii="Times New Roman" w:hAnsi="Times New Roman" w:cs="Times New Roman" w:eastAsia="Times New Roman" w:hint="default"/>
                <w:sz w:val="18"/>
                <w:szCs w:val="18"/>
              </w:rPr>
            </w:pPr>
            <w:r>
              <w:rPr>
                <w:rFonts w:ascii="Times New Roman"/>
                <w:spacing w:val="-1"/>
                <w:sz w:val="18"/>
              </w:rPr>
              <w:t>49,021,579.73</w:t>
            </w:r>
          </w:p>
        </w:tc>
      </w:tr>
      <w:tr>
        <w:trPr>
          <w:trHeight w:val="386"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Oracle</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软件销售</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37,204,144.94</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34,154,292.00</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34,068,513.03</w:t>
            </w:r>
          </w:p>
        </w:tc>
        <w:tc>
          <w:tcPr>
            <w:tcW w:w="13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4"/>
              <w:ind w:right="109"/>
              <w:jc w:val="right"/>
              <w:rPr>
                <w:rFonts w:ascii="Times New Roman" w:hAnsi="Times New Roman" w:cs="Times New Roman" w:eastAsia="Times New Roman" w:hint="default"/>
                <w:sz w:val="18"/>
                <w:szCs w:val="18"/>
              </w:rPr>
            </w:pPr>
            <w:r>
              <w:rPr>
                <w:rFonts w:ascii="Times New Roman"/>
                <w:spacing w:val="-1"/>
                <w:sz w:val="18"/>
              </w:rPr>
              <w:t>30,790,409.32</w:t>
            </w:r>
          </w:p>
        </w:tc>
      </w:tr>
      <w:tr>
        <w:trPr>
          <w:trHeight w:val="384"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6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SAP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软件销售</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22,042,414.19</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20,110,885.51</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19,755,020.97</w:t>
            </w:r>
          </w:p>
        </w:tc>
        <w:tc>
          <w:tcPr>
            <w:tcW w:w="13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9"/>
              <w:jc w:val="right"/>
              <w:rPr>
                <w:rFonts w:ascii="Times New Roman" w:hAnsi="Times New Roman" w:cs="Times New Roman" w:eastAsia="Times New Roman" w:hint="default"/>
                <w:sz w:val="18"/>
                <w:szCs w:val="18"/>
              </w:rPr>
            </w:pPr>
            <w:r>
              <w:rPr>
                <w:rFonts w:ascii="Times New Roman"/>
                <w:spacing w:val="-1"/>
                <w:sz w:val="18"/>
              </w:rPr>
              <w:t>18,229,325.02</w:t>
            </w:r>
          </w:p>
        </w:tc>
      </w:tr>
      <w:tr>
        <w:trPr>
          <w:trHeight w:val="384"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6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软件销售</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85,470.09</w:t>
            </w:r>
          </w:p>
        </w:tc>
        <w:tc>
          <w:tcPr>
            <w:tcW w:w="1443" w:type="dxa"/>
            <w:tcBorders>
              <w:top w:val="dotted" w:sz="4" w:space="0" w:color="000000"/>
              <w:left w:val="dotted" w:sz="4" w:space="0" w:color="000000"/>
              <w:bottom w:val="dotted" w:sz="4" w:space="0" w:color="000000"/>
              <w:right w:val="dotted" w:sz="4" w:space="0" w:color="000000"/>
            </w:tcBorders>
          </w:tcPr>
          <w:p>
            <w:pP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350,854.71</w:t>
            </w:r>
          </w:p>
        </w:tc>
        <w:tc>
          <w:tcPr>
            <w:tcW w:w="13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8"/>
                <w:szCs w:val="18"/>
              </w:rPr>
            </w:pPr>
            <w:r>
              <w:rPr>
                <w:rFonts w:ascii="Times New Roman"/>
                <w:w w:val="95"/>
                <w:sz w:val="18"/>
              </w:rPr>
              <w:t>1,845.39</w:t>
            </w:r>
          </w:p>
        </w:tc>
      </w:tr>
      <w:tr>
        <w:trPr>
          <w:trHeight w:val="384"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442,019,145.37</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280,803,091.79</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129,392,778.37</w:t>
            </w:r>
          </w:p>
        </w:tc>
        <w:tc>
          <w:tcPr>
            <w:tcW w:w="13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9"/>
              <w:jc w:val="right"/>
              <w:rPr>
                <w:rFonts w:ascii="Times New Roman" w:hAnsi="Times New Roman" w:cs="Times New Roman" w:eastAsia="Times New Roman" w:hint="default"/>
                <w:sz w:val="18"/>
                <w:szCs w:val="18"/>
              </w:rPr>
            </w:pPr>
            <w:r>
              <w:rPr>
                <w:rFonts w:ascii="Times New Roman"/>
                <w:spacing w:val="-1"/>
                <w:sz w:val="18"/>
              </w:rPr>
              <w:t>71,230,122.10</w:t>
            </w:r>
          </w:p>
        </w:tc>
      </w:tr>
      <w:tr>
        <w:trPr>
          <w:trHeight w:val="384"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其中：软件外包服务</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47,516,385.82</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25,980,519.84</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2"/>
              <w:jc w:val="right"/>
              <w:rPr>
                <w:rFonts w:ascii="Times New Roman" w:hAnsi="Times New Roman" w:cs="Times New Roman" w:eastAsia="Times New Roman" w:hint="default"/>
                <w:sz w:val="18"/>
                <w:szCs w:val="18"/>
              </w:rPr>
            </w:pPr>
            <w:r>
              <w:rPr>
                <w:rFonts w:ascii="Times New Roman"/>
                <w:spacing w:val="-1"/>
                <w:sz w:val="18"/>
              </w:rPr>
              <w:t>32,267,383.12</w:t>
            </w:r>
          </w:p>
        </w:tc>
        <w:tc>
          <w:tcPr>
            <w:tcW w:w="13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9"/>
              <w:jc w:val="right"/>
              <w:rPr>
                <w:rFonts w:ascii="Times New Roman" w:hAnsi="Times New Roman" w:cs="Times New Roman" w:eastAsia="Times New Roman" w:hint="default"/>
                <w:sz w:val="18"/>
                <w:szCs w:val="18"/>
              </w:rPr>
            </w:pPr>
            <w:r>
              <w:rPr>
                <w:rFonts w:ascii="Times New Roman"/>
                <w:spacing w:val="-1"/>
                <w:sz w:val="18"/>
              </w:rPr>
              <w:t>16,169,082.04</w:t>
            </w:r>
          </w:p>
        </w:tc>
      </w:tr>
      <w:tr>
        <w:trPr>
          <w:trHeight w:val="384"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664" w:right="0"/>
              <w:jc w:val="left"/>
              <w:rPr>
                <w:rFonts w:ascii="宋体" w:hAnsi="宋体" w:cs="宋体" w:eastAsia="宋体" w:hint="default"/>
                <w:sz w:val="18"/>
                <w:szCs w:val="18"/>
              </w:rPr>
            </w:pPr>
            <w:r>
              <w:rPr>
                <w:rFonts w:ascii="宋体" w:hAnsi="宋体" w:cs="宋体" w:eastAsia="宋体" w:hint="default"/>
                <w:sz w:val="18"/>
                <w:szCs w:val="18"/>
              </w:rPr>
              <w:t>客户支持服务</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39,985,437.83</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22,051,952.02</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30,253,720.39</w:t>
            </w:r>
          </w:p>
        </w:tc>
        <w:tc>
          <w:tcPr>
            <w:tcW w:w="13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9"/>
              <w:jc w:val="right"/>
              <w:rPr>
                <w:rFonts w:ascii="Times New Roman" w:hAnsi="Times New Roman" w:cs="Times New Roman" w:eastAsia="Times New Roman" w:hint="default"/>
                <w:sz w:val="18"/>
                <w:szCs w:val="18"/>
              </w:rPr>
            </w:pPr>
            <w:r>
              <w:rPr>
                <w:rFonts w:ascii="Times New Roman"/>
                <w:spacing w:val="-1"/>
                <w:sz w:val="18"/>
              </w:rPr>
              <w:t>14,721,176.72</w:t>
            </w:r>
          </w:p>
        </w:tc>
      </w:tr>
      <w:tr>
        <w:trPr>
          <w:trHeight w:val="386"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软件实施服务</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354,517,321.72</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232,770,619.93</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66,871,674.86</w:t>
            </w:r>
          </w:p>
        </w:tc>
        <w:tc>
          <w:tcPr>
            <w:tcW w:w="13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4"/>
              <w:ind w:right="109"/>
              <w:jc w:val="right"/>
              <w:rPr>
                <w:rFonts w:ascii="Times New Roman" w:hAnsi="Times New Roman" w:cs="Times New Roman" w:eastAsia="Times New Roman" w:hint="default"/>
                <w:sz w:val="18"/>
                <w:szCs w:val="18"/>
              </w:rPr>
            </w:pPr>
            <w:r>
              <w:rPr>
                <w:rFonts w:ascii="Times New Roman"/>
                <w:spacing w:val="-1"/>
                <w:sz w:val="18"/>
              </w:rPr>
              <w:t>40,339,863.34</w:t>
            </w:r>
          </w:p>
        </w:tc>
      </w:tr>
      <w:tr>
        <w:trPr>
          <w:trHeight w:val="384"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ORACLE</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实施服务</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205,566,782.88</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144,773,676.59</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157,737,779.91</w:t>
            </w:r>
          </w:p>
        </w:tc>
        <w:tc>
          <w:tcPr>
            <w:tcW w:w="13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9"/>
              <w:jc w:val="right"/>
              <w:rPr>
                <w:rFonts w:ascii="Times New Roman" w:hAnsi="Times New Roman" w:cs="Times New Roman" w:eastAsia="Times New Roman" w:hint="default"/>
                <w:sz w:val="18"/>
                <w:szCs w:val="18"/>
              </w:rPr>
            </w:pPr>
            <w:r>
              <w:rPr>
                <w:rFonts w:ascii="Times New Roman"/>
                <w:spacing w:val="-1"/>
                <w:sz w:val="18"/>
              </w:rPr>
              <w:t>99,543,676.19</w:t>
            </w:r>
          </w:p>
        </w:tc>
      </w:tr>
      <w:tr>
        <w:trPr>
          <w:trHeight w:val="385"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0"/>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SAP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实施服务</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2"/>
              <w:ind w:right="104"/>
              <w:jc w:val="right"/>
              <w:rPr>
                <w:rFonts w:ascii="Times New Roman" w:hAnsi="Times New Roman" w:cs="Times New Roman" w:eastAsia="Times New Roman" w:hint="default"/>
                <w:sz w:val="18"/>
                <w:szCs w:val="18"/>
              </w:rPr>
            </w:pPr>
            <w:r>
              <w:rPr>
                <w:rFonts w:ascii="Times New Roman"/>
                <w:spacing w:val="-1"/>
                <w:sz w:val="18"/>
              </w:rPr>
              <w:t>119,341,906.53</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pacing w:val="-1"/>
                <w:sz w:val="18"/>
              </w:rPr>
              <w:t>69,621,030.67</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2"/>
              <w:ind w:right="103"/>
              <w:jc w:val="right"/>
              <w:rPr>
                <w:rFonts w:ascii="Times New Roman" w:hAnsi="Times New Roman" w:cs="Times New Roman" w:eastAsia="Times New Roman" w:hint="default"/>
                <w:sz w:val="18"/>
                <w:szCs w:val="18"/>
              </w:rPr>
            </w:pPr>
            <w:r>
              <w:rPr>
                <w:rFonts w:ascii="Times New Roman"/>
                <w:spacing w:val="-1"/>
                <w:sz w:val="18"/>
              </w:rPr>
              <w:t>66,871,674.86</w:t>
            </w:r>
          </w:p>
        </w:tc>
        <w:tc>
          <w:tcPr>
            <w:tcW w:w="13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2"/>
              <w:ind w:right="109"/>
              <w:jc w:val="right"/>
              <w:rPr>
                <w:rFonts w:ascii="Times New Roman" w:hAnsi="Times New Roman" w:cs="Times New Roman" w:eastAsia="Times New Roman" w:hint="default"/>
                <w:sz w:val="18"/>
                <w:szCs w:val="18"/>
              </w:rPr>
            </w:pPr>
            <w:r>
              <w:rPr>
                <w:rFonts w:ascii="Times New Roman"/>
                <w:spacing w:val="-1"/>
                <w:sz w:val="18"/>
              </w:rPr>
              <w:t>40,339,863.34</w:t>
            </w:r>
          </w:p>
        </w:tc>
      </w:tr>
      <w:tr>
        <w:trPr>
          <w:trHeight w:val="384"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实施服务</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29,608,632.31</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18,375,912.67</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15,237,974.23</w:t>
            </w:r>
          </w:p>
        </w:tc>
        <w:tc>
          <w:tcPr>
            <w:tcW w:w="13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8"/>
              <w:jc w:val="right"/>
              <w:rPr>
                <w:rFonts w:ascii="Times New Roman" w:hAnsi="Times New Roman" w:cs="Times New Roman" w:eastAsia="Times New Roman" w:hint="default"/>
                <w:sz w:val="18"/>
                <w:szCs w:val="18"/>
              </w:rPr>
            </w:pPr>
            <w:r>
              <w:rPr>
                <w:rFonts w:ascii="Times New Roman"/>
                <w:spacing w:val="-1"/>
                <w:sz w:val="18"/>
              </w:rPr>
              <w:t>8,760,249.58</w:t>
            </w:r>
          </w:p>
        </w:tc>
      </w:tr>
      <w:tr>
        <w:trPr>
          <w:trHeight w:val="396" w:hRule="exact"/>
        </w:trPr>
        <w:tc>
          <w:tcPr>
            <w:tcW w:w="2249" w:type="dxa"/>
            <w:tcBorders>
              <w:top w:val="dotted" w:sz="4" w:space="0" w:color="000000"/>
              <w:left w:val="nil" w:sz="6" w:space="0" w:color="auto"/>
              <w:bottom w:val="single" w:sz="12" w:space="0" w:color="000000"/>
              <w:right w:val="dotted" w:sz="4" w:space="0" w:color="000000"/>
            </w:tcBorders>
          </w:tcPr>
          <w:p>
            <w:pPr>
              <w:pStyle w:val="TableParagraph"/>
              <w:tabs>
                <w:tab w:pos="474" w:val="left" w:leader="none"/>
              </w:tabs>
              <w:spacing w:line="240" w:lineRule="auto" w:before="39"/>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501,351,174.59</w:t>
            </w:r>
          </w:p>
        </w:tc>
        <w:tc>
          <w:tcPr>
            <w:tcW w:w="14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335,068,269.30</w:t>
            </w:r>
          </w:p>
        </w:tc>
        <w:tc>
          <w:tcPr>
            <w:tcW w:w="14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183,567,167.08</w:t>
            </w:r>
          </w:p>
        </w:tc>
        <w:tc>
          <w:tcPr>
            <w:tcW w:w="137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1"/>
              <w:ind w:right="109"/>
              <w:jc w:val="right"/>
              <w:rPr>
                <w:rFonts w:ascii="Times New Roman" w:hAnsi="Times New Roman" w:cs="Times New Roman" w:eastAsia="Times New Roman" w:hint="default"/>
                <w:sz w:val="18"/>
                <w:szCs w:val="18"/>
              </w:rPr>
            </w:pPr>
            <w:r>
              <w:rPr>
                <w:rFonts w:ascii="Times New Roman"/>
                <w:spacing w:val="-1"/>
                <w:sz w:val="18"/>
              </w:rPr>
              <w:t>120,251,701.83</w:t>
            </w:r>
          </w:p>
        </w:tc>
      </w:tr>
    </w:tbl>
    <w:p>
      <w:pPr>
        <w:spacing w:after="0" w:line="240" w:lineRule="auto"/>
        <w:jc w:val="right"/>
        <w:rPr>
          <w:rFonts w:ascii="Times New Roman" w:hAnsi="Times New Roman" w:cs="Times New Roman" w:eastAsia="Times New Roman" w:hint="default"/>
          <w:sz w:val="18"/>
          <w:szCs w:val="18"/>
        </w:rPr>
        <w:sectPr>
          <w:headerReference w:type="default" r:id="rId35"/>
          <w:footerReference w:type="default" r:id="rId36"/>
          <w:pgSz w:w="11910" w:h="16840"/>
          <w:pgMar w:header="884" w:footer="980" w:top="1140" w:bottom="1160" w:left="1380" w:right="1380"/>
          <w:pgNumType w:start="146"/>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tabs>
          <w:tab w:pos="1406" w:val="left" w:leader="none"/>
        </w:tabs>
        <w:spacing w:before="36"/>
        <w:ind w:left="869" w:right="132"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tab/>
        <w:t>主营业务（分地区）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tbl>
      <w:tblPr>
        <w:tblW w:w="0" w:type="auto"/>
        <w:jc w:val="left"/>
        <w:tblInd w:w="722" w:type="dxa"/>
        <w:tblLayout w:type="fixed"/>
        <w:tblCellMar>
          <w:top w:w="0" w:type="dxa"/>
          <w:left w:w="0" w:type="dxa"/>
          <w:bottom w:w="0" w:type="dxa"/>
          <w:right w:w="0" w:type="dxa"/>
        </w:tblCellMar>
        <w:tblLook w:val="01E0"/>
      </w:tblPr>
      <w:tblGrid>
        <w:gridCol w:w="1620"/>
        <w:gridCol w:w="1601"/>
        <w:gridCol w:w="1548"/>
        <w:gridCol w:w="1603"/>
        <w:gridCol w:w="1376"/>
      </w:tblGrid>
      <w:tr>
        <w:trPr>
          <w:trHeight w:val="480" w:hRule="exact"/>
        </w:trPr>
        <w:tc>
          <w:tcPr>
            <w:tcW w:w="162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tabs>
                <w:tab w:pos="995" w:val="left" w:leader="none"/>
              </w:tabs>
              <w:spacing w:line="240" w:lineRule="auto" w:before="156"/>
              <w:ind w:left="455" w:right="0"/>
              <w:jc w:val="left"/>
              <w:rPr>
                <w:rFonts w:ascii="宋体" w:hAnsi="宋体" w:cs="宋体" w:eastAsia="宋体" w:hint="default"/>
                <w:sz w:val="18"/>
                <w:szCs w:val="18"/>
              </w:rPr>
            </w:pPr>
            <w:r>
              <w:rPr>
                <w:rFonts w:ascii="宋体" w:hAnsi="宋体" w:cs="宋体" w:eastAsia="宋体" w:hint="default"/>
                <w:sz w:val="18"/>
                <w:szCs w:val="18"/>
              </w:rPr>
              <w:t>地</w:t>
              <w:tab/>
              <w:t>区</w:t>
            </w:r>
          </w:p>
        </w:tc>
        <w:tc>
          <w:tcPr>
            <w:tcW w:w="3150"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979"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57"/>
              <w:ind w:right="5"/>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70" w:hRule="exact"/>
        </w:trPr>
        <w:tc>
          <w:tcPr>
            <w:tcW w:w="1620" w:type="dxa"/>
            <w:vMerge/>
            <w:tcBorders>
              <w:left w:val="nil" w:sz="6" w:space="0" w:color="auto"/>
              <w:bottom w:val="dotted" w:sz="4" w:space="0" w:color="000000"/>
              <w:right w:val="dotted" w:sz="4" w:space="0" w:color="000000"/>
            </w:tcBorders>
          </w:tcPr>
          <w:p>
            <w:pPr/>
          </w:p>
        </w:tc>
        <w:tc>
          <w:tcPr>
            <w:tcW w:w="16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left="43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left="40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left="43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5"/>
              <w:jc w:val="center"/>
              <w:rPr>
                <w:rFonts w:ascii="宋体" w:hAnsi="宋体" w:cs="宋体" w:eastAsia="宋体" w:hint="default"/>
                <w:sz w:val="18"/>
                <w:szCs w:val="18"/>
              </w:rPr>
            </w:pPr>
            <w:r>
              <w:rPr>
                <w:rFonts w:ascii="宋体" w:hAnsi="宋体" w:cs="宋体" w:eastAsia="宋体" w:hint="default"/>
                <w:sz w:val="18"/>
                <w:szCs w:val="18"/>
              </w:rPr>
              <w:t>营业成本</w:t>
            </w:r>
          </w:p>
        </w:tc>
      </w:tr>
      <w:tr>
        <w:trPr>
          <w:trHeight w:val="470" w:hRule="exact"/>
        </w:trPr>
        <w:tc>
          <w:tcPr>
            <w:tcW w:w="16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6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501,351,174.59</w:t>
            </w:r>
          </w:p>
        </w:tc>
        <w:tc>
          <w:tcPr>
            <w:tcW w:w="15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335,068,269.30</w:t>
            </w:r>
          </w:p>
        </w:tc>
        <w:tc>
          <w:tcPr>
            <w:tcW w:w="16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356,542,921.22</w:t>
            </w:r>
          </w:p>
        </w:tc>
        <w:tc>
          <w:tcPr>
            <w:tcW w:w="13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228,555,627.60</w:t>
            </w:r>
          </w:p>
        </w:tc>
      </w:tr>
      <w:tr>
        <w:trPr>
          <w:trHeight w:val="480" w:hRule="exact"/>
        </w:trPr>
        <w:tc>
          <w:tcPr>
            <w:tcW w:w="1620" w:type="dxa"/>
            <w:tcBorders>
              <w:top w:val="dotted" w:sz="4" w:space="0" w:color="000000"/>
              <w:left w:val="nil" w:sz="6" w:space="0" w:color="auto"/>
              <w:bottom w:val="single" w:sz="12" w:space="0" w:color="000000"/>
              <w:right w:val="dotted" w:sz="4" w:space="0" w:color="000000"/>
            </w:tcBorders>
          </w:tcPr>
          <w:p>
            <w:pPr>
              <w:pStyle w:val="TableParagraph"/>
              <w:tabs>
                <w:tab w:pos="955" w:val="left" w:leader="none"/>
              </w:tabs>
              <w:spacing w:line="240" w:lineRule="auto" w:before="157"/>
              <w:ind w:left="50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0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501,351,174.59</w:t>
            </w:r>
          </w:p>
        </w:tc>
        <w:tc>
          <w:tcPr>
            <w:tcW w:w="154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335,068,269.30</w:t>
            </w:r>
          </w:p>
        </w:tc>
        <w:tc>
          <w:tcPr>
            <w:tcW w:w="160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356,542,921.22</w:t>
            </w:r>
          </w:p>
        </w:tc>
        <w:tc>
          <w:tcPr>
            <w:tcW w:w="137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228,555,627.60</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1"/>
          <w:szCs w:val="21"/>
        </w:rPr>
      </w:pPr>
    </w:p>
    <w:p>
      <w:pPr>
        <w:tabs>
          <w:tab w:pos="1406" w:val="left" w:leader="none"/>
        </w:tabs>
        <w:spacing w:before="36"/>
        <w:ind w:left="869" w:right="132"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tab/>
        <w:t>公司前五名客户的营业收入情况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tbl>
      <w:tblPr>
        <w:tblW w:w="0" w:type="auto"/>
        <w:jc w:val="left"/>
        <w:tblInd w:w="694" w:type="dxa"/>
        <w:tblLayout w:type="fixed"/>
        <w:tblCellMar>
          <w:top w:w="0" w:type="dxa"/>
          <w:left w:w="0" w:type="dxa"/>
          <w:bottom w:w="0" w:type="dxa"/>
          <w:right w:w="0" w:type="dxa"/>
        </w:tblCellMar>
        <w:tblLook w:val="01E0"/>
      </w:tblPr>
      <w:tblGrid>
        <w:gridCol w:w="3980"/>
        <w:gridCol w:w="1680"/>
        <w:gridCol w:w="2033"/>
      </w:tblGrid>
      <w:tr>
        <w:trPr>
          <w:trHeight w:val="941" w:hRule="exact"/>
        </w:trPr>
        <w:tc>
          <w:tcPr>
            <w:tcW w:w="398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6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2033" w:type="dxa"/>
            <w:tcBorders>
              <w:top w:val="single" w:sz="12" w:space="0" w:color="000000"/>
              <w:left w:val="dotted" w:sz="4" w:space="0" w:color="000000"/>
              <w:bottom w:val="dotted" w:sz="4" w:space="0" w:color="000000"/>
              <w:right w:val="nil" w:sz="6" w:space="0" w:color="auto"/>
            </w:tcBorders>
          </w:tcPr>
          <w:p>
            <w:pPr>
              <w:pStyle w:val="TableParagraph"/>
              <w:spacing w:line="458" w:lineRule="exact" w:before="3"/>
              <w:ind w:left="434" w:right="173" w:hanging="264"/>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占公司全部营业收</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入的比例</w:t>
            </w:r>
            <w:r>
              <w:rPr>
                <w:rFonts w:ascii="Times New Roman" w:hAnsi="Times New Roman" w:cs="Times New Roman" w:eastAsia="Times New Roman" w:hint="default"/>
                <w:sz w:val="21"/>
                <w:szCs w:val="21"/>
              </w:rPr>
              <w:t>(%)</w:t>
            </w:r>
          </w:p>
        </w:tc>
      </w:tr>
      <w:tr>
        <w:trPr>
          <w:trHeight w:val="470" w:hRule="exact"/>
        </w:trPr>
        <w:tc>
          <w:tcPr>
            <w:tcW w:w="39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2"/>
              <w:ind w:left="120" w:right="0"/>
              <w:jc w:val="left"/>
              <w:rPr>
                <w:rFonts w:ascii="宋体" w:hAnsi="宋体" w:cs="宋体" w:eastAsia="宋体" w:hint="default"/>
                <w:sz w:val="21"/>
                <w:szCs w:val="21"/>
              </w:rPr>
            </w:pPr>
            <w:r>
              <w:rPr>
                <w:rFonts w:ascii="宋体" w:hAnsi="宋体" w:cs="宋体" w:eastAsia="宋体" w:hint="default"/>
                <w:sz w:val="21"/>
                <w:szCs w:val="21"/>
              </w:rPr>
              <w:t>日立（上海）贸易有限公司</w:t>
            </w:r>
          </w:p>
        </w:tc>
        <w:tc>
          <w:tcPr>
            <w:tcW w:w="16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1"/>
              <w:ind w:right="98"/>
              <w:jc w:val="right"/>
              <w:rPr>
                <w:rFonts w:ascii="Times New Roman" w:hAnsi="Times New Roman" w:cs="Times New Roman" w:eastAsia="Times New Roman" w:hint="default"/>
                <w:sz w:val="21"/>
                <w:szCs w:val="21"/>
              </w:rPr>
            </w:pPr>
            <w:r>
              <w:rPr>
                <w:rFonts w:ascii="Times New Roman"/>
                <w:spacing w:val="-1"/>
                <w:sz w:val="21"/>
              </w:rPr>
              <w:t>44,987,238.09</w:t>
            </w:r>
          </w:p>
        </w:tc>
        <w:tc>
          <w:tcPr>
            <w:tcW w:w="20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71"/>
              <w:ind w:right="104"/>
              <w:jc w:val="right"/>
              <w:rPr>
                <w:rFonts w:ascii="Times New Roman" w:hAnsi="Times New Roman" w:cs="Times New Roman" w:eastAsia="Times New Roman" w:hint="default"/>
                <w:sz w:val="21"/>
                <w:szCs w:val="21"/>
              </w:rPr>
            </w:pPr>
            <w:r>
              <w:rPr>
                <w:rFonts w:ascii="Times New Roman"/>
                <w:sz w:val="21"/>
              </w:rPr>
              <w:t>8.97</w:t>
            </w:r>
          </w:p>
        </w:tc>
      </w:tr>
      <w:tr>
        <w:trPr>
          <w:trHeight w:val="470" w:hRule="exact"/>
        </w:trPr>
        <w:tc>
          <w:tcPr>
            <w:tcW w:w="39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2"/>
              <w:ind w:left="120" w:right="0"/>
              <w:jc w:val="left"/>
              <w:rPr>
                <w:rFonts w:ascii="宋体" w:hAnsi="宋体" w:cs="宋体" w:eastAsia="宋体" w:hint="default"/>
                <w:sz w:val="21"/>
                <w:szCs w:val="21"/>
              </w:rPr>
            </w:pPr>
            <w:r>
              <w:rPr>
                <w:rFonts w:ascii="宋体" w:hAnsi="宋体" w:cs="宋体" w:eastAsia="宋体" w:hint="default"/>
                <w:sz w:val="21"/>
                <w:szCs w:val="21"/>
              </w:rPr>
              <w:t>富士通（中国）信息系统有限公司</w:t>
            </w:r>
          </w:p>
        </w:tc>
        <w:tc>
          <w:tcPr>
            <w:tcW w:w="16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1"/>
              <w:ind w:right="99"/>
              <w:jc w:val="right"/>
              <w:rPr>
                <w:rFonts w:ascii="Times New Roman" w:hAnsi="Times New Roman" w:cs="Times New Roman" w:eastAsia="Times New Roman" w:hint="default"/>
                <w:sz w:val="21"/>
                <w:szCs w:val="21"/>
              </w:rPr>
            </w:pPr>
            <w:r>
              <w:rPr>
                <w:rFonts w:ascii="Times New Roman"/>
                <w:spacing w:val="-1"/>
                <w:sz w:val="21"/>
              </w:rPr>
              <w:t>19,583,492.44</w:t>
            </w:r>
          </w:p>
        </w:tc>
        <w:tc>
          <w:tcPr>
            <w:tcW w:w="20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71"/>
              <w:ind w:right="104"/>
              <w:jc w:val="right"/>
              <w:rPr>
                <w:rFonts w:ascii="Times New Roman" w:hAnsi="Times New Roman" w:cs="Times New Roman" w:eastAsia="Times New Roman" w:hint="default"/>
                <w:sz w:val="21"/>
                <w:szCs w:val="21"/>
              </w:rPr>
            </w:pPr>
            <w:r>
              <w:rPr>
                <w:rFonts w:ascii="Times New Roman"/>
                <w:sz w:val="21"/>
              </w:rPr>
              <w:t>3.91</w:t>
            </w:r>
          </w:p>
        </w:tc>
      </w:tr>
      <w:tr>
        <w:trPr>
          <w:trHeight w:val="468" w:hRule="exact"/>
        </w:trPr>
        <w:tc>
          <w:tcPr>
            <w:tcW w:w="39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2"/>
              <w:ind w:left="120" w:right="0"/>
              <w:jc w:val="left"/>
              <w:rPr>
                <w:rFonts w:ascii="宋体" w:hAnsi="宋体" w:cs="宋体" w:eastAsia="宋体" w:hint="default"/>
                <w:sz w:val="21"/>
                <w:szCs w:val="21"/>
              </w:rPr>
            </w:pPr>
            <w:r>
              <w:rPr>
                <w:rFonts w:ascii="宋体" w:hAnsi="宋体" w:cs="宋体" w:eastAsia="宋体" w:hint="default"/>
                <w:sz w:val="21"/>
                <w:szCs w:val="21"/>
              </w:rPr>
              <w:t>汉得日本株式会社</w:t>
            </w:r>
          </w:p>
        </w:tc>
        <w:tc>
          <w:tcPr>
            <w:tcW w:w="16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1"/>
              <w:ind w:right="99"/>
              <w:jc w:val="right"/>
              <w:rPr>
                <w:rFonts w:ascii="Times New Roman" w:hAnsi="Times New Roman" w:cs="Times New Roman" w:eastAsia="Times New Roman" w:hint="default"/>
                <w:sz w:val="21"/>
                <w:szCs w:val="21"/>
              </w:rPr>
            </w:pPr>
            <w:r>
              <w:rPr>
                <w:rFonts w:ascii="Times New Roman"/>
                <w:spacing w:val="-1"/>
                <w:sz w:val="21"/>
              </w:rPr>
              <w:t>18,320,457.87</w:t>
            </w:r>
          </w:p>
        </w:tc>
        <w:tc>
          <w:tcPr>
            <w:tcW w:w="20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71"/>
              <w:ind w:right="104"/>
              <w:jc w:val="right"/>
              <w:rPr>
                <w:rFonts w:ascii="Times New Roman" w:hAnsi="Times New Roman" w:cs="Times New Roman" w:eastAsia="Times New Roman" w:hint="default"/>
                <w:sz w:val="21"/>
                <w:szCs w:val="21"/>
              </w:rPr>
            </w:pPr>
            <w:r>
              <w:rPr>
                <w:rFonts w:ascii="Times New Roman"/>
                <w:sz w:val="21"/>
              </w:rPr>
              <w:t>3.65</w:t>
            </w:r>
          </w:p>
        </w:tc>
      </w:tr>
      <w:tr>
        <w:trPr>
          <w:trHeight w:val="470" w:hRule="exact"/>
        </w:trPr>
        <w:tc>
          <w:tcPr>
            <w:tcW w:w="39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4"/>
              <w:ind w:left="120" w:right="0"/>
              <w:jc w:val="left"/>
              <w:rPr>
                <w:rFonts w:ascii="宋体" w:hAnsi="宋体" w:cs="宋体" w:eastAsia="宋体" w:hint="default"/>
                <w:sz w:val="21"/>
                <w:szCs w:val="21"/>
              </w:rPr>
            </w:pPr>
            <w:r>
              <w:rPr>
                <w:rFonts w:ascii="宋体" w:hAnsi="宋体" w:cs="宋体" w:eastAsia="宋体" w:hint="default"/>
                <w:sz w:val="21"/>
                <w:szCs w:val="21"/>
              </w:rPr>
              <w:t>松下电器（中国）有限公司上海分公司</w:t>
            </w:r>
          </w:p>
        </w:tc>
        <w:tc>
          <w:tcPr>
            <w:tcW w:w="16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3"/>
              <w:ind w:right="99"/>
              <w:jc w:val="right"/>
              <w:rPr>
                <w:rFonts w:ascii="Times New Roman" w:hAnsi="Times New Roman" w:cs="Times New Roman" w:eastAsia="Times New Roman" w:hint="default"/>
                <w:sz w:val="21"/>
                <w:szCs w:val="21"/>
              </w:rPr>
            </w:pPr>
            <w:r>
              <w:rPr>
                <w:rFonts w:ascii="Times New Roman"/>
                <w:spacing w:val="-1"/>
                <w:sz w:val="21"/>
              </w:rPr>
              <w:t>12,318,870.45</w:t>
            </w:r>
          </w:p>
        </w:tc>
        <w:tc>
          <w:tcPr>
            <w:tcW w:w="20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73"/>
              <w:ind w:right="104"/>
              <w:jc w:val="right"/>
              <w:rPr>
                <w:rFonts w:ascii="Times New Roman" w:hAnsi="Times New Roman" w:cs="Times New Roman" w:eastAsia="Times New Roman" w:hint="default"/>
                <w:sz w:val="21"/>
                <w:szCs w:val="21"/>
              </w:rPr>
            </w:pPr>
            <w:r>
              <w:rPr>
                <w:rFonts w:ascii="Times New Roman"/>
                <w:sz w:val="21"/>
              </w:rPr>
              <w:t>2.46</w:t>
            </w:r>
          </w:p>
        </w:tc>
      </w:tr>
      <w:tr>
        <w:trPr>
          <w:trHeight w:val="482" w:hRule="exact"/>
        </w:trPr>
        <w:tc>
          <w:tcPr>
            <w:tcW w:w="398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2"/>
              <w:ind w:left="120" w:right="0"/>
              <w:jc w:val="left"/>
              <w:rPr>
                <w:rFonts w:ascii="宋体" w:hAnsi="宋体" w:cs="宋体" w:eastAsia="宋体" w:hint="default"/>
                <w:sz w:val="21"/>
                <w:szCs w:val="21"/>
              </w:rPr>
            </w:pPr>
            <w:r>
              <w:rPr>
                <w:rFonts w:ascii="宋体" w:hAnsi="宋体" w:cs="宋体" w:eastAsia="宋体" w:hint="default"/>
                <w:sz w:val="21"/>
                <w:szCs w:val="21"/>
              </w:rPr>
              <w:t>广西玉柴重工有限公司</w:t>
            </w:r>
          </w:p>
        </w:tc>
        <w:tc>
          <w:tcPr>
            <w:tcW w:w="16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71"/>
              <w:ind w:right="99"/>
              <w:jc w:val="right"/>
              <w:rPr>
                <w:rFonts w:ascii="Times New Roman" w:hAnsi="Times New Roman" w:cs="Times New Roman" w:eastAsia="Times New Roman" w:hint="default"/>
                <w:sz w:val="21"/>
                <w:szCs w:val="21"/>
              </w:rPr>
            </w:pPr>
            <w:r>
              <w:rPr>
                <w:rFonts w:ascii="Times New Roman"/>
                <w:spacing w:val="-1"/>
                <w:sz w:val="21"/>
              </w:rPr>
              <w:t>10,504,763.33</w:t>
            </w:r>
          </w:p>
        </w:tc>
        <w:tc>
          <w:tcPr>
            <w:tcW w:w="20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71"/>
              <w:ind w:right="104"/>
              <w:jc w:val="right"/>
              <w:rPr>
                <w:rFonts w:ascii="Times New Roman" w:hAnsi="Times New Roman" w:cs="Times New Roman" w:eastAsia="Times New Roman" w:hint="default"/>
                <w:sz w:val="21"/>
                <w:szCs w:val="21"/>
              </w:rPr>
            </w:pPr>
            <w:r>
              <w:rPr>
                <w:rFonts w:ascii="Times New Roman"/>
                <w:sz w:val="21"/>
              </w:rPr>
              <w:t>2.10</w:t>
            </w:r>
          </w:p>
        </w:tc>
      </w:tr>
    </w:tbl>
    <w:p>
      <w:pPr>
        <w:spacing w:line="240" w:lineRule="auto" w:before="0"/>
        <w:rPr>
          <w:rFonts w:ascii="宋体" w:hAnsi="宋体" w:cs="宋体" w:eastAsia="宋体" w:hint="default"/>
          <w:b/>
          <w:bCs/>
          <w:sz w:val="20"/>
          <w:szCs w:val="20"/>
        </w:rPr>
      </w:pPr>
    </w:p>
    <w:p>
      <w:pPr>
        <w:spacing w:before="184"/>
        <w:ind w:left="151" w:right="13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8"/>
          <w:sz w:val="21"/>
          <w:szCs w:val="21"/>
        </w:rPr>
        <w:t> </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tbl>
      <w:tblPr>
        <w:tblW w:w="0" w:type="auto"/>
        <w:jc w:val="left"/>
        <w:tblInd w:w="694" w:type="dxa"/>
        <w:tblLayout w:type="fixed"/>
        <w:tblCellMar>
          <w:top w:w="0" w:type="dxa"/>
          <w:left w:w="0" w:type="dxa"/>
          <w:bottom w:w="0" w:type="dxa"/>
          <w:right w:w="0" w:type="dxa"/>
        </w:tblCellMar>
        <w:tblLook w:val="01E0"/>
      </w:tblPr>
      <w:tblGrid>
        <w:gridCol w:w="4366"/>
        <w:gridCol w:w="1702"/>
        <w:gridCol w:w="1700"/>
      </w:tblGrid>
      <w:tr>
        <w:trPr>
          <w:trHeight w:val="396" w:hRule="exact"/>
        </w:trPr>
        <w:tc>
          <w:tcPr>
            <w:tcW w:w="4366" w:type="dxa"/>
            <w:tcBorders>
              <w:top w:val="single" w:sz="12" w:space="0" w:color="000000"/>
              <w:left w:val="nil" w:sz="6" w:space="0" w:color="auto"/>
              <w:bottom w:val="dotted" w:sz="4" w:space="0" w:color="000000"/>
              <w:right w:val="dotted" w:sz="4" w:space="0" w:color="000000"/>
            </w:tcBorders>
          </w:tcPr>
          <w:p>
            <w:pPr>
              <w:pStyle w:val="TableParagraph"/>
              <w:tabs>
                <w:tab w:pos="646" w:val="left" w:leader="none"/>
              </w:tabs>
              <w:spacing w:line="240" w:lineRule="auto" w:before="21"/>
              <w:ind w:left="1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1"/>
              <w:ind w:left="42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70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1"/>
              <w:ind w:left="422"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84" w:hRule="exact"/>
        </w:trPr>
        <w:tc>
          <w:tcPr>
            <w:tcW w:w="43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0"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43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93,866,140.86</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63,737,975.68</w:t>
            </w:r>
          </w:p>
        </w:tc>
      </w:tr>
      <w:tr>
        <w:trPr>
          <w:trHeight w:val="384" w:hRule="exact"/>
        </w:trPr>
        <w:tc>
          <w:tcPr>
            <w:tcW w:w="43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8,282,776.37</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5,416,970.92</w:t>
            </w:r>
          </w:p>
        </w:tc>
      </w:tr>
      <w:tr>
        <w:trPr>
          <w:trHeight w:val="761" w:hRule="exact"/>
        </w:trPr>
        <w:tc>
          <w:tcPr>
            <w:tcW w:w="4366" w:type="dxa"/>
            <w:tcBorders>
              <w:top w:val="dotted" w:sz="4" w:space="0" w:color="000000"/>
              <w:left w:val="nil" w:sz="6" w:space="0" w:color="auto"/>
              <w:bottom w:val="dotted" w:sz="4" w:space="0" w:color="000000"/>
              <w:right w:val="dotted" w:sz="4" w:space="0" w:color="000000"/>
            </w:tcBorders>
          </w:tcPr>
          <w:p>
            <w:pPr>
              <w:pStyle w:val="TableParagraph"/>
              <w:spacing w:line="326" w:lineRule="auto" w:before="21"/>
              <w:ind w:left="120" w:right="101"/>
              <w:jc w:val="left"/>
              <w:rPr>
                <w:rFonts w:ascii="宋体" w:hAnsi="宋体" w:cs="宋体" w:eastAsia="宋体" w:hint="default"/>
                <w:sz w:val="21"/>
                <w:szCs w:val="21"/>
              </w:rPr>
            </w:pPr>
            <w:r>
              <w:rPr>
                <w:rFonts w:ascii="宋体" w:hAnsi="宋体" w:cs="宋体" w:eastAsia="宋体" w:hint="default"/>
                <w:spacing w:val="-5"/>
                <w:sz w:val="21"/>
                <w:szCs w:val="21"/>
              </w:rPr>
              <w:t>固定资产折旧、油气资产折耗、生产性生物资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产折旧</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2,754,758.81</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2,409,182.20</w:t>
            </w:r>
          </w:p>
        </w:tc>
      </w:tr>
      <w:tr>
        <w:trPr>
          <w:trHeight w:val="385" w:hRule="exact"/>
        </w:trPr>
        <w:tc>
          <w:tcPr>
            <w:tcW w:w="43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105,413.24</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171,224.36</w:t>
            </w:r>
          </w:p>
        </w:tc>
      </w:tr>
      <w:tr>
        <w:trPr>
          <w:trHeight w:val="384" w:hRule="exact"/>
        </w:trPr>
        <w:tc>
          <w:tcPr>
            <w:tcW w:w="43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1,122,810.19</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886,638.72</w:t>
            </w:r>
          </w:p>
        </w:tc>
      </w:tr>
      <w:tr>
        <w:trPr>
          <w:trHeight w:val="758" w:hRule="exact"/>
        </w:trPr>
        <w:tc>
          <w:tcPr>
            <w:tcW w:w="4366" w:type="dxa"/>
            <w:tcBorders>
              <w:top w:val="dotted" w:sz="4" w:space="0" w:color="000000"/>
              <w:left w:val="nil" w:sz="6" w:space="0" w:color="auto"/>
              <w:bottom w:val="dotted" w:sz="4" w:space="0" w:color="000000"/>
              <w:right w:val="dotted" w:sz="4" w:space="0" w:color="000000"/>
            </w:tcBorders>
          </w:tcPr>
          <w:p>
            <w:pPr>
              <w:pStyle w:val="TableParagraph"/>
              <w:spacing w:line="326" w:lineRule="auto" w:before="18"/>
              <w:ind w:left="120" w:right="101"/>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处置固定资产、无形资产和其他长期资产的损</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11,013.70</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59,368.40</w:t>
            </w:r>
          </w:p>
        </w:tc>
      </w:tr>
      <w:tr>
        <w:trPr>
          <w:trHeight w:val="384" w:hRule="exact"/>
        </w:trPr>
        <w:tc>
          <w:tcPr>
            <w:tcW w:w="43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0" w:type="dxa"/>
            <w:tcBorders>
              <w:top w:val="dotted" w:sz="4" w:space="0" w:color="000000"/>
              <w:left w:val="dotted" w:sz="4" w:space="0" w:color="000000"/>
              <w:bottom w:val="dotted" w:sz="4" w:space="0" w:color="000000"/>
              <w:right w:val="nil" w:sz="6" w:space="0" w:color="auto"/>
            </w:tcBorders>
          </w:tcPr>
          <w:p>
            <w:pPr/>
          </w:p>
        </w:tc>
      </w:tr>
      <w:tr>
        <w:trPr>
          <w:trHeight w:val="396" w:hRule="exact"/>
        </w:trPr>
        <w:tc>
          <w:tcPr>
            <w:tcW w:w="436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02" w:type="dxa"/>
            <w:tcBorders>
              <w:top w:val="dotted" w:sz="4" w:space="0" w:color="000000"/>
              <w:left w:val="dotted" w:sz="4" w:space="0" w:color="000000"/>
              <w:bottom w:val="single" w:sz="12" w:space="0" w:color="000000"/>
              <w:right w:val="dotted" w:sz="4" w:space="0" w:color="000000"/>
            </w:tcBorders>
          </w:tcPr>
          <w:p>
            <w:pPr/>
          </w:p>
        </w:tc>
        <w:tc>
          <w:tcPr>
            <w:tcW w:w="1700"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884" w:footer="980" w:top="1140" w:bottom="1160" w:left="1380" w:right="1380"/>
        </w:sectPr>
      </w:pPr>
    </w:p>
    <w:p>
      <w:pPr>
        <w:spacing w:line="240" w:lineRule="auto" w:before="6"/>
        <w:rPr>
          <w:rFonts w:ascii="宋体" w:hAnsi="宋体" w:cs="宋体" w:eastAsia="宋体" w:hint="default"/>
          <w:b/>
          <w:bCs/>
          <w:sz w:val="21"/>
          <w:szCs w:val="21"/>
        </w:rPr>
      </w:pPr>
    </w:p>
    <w:tbl>
      <w:tblPr>
        <w:tblW w:w="0" w:type="auto"/>
        <w:jc w:val="left"/>
        <w:tblInd w:w="694" w:type="dxa"/>
        <w:tblLayout w:type="fixed"/>
        <w:tblCellMar>
          <w:top w:w="0" w:type="dxa"/>
          <w:left w:w="0" w:type="dxa"/>
          <w:bottom w:w="0" w:type="dxa"/>
          <w:right w:w="0" w:type="dxa"/>
        </w:tblCellMar>
        <w:tblLook w:val="01E0"/>
      </w:tblPr>
      <w:tblGrid>
        <w:gridCol w:w="4366"/>
        <w:gridCol w:w="1702"/>
        <w:gridCol w:w="1700"/>
      </w:tblGrid>
      <w:tr>
        <w:trPr>
          <w:trHeight w:val="394" w:hRule="exact"/>
        </w:trPr>
        <w:tc>
          <w:tcPr>
            <w:tcW w:w="436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1"/>
              <w:ind w:left="120"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8"/>
              <w:ind w:right="98"/>
              <w:jc w:val="right"/>
              <w:rPr>
                <w:rFonts w:ascii="Times New Roman" w:hAnsi="Times New Roman" w:cs="Times New Roman" w:eastAsia="Times New Roman" w:hint="default"/>
                <w:sz w:val="21"/>
                <w:szCs w:val="21"/>
              </w:rPr>
            </w:pPr>
            <w:r>
              <w:rPr>
                <w:rFonts w:ascii="Times New Roman"/>
                <w:spacing w:val="-2"/>
                <w:sz w:val="21"/>
              </w:rPr>
              <w:t>110,724.72</w:t>
            </w:r>
          </w:p>
        </w:tc>
        <w:tc>
          <w:tcPr>
            <w:tcW w:w="170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21"/>
                <w:szCs w:val="21"/>
              </w:rPr>
            </w:pPr>
            <w:r>
              <w:rPr>
                <w:rFonts w:ascii="Times New Roman"/>
                <w:spacing w:val="-1"/>
                <w:sz w:val="21"/>
              </w:rPr>
              <w:t>-1,290,797.36</w:t>
            </w:r>
          </w:p>
        </w:tc>
      </w:tr>
      <w:tr>
        <w:trPr>
          <w:trHeight w:val="387" w:hRule="exact"/>
        </w:trPr>
        <w:tc>
          <w:tcPr>
            <w:tcW w:w="43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1"/>
              <w:ind w:left="120"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0"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43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-1,854,849.59</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-541,697.09</w:t>
            </w:r>
          </w:p>
        </w:tc>
      </w:tr>
      <w:tr>
        <w:trPr>
          <w:trHeight w:val="384" w:hRule="exact"/>
        </w:trPr>
        <w:tc>
          <w:tcPr>
            <w:tcW w:w="43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0"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43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918,012.92</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2,912,308.87</w:t>
            </w:r>
          </w:p>
        </w:tc>
      </w:tr>
      <w:tr>
        <w:trPr>
          <w:trHeight w:val="384" w:hRule="exact"/>
        </w:trPr>
        <w:tc>
          <w:tcPr>
            <w:tcW w:w="43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-90,328,857.35</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-33,143,947.96</w:t>
            </w:r>
          </w:p>
        </w:tc>
      </w:tr>
      <w:tr>
        <w:trPr>
          <w:trHeight w:val="384" w:hRule="exact"/>
        </w:trPr>
        <w:tc>
          <w:tcPr>
            <w:tcW w:w="43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16,296,257.45</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-3,750,315.05</w:t>
            </w:r>
          </w:p>
        </w:tc>
      </w:tr>
      <w:tr>
        <w:trPr>
          <w:trHeight w:val="386" w:hRule="exact"/>
        </w:trPr>
        <w:tc>
          <w:tcPr>
            <w:tcW w:w="4366" w:type="dxa"/>
            <w:tcBorders>
              <w:top w:val="dotted" w:sz="4" w:space="0" w:color="000000"/>
              <w:left w:val="nil" w:sz="6" w:space="0" w:color="auto"/>
              <w:bottom w:val="dotted" w:sz="4" w:space="0" w:color="000000"/>
              <w:right w:val="dotted" w:sz="4" w:space="0" w:color="000000"/>
            </w:tcBorders>
          </w:tcPr>
          <w:p>
            <w:pPr>
              <w:pStyle w:val="TableParagraph"/>
              <w:tabs>
                <w:tab w:pos="751" w:val="left" w:leader="none"/>
              </w:tabs>
              <w:spacing w:line="240" w:lineRule="auto" w:before="21"/>
              <w:ind w:left="12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right="98"/>
              <w:jc w:val="right"/>
              <w:rPr>
                <w:rFonts w:ascii="Times New Roman" w:hAnsi="Times New Roman" w:cs="Times New Roman" w:eastAsia="Times New Roman" w:hint="default"/>
                <w:sz w:val="21"/>
                <w:szCs w:val="21"/>
              </w:rPr>
            </w:pPr>
            <w:r>
              <w:rPr>
                <w:rFonts w:ascii="Times New Roman"/>
                <w:spacing w:val="-1"/>
                <w:sz w:val="21"/>
              </w:rPr>
              <w:t>3,868,176.21</w:t>
            </w:r>
          </w:p>
        </w:tc>
        <w:tc>
          <w:tcPr>
            <w:tcW w:w="1700"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43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35,152,377.53</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2"/>
                <w:sz w:val="21"/>
              </w:rPr>
              <w:t>36,866,911.69</w:t>
            </w:r>
          </w:p>
        </w:tc>
      </w:tr>
      <w:tr>
        <w:trPr>
          <w:trHeight w:val="384" w:hRule="exact"/>
        </w:trPr>
        <w:tc>
          <w:tcPr>
            <w:tcW w:w="43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0" w:type="dxa"/>
            <w:tcBorders>
              <w:top w:val="dotted" w:sz="4" w:space="0" w:color="000000"/>
              <w:left w:val="dotted" w:sz="4" w:space="0" w:color="000000"/>
              <w:bottom w:val="dotted" w:sz="4" w:space="0" w:color="000000"/>
              <w:right w:val="nil" w:sz="6" w:space="0" w:color="auto"/>
            </w:tcBorders>
          </w:tcPr>
          <w:p>
            <w:pPr/>
          </w:p>
        </w:tc>
      </w:tr>
      <w:tr>
        <w:trPr>
          <w:trHeight w:val="385" w:hRule="exact"/>
        </w:trPr>
        <w:tc>
          <w:tcPr>
            <w:tcW w:w="43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0"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43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0"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43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0" w:type="dxa"/>
            <w:tcBorders>
              <w:top w:val="dotted" w:sz="4" w:space="0" w:color="000000"/>
              <w:left w:val="dotted" w:sz="4" w:space="0" w:color="000000"/>
              <w:bottom w:val="dotted" w:sz="4" w:space="0" w:color="000000"/>
              <w:right w:val="nil" w:sz="6" w:space="0" w:color="auto"/>
            </w:tcBorders>
          </w:tcPr>
          <w:p>
            <w:pPr/>
          </w:p>
        </w:tc>
      </w:tr>
      <w:tr>
        <w:trPr>
          <w:trHeight w:val="386" w:hRule="exact"/>
        </w:trPr>
        <w:tc>
          <w:tcPr>
            <w:tcW w:w="43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1"/>
              <w:ind w:left="1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0"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43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926,179,727.85</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170,292,450.72</w:t>
            </w:r>
          </w:p>
        </w:tc>
      </w:tr>
      <w:tr>
        <w:trPr>
          <w:trHeight w:val="384" w:hRule="exact"/>
        </w:trPr>
        <w:tc>
          <w:tcPr>
            <w:tcW w:w="43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170,292,450.72</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138,135,647.87</w:t>
            </w:r>
          </w:p>
        </w:tc>
      </w:tr>
      <w:tr>
        <w:trPr>
          <w:trHeight w:val="384" w:hRule="exact"/>
        </w:trPr>
        <w:tc>
          <w:tcPr>
            <w:tcW w:w="43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0"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43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0" w:type="dxa"/>
            <w:tcBorders>
              <w:top w:val="dotted" w:sz="4" w:space="0" w:color="000000"/>
              <w:left w:val="dotted" w:sz="4" w:space="0" w:color="000000"/>
              <w:bottom w:val="dotted" w:sz="4" w:space="0" w:color="000000"/>
              <w:right w:val="nil" w:sz="6" w:space="0" w:color="auto"/>
            </w:tcBorders>
          </w:tcPr>
          <w:p>
            <w:pPr/>
          </w:p>
        </w:tc>
      </w:tr>
      <w:tr>
        <w:trPr>
          <w:trHeight w:val="396" w:hRule="exact"/>
        </w:trPr>
        <w:tc>
          <w:tcPr>
            <w:tcW w:w="436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8"/>
              <w:ind w:left="12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755,887,277.13</w:t>
            </w:r>
          </w:p>
        </w:tc>
        <w:tc>
          <w:tcPr>
            <w:tcW w:w="170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32,156,802.85</w:t>
            </w:r>
          </w:p>
        </w:tc>
      </w:tr>
    </w:tbl>
    <w:p>
      <w:pPr>
        <w:spacing w:line="240" w:lineRule="auto" w:before="0"/>
        <w:rPr>
          <w:rFonts w:ascii="宋体" w:hAnsi="宋体" w:cs="宋体" w:eastAsia="宋体" w:hint="default"/>
          <w:b/>
          <w:bCs/>
          <w:sz w:val="20"/>
          <w:szCs w:val="20"/>
        </w:rPr>
      </w:pPr>
    </w:p>
    <w:p>
      <w:pPr>
        <w:pStyle w:val="Heading5"/>
        <w:spacing w:line="240" w:lineRule="auto" w:before="197"/>
        <w:ind w:left="151" w:right="4340"/>
        <w:jc w:val="left"/>
        <w:rPr>
          <w:b w:val="0"/>
          <w:bCs w:val="0"/>
        </w:rPr>
      </w:pPr>
      <w:r>
        <w:rPr/>
        <w:t>十三、</w:t>
      </w:r>
      <w:r>
        <w:rPr>
          <w:spacing w:val="-5"/>
        </w:rPr>
        <w:t> </w:t>
      </w:r>
      <w:r>
        <w:rPr/>
        <w:t>补充资料</w:t>
      </w:r>
      <w:r>
        <w:rPr>
          <w:b w:val="0"/>
          <w:bCs w:val="0"/>
        </w:rPr>
      </w:r>
    </w:p>
    <w:p>
      <w:pPr>
        <w:tabs>
          <w:tab w:pos="991" w:val="left" w:leader="none"/>
        </w:tabs>
        <w:spacing w:line="256" w:lineRule="auto" w:before="131"/>
        <w:ind w:left="151" w:right="4340" w:firstLine="717"/>
        <w:jc w:val="left"/>
        <w:rPr>
          <w:rFonts w:ascii="宋体" w:hAnsi="宋体" w:cs="宋体" w:eastAsia="宋体" w:hint="default"/>
          <w:sz w:val="21"/>
          <w:szCs w:val="21"/>
        </w:rPr>
      </w:pPr>
      <w:r>
        <w:rPr>
          <w:rFonts w:ascii="宋体" w:hAnsi="宋体" w:cs="宋体" w:eastAsia="宋体" w:hint="default"/>
          <w:spacing w:val="-2"/>
          <w:sz w:val="21"/>
          <w:szCs w:val="21"/>
        </w:rPr>
        <w:t>（以下金额单位若未特别注明者均为人民币元）</w:t>
      </w:r>
      <w:r>
        <w:rPr>
          <w:rFonts w:ascii="宋体" w:hAnsi="宋体" w:cs="宋体" w:eastAsia="宋体" w:hint="default"/>
          <w:w w:val="100"/>
          <w:sz w:val="21"/>
          <w:szCs w:val="21"/>
        </w:rPr>
        <w:t> </w:t>
      </w:r>
      <w:r>
        <w:rPr>
          <w:rFonts w:ascii="宋体" w:hAnsi="宋体" w:cs="宋体" w:eastAsia="宋体" w:hint="default"/>
          <w:b/>
          <w:bCs/>
          <w:w w:val="95"/>
          <w:sz w:val="21"/>
          <w:szCs w:val="21"/>
        </w:rPr>
        <w:t>(</w:t>
      </w:r>
      <w:r>
        <w:rPr>
          <w:rFonts w:ascii="宋体" w:hAnsi="宋体" w:cs="宋体" w:eastAsia="宋体" w:hint="default"/>
          <w:b/>
          <w:bCs/>
          <w:w w:val="95"/>
          <w:sz w:val="21"/>
          <w:szCs w:val="21"/>
        </w:rPr>
        <w:t>一</w:t>
      </w:r>
      <w:r>
        <w:rPr>
          <w:rFonts w:ascii="宋体" w:hAnsi="宋体" w:cs="宋体" w:eastAsia="宋体" w:hint="default"/>
          <w:b/>
          <w:bCs/>
          <w:w w:val="95"/>
          <w:sz w:val="21"/>
          <w:szCs w:val="21"/>
        </w:rPr>
        <w:t>)</w:t>
        <w:tab/>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9"/>
        <w:rPr>
          <w:rFonts w:ascii="宋体" w:hAnsi="宋体" w:cs="宋体" w:eastAsia="宋体" w:hint="default"/>
          <w:b/>
          <w:bCs/>
          <w:sz w:val="2"/>
          <w:szCs w:val="2"/>
        </w:rPr>
      </w:pPr>
    </w:p>
    <w:tbl>
      <w:tblPr>
        <w:tblW w:w="0" w:type="auto"/>
        <w:jc w:val="left"/>
        <w:tblInd w:w="694" w:type="dxa"/>
        <w:tblLayout w:type="fixed"/>
        <w:tblCellMar>
          <w:top w:w="0" w:type="dxa"/>
          <w:left w:w="0" w:type="dxa"/>
          <w:bottom w:w="0" w:type="dxa"/>
          <w:right w:w="0" w:type="dxa"/>
        </w:tblCellMar>
        <w:tblLook w:val="01E0"/>
      </w:tblPr>
      <w:tblGrid>
        <w:gridCol w:w="6107"/>
        <w:gridCol w:w="1539"/>
        <w:gridCol w:w="1135"/>
      </w:tblGrid>
      <w:tr>
        <w:trPr>
          <w:trHeight w:val="331" w:hRule="exact"/>
        </w:trPr>
        <w:tc>
          <w:tcPr>
            <w:tcW w:w="6107" w:type="dxa"/>
            <w:tcBorders>
              <w:top w:val="single" w:sz="12" w:space="0" w:color="000000"/>
              <w:left w:val="nil" w:sz="6" w:space="0" w:color="auto"/>
              <w:bottom w:val="dotted" w:sz="4" w:space="0" w:color="000000"/>
              <w:right w:val="dotted" w:sz="4" w:space="0" w:color="000000"/>
            </w:tcBorders>
          </w:tcPr>
          <w:p>
            <w:pPr>
              <w:pStyle w:val="TableParagraph"/>
              <w:spacing w:line="262" w:lineRule="exact"/>
              <w:ind w:left="12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39" w:type="dxa"/>
            <w:tcBorders>
              <w:top w:val="single" w:sz="12" w:space="0" w:color="000000"/>
              <w:left w:val="dotted" w:sz="4" w:space="0" w:color="000000"/>
              <w:bottom w:val="dotted" w:sz="4" w:space="0" w:color="000000"/>
              <w:right w:val="dotted"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35" w:type="dxa"/>
            <w:tcBorders>
              <w:top w:val="single" w:sz="12" w:space="0" w:color="000000"/>
              <w:left w:val="dotted" w:sz="4" w:space="0" w:color="000000"/>
              <w:bottom w:val="dotted" w:sz="4" w:space="0" w:color="000000"/>
              <w:right w:val="nil" w:sz="6" w:space="0" w:color="auto"/>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324" w:hRule="exact"/>
        </w:trPr>
        <w:tc>
          <w:tcPr>
            <w:tcW w:w="6107" w:type="dxa"/>
            <w:tcBorders>
              <w:top w:val="dotted" w:sz="4" w:space="0" w:color="000000"/>
              <w:left w:val="nil" w:sz="6" w:space="0" w:color="auto"/>
              <w:bottom w:val="dotted" w:sz="4" w:space="0" w:color="000000"/>
              <w:right w:val="dotted" w:sz="4" w:space="0" w:color="000000"/>
            </w:tcBorders>
          </w:tcPr>
          <w:p>
            <w:pPr>
              <w:pStyle w:val="TableParagraph"/>
              <w:spacing w:line="265" w:lineRule="exact"/>
              <w:ind w:left="12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6"/>
              <w:ind w:left="103" w:right="0"/>
              <w:jc w:val="left"/>
              <w:rPr>
                <w:rFonts w:ascii="Times New Roman" w:hAnsi="Times New Roman" w:cs="Times New Roman" w:eastAsia="Times New Roman" w:hint="default"/>
                <w:sz w:val="21"/>
                <w:szCs w:val="21"/>
              </w:rPr>
            </w:pPr>
            <w:r>
              <w:rPr>
                <w:rFonts w:ascii="Times New Roman"/>
                <w:sz w:val="21"/>
              </w:rPr>
              <w:t>-11,013.70</w:t>
            </w:r>
          </w:p>
        </w:tc>
        <w:tc>
          <w:tcPr>
            <w:tcW w:w="1135"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6107" w:type="dxa"/>
            <w:tcBorders>
              <w:top w:val="dotted" w:sz="4" w:space="0" w:color="000000"/>
              <w:left w:val="nil" w:sz="6" w:space="0" w:color="auto"/>
              <w:bottom w:val="dotted" w:sz="4" w:space="0" w:color="000000"/>
              <w:right w:val="dotted" w:sz="4" w:space="0" w:color="000000"/>
            </w:tcBorders>
          </w:tcPr>
          <w:p>
            <w:pPr>
              <w:pStyle w:val="TableParagraph"/>
              <w:spacing w:line="262" w:lineRule="exact"/>
              <w:ind w:left="120"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539"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nil" w:sz="6" w:space="0" w:color="auto"/>
            </w:tcBorders>
          </w:tcPr>
          <w:p>
            <w:pPr/>
          </w:p>
        </w:tc>
      </w:tr>
      <w:tr>
        <w:trPr>
          <w:trHeight w:val="684" w:hRule="exact"/>
        </w:trPr>
        <w:tc>
          <w:tcPr>
            <w:tcW w:w="6107" w:type="dxa"/>
            <w:tcBorders>
              <w:top w:val="dotted" w:sz="4" w:space="0" w:color="000000"/>
              <w:left w:val="nil" w:sz="6" w:space="0" w:color="auto"/>
              <w:bottom w:val="dotted" w:sz="4" w:space="0" w:color="000000"/>
              <w:right w:val="dotted" w:sz="4" w:space="0" w:color="000000"/>
            </w:tcBorders>
          </w:tcPr>
          <w:p>
            <w:pPr>
              <w:pStyle w:val="TableParagraph"/>
              <w:spacing w:line="273" w:lineRule="auto" w:before="14"/>
              <w:ind w:left="120" w:right="99"/>
              <w:jc w:val="left"/>
              <w:rPr>
                <w:rFonts w:ascii="宋体" w:hAnsi="宋体" w:cs="宋体" w:eastAsia="宋体" w:hint="default"/>
                <w:sz w:val="21"/>
                <w:szCs w:val="21"/>
              </w:rPr>
            </w:pPr>
            <w:r>
              <w:rPr>
                <w:rFonts w:ascii="宋体" w:hAnsi="宋体" w:cs="宋体" w:eastAsia="宋体" w:hint="default"/>
                <w:spacing w:val="-2"/>
                <w:sz w:val="21"/>
                <w:szCs w:val="21"/>
              </w:rPr>
              <w:t>计入当期损益的政府补助（与企业业务密切相关，按照国家统一</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标准定额或定量享受的政府补助除外）</w:t>
            </w:r>
          </w:p>
        </w:tc>
        <w:tc>
          <w:tcPr>
            <w:tcW w:w="15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17,278,000.00</w:t>
            </w:r>
          </w:p>
        </w:tc>
        <w:tc>
          <w:tcPr>
            <w:tcW w:w="1135"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6107" w:type="dxa"/>
            <w:tcBorders>
              <w:top w:val="dotted" w:sz="4" w:space="0" w:color="000000"/>
              <w:left w:val="nil" w:sz="6" w:space="0" w:color="auto"/>
              <w:bottom w:val="dotted" w:sz="4" w:space="0" w:color="000000"/>
              <w:right w:val="dotted" w:sz="4" w:space="0" w:color="000000"/>
            </w:tcBorders>
          </w:tcPr>
          <w:p>
            <w:pPr>
              <w:pStyle w:val="TableParagraph"/>
              <w:spacing w:line="262" w:lineRule="exact"/>
              <w:ind w:left="120"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539"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nil" w:sz="6" w:space="0" w:color="auto"/>
            </w:tcBorders>
          </w:tcPr>
          <w:p>
            <w:pPr/>
          </w:p>
        </w:tc>
      </w:tr>
      <w:tr>
        <w:trPr>
          <w:trHeight w:val="686" w:hRule="exact"/>
        </w:trPr>
        <w:tc>
          <w:tcPr>
            <w:tcW w:w="6107" w:type="dxa"/>
            <w:tcBorders>
              <w:top w:val="dotted" w:sz="4" w:space="0" w:color="000000"/>
              <w:left w:val="nil" w:sz="6" w:space="0" w:color="auto"/>
              <w:bottom w:val="dotted" w:sz="4" w:space="0" w:color="000000"/>
              <w:right w:val="dotted" w:sz="4" w:space="0" w:color="000000"/>
            </w:tcBorders>
          </w:tcPr>
          <w:p>
            <w:pPr>
              <w:pStyle w:val="TableParagraph"/>
              <w:spacing w:line="273" w:lineRule="auto" w:before="14"/>
              <w:ind w:left="120" w:right="98"/>
              <w:jc w:val="left"/>
              <w:rPr>
                <w:rFonts w:ascii="宋体" w:hAnsi="宋体" w:cs="宋体" w:eastAsia="宋体" w:hint="default"/>
                <w:sz w:val="21"/>
                <w:szCs w:val="21"/>
              </w:rPr>
            </w:pPr>
            <w:r>
              <w:rPr>
                <w:rFonts w:ascii="宋体" w:hAnsi="宋体" w:cs="宋体" w:eastAsia="宋体" w:hint="default"/>
                <w:spacing w:val="-2"/>
                <w:sz w:val="21"/>
                <w:szCs w:val="21"/>
              </w:rPr>
              <w:t>企业取得子公司、联营企业及合营企业的投资成本小于取得投资</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时应享有被投资单位可辨认净资产公允价值产生的收益</w:t>
            </w:r>
          </w:p>
        </w:tc>
        <w:tc>
          <w:tcPr>
            <w:tcW w:w="1539"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6107" w:type="dxa"/>
            <w:tcBorders>
              <w:top w:val="dotted" w:sz="4" w:space="0" w:color="000000"/>
              <w:left w:val="nil" w:sz="6" w:space="0" w:color="auto"/>
              <w:bottom w:val="dotted" w:sz="4" w:space="0" w:color="000000"/>
              <w:right w:val="dotted" w:sz="4" w:space="0" w:color="000000"/>
            </w:tcBorders>
          </w:tcPr>
          <w:p>
            <w:pPr>
              <w:pStyle w:val="TableParagraph"/>
              <w:spacing w:line="263" w:lineRule="exact"/>
              <w:ind w:left="120"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39"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6107" w:type="dxa"/>
            <w:tcBorders>
              <w:top w:val="dotted" w:sz="4" w:space="0" w:color="000000"/>
              <w:left w:val="nil" w:sz="6" w:space="0" w:color="auto"/>
              <w:bottom w:val="dotted" w:sz="4" w:space="0" w:color="000000"/>
              <w:right w:val="dotted" w:sz="4" w:space="0" w:color="000000"/>
            </w:tcBorders>
          </w:tcPr>
          <w:p>
            <w:pPr>
              <w:pStyle w:val="TableParagraph"/>
              <w:spacing w:line="262" w:lineRule="exact"/>
              <w:ind w:left="120"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39"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61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7"/>
              <w:ind w:left="120"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因不可抗力因素，如遭受自然灾害而计提的各项资产减值准备</w:t>
            </w:r>
          </w:p>
        </w:tc>
        <w:tc>
          <w:tcPr>
            <w:tcW w:w="1539"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6107" w:type="dxa"/>
            <w:tcBorders>
              <w:top w:val="dotted" w:sz="4" w:space="0" w:color="000000"/>
              <w:left w:val="nil" w:sz="6" w:space="0" w:color="auto"/>
              <w:bottom w:val="dotted" w:sz="4" w:space="0" w:color="000000"/>
              <w:right w:val="dotted" w:sz="4" w:space="0" w:color="000000"/>
            </w:tcBorders>
          </w:tcPr>
          <w:p>
            <w:pPr>
              <w:pStyle w:val="TableParagraph"/>
              <w:spacing w:line="262" w:lineRule="exact"/>
              <w:ind w:left="120"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39"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6107" w:type="dxa"/>
            <w:tcBorders>
              <w:top w:val="dotted" w:sz="4" w:space="0" w:color="000000"/>
              <w:left w:val="nil" w:sz="6" w:space="0" w:color="auto"/>
              <w:bottom w:val="dotted" w:sz="4" w:space="0" w:color="000000"/>
              <w:right w:val="dotted" w:sz="4" w:space="0" w:color="000000"/>
            </w:tcBorders>
          </w:tcPr>
          <w:p>
            <w:pPr>
              <w:pStyle w:val="TableParagraph"/>
              <w:spacing w:line="262" w:lineRule="exact"/>
              <w:ind w:left="120"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539"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nil" w:sz="6" w:space="0" w:color="auto"/>
            </w:tcBorders>
          </w:tcPr>
          <w:p>
            <w:pPr/>
          </w:p>
        </w:tc>
      </w:tr>
      <w:tr>
        <w:trPr>
          <w:trHeight w:val="470" w:hRule="exact"/>
        </w:trPr>
        <w:tc>
          <w:tcPr>
            <w:tcW w:w="610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7"/>
              <w:ind w:left="120"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539" w:type="dxa"/>
            <w:tcBorders>
              <w:top w:val="dotted" w:sz="4" w:space="0" w:color="000000"/>
              <w:left w:val="dotted" w:sz="4" w:space="0" w:color="000000"/>
              <w:bottom w:val="single" w:sz="12" w:space="0" w:color="000000"/>
              <w:right w:val="dotted" w:sz="4" w:space="0" w:color="000000"/>
            </w:tcBorders>
          </w:tcPr>
          <w:p>
            <w:pPr/>
          </w:p>
        </w:tc>
        <w:tc>
          <w:tcPr>
            <w:tcW w:w="1135"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884" w:footer="980" w:top="1140" w:bottom="1160" w:left="1380" w:right="900"/>
        </w:sectPr>
      </w:pPr>
    </w:p>
    <w:p>
      <w:pPr>
        <w:spacing w:line="240" w:lineRule="auto" w:before="6"/>
        <w:rPr>
          <w:rFonts w:ascii="宋体" w:hAnsi="宋体" w:cs="宋体" w:eastAsia="宋体" w:hint="default"/>
          <w:b/>
          <w:bCs/>
          <w:sz w:val="21"/>
          <w:szCs w:val="21"/>
        </w:rPr>
      </w:pPr>
    </w:p>
    <w:tbl>
      <w:tblPr>
        <w:tblW w:w="0" w:type="auto"/>
        <w:jc w:val="left"/>
        <w:tblInd w:w="694" w:type="dxa"/>
        <w:tblLayout w:type="fixed"/>
        <w:tblCellMar>
          <w:top w:w="0" w:type="dxa"/>
          <w:left w:w="0" w:type="dxa"/>
          <w:bottom w:w="0" w:type="dxa"/>
          <w:right w:w="0" w:type="dxa"/>
        </w:tblCellMar>
        <w:tblLook w:val="01E0"/>
      </w:tblPr>
      <w:tblGrid>
        <w:gridCol w:w="6107"/>
        <w:gridCol w:w="1539"/>
        <w:gridCol w:w="1135"/>
      </w:tblGrid>
      <w:tr>
        <w:trPr>
          <w:trHeight w:val="471" w:hRule="exact"/>
        </w:trPr>
        <w:tc>
          <w:tcPr>
            <w:tcW w:w="610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7"/>
              <w:ind w:left="120"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同一控制下企业合并产生的子公司期初至合并日的当期净损益</w:t>
            </w:r>
          </w:p>
        </w:tc>
        <w:tc>
          <w:tcPr>
            <w:tcW w:w="1539" w:type="dxa"/>
            <w:tcBorders>
              <w:top w:val="single" w:sz="12" w:space="0" w:color="000000"/>
              <w:left w:val="dotted" w:sz="4" w:space="0" w:color="000000"/>
              <w:bottom w:val="dotted" w:sz="4" w:space="0" w:color="000000"/>
              <w:right w:val="dotted" w:sz="4" w:space="0" w:color="000000"/>
            </w:tcBorders>
          </w:tcPr>
          <w:p>
            <w:pPr/>
          </w:p>
        </w:tc>
        <w:tc>
          <w:tcPr>
            <w:tcW w:w="1135" w:type="dxa"/>
            <w:tcBorders>
              <w:top w:val="single" w:sz="12" w:space="0" w:color="000000"/>
              <w:left w:val="dotted" w:sz="4" w:space="0" w:color="000000"/>
              <w:bottom w:val="dotted" w:sz="4" w:space="0" w:color="000000"/>
              <w:right w:val="nil" w:sz="6" w:space="0" w:color="auto"/>
            </w:tcBorders>
          </w:tcPr>
          <w:p>
            <w:pPr/>
          </w:p>
        </w:tc>
      </w:tr>
      <w:tr>
        <w:trPr>
          <w:trHeight w:val="322" w:hRule="exact"/>
        </w:trPr>
        <w:tc>
          <w:tcPr>
            <w:tcW w:w="6107" w:type="dxa"/>
            <w:tcBorders>
              <w:top w:val="dotted" w:sz="4" w:space="0" w:color="000000"/>
              <w:left w:val="nil" w:sz="6" w:space="0" w:color="auto"/>
              <w:bottom w:val="dotted" w:sz="4" w:space="0" w:color="000000"/>
              <w:right w:val="dotted" w:sz="4" w:space="0" w:color="000000"/>
            </w:tcBorders>
          </w:tcPr>
          <w:p>
            <w:pPr>
              <w:pStyle w:val="TableParagraph"/>
              <w:spacing w:line="262" w:lineRule="exact"/>
              <w:ind w:left="120"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539"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nil" w:sz="6" w:space="0" w:color="auto"/>
            </w:tcBorders>
          </w:tcPr>
          <w:p>
            <w:pPr/>
          </w:p>
        </w:tc>
      </w:tr>
      <w:tr>
        <w:trPr>
          <w:trHeight w:val="1258" w:hRule="exact"/>
        </w:trPr>
        <w:tc>
          <w:tcPr>
            <w:tcW w:w="6107" w:type="dxa"/>
            <w:tcBorders>
              <w:top w:val="dotted" w:sz="4" w:space="0" w:color="000000"/>
              <w:left w:val="nil" w:sz="6" w:space="0" w:color="auto"/>
              <w:bottom w:val="dotted" w:sz="4" w:space="0" w:color="000000"/>
              <w:right w:val="dotted" w:sz="4" w:space="0" w:color="000000"/>
            </w:tcBorders>
          </w:tcPr>
          <w:p>
            <w:pPr>
              <w:pStyle w:val="TableParagraph"/>
              <w:spacing w:line="273" w:lineRule="auto"/>
              <w:ind w:left="120" w:right="96"/>
              <w:jc w:val="both"/>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除同公司正常经营业务相关的有效套期保值业务外，持有交易性</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金融资产、交易性金融负债产生的公允价值变动损益，以及处置</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2"/>
                <w:sz w:val="21"/>
                <w:szCs w:val="21"/>
              </w:rPr>
              <w:t>交易性金融资产、交易性金融负债和可供出售金融资产取得的投</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资收益</w:t>
            </w:r>
          </w:p>
        </w:tc>
        <w:tc>
          <w:tcPr>
            <w:tcW w:w="1539"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6107" w:type="dxa"/>
            <w:tcBorders>
              <w:top w:val="dotted" w:sz="4" w:space="0" w:color="000000"/>
              <w:left w:val="nil" w:sz="6" w:space="0" w:color="auto"/>
              <w:bottom w:val="dotted" w:sz="4" w:space="0" w:color="000000"/>
              <w:right w:val="dotted" w:sz="4" w:space="0" w:color="000000"/>
            </w:tcBorders>
          </w:tcPr>
          <w:p>
            <w:pPr>
              <w:pStyle w:val="TableParagraph"/>
              <w:spacing w:line="262" w:lineRule="exact"/>
              <w:ind w:left="120"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539"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nil" w:sz="6" w:space="0" w:color="auto"/>
            </w:tcBorders>
          </w:tcPr>
          <w:p>
            <w:pPr/>
          </w:p>
        </w:tc>
      </w:tr>
      <w:tr>
        <w:trPr>
          <w:trHeight w:val="324" w:hRule="exact"/>
        </w:trPr>
        <w:tc>
          <w:tcPr>
            <w:tcW w:w="6107" w:type="dxa"/>
            <w:tcBorders>
              <w:top w:val="dotted" w:sz="4" w:space="0" w:color="000000"/>
              <w:left w:val="nil" w:sz="6" w:space="0" w:color="auto"/>
              <w:bottom w:val="dotted" w:sz="4" w:space="0" w:color="000000"/>
              <w:right w:val="dotted" w:sz="4" w:space="0" w:color="000000"/>
            </w:tcBorders>
          </w:tcPr>
          <w:p>
            <w:pPr>
              <w:pStyle w:val="TableParagraph"/>
              <w:spacing w:line="265" w:lineRule="exact"/>
              <w:ind w:left="120"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39"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nil" w:sz="6" w:space="0" w:color="auto"/>
            </w:tcBorders>
          </w:tcPr>
          <w:p>
            <w:pPr/>
          </w:p>
        </w:tc>
      </w:tr>
      <w:tr>
        <w:trPr>
          <w:trHeight w:val="634" w:hRule="exact"/>
        </w:trPr>
        <w:tc>
          <w:tcPr>
            <w:tcW w:w="6107" w:type="dxa"/>
            <w:tcBorders>
              <w:top w:val="dotted" w:sz="4" w:space="0" w:color="000000"/>
              <w:left w:val="nil" w:sz="6" w:space="0" w:color="auto"/>
              <w:bottom w:val="dotted" w:sz="4" w:space="0" w:color="000000"/>
              <w:right w:val="dotted" w:sz="4" w:space="0" w:color="000000"/>
            </w:tcBorders>
          </w:tcPr>
          <w:p>
            <w:pPr>
              <w:pStyle w:val="TableParagraph"/>
              <w:spacing w:line="273" w:lineRule="auto"/>
              <w:ind w:left="120" w:right="104"/>
              <w:jc w:val="left"/>
              <w:rPr>
                <w:rFonts w:ascii="宋体" w:hAnsi="宋体" w:cs="宋体" w:eastAsia="宋体" w:hint="default"/>
                <w:sz w:val="21"/>
                <w:szCs w:val="21"/>
              </w:rPr>
            </w:pPr>
            <w:r>
              <w:rPr>
                <w:rFonts w:ascii="宋体" w:hAnsi="宋体" w:cs="宋体" w:eastAsia="宋体" w:hint="default"/>
                <w:spacing w:val="4"/>
                <w:sz w:val="21"/>
                <w:szCs w:val="21"/>
              </w:rPr>
              <w:t>采用公允价值模式进行后续计量的投资性房地产公允价值变动</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产生的损益</w:t>
            </w:r>
          </w:p>
        </w:tc>
        <w:tc>
          <w:tcPr>
            <w:tcW w:w="1539"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nil" w:sz="6" w:space="0" w:color="auto"/>
            </w:tcBorders>
          </w:tcPr>
          <w:p>
            <w:pPr/>
          </w:p>
        </w:tc>
      </w:tr>
      <w:tr>
        <w:trPr>
          <w:trHeight w:val="634" w:hRule="exact"/>
        </w:trPr>
        <w:tc>
          <w:tcPr>
            <w:tcW w:w="6107" w:type="dxa"/>
            <w:tcBorders>
              <w:top w:val="dotted" w:sz="4" w:space="0" w:color="000000"/>
              <w:left w:val="nil" w:sz="6" w:space="0" w:color="auto"/>
              <w:bottom w:val="dotted" w:sz="4" w:space="0" w:color="000000"/>
              <w:right w:val="dotted" w:sz="4" w:space="0" w:color="000000"/>
            </w:tcBorders>
          </w:tcPr>
          <w:p>
            <w:pPr>
              <w:pStyle w:val="TableParagraph"/>
              <w:spacing w:line="273" w:lineRule="auto"/>
              <w:ind w:left="120" w:right="99"/>
              <w:jc w:val="left"/>
              <w:rPr>
                <w:rFonts w:ascii="宋体" w:hAnsi="宋体" w:cs="宋体" w:eastAsia="宋体" w:hint="default"/>
                <w:sz w:val="21"/>
                <w:szCs w:val="21"/>
              </w:rPr>
            </w:pPr>
            <w:r>
              <w:rPr>
                <w:rFonts w:ascii="宋体" w:hAnsi="宋体" w:cs="宋体" w:eastAsia="宋体" w:hint="default"/>
                <w:spacing w:val="-2"/>
                <w:sz w:val="21"/>
                <w:szCs w:val="21"/>
              </w:rPr>
              <w:t>根据税收、会计等法律、法规的要求对当期损益进行一次性调整</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对当期损益的影响</w:t>
            </w:r>
          </w:p>
        </w:tc>
        <w:tc>
          <w:tcPr>
            <w:tcW w:w="1539"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6107" w:type="dxa"/>
            <w:tcBorders>
              <w:top w:val="dotted" w:sz="4" w:space="0" w:color="000000"/>
              <w:left w:val="nil" w:sz="6" w:space="0" w:color="auto"/>
              <w:bottom w:val="dotted" w:sz="4" w:space="0" w:color="000000"/>
              <w:right w:val="dotted" w:sz="4" w:space="0" w:color="000000"/>
            </w:tcBorders>
          </w:tcPr>
          <w:p>
            <w:pPr>
              <w:pStyle w:val="TableParagraph"/>
              <w:spacing w:line="262" w:lineRule="exact"/>
              <w:ind w:left="120"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39"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6107" w:type="dxa"/>
            <w:tcBorders>
              <w:top w:val="dotted" w:sz="4" w:space="0" w:color="000000"/>
              <w:left w:val="nil" w:sz="6" w:space="0" w:color="auto"/>
              <w:bottom w:val="dotted" w:sz="4" w:space="0" w:color="000000"/>
              <w:right w:val="dotted" w:sz="4" w:space="0" w:color="000000"/>
            </w:tcBorders>
          </w:tcPr>
          <w:p>
            <w:pPr>
              <w:pStyle w:val="TableParagraph"/>
              <w:spacing w:line="262" w:lineRule="exact"/>
              <w:ind w:left="12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5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341,531.14</w:t>
            </w:r>
          </w:p>
        </w:tc>
        <w:tc>
          <w:tcPr>
            <w:tcW w:w="1135"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6107" w:type="dxa"/>
            <w:tcBorders>
              <w:top w:val="dotted" w:sz="4" w:space="0" w:color="000000"/>
              <w:left w:val="nil" w:sz="6" w:space="0" w:color="auto"/>
              <w:bottom w:val="dotted" w:sz="4" w:space="0" w:color="000000"/>
              <w:right w:val="dotted" w:sz="4" w:space="0" w:color="000000"/>
            </w:tcBorders>
          </w:tcPr>
          <w:p>
            <w:pPr>
              <w:pStyle w:val="TableParagraph"/>
              <w:spacing w:line="262" w:lineRule="exact"/>
              <w:ind w:left="120"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539"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nil" w:sz="6" w:space="0" w:color="auto"/>
            </w:tcBorders>
          </w:tcPr>
          <w:p>
            <w:pPr/>
          </w:p>
        </w:tc>
      </w:tr>
      <w:tr>
        <w:trPr>
          <w:trHeight w:val="324" w:hRule="exact"/>
        </w:trPr>
        <w:tc>
          <w:tcPr>
            <w:tcW w:w="6107" w:type="dxa"/>
            <w:tcBorders>
              <w:top w:val="dotted" w:sz="4" w:space="0" w:color="000000"/>
              <w:left w:val="nil" w:sz="6" w:space="0" w:color="auto"/>
              <w:bottom w:val="dotted" w:sz="4" w:space="0" w:color="000000"/>
              <w:right w:val="dotted" w:sz="4" w:space="0" w:color="000000"/>
            </w:tcBorders>
          </w:tcPr>
          <w:p>
            <w:pPr>
              <w:pStyle w:val="TableParagraph"/>
              <w:spacing w:line="265" w:lineRule="exact"/>
              <w:ind w:left="12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6"/>
              <w:ind w:left="103" w:right="0"/>
              <w:jc w:val="left"/>
              <w:rPr>
                <w:rFonts w:ascii="Times New Roman" w:hAnsi="Times New Roman" w:cs="Times New Roman" w:eastAsia="Times New Roman" w:hint="default"/>
                <w:sz w:val="21"/>
                <w:szCs w:val="21"/>
              </w:rPr>
            </w:pPr>
            <w:r>
              <w:rPr>
                <w:rFonts w:ascii="Times New Roman"/>
                <w:sz w:val="21"/>
              </w:rPr>
              <w:t>-2,641,409.90</w:t>
            </w:r>
          </w:p>
        </w:tc>
        <w:tc>
          <w:tcPr>
            <w:tcW w:w="1135"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6107" w:type="dxa"/>
            <w:tcBorders>
              <w:top w:val="dotted" w:sz="4" w:space="0" w:color="000000"/>
              <w:left w:val="nil" w:sz="6" w:space="0" w:color="auto"/>
              <w:bottom w:val="dotted" w:sz="4" w:space="0" w:color="000000"/>
              <w:right w:val="dotted" w:sz="4" w:space="0" w:color="000000"/>
            </w:tcBorders>
          </w:tcPr>
          <w:p>
            <w:pPr>
              <w:pStyle w:val="TableParagraph"/>
              <w:spacing w:line="262" w:lineRule="exact"/>
              <w:ind w:left="120"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39"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nil" w:sz="6" w:space="0" w:color="auto"/>
            </w:tcBorders>
          </w:tcPr>
          <w:p>
            <w:pPr/>
          </w:p>
        </w:tc>
      </w:tr>
      <w:tr>
        <w:trPr>
          <w:trHeight w:val="331" w:hRule="exact"/>
        </w:trPr>
        <w:tc>
          <w:tcPr>
            <w:tcW w:w="6107" w:type="dxa"/>
            <w:tcBorders>
              <w:top w:val="dotted" w:sz="4" w:space="0" w:color="000000"/>
              <w:left w:val="nil" w:sz="6" w:space="0" w:color="auto"/>
              <w:bottom w:val="single" w:sz="12" w:space="0" w:color="000000"/>
              <w:right w:val="dotted" w:sz="4" w:space="0" w:color="000000"/>
            </w:tcBorders>
          </w:tcPr>
          <w:p>
            <w:pPr>
              <w:pStyle w:val="TableParagraph"/>
              <w:tabs>
                <w:tab w:pos="962" w:val="left" w:leader="none"/>
              </w:tabs>
              <w:spacing w:line="262" w:lineRule="exact"/>
              <w:ind w:left="12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14,967,107.54</w:t>
            </w:r>
          </w:p>
        </w:tc>
        <w:tc>
          <w:tcPr>
            <w:tcW w:w="1135"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3"/>
          <w:szCs w:val="23"/>
        </w:rPr>
      </w:pPr>
    </w:p>
    <w:p>
      <w:pPr>
        <w:spacing w:before="36"/>
        <w:ind w:left="151" w:right="434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4"/>
          <w:sz w:val="21"/>
          <w:szCs w:val="21"/>
        </w:rPr>
        <w:t> </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18"/>
          <w:szCs w:val="18"/>
        </w:rPr>
      </w:pPr>
    </w:p>
    <w:p>
      <w:pPr>
        <w:tabs>
          <w:tab w:pos="1406" w:val="left" w:leader="none"/>
        </w:tabs>
        <w:spacing w:before="0"/>
        <w:ind w:left="869"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tab/>
        <w:t>无同时按照国际会计准则与按中国会计准则披露的财务报告情况。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tabs>
          <w:tab w:pos="991" w:val="left" w:leader="none"/>
          <w:tab w:pos="1423" w:val="left" w:leader="none"/>
        </w:tabs>
        <w:spacing w:line="588" w:lineRule="auto" w:before="0"/>
        <w:ind w:left="151" w:right="2085" w:firstLine="72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1"/>
          <w:sz w:val="21"/>
          <w:szCs w:val="21"/>
        </w:rPr>
        <w:t>无同时按照境外会计准则与按中国会计准则披露的财务报告情况。</w:t>
      </w:r>
      <w:r>
        <w:rPr>
          <w:rFonts w:ascii="宋体" w:hAnsi="宋体" w:cs="宋体" w:eastAsia="宋体" w:hint="default"/>
          <w:b/>
          <w:bCs/>
          <w:w w:val="100"/>
          <w:sz w:val="21"/>
          <w:szCs w:val="21"/>
        </w:rPr>
        <w:t> </w:t>
      </w:r>
      <w:r>
        <w:rPr>
          <w:rFonts w:ascii="宋体" w:hAnsi="宋体" w:cs="宋体" w:eastAsia="宋体" w:hint="default"/>
          <w:b/>
          <w:bCs/>
          <w:w w:val="95"/>
          <w:sz w:val="21"/>
          <w:szCs w:val="21"/>
        </w:rPr>
        <w:t>(</w:t>
      </w:r>
      <w:r>
        <w:rPr>
          <w:rFonts w:ascii="宋体" w:hAnsi="宋体" w:cs="宋体" w:eastAsia="宋体" w:hint="default"/>
          <w:b/>
          <w:bCs/>
          <w:w w:val="95"/>
          <w:sz w:val="21"/>
          <w:szCs w:val="21"/>
        </w:rPr>
        <w:t>三</w:t>
      </w:r>
      <w:r>
        <w:rPr>
          <w:rFonts w:ascii="宋体" w:hAnsi="宋体" w:cs="宋体" w:eastAsia="宋体" w:hint="default"/>
          <w:b/>
          <w:bCs/>
          <w:w w:val="95"/>
          <w:sz w:val="21"/>
          <w:szCs w:val="21"/>
        </w:rPr>
        <w:t>)</w:t>
        <w:tab/>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7"/>
        <w:rPr>
          <w:rFonts w:ascii="宋体" w:hAnsi="宋体" w:cs="宋体" w:eastAsia="宋体" w:hint="default"/>
          <w:b/>
          <w:bCs/>
          <w:sz w:val="9"/>
          <w:szCs w:val="9"/>
        </w:rPr>
      </w:pPr>
    </w:p>
    <w:tbl>
      <w:tblPr>
        <w:tblW w:w="0" w:type="auto"/>
        <w:jc w:val="left"/>
        <w:tblInd w:w="722" w:type="dxa"/>
        <w:tblLayout w:type="fixed"/>
        <w:tblCellMar>
          <w:top w:w="0" w:type="dxa"/>
          <w:left w:w="0" w:type="dxa"/>
          <w:bottom w:w="0" w:type="dxa"/>
          <w:right w:w="0" w:type="dxa"/>
        </w:tblCellMar>
        <w:tblLook w:val="01E0"/>
      </w:tblPr>
      <w:tblGrid>
        <w:gridCol w:w="3195"/>
        <w:gridCol w:w="1560"/>
        <w:gridCol w:w="1591"/>
        <w:gridCol w:w="1681"/>
      </w:tblGrid>
      <w:tr>
        <w:trPr>
          <w:trHeight w:val="396" w:hRule="exact"/>
        </w:trPr>
        <w:tc>
          <w:tcPr>
            <w:tcW w:w="3195" w:type="dxa"/>
            <w:vMerge w:val="restart"/>
            <w:tcBorders>
              <w:top w:val="single" w:sz="12" w:space="0" w:color="000000"/>
              <w:left w:val="nil" w:sz="6" w:space="0" w:color="auto"/>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077"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560" w:type="dxa"/>
            <w:vMerge w:val="restart"/>
            <w:tcBorders>
              <w:top w:val="single" w:sz="12" w:space="0" w:color="000000"/>
              <w:left w:val="dotted" w:sz="4" w:space="0" w:color="000000"/>
              <w:right w:val="dotted" w:sz="4" w:space="0" w:color="000000"/>
            </w:tcBorders>
          </w:tcPr>
          <w:p>
            <w:pPr>
              <w:pStyle w:val="TableParagraph"/>
              <w:spacing w:line="326" w:lineRule="auto" w:before="26"/>
              <w:ind w:left="103" w:right="9" w:firstLine="40"/>
              <w:jc w:val="left"/>
              <w:rPr>
                <w:rFonts w:ascii="宋体" w:hAnsi="宋体" w:cs="宋体" w:eastAsia="宋体" w:hint="default"/>
                <w:sz w:val="21"/>
                <w:szCs w:val="21"/>
              </w:rPr>
            </w:pPr>
            <w:r>
              <w:rPr>
                <w:rFonts w:ascii="宋体" w:hAnsi="宋体" w:cs="宋体" w:eastAsia="宋体" w:hint="default"/>
                <w:sz w:val="21"/>
                <w:szCs w:val="21"/>
              </w:rPr>
              <w:t>加权平均净资</w:t>
            </w:r>
            <w:r>
              <w:rPr>
                <w:rFonts w:ascii="宋体" w:hAnsi="宋体" w:cs="宋体" w:eastAsia="宋体" w:hint="default"/>
                <w:w w:val="100"/>
                <w:sz w:val="21"/>
                <w:szCs w:val="21"/>
              </w:rPr>
              <w:t> </w:t>
            </w:r>
            <w:r>
              <w:rPr>
                <w:rFonts w:ascii="宋体" w:hAnsi="宋体" w:cs="宋体" w:eastAsia="宋体" w:hint="default"/>
                <w:sz w:val="21"/>
                <w:szCs w:val="21"/>
              </w:rPr>
              <w:t>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272"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21"/>
              <w:ind w:left="892" w:right="0"/>
              <w:jc w:val="left"/>
              <w:rPr>
                <w:rFonts w:ascii="宋体" w:hAnsi="宋体" w:cs="宋体" w:eastAsia="宋体" w:hint="default"/>
                <w:sz w:val="21"/>
                <w:szCs w:val="21"/>
              </w:rPr>
            </w:pPr>
            <w:r>
              <w:rPr>
                <w:rFonts w:ascii="宋体" w:hAnsi="宋体" w:cs="宋体" w:eastAsia="宋体" w:hint="default"/>
                <w:sz w:val="21"/>
                <w:szCs w:val="21"/>
              </w:rPr>
              <w:t>每股收益（元）</w:t>
            </w:r>
          </w:p>
        </w:tc>
      </w:tr>
      <w:tr>
        <w:trPr>
          <w:trHeight w:val="384" w:hRule="exact"/>
        </w:trPr>
        <w:tc>
          <w:tcPr>
            <w:tcW w:w="3195" w:type="dxa"/>
            <w:vMerge/>
            <w:tcBorders>
              <w:left w:val="nil" w:sz="6" w:space="0" w:color="auto"/>
              <w:bottom w:val="dotted" w:sz="4" w:space="0" w:color="000000"/>
              <w:right w:val="dotted" w:sz="4" w:space="0" w:color="000000"/>
            </w:tcBorders>
          </w:tcPr>
          <w:p>
            <w:pPr/>
          </w:p>
        </w:tc>
        <w:tc>
          <w:tcPr>
            <w:tcW w:w="1560" w:type="dxa"/>
            <w:vMerge/>
            <w:tcBorders>
              <w:left w:val="dotted" w:sz="4" w:space="0" w:color="000000"/>
              <w:bottom w:val="dotted" w:sz="4" w:space="0" w:color="000000"/>
              <w:right w:val="dotted" w:sz="4" w:space="0" w:color="000000"/>
            </w:tcBorders>
          </w:tcPr>
          <w:p>
            <w:pPr/>
          </w:p>
        </w:tc>
        <w:tc>
          <w:tcPr>
            <w:tcW w:w="15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6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8"/>
              <w:ind w:right="8"/>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384" w:hRule="exact"/>
        </w:trPr>
        <w:tc>
          <w:tcPr>
            <w:tcW w:w="31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10.24</w:t>
            </w:r>
          </w:p>
        </w:tc>
        <w:tc>
          <w:tcPr>
            <w:tcW w:w="15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0.58</w:t>
            </w:r>
          </w:p>
        </w:tc>
        <w:tc>
          <w:tcPr>
            <w:tcW w:w="16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right="8"/>
              <w:jc w:val="center"/>
              <w:rPr>
                <w:rFonts w:ascii="Times New Roman" w:hAnsi="Times New Roman" w:cs="Times New Roman" w:eastAsia="Times New Roman" w:hint="default"/>
                <w:sz w:val="21"/>
                <w:szCs w:val="21"/>
              </w:rPr>
            </w:pPr>
            <w:r>
              <w:rPr>
                <w:rFonts w:ascii="Times New Roman"/>
                <w:sz w:val="21"/>
              </w:rPr>
              <w:t>0.58</w:t>
            </w:r>
          </w:p>
        </w:tc>
      </w:tr>
      <w:tr>
        <w:trPr>
          <w:trHeight w:val="770" w:hRule="exact"/>
        </w:trPr>
        <w:tc>
          <w:tcPr>
            <w:tcW w:w="3195" w:type="dxa"/>
            <w:tcBorders>
              <w:top w:val="dotted" w:sz="4" w:space="0" w:color="000000"/>
              <w:left w:val="nil" w:sz="6" w:space="0" w:color="auto"/>
              <w:bottom w:val="single" w:sz="12" w:space="0" w:color="000000"/>
              <w:right w:val="dotted" w:sz="4" w:space="0" w:color="000000"/>
            </w:tcBorders>
          </w:tcPr>
          <w:p>
            <w:pPr>
              <w:pStyle w:val="TableParagraph"/>
              <w:spacing w:line="326" w:lineRule="auto" w:before="18"/>
              <w:ind w:left="122" w:right="10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普通股股东的净利润</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8.61</w:t>
            </w:r>
          </w:p>
        </w:tc>
        <w:tc>
          <w:tcPr>
            <w:tcW w:w="15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0.49</w:t>
            </w:r>
          </w:p>
        </w:tc>
        <w:tc>
          <w:tcPr>
            <w:tcW w:w="168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8"/>
              <w:jc w:val="center"/>
              <w:rPr>
                <w:rFonts w:ascii="Times New Roman" w:hAnsi="Times New Roman" w:cs="Times New Roman" w:eastAsia="Times New Roman" w:hint="default"/>
                <w:sz w:val="21"/>
                <w:szCs w:val="21"/>
              </w:rPr>
            </w:pPr>
            <w:r>
              <w:rPr>
                <w:rFonts w:ascii="Times New Roman"/>
                <w:sz w:val="21"/>
              </w:rPr>
              <w:t>0.49</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spacing w:line="345" w:lineRule="auto" w:before="36"/>
        <w:ind w:left="869" w:right="4611" w:hanging="71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4"/>
          <w:sz w:val="21"/>
          <w:szCs w:val="21"/>
        </w:rPr>
        <w:t> </w:t>
      </w:r>
      <w:r>
        <w:rPr>
          <w:rFonts w:ascii="宋体" w:hAnsi="宋体" w:cs="宋体" w:eastAsia="宋体" w:hint="default"/>
          <w:b/>
          <w:bCs/>
          <w:sz w:val="21"/>
          <w:szCs w:val="21"/>
        </w:rPr>
        <w:t>公司主要会计报表项目的异常情况及原因的说明</w:t>
      </w:r>
      <w:r>
        <w:rPr>
          <w:rFonts w:ascii="宋体" w:hAnsi="宋体" w:cs="宋体" w:eastAsia="宋体" w:hint="default"/>
          <w:b/>
          <w:bCs/>
          <w:w w:val="100"/>
          <w:sz w:val="21"/>
          <w:szCs w:val="21"/>
        </w:rPr>
        <w:t> </w:t>
      </w:r>
      <w:r>
        <w:rPr>
          <w:rFonts w:ascii="宋体" w:hAnsi="宋体" w:cs="宋体" w:eastAsia="宋体" w:hint="default"/>
          <w:b/>
          <w:bCs/>
          <w:sz w:val="21"/>
          <w:szCs w:val="21"/>
        </w:rPr>
        <w:t>金额异常或比较期间变动异常的报表项目</w:t>
      </w:r>
      <w:r>
        <w:rPr>
          <w:rFonts w:ascii="宋体" w:hAnsi="宋体" w:cs="宋体" w:eastAsia="宋体" w:hint="default"/>
          <w:sz w:val="21"/>
          <w:szCs w:val="21"/>
        </w:rPr>
      </w:r>
    </w:p>
    <w:p>
      <w:pPr>
        <w:spacing w:after="0" w:line="345" w:lineRule="auto"/>
        <w:jc w:val="left"/>
        <w:rPr>
          <w:rFonts w:ascii="宋体" w:hAnsi="宋体" w:cs="宋体" w:eastAsia="宋体" w:hint="default"/>
          <w:sz w:val="21"/>
          <w:szCs w:val="21"/>
        </w:rPr>
        <w:sectPr>
          <w:pgSz w:w="11910" w:h="16840"/>
          <w:pgMar w:header="884" w:footer="980" w:top="1140" w:bottom="1160" w:left="1380" w:right="900"/>
        </w:sectPr>
      </w:pPr>
    </w:p>
    <w:p>
      <w:pPr>
        <w:spacing w:line="240" w:lineRule="auto" w:before="6"/>
        <w:rPr>
          <w:rFonts w:ascii="宋体" w:hAnsi="宋体" w:cs="宋体" w:eastAsia="宋体" w:hint="default"/>
          <w:b/>
          <w:bCs/>
          <w:sz w:val="21"/>
          <w:szCs w:val="21"/>
        </w:rPr>
      </w:pPr>
    </w:p>
    <w:tbl>
      <w:tblPr>
        <w:tblW w:w="0" w:type="auto"/>
        <w:jc w:val="left"/>
        <w:tblInd w:w="672" w:type="dxa"/>
        <w:tblLayout w:type="fixed"/>
        <w:tblCellMar>
          <w:top w:w="0" w:type="dxa"/>
          <w:left w:w="0" w:type="dxa"/>
          <w:bottom w:w="0" w:type="dxa"/>
          <w:right w:w="0" w:type="dxa"/>
        </w:tblCellMar>
        <w:tblLook w:val="01E0"/>
      </w:tblPr>
      <w:tblGrid>
        <w:gridCol w:w="1670"/>
        <w:gridCol w:w="1366"/>
        <w:gridCol w:w="1363"/>
        <w:gridCol w:w="1052"/>
        <w:gridCol w:w="3046"/>
      </w:tblGrid>
      <w:tr>
        <w:trPr>
          <w:trHeight w:val="768" w:hRule="exact"/>
        </w:trPr>
        <w:tc>
          <w:tcPr>
            <w:tcW w:w="167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366" w:type="dxa"/>
            <w:tcBorders>
              <w:top w:val="single" w:sz="12" w:space="0" w:color="000000"/>
              <w:left w:val="dotted" w:sz="4" w:space="0" w:color="000000"/>
              <w:bottom w:val="dotted" w:sz="4" w:space="0" w:color="000000"/>
              <w:right w:val="dotted" w:sz="4" w:space="0" w:color="000000"/>
            </w:tcBorders>
          </w:tcPr>
          <w:p>
            <w:pPr>
              <w:pStyle w:val="TableParagraph"/>
              <w:spacing w:line="379" w:lineRule="auto" w:before="41"/>
              <w:ind w:left="227" w:right="137" w:hanging="92"/>
              <w:jc w:val="left"/>
              <w:rPr>
                <w:rFonts w:ascii="宋体" w:hAnsi="宋体" w:cs="宋体" w:eastAsia="宋体" w:hint="default"/>
                <w:sz w:val="18"/>
                <w:szCs w:val="18"/>
              </w:rPr>
            </w:pPr>
            <w:r>
              <w:rPr>
                <w:rFonts w:ascii="宋体" w:hAnsi="宋体" w:cs="宋体" w:eastAsia="宋体" w:hint="default"/>
                <w:sz w:val="18"/>
                <w:szCs w:val="18"/>
              </w:rPr>
              <w:t>期末余额（或 本期金额）</w:t>
            </w:r>
          </w:p>
        </w:tc>
        <w:tc>
          <w:tcPr>
            <w:tcW w:w="1363" w:type="dxa"/>
            <w:tcBorders>
              <w:top w:val="single" w:sz="12" w:space="0" w:color="000000"/>
              <w:left w:val="dotted" w:sz="4" w:space="0" w:color="000000"/>
              <w:bottom w:val="dotted" w:sz="4" w:space="0" w:color="000000"/>
              <w:right w:val="dotted" w:sz="4" w:space="0" w:color="000000"/>
            </w:tcBorders>
          </w:tcPr>
          <w:p>
            <w:pPr>
              <w:pStyle w:val="TableParagraph"/>
              <w:spacing w:line="379" w:lineRule="auto" w:before="41"/>
              <w:ind w:left="225" w:right="137" w:hanging="92"/>
              <w:jc w:val="left"/>
              <w:rPr>
                <w:rFonts w:ascii="宋体" w:hAnsi="宋体" w:cs="宋体" w:eastAsia="宋体" w:hint="default"/>
                <w:sz w:val="18"/>
                <w:szCs w:val="18"/>
              </w:rPr>
            </w:pPr>
            <w:r>
              <w:rPr>
                <w:rFonts w:ascii="宋体" w:hAnsi="宋体" w:cs="宋体" w:eastAsia="宋体" w:hint="default"/>
                <w:sz w:val="18"/>
                <w:szCs w:val="18"/>
              </w:rPr>
              <w:t>年初余额（或 上期金额）</w:t>
            </w:r>
          </w:p>
        </w:tc>
        <w:tc>
          <w:tcPr>
            <w:tcW w:w="105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变动比率</w:t>
            </w:r>
          </w:p>
        </w:tc>
        <w:tc>
          <w:tcPr>
            <w:tcW w:w="304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1135"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936,666,012.17</w:t>
            </w:r>
          </w:p>
        </w:tc>
        <w:tc>
          <w:tcPr>
            <w:tcW w:w="13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171,545,154.07</w:t>
            </w:r>
          </w:p>
        </w:tc>
        <w:tc>
          <w:tcPr>
            <w:tcW w:w="10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446.02%</w:t>
            </w:r>
          </w:p>
        </w:tc>
        <w:tc>
          <w:tcPr>
            <w:tcW w:w="30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381" w:lineRule="auto"/>
              <w:ind w:left="103" w:right="106"/>
              <w:jc w:val="left"/>
              <w:rPr>
                <w:rFonts w:ascii="宋体" w:hAnsi="宋体" w:cs="宋体" w:eastAsia="宋体" w:hint="default"/>
                <w:sz w:val="18"/>
                <w:szCs w:val="18"/>
              </w:rPr>
            </w:pPr>
            <w:r>
              <w:rPr>
                <w:rFonts w:ascii="宋体" w:hAnsi="宋体" w:cs="宋体" w:eastAsia="宋体" w:hint="default"/>
                <w:spacing w:val="-4"/>
                <w:sz w:val="18"/>
                <w:szCs w:val="18"/>
              </w:rPr>
              <w:t>本期收到新股发行募集资金，期末尚</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未使用募集资金余额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69,449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61"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124,676,216.23</w:t>
            </w:r>
          </w:p>
        </w:tc>
        <w:tc>
          <w:tcPr>
            <w:tcW w:w="13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74,590,253.79</w:t>
            </w:r>
          </w:p>
        </w:tc>
        <w:tc>
          <w:tcPr>
            <w:tcW w:w="10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67.15%</w:t>
            </w:r>
          </w:p>
        </w:tc>
        <w:tc>
          <w:tcPr>
            <w:tcW w:w="3046" w:type="dxa"/>
            <w:tcBorders>
              <w:top w:val="dotted" w:sz="4" w:space="0" w:color="000000"/>
              <w:left w:val="dotted" w:sz="4" w:space="0" w:color="000000"/>
              <w:bottom w:val="dotted" w:sz="4" w:space="0" w:color="000000"/>
              <w:right w:val="nil" w:sz="6" w:space="0" w:color="auto"/>
            </w:tcBorders>
          </w:tcPr>
          <w:p>
            <w:pPr>
              <w:pStyle w:val="TableParagraph"/>
              <w:spacing w:line="381" w:lineRule="auto" w:before="41"/>
              <w:ind w:left="103" w:right="106"/>
              <w:jc w:val="left"/>
              <w:rPr>
                <w:rFonts w:ascii="宋体" w:hAnsi="宋体" w:cs="宋体" w:eastAsia="宋体" w:hint="default"/>
                <w:sz w:val="18"/>
                <w:szCs w:val="18"/>
              </w:rPr>
            </w:pPr>
            <w:r>
              <w:rPr>
                <w:rFonts w:ascii="宋体" w:hAnsi="宋体" w:cs="宋体" w:eastAsia="宋体" w:hint="default"/>
                <w:spacing w:val="-4"/>
                <w:sz w:val="18"/>
                <w:szCs w:val="18"/>
              </w:rPr>
              <w:t>营业收入的增长，及货款回笼信用期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综合影响形成。</w:t>
            </w:r>
          </w:p>
        </w:tc>
      </w:tr>
      <w:tr>
        <w:trPr>
          <w:trHeight w:val="910"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22"/>
                <w:szCs w:val="22"/>
              </w:rPr>
            </w:pPr>
          </w:p>
          <w:p>
            <w:pPr>
              <w:pStyle w:val="TableParagraph"/>
              <w:tabs>
                <w:tab w:pos="755" w:val="left" w:leader="none"/>
              </w:tabs>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股</w:t>
              <w:tab/>
              <w:t>本</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168,007,774.00</w:t>
            </w:r>
          </w:p>
        </w:tc>
        <w:tc>
          <w:tcPr>
            <w:tcW w:w="13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85,724,482.00</w:t>
            </w:r>
          </w:p>
        </w:tc>
        <w:tc>
          <w:tcPr>
            <w:tcW w:w="10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95.99%</w:t>
            </w:r>
          </w:p>
        </w:tc>
        <w:tc>
          <w:tcPr>
            <w:tcW w:w="3046" w:type="dxa"/>
            <w:tcBorders>
              <w:top w:val="dotted" w:sz="4" w:space="0" w:color="000000"/>
              <w:left w:val="dotted" w:sz="4" w:space="0" w:color="000000"/>
              <w:bottom w:val="dotted" w:sz="4" w:space="0" w:color="000000"/>
              <w:right w:val="nil" w:sz="6" w:space="0" w:color="auto"/>
            </w:tcBorders>
          </w:tcPr>
          <w:p>
            <w:pPr>
              <w:pStyle w:val="TableParagraph"/>
              <w:spacing w:line="381" w:lineRule="auto" w:before="113"/>
              <w:ind w:left="103" w:right="96"/>
              <w:jc w:val="left"/>
              <w:rPr>
                <w:rFonts w:ascii="宋体" w:hAnsi="宋体" w:cs="宋体" w:eastAsia="宋体" w:hint="default"/>
                <w:sz w:val="18"/>
                <w:szCs w:val="18"/>
              </w:rPr>
            </w:pPr>
            <w:r>
              <w:rPr>
                <w:rFonts w:ascii="宋体" w:hAnsi="宋体" w:cs="宋体" w:eastAsia="宋体" w:hint="default"/>
                <w:spacing w:val="8"/>
                <w:sz w:val="18"/>
                <w:szCs w:val="18"/>
              </w:rPr>
              <w:t>本年增发新股，资本公积转增等导</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致，详见附注五（十九）</w:t>
            </w:r>
          </w:p>
        </w:tc>
      </w:tr>
      <w:tr>
        <w:trPr>
          <w:trHeight w:val="759"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751,165,482.46</w:t>
            </w:r>
          </w:p>
        </w:tc>
        <w:tc>
          <w:tcPr>
            <w:tcW w:w="13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58,268,553.57</w:t>
            </w:r>
          </w:p>
        </w:tc>
        <w:tc>
          <w:tcPr>
            <w:tcW w:w="10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1189.14%</w:t>
            </w:r>
          </w:p>
        </w:tc>
        <w:tc>
          <w:tcPr>
            <w:tcW w:w="3046" w:type="dxa"/>
            <w:tcBorders>
              <w:top w:val="dotted" w:sz="4" w:space="0" w:color="000000"/>
              <w:left w:val="dotted" w:sz="4" w:space="0" w:color="000000"/>
              <w:bottom w:val="dotted" w:sz="4" w:space="0" w:color="000000"/>
              <w:right w:val="nil" w:sz="6" w:space="0" w:color="auto"/>
            </w:tcBorders>
          </w:tcPr>
          <w:p>
            <w:pPr>
              <w:pStyle w:val="TableParagraph"/>
              <w:spacing w:line="381" w:lineRule="auto" w:before="39"/>
              <w:ind w:left="103" w:right="106"/>
              <w:jc w:val="left"/>
              <w:rPr>
                <w:rFonts w:ascii="宋体" w:hAnsi="宋体" w:cs="宋体" w:eastAsia="宋体" w:hint="default"/>
                <w:sz w:val="18"/>
                <w:szCs w:val="18"/>
              </w:rPr>
            </w:pPr>
            <w:r>
              <w:rPr>
                <w:rFonts w:ascii="宋体" w:hAnsi="宋体" w:cs="宋体" w:eastAsia="宋体" w:hint="default"/>
                <w:spacing w:val="-4"/>
                <w:sz w:val="18"/>
                <w:szCs w:val="18"/>
              </w:rPr>
              <w:t>本年增发新股等因素导致，详见附注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五（二十一）</w:t>
            </w:r>
          </w:p>
        </w:tc>
      </w:tr>
      <w:tr>
        <w:trPr>
          <w:trHeight w:val="715"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520,493,452.28</w:t>
            </w:r>
          </w:p>
        </w:tc>
        <w:tc>
          <w:tcPr>
            <w:tcW w:w="13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361,112,821.02</w:t>
            </w:r>
          </w:p>
        </w:tc>
        <w:tc>
          <w:tcPr>
            <w:tcW w:w="10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44.14%</w:t>
            </w:r>
          </w:p>
        </w:tc>
        <w:tc>
          <w:tcPr>
            <w:tcW w:w="30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4"/>
                <w:sz w:val="18"/>
                <w:szCs w:val="18"/>
              </w:rPr>
              <w:t>市场开拓，订单增加，营业收入增加</w:t>
            </w:r>
          </w:p>
        </w:tc>
      </w:tr>
      <w:tr>
        <w:trPr>
          <w:trHeight w:val="910"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344,081,804.51</w:t>
            </w:r>
          </w:p>
        </w:tc>
        <w:tc>
          <w:tcPr>
            <w:tcW w:w="13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228,689,442.41</w:t>
            </w:r>
          </w:p>
        </w:tc>
        <w:tc>
          <w:tcPr>
            <w:tcW w:w="10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50.46%</w:t>
            </w:r>
          </w:p>
        </w:tc>
        <w:tc>
          <w:tcPr>
            <w:tcW w:w="3046" w:type="dxa"/>
            <w:tcBorders>
              <w:top w:val="dotted" w:sz="4" w:space="0" w:color="000000"/>
              <w:left w:val="dotted" w:sz="4" w:space="0" w:color="000000"/>
              <w:bottom w:val="dotted" w:sz="4" w:space="0" w:color="000000"/>
              <w:right w:val="nil" w:sz="6" w:space="0" w:color="auto"/>
            </w:tcBorders>
          </w:tcPr>
          <w:p>
            <w:pPr>
              <w:pStyle w:val="TableParagraph"/>
              <w:spacing w:line="381" w:lineRule="auto" w:before="113"/>
              <w:ind w:left="103" w:right="56"/>
              <w:jc w:val="left"/>
              <w:rPr>
                <w:rFonts w:ascii="宋体" w:hAnsi="宋体" w:cs="宋体" w:eastAsia="宋体" w:hint="default"/>
                <w:sz w:val="18"/>
                <w:szCs w:val="18"/>
              </w:rPr>
            </w:pPr>
            <w:r>
              <w:rPr>
                <w:rFonts w:ascii="宋体" w:hAnsi="宋体" w:cs="宋体" w:eastAsia="宋体" w:hint="default"/>
                <w:spacing w:val="-4"/>
                <w:sz w:val="18"/>
                <w:szCs w:val="18"/>
              </w:rPr>
              <w:t>业务量增加，配备技术开发及服务人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员增加，相应使劳务成本上升导致。</w:t>
            </w:r>
          </w:p>
        </w:tc>
      </w:tr>
      <w:tr>
        <w:trPr>
          <w:trHeight w:val="461"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21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4"/>
              <w:jc w:val="right"/>
              <w:rPr>
                <w:rFonts w:ascii="Times New Roman" w:hAnsi="Times New Roman" w:cs="Times New Roman" w:eastAsia="Times New Roman" w:hint="default"/>
                <w:sz w:val="18"/>
                <w:szCs w:val="18"/>
              </w:rPr>
            </w:pPr>
            <w:r>
              <w:rPr>
                <w:rFonts w:ascii="Times New Roman"/>
                <w:spacing w:val="-1"/>
                <w:sz w:val="18"/>
              </w:rPr>
              <w:t>19,827,440.88</w:t>
            </w:r>
          </w:p>
        </w:tc>
        <w:tc>
          <w:tcPr>
            <w:tcW w:w="13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13,133,142.68</w:t>
            </w:r>
          </w:p>
        </w:tc>
        <w:tc>
          <w:tcPr>
            <w:tcW w:w="10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50.97%</w:t>
            </w:r>
          </w:p>
        </w:tc>
        <w:tc>
          <w:tcPr>
            <w:tcW w:w="30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本年营业收入上升导致</w:t>
            </w:r>
          </w:p>
        </w:tc>
      </w:tr>
      <w:tr>
        <w:trPr>
          <w:trHeight w:val="1507"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0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-25,331,324.14</w:t>
            </w:r>
          </w:p>
        </w:tc>
        <w:tc>
          <w:tcPr>
            <w:tcW w:w="13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-3,649,992.84</w:t>
            </w:r>
          </w:p>
        </w:tc>
        <w:tc>
          <w:tcPr>
            <w:tcW w:w="10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594.01%</w:t>
            </w:r>
          </w:p>
        </w:tc>
        <w:tc>
          <w:tcPr>
            <w:tcW w:w="30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103"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、本年收到募集资金利息收入增加；</w:t>
            </w:r>
          </w:p>
          <w:p>
            <w:pPr>
              <w:pStyle w:val="TableParagraph"/>
              <w:spacing w:line="372" w:lineRule="auto" w:before="125"/>
              <w:ind w:left="103" w:right="104"/>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、按管理层承诺预计期末定期存单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将持有至到期，相应计提利息收入导</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致。</w:t>
            </w:r>
          </w:p>
        </w:tc>
      </w:tr>
      <w:tr>
        <w:trPr>
          <w:trHeight w:val="1145" w:hRule="exact"/>
        </w:trPr>
        <w:tc>
          <w:tcPr>
            <w:tcW w:w="1670"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15,574,654.43</w:t>
            </w:r>
          </w:p>
        </w:tc>
        <w:tc>
          <w:tcPr>
            <w:tcW w:w="13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5,765,369.26</w:t>
            </w:r>
          </w:p>
        </w:tc>
        <w:tc>
          <w:tcPr>
            <w:tcW w:w="10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170.14%</w:t>
            </w:r>
          </w:p>
        </w:tc>
        <w:tc>
          <w:tcPr>
            <w:tcW w:w="3046" w:type="dxa"/>
            <w:tcBorders>
              <w:top w:val="dotted" w:sz="4" w:space="0" w:color="000000"/>
              <w:left w:val="dotted" w:sz="4" w:space="0" w:color="000000"/>
              <w:bottom w:val="single" w:sz="12" w:space="0" w:color="000000"/>
              <w:right w:val="nil" w:sz="6" w:space="0" w:color="auto"/>
            </w:tcBorders>
          </w:tcPr>
          <w:p>
            <w:pPr>
              <w:pStyle w:val="TableParagraph"/>
              <w:spacing w:line="372" w:lineRule="auto" w:before="39"/>
              <w:ind w:left="103" w:right="96"/>
              <w:jc w:val="both"/>
              <w:rPr>
                <w:rFonts w:ascii="宋体" w:hAnsi="宋体" w:cs="宋体" w:eastAsia="宋体" w:hint="default"/>
                <w:sz w:val="18"/>
                <w:szCs w:val="18"/>
              </w:rPr>
            </w:pPr>
            <w:r>
              <w:rPr>
                <w:rFonts w:ascii="宋体" w:hAnsi="宋体" w:cs="宋体" w:eastAsia="宋体" w:hint="default"/>
                <w:spacing w:val="8"/>
                <w:sz w:val="18"/>
                <w:szCs w:val="18"/>
              </w:rPr>
              <w:t>本期利润较上年大幅上升及本期适</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用所得税率由上期 </w:t>
            </w:r>
            <w:r>
              <w:rPr>
                <w:rFonts w:ascii="Times New Roman" w:hAnsi="Times New Roman" w:cs="Times New Roman" w:eastAsia="Times New Roman" w:hint="default"/>
                <w:sz w:val="18"/>
                <w:szCs w:val="18"/>
              </w:rPr>
              <w:t>10%</w:t>
            </w:r>
            <w:r>
              <w:rPr>
                <w:rFonts w:ascii="宋体" w:hAnsi="宋体" w:cs="宋体" w:eastAsia="宋体" w:hint="default"/>
                <w:sz w:val="18"/>
                <w:szCs w:val="18"/>
              </w:rPr>
              <w:t>变为</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综 合影响形成。</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pStyle w:val="Heading5"/>
        <w:spacing w:line="240" w:lineRule="auto" w:before="26"/>
        <w:ind w:left="151" w:right="0"/>
        <w:jc w:val="left"/>
        <w:rPr>
          <w:b w:val="0"/>
          <w:bCs w:val="0"/>
        </w:rPr>
      </w:pPr>
      <w:r>
        <w:rPr/>
        <w:t>十四、</w:t>
      </w:r>
      <w:r>
        <w:rPr>
          <w:spacing w:val="-6"/>
        </w:rPr>
        <w:t> </w:t>
      </w:r>
      <w:r>
        <w:rPr/>
        <w:t>财务报表的批准报出</w:t>
      </w:r>
      <w:r>
        <w:rPr>
          <w:b w:val="0"/>
          <w:bCs w:val="0"/>
        </w:rPr>
      </w:r>
    </w:p>
    <w:p>
      <w:pPr>
        <w:spacing w:before="112"/>
        <w:ind w:left="869" w:right="0" w:firstLine="0"/>
        <w:jc w:val="left"/>
        <w:rPr>
          <w:rFonts w:ascii="宋体" w:hAnsi="宋体" w:cs="宋体" w:eastAsia="宋体" w:hint="default"/>
          <w:sz w:val="21"/>
          <w:szCs w:val="21"/>
        </w:rPr>
      </w:pPr>
      <w:r>
        <w:rPr>
          <w:rFonts w:ascii="宋体" w:hAnsi="宋体" w:cs="宋体" w:eastAsia="宋体" w:hint="default"/>
          <w:sz w:val="21"/>
          <w:szCs w:val="21"/>
        </w:rPr>
        <w:t>本财务报表业经公司董事会于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日批准报出。</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73" w:lineRule="auto" w:before="187"/>
        <w:ind w:left="6486" w:right="327" w:hanging="442"/>
        <w:jc w:val="right"/>
        <w:rPr>
          <w:rFonts w:ascii="宋体" w:hAnsi="宋体" w:cs="宋体" w:eastAsia="宋体" w:hint="default"/>
          <w:sz w:val="21"/>
          <w:szCs w:val="21"/>
        </w:rPr>
      </w:pPr>
      <w:r>
        <w:rPr>
          <w:rFonts w:ascii="宋体" w:hAnsi="宋体" w:cs="宋体" w:eastAsia="宋体" w:hint="default"/>
          <w:b/>
          <w:bCs/>
          <w:spacing w:val="-1"/>
          <w:sz w:val="21"/>
          <w:szCs w:val="21"/>
        </w:rPr>
        <w:t>上海汉得信息技术股份有限公司</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b/>
          <w:bCs/>
          <w:sz w:val="21"/>
          <w:szCs w:val="21"/>
        </w:rPr>
        <w:t>二</w:t>
      </w:r>
      <w:r>
        <w:rPr>
          <w:rFonts w:ascii="宋体" w:hAnsi="宋体" w:cs="宋体" w:eastAsia="宋体" w:hint="default"/>
          <w:b/>
          <w:bCs/>
          <w:spacing w:val="-66"/>
          <w:sz w:val="21"/>
          <w:szCs w:val="21"/>
        </w:rPr>
        <w:t> </w:t>
      </w:r>
      <w:r>
        <w:rPr>
          <w:rFonts w:ascii="宋体" w:hAnsi="宋体" w:cs="宋体" w:eastAsia="宋体" w:hint="default"/>
          <w:b/>
          <w:bCs/>
          <w:sz w:val="21"/>
          <w:szCs w:val="21"/>
        </w:rPr>
        <w:t>〇</w:t>
      </w:r>
      <w:r>
        <w:rPr>
          <w:rFonts w:ascii="宋体" w:hAnsi="宋体" w:cs="宋体" w:eastAsia="宋体" w:hint="default"/>
          <w:b/>
          <w:bCs/>
          <w:spacing w:val="-66"/>
          <w:sz w:val="21"/>
          <w:szCs w:val="21"/>
        </w:rPr>
        <w:t> </w:t>
      </w:r>
      <w:r>
        <w:rPr>
          <w:rFonts w:ascii="宋体" w:hAnsi="宋体" w:cs="宋体" w:eastAsia="宋体" w:hint="default"/>
          <w:b/>
          <w:bCs/>
          <w:sz w:val="21"/>
          <w:szCs w:val="21"/>
        </w:rPr>
        <w:t>一</w:t>
      </w:r>
      <w:r>
        <w:rPr>
          <w:rFonts w:ascii="宋体" w:hAnsi="宋体" w:cs="宋体" w:eastAsia="宋体" w:hint="default"/>
          <w:b/>
          <w:bCs/>
          <w:spacing w:val="-68"/>
          <w:sz w:val="21"/>
          <w:szCs w:val="21"/>
        </w:rPr>
        <w:t> </w:t>
      </w:r>
      <w:r>
        <w:rPr>
          <w:rFonts w:ascii="宋体" w:hAnsi="宋体" w:cs="宋体" w:eastAsia="宋体" w:hint="default"/>
          <w:b/>
          <w:bCs/>
          <w:sz w:val="21"/>
          <w:szCs w:val="21"/>
        </w:rPr>
        <w:t>二</w:t>
      </w:r>
      <w:r>
        <w:rPr>
          <w:rFonts w:ascii="宋体" w:hAnsi="宋体" w:cs="宋体" w:eastAsia="宋体" w:hint="default"/>
          <w:b/>
          <w:bCs/>
          <w:spacing w:val="-66"/>
          <w:sz w:val="21"/>
          <w:szCs w:val="21"/>
        </w:rPr>
        <w:t> </w:t>
      </w:r>
      <w:r>
        <w:rPr>
          <w:rFonts w:ascii="宋体" w:hAnsi="宋体" w:cs="宋体" w:eastAsia="宋体" w:hint="default"/>
          <w:b/>
          <w:bCs/>
          <w:sz w:val="21"/>
          <w:szCs w:val="21"/>
        </w:rPr>
        <w:t>年</w:t>
      </w:r>
      <w:r>
        <w:rPr>
          <w:rFonts w:ascii="宋体" w:hAnsi="宋体" w:cs="宋体" w:eastAsia="宋体" w:hint="default"/>
          <w:b/>
          <w:bCs/>
          <w:spacing w:val="-67"/>
          <w:sz w:val="21"/>
          <w:szCs w:val="21"/>
        </w:rPr>
        <w:t> </w:t>
      </w:r>
      <w:r>
        <w:rPr>
          <w:rFonts w:ascii="宋体" w:hAnsi="宋体" w:cs="宋体" w:eastAsia="宋体" w:hint="default"/>
          <w:b/>
          <w:bCs/>
          <w:sz w:val="21"/>
          <w:szCs w:val="21"/>
        </w:rPr>
        <w:t>四</w:t>
      </w:r>
      <w:r>
        <w:rPr>
          <w:rFonts w:ascii="宋体" w:hAnsi="宋体" w:cs="宋体" w:eastAsia="宋体" w:hint="default"/>
          <w:b/>
          <w:bCs/>
          <w:spacing w:val="-65"/>
          <w:sz w:val="21"/>
          <w:szCs w:val="21"/>
        </w:rPr>
        <w:t> </w:t>
      </w:r>
      <w:r>
        <w:rPr>
          <w:rFonts w:ascii="宋体" w:hAnsi="宋体" w:cs="宋体" w:eastAsia="宋体" w:hint="default"/>
          <w:b/>
          <w:bCs/>
          <w:sz w:val="21"/>
          <w:szCs w:val="21"/>
        </w:rPr>
        <w:t>月</w:t>
      </w:r>
      <w:r>
        <w:rPr>
          <w:rFonts w:ascii="宋体" w:hAnsi="宋体" w:cs="宋体" w:eastAsia="宋体" w:hint="default"/>
          <w:b/>
          <w:bCs/>
          <w:spacing w:val="-68"/>
          <w:sz w:val="21"/>
          <w:szCs w:val="21"/>
        </w:rPr>
        <w:t> </w:t>
      </w:r>
      <w:r>
        <w:rPr>
          <w:rFonts w:ascii="宋体" w:hAnsi="宋体" w:cs="宋体" w:eastAsia="宋体" w:hint="default"/>
          <w:b/>
          <w:bCs/>
          <w:spacing w:val="19"/>
          <w:sz w:val="21"/>
          <w:szCs w:val="21"/>
        </w:rPr>
        <w:t>十七</w:t>
      </w:r>
      <w:r>
        <w:rPr>
          <w:rFonts w:ascii="宋体" w:hAnsi="宋体" w:cs="宋体" w:eastAsia="宋体" w:hint="default"/>
          <w:b/>
          <w:bCs/>
          <w:spacing w:val="-68"/>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spacing w:after="0" w:line="273" w:lineRule="auto"/>
        <w:jc w:val="right"/>
        <w:rPr>
          <w:rFonts w:ascii="宋体" w:hAnsi="宋体" w:cs="宋体" w:eastAsia="宋体" w:hint="default"/>
          <w:sz w:val="21"/>
          <w:szCs w:val="21"/>
        </w:rPr>
        <w:sectPr>
          <w:pgSz w:w="11910" w:h="16840"/>
          <w:pgMar w:header="884" w:footer="980" w:top="1140" w:bottom="1160" w:left="1380" w:right="1200"/>
        </w:sectPr>
      </w:pPr>
    </w:p>
    <w:p>
      <w:pPr>
        <w:spacing w:line="240" w:lineRule="auto" w:before="9"/>
        <w:rPr>
          <w:rFonts w:ascii="宋体" w:hAnsi="宋体" w:cs="宋体" w:eastAsia="宋体" w:hint="default"/>
          <w:b/>
          <w:bCs/>
          <w:sz w:val="17"/>
          <w:szCs w:val="17"/>
        </w:rPr>
      </w:pPr>
    </w:p>
    <w:p>
      <w:pPr>
        <w:pStyle w:val="Heading1"/>
        <w:spacing w:line="460" w:lineRule="exact"/>
        <w:ind w:left="2857" w:right="132"/>
        <w:jc w:val="left"/>
        <w:rPr>
          <w:b w:val="0"/>
          <w:bCs w:val="0"/>
        </w:rPr>
      </w:pPr>
      <w:bookmarkStart w:name="_bookmark9" w:id="10"/>
      <w:bookmarkEnd w:id="10"/>
      <w:r>
        <w:rPr>
          <w:b w:val="0"/>
          <w:bCs w:val="0"/>
        </w:rPr>
      </w:r>
      <w:r>
        <w:rPr/>
        <w:t>第十节</w:t>
      </w:r>
      <w:r>
        <w:rPr>
          <w:spacing w:val="-2"/>
        </w:rPr>
        <w:t> </w:t>
      </w:r>
      <w:r>
        <w:rPr/>
        <w:t>备查文件目录</w:t>
      </w:r>
      <w:r>
        <w:rPr>
          <w:b w:val="0"/>
          <w:bCs w:val="0"/>
        </w:rPr>
      </w:r>
    </w:p>
    <w:p>
      <w:pPr>
        <w:spacing w:line="240" w:lineRule="auto" w:before="6"/>
        <w:rPr>
          <w:rFonts w:ascii="宋体" w:hAnsi="宋体" w:cs="宋体" w:eastAsia="宋体" w:hint="default"/>
          <w:b/>
          <w:bCs/>
          <w:sz w:val="46"/>
          <w:szCs w:val="46"/>
        </w:rPr>
      </w:pPr>
    </w:p>
    <w:p>
      <w:pPr>
        <w:pStyle w:val="BodyText"/>
        <w:spacing w:line="357" w:lineRule="auto" w:before="0"/>
        <w:ind w:left="151" w:right="132"/>
        <w:jc w:val="left"/>
      </w:pPr>
      <w:r>
        <w:rPr>
          <w:spacing w:val="-2"/>
        </w:rPr>
        <w:t>一、载有公司法定代表人、主管会计工作的公司负责人、公司会计机构负责人（会计</w:t>
      </w:r>
      <w:r>
        <w:rPr>
          <w:spacing w:val="-86"/>
        </w:rPr>
        <w:t> </w:t>
      </w:r>
      <w:r>
        <w:rPr>
          <w:spacing w:val="-86"/>
        </w:rPr>
      </w:r>
      <w:r>
        <w:rPr/>
        <w:t>主管人员）签名并盖章的财务报表。 二、载有会计师事务所盖章、注册会计师签字并盖章的审计报告原件。</w:t>
      </w:r>
      <w:r>
        <w:rPr/>
        <w:t> </w:t>
      </w:r>
      <w:r>
        <w:rPr>
          <w:spacing w:val="-1"/>
        </w:rPr>
        <w:t>三、报告期内在中国证监会指定网站上公开披露过的所有公司文件的正本及公告的原</w:t>
      </w:r>
      <w:r>
        <w:rPr/>
        <w:t> 稿。</w:t>
      </w:r>
    </w:p>
    <w:p>
      <w:pPr>
        <w:pStyle w:val="BodyText"/>
        <w:spacing w:line="240" w:lineRule="auto" w:before="36"/>
        <w:ind w:left="151" w:right="132"/>
        <w:jc w:val="left"/>
      </w:pPr>
      <w:r>
        <w:rPr/>
        <w:t>四、经公司法定代表人签名的</w:t>
      </w:r>
      <w:r>
        <w:rPr>
          <w:spacing w:val="-60"/>
        </w:rPr>
        <w:t> </w:t>
      </w:r>
      <w:r>
        <w:rPr>
          <w:rFonts w:ascii="Times New Roman" w:hAnsi="Times New Roman" w:cs="Times New Roman" w:eastAsia="Times New Roman" w:hint="default"/>
        </w:rPr>
        <w:t>2011 </w:t>
      </w:r>
      <w:r>
        <w:rPr/>
        <w:t>年年度报告全文。</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1"/>
          <w:szCs w:val="21"/>
        </w:rPr>
      </w:pPr>
    </w:p>
    <w:p>
      <w:pPr>
        <w:pStyle w:val="BodyText"/>
        <w:tabs>
          <w:tab w:pos="8811" w:val="left" w:leader="none"/>
        </w:tabs>
        <w:spacing w:line="357" w:lineRule="auto" w:before="0"/>
        <w:ind w:left="4932" w:right="147" w:firstLine="703"/>
        <w:jc w:val="left"/>
        <w:rPr>
          <w:rFonts w:ascii="Times New Roman" w:hAnsi="Times New Roman" w:cs="Times New Roman" w:eastAsia="Times New Roman" w:hint="default"/>
        </w:rPr>
      </w:pPr>
      <w:r>
        <w:rPr/>
        <w:t>上海汉得信息技术股份有限公司 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spacing w:line="240" w:lineRule="auto" w:before="36"/>
        <w:ind w:left="0" w:right="147"/>
        <w:jc w:val="right"/>
      </w:pP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20 </w:t>
      </w:r>
      <w:r>
        <w:rPr/>
        <w:t>日</w:t>
      </w:r>
    </w:p>
    <w:sectPr>
      <w:pgSz w:w="11910" w:h="16840"/>
      <w:pgMar w:header="884" w:footer="980" w:top="1140" w:bottom="1160" w:left="138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1.933899pt;width:13.15pt;height:11pt;mso-position-horizontal-relative:page;mso-position-vertical-relative:page;z-index:-648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81.933899pt;width:17.7pt;height:11pt;mso-position-horizontal-relative:page;mso-position-vertical-relative:page;z-index:-647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125</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81.933899pt;width:17.7pt;height:11pt;mso-position-horizontal-relative:page;mso-position-vertical-relative:page;z-index:-647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136</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81.933899pt;width:17.7pt;height:11pt;mso-position-horizontal-relative:page;mso-position-vertical-relative:page;z-index:-647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139</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81.933899pt;width:17.7pt;height:11pt;mso-position-horizontal-relative:page;mso-position-vertical-relative:page;z-index:-647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146</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70001pt;margin-top:535.333923pt;width:13.15pt;height:11pt;mso-position-horizontal-relative:page;mso-position-vertical-relative:page;z-index:-647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78</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1.933899pt;width:13.15pt;height:11pt;mso-position-horizontal-relative:page;mso-position-vertical-relative:page;z-index:-647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29993pt;margin-top:781.933899pt;width:15.7pt;height:11pt;mso-position-horizontal-relative:page;mso-position-vertical-relative:page;z-index:-6478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81.933899pt;width:17.7pt;height:11pt;mso-position-horizontal-relative:page;mso-position-vertical-relative:page;z-index:-647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81.933899pt;width:17.7pt;height:11pt;mso-position-horizontal-relative:page;mso-position-vertical-relative:page;z-index:-647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104</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81.933899pt;width:17.7pt;height:11pt;mso-position-horizontal-relative:page;mso-position-vertical-relative:page;z-index:-647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111</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190002pt;margin-top:535.333923pt;width:17.7pt;height:11pt;mso-position-horizontal-relative:page;mso-position-vertical-relative:page;z-index:-647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123</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7.599983pt;width:418.3pt;height:.1pt;mso-position-horizontal-relative:page;mso-position-vertical-relative:page;z-index:-648136" coordorigin="1772,1152" coordsize="8366,2">
          <v:shape style="position:absolute;left:1772;top:1152;width:8366;height:2" coordorigin="1772,1152" coordsize="8366,0" path="m1772,1152l10137,115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8.903999pt;margin-top:43.204983pt;width:244.1pt;height:12.6pt;mso-position-horizontal-relative:page;mso-position-vertical-relative:page;z-index:-648112"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pacing w:val="-4"/>
                    <w:sz w:val="21"/>
                    <w:szCs w:val="21"/>
                  </w:rPr>
                  <w:t>上海汉得信息技术股份有限公司（股票代码</w:t>
                </w:r>
                <w:r>
                  <w:rPr>
                    <w:rFonts w:ascii="宋体" w:hAnsi="宋体" w:cs="宋体" w:eastAsia="宋体" w:hint="default"/>
                    <w:spacing w:val="-27"/>
                    <w:sz w:val="21"/>
                    <w:szCs w:val="21"/>
                  </w:rPr>
                  <w:t> </w:t>
                </w:r>
                <w:r>
                  <w:rPr>
                    <w:rFonts w:ascii="宋体" w:hAnsi="宋体" w:cs="宋体" w:eastAsia="宋体" w:hint="default"/>
                    <w:sz w:val="21"/>
                    <w:szCs w:val="21"/>
                  </w:rPr>
                  <w:t>300170</w:t>
                </w:r>
                <w:r>
                  <w:rPr>
                    <w:rFonts w:ascii="宋体" w:hAnsi="宋体" w:cs="宋体" w:eastAsia="宋体" w:hint="default"/>
                    <w:sz w:val="21"/>
                    <w:szCs w:val="21"/>
                  </w:rPr>
                  <w:t>）</w:t>
                </w:r>
              </w:p>
            </w:txbxContent>
          </v:textbox>
          <w10:wrap type="none"/>
        </v:shape>
      </w:pict>
    </w:r>
    <w:r>
      <w:rPr/>
      <w:pict>
        <v:shape style="position:absolute;margin-left:428.549988pt;margin-top:43.204983pt;width:78.1pt;height:12.6pt;mso-position-horizontal-relative:page;mso-position-vertical-relative:page;z-index:-64808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27.965008pt;width:246.25pt;height:12.6pt;mso-position-horizontal-relative:page;mso-position-vertical-relative:page;z-index:-648040"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上海汉得信息技术股份有限公司（股票代码</w:t>
                </w:r>
                <w:r>
                  <w:rPr>
                    <w:rFonts w:ascii="宋体" w:hAnsi="宋体" w:cs="宋体" w:eastAsia="宋体" w:hint="default"/>
                    <w:spacing w:val="-60"/>
                    <w:sz w:val="21"/>
                    <w:szCs w:val="21"/>
                  </w:rPr>
                  <w:t> </w:t>
                </w:r>
                <w:r>
                  <w:rPr>
                    <w:rFonts w:ascii="宋体" w:hAnsi="宋体" w:cs="宋体" w:eastAsia="宋体" w:hint="default"/>
                    <w:sz w:val="21"/>
                    <w:szCs w:val="21"/>
                  </w:rPr>
                  <w:t>300170</w:t>
                </w:r>
                <w:r>
                  <w:rPr>
                    <w:rFonts w:ascii="宋体" w:hAnsi="宋体" w:cs="宋体" w:eastAsia="宋体" w:hint="default"/>
                    <w:sz w:val="21"/>
                    <w:szCs w:val="21"/>
                  </w:rPr>
                  <w:t>）</w:t>
                </w:r>
              </w:p>
            </w:txbxContent>
          </v:textbox>
          <w10:wrap type="none"/>
        </v:shape>
      </w:pict>
    </w:r>
    <w:r>
      <w:rPr/>
      <w:pict>
        <v:shape style="position:absolute;margin-left:689.599976pt;margin-top:27.965008pt;width:78.25pt;height:12.6pt;mso-position-horizontal-relative:page;mso-position-vertical-relative:page;z-index:-64801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7.599983pt;width:418.3pt;height:.1pt;mso-position-horizontal-relative:page;mso-position-vertical-relative:page;z-index:-647968" coordorigin="1772,1152" coordsize="8366,2">
          <v:shape style="position:absolute;left:1772;top:1152;width:8366;height:2" coordorigin="1772,1152" coordsize="8366,0" path="m1772,1152l10137,1152e" filled="false" stroked="true" strokeweight=".72pt" strokecolor="#000000">
            <v:path arrowok="t"/>
          </v:shape>
          <w10:wrap type="none"/>
        </v:group>
      </w:pict>
    </w:r>
    <w:r>
      <w:rPr/>
      <w:pict>
        <v:shape style="position:absolute;margin-left:89.024002pt;margin-top:43.204983pt;width:246.25pt;height:12.6pt;mso-position-horizontal-relative:page;mso-position-vertical-relative:page;z-index:-64794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上海汉得信息技术股份有限公司（股票代码</w:t>
                </w:r>
                <w:r>
                  <w:rPr>
                    <w:rFonts w:ascii="宋体" w:hAnsi="宋体" w:cs="宋体" w:eastAsia="宋体" w:hint="default"/>
                    <w:spacing w:val="-60"/>
                    <w:sz w:val="21"/>
                    <w:szCs w:val="21"/>
                  </w:rPr>
                  <w:t> </w:t>
                </w:r>
                <w:r>
                  <w:rPr>
                    <w:rFonts w:ascii="宋体" w:hAnsi="宋体" w:cs="宋体" w:eastAsia="宋体" w:hint="default"/>
                    <w:sz w:val="21"/>
                    <w:szCs w:val="21"/>
                  </w:rPr>
                  <w:t>300170</w:t>
                </w:r>
                <w:r>
                  <w:rPr>
                    <w:rFonts w:ascii="宋体" w:hAnsi="宋体" w:cs="宋体" w:eastAsia="宋体" w:hint="default"/>
                    <w:sz w:val="21"/>
                    <w:szCs w:val="21"/>
                  </w:rPr>
                  <w:t>）</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7.600006pt;width:700.95pt;height:.1pt;mso-position-horizontal-relative:page;mso-position-vertical-relative:page;z-index:-647800" coordorigin="1411,1152" coordsize="14019,2">
          <v:shape style="position:absolute;left:1411;top:1152;width:14019;height:2" coordorigin="1411,1152" coordsize="14019,0" path="m1411,1152l15430,1152e" filled="false" stroked="true" strokeweight=".72pt" strokecolor="#000000">
            <v:path arrowok="t"/>
          </v:shape>
          <w10:wrap type="none"/>
        </v:group>
      </w:pict>
    </w:r>
    <w:r>
      <w:rPr/>
      <w:pict>
        <v:shape style="position:absolute;margin-left:72.680pt;margin-top:43.205006pt;width:246.25pt;height:12.6pt;mso-position-horizontal-relative:page;mso-position-vertical-relative:page;z-index:-64777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上海汉得信息技术股份有限公司（股票代码</w:t>
                </w:r>
                <w:r>
                  <w:rPr>
                    <w:rFonts w:ascii="宋体" w:hAnsi="宋体" w:cs="宋体" w:eastAsia="宋体" w:hint="default"/>
                    <w:spacing w:val="-60"/>
                    <w:sz w:val="21"/>
                    <w:szCs w:val="21"/>
                  </w:rPr>
                  <w:t> </w:t>
                </w:r>
                <w:r>
                  <w:rPr>
                    <w:rFonts w:ascii="宋体" w:hAnsi="宋体" w:cs="宋体" w:eastAsia="宋体" w:hint="default"/>
                    <w:sz w:val="21"/>
                    <w:szCs w:val="21"/>
                  </w:rPr>
                  <w:t>300170</w:t>
                </w:r>
                <w:r>
                  <w:rPr>
                    <w:rFonts w:ascii="宋体" w:hAnsi="宋体" w:cs="宋体" w:eastAsia="宋体" w:hint="default"/>
                    <w:sz w:val="21"/>
                    <w:szCs w:val="21"/>
                  </w:rPr>
                  <w:t>）</w:t>
                </w:r>
              </w:p>
            </w:txbxContent>
          </v:textbox>
          <w10:wrap type="none"/>
        </v:shape>
      </w:pict>
    </w:r>
    <w:r>
      <w:rPr/>
      <w:pict>
        <v:shape style="position:absolute;margin-left:691.280029pt;margin-top:43.205006pt;width:78.25pt;height:12.6pt;mso-position-horizontal-relative:page;mso-position-vertical-relative:page;z-index:-647752"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7.599983pt;width:418.3pt;height:.1pt;mso-position-horizontal-relative:page;mso-position-vertical-relative:page;z-index:-647704" coordorigin="1772,1152" coordsize="8366,2">
          <v:shape style="position:absolute;left:1772;top:1152;width:8366;height:2" coordorigin="1772,1152" coordsize="8366,0" path="m1772,1152l10137,1152e" filled="false" stroked="true" strokeweight=".72pt" strokecolor="#000000">
            <v:path arrowok="t"/>
          </v:shape>
          <w10:wrap type="none"/>
        </v:group>
      </w:pict>
    </w:r>
    <w:r>
      <w:rPr/>
      <w:pict>
        <v:shape style="position:absolute;margin-left:89.024002pt;margin-top:43.204983pt;width:246.25pt;height:12.6pt;mso-position-horizontal-relative:page;mso-position-vertical-relative:page;z-index:-647680"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上海汉得信息技术股份有限公司（股票代码</w:t>
                </w:r>
                <w:r>
                  <w:rPr>
                    <w:rFonts w:ascii="宋体" w:hAnsi="宋体" w:cs="宋体" w:eastAsia="宋体" w:hint="default"/>
                    <w:spacing w:val="-60"/>
                    <w:sz w:val="21"/>
                    <w:szCs w:val="21"/>
                  </w:rPr>
                  <w:t> </w:t>
                </w:r>
                <w:r>
                  <w:rPr>
                    <w:rFonts w:ascii="宋体" w:hAnsi="宋体" w:cs="宋体" w:eastAsia="宋体" w:hint="default"/>
                    <w:sz w:val="21"/>
                    <w:szCs w:val="21"/>
                  </w:rPr>
                  <w:t>300170</w:t>
                </w:r>
                <w:r>
                  <w:rPr>
                    <w:rFonts w:ascii="宋体" w:hAnsi="宋体" w:cs="宋体" w:eastAsia="宋体" w:hint="default"/>
                    <w:sz w:val="21"/>
                    <w:szCs w:val="21"/>
                  </w:rPr>
                  <w:t>）</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5.143997pt;margin-top:57.599983pt;width:445.15pt;height:.1pt;mso-position-horizontal-relative:page;mso-position-vertical-relative:page;z-index:-647584" coordorigin="1503,1152" coordsize="8903,2">
          <v:shape style="position:absolute;left:1503;top:1152;width:8903;height:2" coordorigin="1503,1152" coordsize="8903,0" path="m1503,1152l10406,1152e" filled="false" stroked="true" strokeweight=".72pt" strokecolor="#000000">
            <v:path arrowok="t"/>
          </v:shape>
          <w10:wrap type="none"/>
        </v:group>
      </w:pict>
    </w:r>
    <w:r>
      <w:rPr/>
      <w:pict>
        <v:shape style="position:absolute;margin-left:75.584pt;margin-top:43.204983pt;width:246.25pt;height:12.6pt;mso-position-horizontal-relative:page;mso-position-vertical-relative:page;z-index:-647560"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上海汉得信息技术股份有限公司（股票代码</w:t>
                </w:r>
                <w:r>
                  <w:rPr>
                    <w:rFonts w:ascii="宋体" w:hAnsi="宋体" w:cs="宋体" w:eastAsia="宋体" w:hint="default"/>
                    <w:spacing w:val="-60"/>
                    <w:sz w:val="21"/>
                    <w:szCs w:val="21"/>
                  </w:rPr>
                  <w:t> </w:t>
                </w:r>
                <w:r>
                  <w:rPr>
                    <w:rFonts w:ascii="宋体" w:hAnsi="宋体" w:cs="宋体" w:eastAsia="宋体" w:hint="default"/>
                    <w:sz w:val="21"/>
                    <w:szCs w:val="21"/>
                  </w:rPr>
                  <w:t>300170</w:t>
                </w:r>
                <w:r>
                  <w:rPr>
                    <w:rFonts w:ascii="宋体" w:hAnsi="宋体" w:cs="宋体" w:eastAsia="宋体" w:hint="default"/>
                    <w:sz w:val="21"/>
                    <w:szCs w:val="21"/>
                  </w:rPr>
                  <w:t>）</w:t>
                </w:r>
              </w:p>
            </w:txbxContent>
          </v:textbox>
          <w10:wrap type="none"/>
        </v:shape>
      </w:pict>
    </w:r>
    <w:r>
      <w:rPr/>
      <w:pict>
        <v:shape style="position:absolute;margin-left:440.549988pt;margin-top:43.204983pt;width:78.25pt;height:12.6pt;mso-position-horizontal-relative:page;mso-position-vertical-relative:page;z-index:-64753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512"/>
      <w:ind w:left="140"/>
    </w:pPr>
    <w:rPr>
      <w:rFonts w:ascii="宋体" w:hAnsi="宋体" w:eastAsia="宋体"/>
      <w:b/>
      <w:bCs/>
      <w:sz w:val="28"/>
      <w:szCs w:val="28"/>
    </w:rPr>
  </w:style>
  <w:style w:styleId="BodyText" w:type="paragraph">
    <w:name w:val="Body Text"/>
    <w:basedOn w:val="Normal"/>
    <w:uiPriority w:val="1"/>
    <w:qFormat/>
    <w:pPr>
      <w:spacing w:before="154"/>
      <w:ind w:left="140"/>
    </w:pPr>
    <w:rPr>
      <w:rFonts w:ascii="宋体" w:hAnsi="宋体" w:eastAsia="宋体"/>
      <w:sz w:val="24"/>
      <w:szCs w:val="24"/>
    </w:rPr>
  </w:style>
  <w:style w:styleId="Heading1" w:type="paragraph">
    <w:name w:val="Heading 1"/>
    <w:basedOn w:val="Normal"/>
    <w:uiPriority w:val="1"/>
    <w:qFormat/>
    <w:pPr>
      <w:ind w:left="278"/>
      <w:outlineLvl w:val="1"/>
    </w:pPr>
    <w:rPr>
      <w:rFonts w:ascii="宋体" w:hAnsi="宋体" w:eastAsia="宋体"/>
      <w:b/>
      <w:bCs/>
      <w:sz w:val="36"/>
      <w:szCs w:val="36"/>
    </w:rPr>
  </w:style>
  <w:style w:styleId="Heading2" w:type="paragraph">
    <w:name w:val="Heading 2"/>
    <w:basedOn w:val="Normal"/>
    <w:uiPriority w:val="1"/>
    <w:qFormat/>
    <w:pPr>
      <w:ind w:left="278" w:hanging="279"/>
      <w:outlineLvl w:val="2"/>
    </w:pPr>
    <w:rPr>
      <w:rFonts w:ascii="Times New Roman" w:hAnsi="Times New Roman" w:eastAsia="Times New Roman"/>
      <w:b/>
      <w:bCs/>
      <w:sz w:val="32"/>
      <w:szCs w:val="32"/>
    </w:rPr>
  </w:style>
  <w:style w:styleId="Heading3" w:type="paragraph">
    <w:name w:val="Heading 3"/>
    <w:basedOn w:val="Normal"/>
    <w:uiPriority w:val="1"/>
    <w:qFormat/>
    <w:pPr>
      <w:ind w:left="140"/>
      <w:outlineLvl w:val="3"/>
    </w:pPr>
    <w:rPr>
      <w:rFonts w:ascii="宋体" w:hAnsi="宋体" w:eastAsia="宋体"/>
      <w:b/>
      <w:bCs/>
      <w:sz w:val="28"/>
      <w:szCs w:val="28"/>
    </w:rPr>
  </w:style>
  <w:style w:styleId="Heading4" w:type="paragraph">
    <w:name w:val="Heading 4"/>
    <w:basedOn w:val="Normal"/>
    <w:uiPriority w:val="1"/>
    <w:qFormat/>
    <w:pPr>
      <w:ind w:left="140"/>
      <w:outlineLvl w:val="4"/>
    </w:pPr>
    <w:rPr>
      <w:rFonts w:ascii="宋体" w:hAnsi="宋体" w:eastAsia="宋体"/>
      <w:sz w:val="28"/>
      <w:szCs w:val="28"/>
    </w:rPr>
  </w:style>
  <w:style w:styleId="Heading5" w:type="paragraph">
    <w:name w:val="Heading 5"/>
    <w:basedOn w:val="Normal"/>
    <w:uiPriority w:val="1"/>
    <w:qFormat/>
    <w:pPr>
      <w:ind w:left="140"/>
      <w:outlineLvl w:val="5"/>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footer" Target="footer1.xml"/><Relationship Id="rId8" Type="http://schemas.openxmlformats.org/officeDocument/2006/relationships/hyperlink" Target="mailto:mars.zhang@hand-china.com" TargetMode="External"/><Relationship Id="rId9" Type="http://schemas.openxmlformats.org/officeDocument/2006/relationships/hyperlink" Target="mailto:investors@vip.hand-china.com" TargetMode="External"/><Relationship Id="rId10" Type="http://schemas.openxmlformats.org/officeDocument/2006/relationships/hyperlink" Target="http://www.hand-china.com/" TargetMode="External"/><Relationship Id="rId11" Type="http://schemas.openxmlformats.org/officeDocument/2006/relationships/hyperlink" Target="http://www.cninfo.com.cn/" TargetMode="Externa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image" Target="media/image4.png"/><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header" Target="header4.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header" Target="header5.xml"/><Relationship Id="rId26" Type="http://schemas.openxmlformats.org/officeDocument/2006/relationships/footer" Target="footer9.xml"/><Relationship Id="rId27" Type="http://schemas.openxmlformats.org/officeDocument/2006/relationships/header" Target="header6.xml"/><Relationship Id="rId28" Type="http://schemas.openxmlformats.org/officeDocument/2006/relationships/footer" Target="footer10.xml"/><Relationship Id="rId29" Type="http://schemas.openxmlformats.org/officeDocument/2006/relationships/header" Target="header7.xml"/><Relationship Id="rId30" Type="http://schemas.openxmlformats.org/officeDocument/2006/relationships/footer" Target="footer11.xml"/><Relationship Id="rId31" Type="http://schemas.openxmlformats.org/officeDocument/2006/relationships/footer" Target="footer12.xml"/><Relationship Id="rId32" Type="http://schemas.openxmlformats.org/officeDocument/2006/relationships/footer" Target="footer13.xml"/><Relationship Id="rId33" Type="http://schemas.openxmlformats.org/officeDocument/2006/relationships/header" Target="header8.xml"/><Relationship Id="rId34" Type="http://schemas.openxmlformats.org/officeDocument/2006/relationships/footer" Target="footer14.xml"/><Relationship Id="rId35" Type="http://schemas.openxmlformats.org/officeDocument/2006/relationships/header" Target="header9.xml"/><Relationship Id="rId36"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 SYSTEM</dc:creator>
  <dcterms:created xsi:type="dcterms:W3CDTF">2020-05-03T16:54:42Z</dcterms:created>
  <dcterms:modified xsi:type="dcterms:W3CDTF">2020-05-03T16:54:42Z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2012-04-19T00:00:00Z</vt:filetime>
  </property>
  <property fmtid="{D5CDD505-2E9C-101B-9397-08002B2CF9AE}" pid="3" name="Creator">
    <vt:lpwstr>Microsoft® Word 2010</vt:lpwstr>
  </property>
  <property fmtid="{D5CDD505-2E9C-101B-9397-08002B2CF9AE}" pid="4" name="LastSaved">
    <vt:filetime>2020-05-03T00:00:00Z</vt:filetime>
  </property>
</Properties>
</file>