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63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07465" cy="4000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7465"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6"/>
        <w:rPr>
          <w:rFonts w:ascii="Times New Roman" w:hAnsi="Times New Roman" w:cs="Times New Roman" w:eastAsia="Times New Roman" w:hint="default"/>
          <w:sz w:val="13"/>
          <w:szCs w:val="13"/>
        </w:rPr>
      </w:pPr>
    </w:p>
    <w:p>
      <w:pPr>
        <w:spacing w:line="460" w:lineRule="exact" w:before="0"/>
        <w:ind w:left="674" w:right="676" w:firstLine="0"/>
        <w:jc w:val="center"/>
        <w:rPr>
          <w:rFonts w:ascii="宋体" w:hAnsi="宋体" w:cs="宋体" w:eastAsia="宋体" w:hint="default"/>
          <w:sz w:val="36"/>
          <w:szCs w:val="36"/>
        </w:rPr>
      </w:pPr>
      <w:r>
        <w:rPr>
          <w:rFonts w:ascii="宋体" w:hAnsi="宋体" w:cs="宋体" w:eastAsia="宋体" w:hint="default"/>
          <w:b/>
          <w:bCs/>
          <w:sz w:val="36"/>
          <w:szCs w:val="36"/>
        </w:rPr>
        <w:t>上海汉得信息技术股份有限公司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74" w:right="6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674" w:right="6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498"/>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56" w:firstLine="561"/>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2"/>
        <w:ind w:left="153" w:right="150"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公司负责人陈迪清、主管会计工作负责人王辛夷及会计机构负责人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王辛夷声明：保证年度报告中财务报告的真实、准确、完整。</w:t>
      </w:r>
      <w:r>
        <w:rPr>
          <w:rFonts w:ascii="宋体" w:hAnsi="宋体" w:cs="宋体" w:eastAsia="宋体" w:hint="default"/>
          <w:sz w:val="28"/>
          <w:szCs w:val="28"/>
        </w:rPr>
      </w:r>
    </w:p>
    <w:p>
      <w:pPr>
        <w:spacing w:line="472" w:lineRule="auto" w:before="148"/>
        <w:ind w:left="714" w:right="498"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sz w:val="28"/>
          <w:szCs w:val="28"/>
        </w:rPr>
      </w:r>
    </w:p>
    <w:p>
      <w:pPr>
        <w:spacing w:line="396" w:lineRule="auto" w:before="86"/>
        <w:ind w:left="153" w:right="148" w:firstLine="561"/>
        <w:jc w:val="both"/>
        <w:rPr>
          <w:rFonts w:ascii="宋体" w:hAnsi="宋体" w:cs="宋体" w:eastAsia="宋体" w:hint="default"/>
          <w:sz w:val="28"/>
          <w:szCs w:val="28"/>
        </w:rPr>
      </w:pPr>
      <w:r>
        <w:rPr>
          <w:rFonts w:ascii="宋体" w:hAnsi="宋体" w:cs="宋体" w:eastAsia="宋体" w:hint="default"/>
          <w:b/>
          <w:bCs/>
          <w:spacing w:val="2"/>
          <w:sz w:val="28"/>
          <w:szCs w:val="28"/>
        </w:rPr>
        <w:t>（一）宏观经济波动的风险。宏观经济的波动会一定程度影响公司客户自</w:t>
      </w:r>
      <w:r>
        <w:rPr>
          <w:rFonts w:ascii="宋体" w:hAnsi="宋体" w:cs="宋体" w:eastAsia="宋体" w:hint="default"/>
          <w:b/>
          <w:bCs/>
          <w:w w:val="99"/>
          <w:sz w:val="28"/>
          <w:szCs w:val="28"/>
        </w:rPr>
        <w:t> </w:t>
      </w:r>
      <w:r>
        <w:rPr>
          <w:rFonts w:ascii="宋体" w:hAnsi="宋体" w:cs="宋体" w:eastAsia="宋体" w:hint="default"/>
          <w:b/>
          <w:bCs/>
          <w:sz w:val="28"/>
          <w:szCs w:val="28"/>
        </w:rPr>
        <w:t>身的经营状况和对未来的预期，从而影响客户在 </w:t>
      </w:r>
      <w:r>
        <w:rPr>
          <w:rFonts w:ascii="Times New Roman" w:hAnsi="Times New Roman" w:cs="Times New Roman" w:eastAsia="Times New Roman" w:hint="default"/>
          <w:b/>
          <w:bCs/>
          <w:sz w:val="28"/>
          <w:szCs w:val="28"/>
        </w:rPr>
        <w:t>IT </w:t>
      </w:r>
      <w:r>
        <w:rPr>
          <w:rFonts w:ascii="宋体" w:hAnsi="宋体" w:cs="宋体" w:eastAsia="宋体" w:hint="default"/>
          <w:b/>
          <w:bCs/>
          <w:sz w:val="28"/>
          <w:szCs w:val="28"/>
        </w:rPr>
        <w:t>咨询，</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系统建设方面</w:t>
      </w:r>
      <w:r>
        <w:rPr>
          <w:rFonts w:ascii="宋体" w:hAnsi="宋体" w:cs="宋体" w:eastAsia="宋体" w:hint="default"/>
          <w:b/>
          <w:bCs/>
          <w:w w:val="99"/>
          <w:sz w:val="28"/>
          <w:szCs w:val="28"/>
        </w:rPr>
        <w:t> </w:t>
      </w:r>
      <w:r>
        <w:rPr>
          <w:rFonts w:ascii="宋体" w:hAnsi="宋体" w:cs="宋体" w:eastAsia="宋体" w:hint="default"/>
          <w:b/>
          <w:bCs/>
          <w:sz w:val="28"/>
          <w:szCs w:val="28"/>
        </w:rPr>
        <w:t>的预算。公司的客户主要为具有较强实力的跨国公司和企业集团，</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系统对</w:t>
      </w:r>
      <w:r>
        <w:rPr>
          <w:rFonts w:ascii="宋体" w:hAnsi="宋体" w:cs="宋体" w:eastAsia="宋体" w:hint="default"/>
          <w:b/>
          <w:bCs/>
          <w:w w:val="99"/>
          <w:sz w:val="28"/>
          <w:szCs w:val="28"/>
        </w:rPr>
        <w:t> </w:t>
      </w:r>
      <w:r>
        <w:rPr>
          <w:rFonts w:ascii="宋体" w:hAnsi="宋体" w:cs="宋体" w:eastAsia="宋体" w:hint="default"/>
          <w:b/>
          <w:bCs/>
          <w:spacing w:val="-3"/>
          <w:sz w:val="28"/>
          <w:szCs w:val="28"/>
        </w:rPr>
        <w:t>于客户公司的运营和管理至关重要。在行业低潮期，一部分公司会推迟</w:t>
      </w:r>
      <w:r>
        <w:rPr>
          <w:rFonts w:ascii="宋体" w:hAnsi="宋体" w:cs="宋体" w:eastAsia="宋体" w:hint="default"/>
          <w:b/>
          <w:bCs/>
          <w:spacing w:val="-58"/>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的投</w:t>
      </w:r>
      <w:r>
        <w:rPr>
          <w:rFonts w:ascii="宋体" w:hAnsi="宋体" w:cs="宋体" w:eastAsia="宋体" w:hint="default"/>
          <w:b/>
          <w:bCs/>
          <w:w w:val="99"/>
          <w:sz w:val="28"/>
          <w:szCs w:val="28"/>
        </w:rPr>
        <w:t> </w:t>
      </w:r>
      <w:r>
        <w:rPr>
          <w:rFonts w:ascii="宋体" w:hAnsi="宋体" w:cs="宋体" w:eastAsia="宋体" w:hint="default"/>
          <w:b/>
          <w:bCs/>
          <w:sz w:val="28"/>
          <w:szCs w:val="28"/>
        </w:rPr>
        <w:t>入，但也有一些公司需要通过</w:t>
      </w:r>
      <w:r>
        <w:rPr>
          <w:rFonts w:ascii="宋体" w:hAnsi="宋体" w:cs="宋体" w:eastAsia="宋体" w:hint="default"/>
          <w:b/>
          <w:bCs/>
          <w:spacing w:val="-52"/>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15"/>
          <w:sz w:val="28"/>
          <w:szCs w:val="28"/>
        </w:rPr>
        <w:t> </w:t>
      </w:r>
      <w:r>
        <w:rPr>
          <w:rFonts w:ascii="宋体" w:hAnsi="宋体" w:cs="宋体" w:eastAsia="宋体" w:hint="default"/>
          <w:b/>
          <w:bCs/>
          <w:sz w:val="28"/>
          <w:szCs w:val="28"/>
        </w:rPr>
        <w:t>等</w:t>
      </w:r>
      <w:r>
        <w:rPr>
          <w:rFonts w:ascii="宋体" w:hAnsi="宋体" w:cs="宋体" w:eastAsia="宋体" w:hint="default"/>
          <w:b/>
          <w:bCs/>
          <w:spacing w:val="-53"/>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3"/>
          <w:sz w:val="28"/>
          <w:szCs w:val="28"/>
        </w:rPr>
        <w:t> </w:t>
      </w:r>
      <w:r>
        <w:rPr>
          <w:rFonts w:ascii="宋体" w:hAnsi="宋体" w:cs="宋体" w:eastAsia="宋体" w:hint="default"/>
          <w:b/>
          <w:bCs/>
          <w:sz w:val="28"/>
          <w:szCs w:val="28"/>
        </w:rPr>
        <w:t>系统提升公司运营效率，降低综合成</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本来对抗危机的负面影响，另一方面，由于公司的客户数量众多，行业分布广</w:t>
      </w:r>
      <w:r>
        <w:rPr>
          <w:rFonts w:ascii="宋体" w:hAnsi="宋体" w:cs="宋体" w:eastAsia="宋体" w:hint="default"/>
          <w:b/>
          <w:bCs/>
          <w:w w:val="99"/>
          <w:sz w:val="28"/>
          <w:szCs w:val="28"/>
        </w:rPr>
        <w:t> </w:t>
      </w:r>
      <w:r>
        <w:rPr>
          <w:rFonts w:ascii="宋体" w:hAnsi="宋体" w:cs="宋体" w:eastAsia="宋体" w:hint="default"/>
          <w:b/>
          <w:bCs/>
          <w:spacing w:val="2"/>
          <w:sz w:val="28"/>
          <w:szCs w:val="28"/>
        </w:rPr>
        <w:t>泛，单个行业的景气周期对于公司的影响较弱。但从长远来看，宏观及行业经</w:t>
      </w:r>
      <w:r>
        <w:rPr>
          <w:rFonts w:ascii="宋体" w:hAnsi="宋体" w:cs="宋体" w:eastAsia="宋体" w:hint="default"/>
          <w:b/>
          <w:bCs/>
          <w:w w:val="99"/>
          <w:sz w:val="28"/>
          <w:szCs w:val="28"/>
        </w:rPr>
        <w:t> </w:t>
      </w:r>
      <w:r>
        <w:rPr>
          <w:rFonts w:ascii="宋体" w:hAnsi="宋体" w:cs="宋体" w:eastAsia="宋体" w:hint="default"/>
          <w:b/>
          <w:bCs/>
          <w:spacing w:val="2"/>
          <w:sz w:val="28"/>
          <w:szCs w:val="28"/>
        </w:rPr>
        <w:t>济周期的变化仍与公司所在行业的市场景气程度存在一定的关联性。因此，如</w:t>
      </w:r>
      <w:r>
        <w:rPr>
          <w:rFonts w:ascii="宋体" w:hAnsi="宋体" w:cs="宋体" w:eastAsia="宋体" w:hint="default"/>
          <w:b/>
          <w:bCs/>
          <w:w w:val="99"/>
          <w:sz w:val="28"/>
          <w:szCs w:val="28"/>
        </w:rPr>
        <w:t> </w:t>
      </w:r>
      <w:r>
        <w:rPr>
          <w:rFonts w:ascii="宋体" w:hAnsi="宋体" w:cs="宋体" w:eastAsia="宋体" w:hint="default"/>
          <w:b/>
          <w:bCs/>
          <w:spacing w:val="-3"/>
          <w:sz w:val="28"/>
          <w:szCs w:val="28"/>
        </w:rPr>
        <w:t>果未来宏观经济景气度出现大幅下滑，有可能对</w:t>
      </w:r>
      <w:r>
        <w:rPr>
          <w:rFonts w:ascii="宋体" w:hAnsi="宋体" w:cs="宋体" w:eastAsia="宋体" w:hint="default"/>
          <w:b/>
          <w:bCs/>
          <w:spacing w:val="-67"/>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实施服务行业需求的增长</w:t>
      </w:r>
      <w:r>
        <w:rPr>
          <w:rFonts w:ascii="宋体" w:hAnsi="宋体" w:cs="宋体" w:eastAsia="宋体" w:hint="default"/>
          <w:b/>
          <w:bCs/>
          <w:w w:val="99"/>
          <w:sz w:val="28"/>
          <w:szCs w:val="28"/>
        </w:rPr>
        <w:t> </w:t>
      </w:r>
      <w:r>
        <w:rPr>
          <w:rFonts w:ascii="宋体" w:hAnsi="宋体" w:cs="宋体" w:eastAsia="宋体" w:hint="default"/>
          <w:b/>
          <w:bCs/>
          <w:sz w:val="28"/>
          <w:szCs w:val="28"/>
        </w:rPr>
        <w:t>带来不利的影响。</w:t>
      </w:r>
      <w:r>
        <w:rPr>
          <w:rFonts w:ascii="宋体" w:hAnsi="宋体" w:cs="宋体" w:eastAsia="宋体" w:hint="default"/>
          <w:sz w:val="28"/>
          <w:szCs w:val="28"/>
        </w:rPr>
      </w:r>
    </w:p>
    <w:p>
      <w:pPr>
        <w:spacing w:line="386" w:lineRule="auto" w:before="176"/>
        <w:ind w:left="153" w:right="150" w:firstLine="561"/>
        <w:jc w:val="both"/>
        <w:rPr>
          <w:rFonts w:ascii="宋体" w:hAnsi="宋体" w:cs="宋体" w:eastAsia="宋体" w:hint="default"/>
          <w:sz w:val="28"/>
          <w:szCs w:val="28"/>
        </w:rPr>
      </w:pPr>
      <w:r>
        <w:rPr>
          <w:rFonts w:ascii="宋体" w:hAnsi="宋体" w:cs="宋体" w:eastAsia="宋体" w:hint="default"/>
          <w:b/>
          <w:bCs/>
          <w:sz w:val="28"/>
          <w:szCs w:val="28"/>
        </w:rPr>
        <w:t>（二）人力成本上升的风险。</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实施行业属于人才密集型行业，公司最</w:t>
      </w:r>
      <w:r>
        <w:rPr>
          <w:rFonts w:ascii="宋体" w:hAnsi="宋体" w:cs="宋体" w:eastAsia="宋体" w:hint="default"/>
          <w:b/>
          <w:bCs/>
          <w:w w:val="99"/>
          <w:sz w:val="28"/>
          <w:szCs w:val="28"/>
        </w:rPr>
        <w:t> </w:t>
      </w:r>
      <w:r>
        <w:rPr>
          <w:rFonts w:ascii="宋体" w:hAnsi="宋体" w:cs="宋体" w:eastAsia="宋体" w:hint="default"/>
          <w:b/>
          <w:bCs/>
          <w:sz w:val="28"/>
          <w:szCs w:val="28"/>
        </w:rPr>
        <w:t>主要的经营成本是人力成本，因此如果平均人力成本的上升速度快于</w:t>
      </w:r>
      <w:r>
        <w:rPr>
          <w:rFonts w:ascii="宋体" w:hAnsi="宋体" w:cs="宋体" w:eastAsia="宋体" w:hint="default"/>
          <w:b/>
          <w:bCs/>
          <w:spacing w:val="-99"/>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31"/>
          <w:sz w:val="28"/>
          <w:szCs w:val="28"/>
        </w:rPr>
        <w:t> </w:t>
      </w:r>
      <w:r>
        <w:rPr>
          <w:rFonts w:ascii="宋体" w:hAnsi="宋体" w:cs="宋体" w:eastAsia="宋体" w:hint="default"/>
          <w:b/>
          <w:bCs/>
          <w:sz w:val="28"/>
          <w:szCs w:val="28"/>
        </w:rPr>
        <w:t>实施</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3" w:lineRule="auto" w:before="14"/>
        <w:ind w:left="153" w:right="151" w:firstLine="0"/>
        <w:jc w:val="both"/>
        <w:rPr>
          <w:rFonts w:ascii="宋体" w:hAnsi="宋体" w:cs="宋体" w:eastAsia="宋体" w:hint="default"/>
          <w:sz w:val="28"/>
          <w:szCs w:val="28"/>
        </w:rPr>
      </w:pPr>
      <w:r>
        <w:rPr>
          <w:rFonts w:ascii="宋体" w:hAnsi="宋体" w:cs="宋体" w:eastAsia="宋体" w:hint="default"/>
          <w:b/>
          <w:bCs/>
          <w:spacing w:val="2"/>
          <w:sz w:val="28"/>
          <w:szCs w:val="28"/>
        </w:rPr>
        <w:t>顾问人均产值的增长速度，则公司的毛利率水平将会有下降的风险。为应对该</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z w:val="28"/>
          <w:szCs w:val="28"/>
        </w:rPr>
        <w:t>项风险，公司一方面将通过进一步提高服务质量和提升客户体验来推动</w:t>
      </w:r>
      <w:r>
        <w:rPr>
          <w:rFonts w:ascii="宋体" w:hAnsi="宋体" w:cs="宋体" w:eastAsia="宋体" w:hint="default"/>
          <w:b/>
          <w:bCs/>
          <w:spacing w:val="-97"/>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30"/>
          <w:sz w:val="28"/>
          <w:szCs w:val="28"/>
        </w:rPr>
        <w:t> </w:t>
      </w:r>
      <w:r>
        <w:rPr>
          <w:rFonts w:ascii="宋体" w:hAnsi="宋体" w:cs="宋体" w:eastAsia="宋体" w:hint="default"/>
          <w:b/>
          <w:bCs/>
          <w:sz w:val="28"/>
          <w:szCs w:val="28"/>
        </w:rPr>
        <w:t>实</w:t>
      </w:r>
      <w:r>
        <w:rPr>
          <w:rFonts w:ascii="宋体" w:hAnsi="宋体" w:cs="宋体" w:eastAsia="宋体" w:hint="default"/>
          <w:b/>
          <w:bCs/>
          <w:w w:val="99"/>
          <w:sz w:val="28"/>
          <w:szCs w:val="28"/>
        </w:rPr>
        <w:t> </w:t>
      </w:r>
      <w:r>
        <w:rPr>
          <w:rFonts w:ascii="宋体" w:hAnsi="宋体" w:cs="宋体" w:eastAsia="宋体" w:hint="default"/>
          <w:b/>
          <w:bCs/>
          <w:spacing w:val="2"/>
          <w:sz w:val="28"/>
          <w:szCs w:val="28"/>
        </w:rPr>
        <w:t>施顾问人均产值的持续增长，另一方面，公司凭借总结行业整体解决方案、立</w:t>
      </w:r>
      <w:r>
        <w:rPr>
          <w:rFonts w:ascii="宋体" w:hAnsi="宋体" w:cs="宋体" w:eastAsia="宋体" w:hint="default"/>
          <w:b/>
          <w:bCs/>
          <w:w w:val="99"/>
          <w:sz w:val="28"/>
          <w:szCs w:val="28"/>
        </w:rPr>
        <w:t> </w:t>
      </w:r>
      <w:r>
        <w:rPr>
          <w:rFonts w:ascii="宋体" w:hAnsi="宋体" w:cs="宋体" w:eastAsia="宋体" w:hint="default"/>
          <w:b/>
          <w:bCs/>
          <w:sz w:val="28"/>
          <w:szCs w:val="28"/>
        </w:rPr>
        <w:t>足于自主培养人才、研发远程化开发支持技术等手段来加速</w:t>
      </w:r>
      <w:r>
        <w:rPr>
          <w:rFonts w:ascii="宋体" w:hAnsi="宋体" w:cs="宋体" w:eastAsia="宋体" w:hint="default"/>
          <w:b/>
          <w:bCs/>
          <w:spacing w:val="-98"/>
          <w:sz w:val="28"/>
          <w:szCs w:val="28"/>
        </w:rPr>
        <w:t> </w:t>
      </w:r>
      <w:r>
        <w:rPr>
          <w:rFonts w:ascii="Times New Roman" w:hAnsi="Times New Roman" w:cs="Times New Roman" w:eastAsia="Times New Roman" w:hint="default"/>
          <w:b/>
          <w:bCs/>
          <w:sz w:val="28"/>
          <w:szCs w:val="28"/>
        </w:rPr>
        <w:t>ERP</w:t>
      </w:r>
      <w:r>
        <w:rPr>
          <w:rFonts w:ascii="Times New Roman" w:hAnsi="Times New Roman" w:cs="Times New Roman" w:eastAsia="Times New Roman" w:hint="default"/>
          <w:b/>
          <w:bCs/>
          <w:spacing w:val="-29"/>
          <w:sz w:val="28"/>
          <w:szCs w:val="28"/>
        </w:rPr>
        <w:t> </w:t>
      </w:r>
      <w:r>
        <w:rPr>
          <w:rFonts w:ascii="宋体" w:hAnsi="宋体" w:cs="宋体" w:eastAsia="宋体" w:hint="default"/>
          <w:b/>
          <w:bCs/>
          <w:sz w:val="28"/>
          <w:szCs w:val="28"/>
        </w:rPr>
        <w:t>实施顾问的成</w:t>
      </w:r>
      <w:r>
        <w:rPr>
          <w:rFonts w:ascii="宋体" w:hAnsi="宋体" w:cs="宋体" w:eastAsia="宋体" w:hint="default"/>
          <w:b/>
          <w:bCs/>
          <w:w w:val="99"/>
          <w:sz w:val="28"/>
          <w:szCs w:val="28"/>
        </w:rPr>
        <w:t> </w:t>
      </w:r>
      <w:r>
        <w:rPr>
          <w:rFonts w:ascii="宋体" w:hAnsi="宋体" w:cs="宋体" w:eastAsia="宋体" w:hint="default"/>
          <w:b/>
          <w:bCs/>
          <w:spacing w:val="2"/>
          <w:sz w:val="28"/>
          <w:szCs w:val="28"/>
        </w:rPr>
        <w:t>长，维系核心人员的稳定，提高人员利用率，从而缓解人力成本上升的压力。</w:t>
      </w:r>
      <w:r>
        <w:rPr>
          <w:rFonts w:ascii="宋体" w:hAnsi="宋体" w:cs="宋体" w:eastAsia="宋体" w:hint="default"/>
          <w:b/>
          <w:bCs/>
          <w:w w:val="99"/>
          <w:sz w:val="28"/>
          <w:szCs w:val="28"/>
        </w:rPr>
        <w:t> </w:t>
      </w:r>
      <w:r>
        <w:rPr>
          <w:rFonts w:ascii="宋体" w:hAnsi="宋体" w:cs="宋体" w:eastAsia="宋体" w:hint="default"/>
          <w:b/>
          <w:bCs/>
          <w:spacing w:val="2"/>
          <w:sz w:val="28"/>
          <w:szCs w:val="28"/>
        </w:rPr>
        <w:t>虽然如此，但未来随着经济的发展、生活成本的上升、竞争对手对专业人才的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争夺以及政府部门对社会保障体系相关政策的调整，公司的人力成本可能存在</w:t>
      </w:r>
      <w:r>
        <w:rPr>
          <w:rFonts w:ascii="宋体" w:hAnsi="宋体" w:cs="宋体" w:eastAsia="宋体" w:hint="default"/>
          <w:b/>
          <w:bCs/>
          <w:w w:val="99"/>
          <w:sz w:val="28"/>
          <w:szCs w:val="28"/>
        </w:rPr>
        <w:t> </w:t>
      </w:r>
      <w:r>
        <w:rPr>
          <w:rFonts w:ascii="宋体" w:hAnsi="宋体" w:cs="宋体" w:eastAsia="宋体" w:hint="default"/>
          <w:b/>
          <w:bCs/>
          <w:sz w:val="28"/>
          <w:szCs w:val="28"/>
        </w:rPr>
        <w:t>大幅增加的风险。</w:t>
      </w:r>
      <w:r>
        <w:rPr>
          <w:rFonts w:ascii="宋体" w:hAnsi="宋体" w:cs="宋体" w:eastAsia="宋体" w:hint="default"/>
          <w:sz w:val="28"/>
          <w:szCs w:val="28"/>
        </w:rPr>
      </w:r>
    </w:p>
    <w:p>
      <w:pPr>
        <w:spacing w:before="16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57"/>
          <w:sz w:val="28"/>
          <w:szCs w:val="28"/>
        </w:rPr>
        <w:t>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年</w:t>
      </w:r>
      <w:r>
        <w:rPr>
          <w:rFonts w:ascii="宋体" w:hAnsi="宋体" w:cs="宋体" w:eastAsia="宋体" w:hint="default"/>
          <w:b/>
          <w:bCs/>
          <w:spacing w:val="-56"/>
          <w:sz w:val="28"/>
          <w:szCs w:val="28"/>
        </w:rPr>
        <w:t> </w:t>
      </w:r>
      <w:r>
        <w:rPr>
          <w:rFonts w:ascii="Times New Roman" w:hAnsi="Times New Roman" w:cs="Times New Roman" w:eastAsia="Times New Roman" w:hint="default"/>
          <w:b/>
          <w:bCs/>
          <w:sz w:val="28"/>
          <w:szCs w:val="28"/>
        </w:rPr>
        <w:t>4</w:t>
      </w:r>
      <w:r>
        <w:rPr>
          <w:rFonts w:ascii="Times New Roman" w:hAnsi="Times New Roman" w:cs="Times New Roman" w:eastAsia="Times New Roman" w:hint="default"/>
          <w:b/>
          <w:bCs/>
          <w:spacing w:val="11"/>
          <w:sz w:val="28"/>
          <w:szCs w:val="28"/>
        </w:rPr>
        <w:t> </w:t>
      </w:r>
      <w:r>
        <w:rPr>
          <w:rFonts w:ascii="宋体" w:hAnsi="宋体" w:cs="宋体" w:eastAsia="宋体" w:hint="default"/>
          <w:b/>
          <w:bCs/>
          <w:sz w:val="28"/>
          <w:szCs w:val="28"/>
        </w:rPr>
        <w:t>月</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22</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日总股</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w w:val="99"/>
          <w:sz w:val="28"/>
          <w:szCs w:val="28"/>
        </w:rPr>
        <w:t>本</w:t>
      </w:r>
      <w:r>
        <w:rPr>
          <w:rFonts w:ascii="宋体" w:hAnsi="宋体" w:cs="宋体" w:eastAsia="宋体" w:hint="default"/>
          <w:b/>
          <w:bCs/>
          <w:spacing w:val="-67"/>
          <w:sz w:val="28"/>
          <w:szCs w:val="28"/>
        </w:rPr>
        <w:t> </w:t>
      </w:r>
      <w:r>
        <w:rPr>
          <w:rFonts w:ascii="Times New Roman" w:hAnsi="Times New Roman" w:cs="Times New Roman" w:eastAsia="Times New Roman" w:hint="default"/>
          <w:b/>
          <w:bCs/>
          <w:spacing w:val="-2"/>
          <w:w w:val="100"/>
          <w:sz w:val="28"/>
          <w:szCs w:val="28"/>
        </w:rPr>
        <w:t>8</w:t>
      </w:r>
      <w:r>
        <w:rPr>
          <w:rFonts w:ascii="Times New Roman" w:hAnsi="Times New Roman" w:cs="Times New Roman" w:eastAsia="Times New Roman" w:hint="default"/>
          <w:b/>
          <w:bCs/>
          <w:w w:val="100"/>
          <w:sz w:val="28"/>
          <w:szCs w:val="28"/>
        </w:rPr>
        <w:t>35</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w w:val="100"/>
          <w:sz w:val="28"/>
          <w:szCs w:val="28"/>
        </w:rPr>
        <w:t>7</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6</w:t>
      </w:r>
      <w:r>
        <w:rPr>
          <w:rFonts w:ascii="Times New Roman" w:hAnsi="Times New Roman" w:cs="Times New Roman" w:eastAsia="Times New Roman" w:hint="default"/>
          <w:b/>
          <w:bCs/>
          <w:spacing w:val="-2"/>
          <w:w w:val="100"/>
          <w:sz w:val="28"/>
          <w:szCs w:val="28"/>
        </w:rPr>
        <w:t>3</w:t>
      </w:r>
      <w:r>
        <w:rPr>
          <w:rFonts w:ascii="Times New Roman" w:hAnsi="Times New Roman" w:cs="Times New Roman" w:eastAsia="Times New Roman" w:hint="default"/>
          <w:b/>
          <w:bCs/>
          <w:w w:val="100"/>
          <w:sz w:val="28"/>
          <w:szCs w:val="28"/>
        </w:rPr>
        <w:t>4</w:t>
      </w:r>
      <w:r>
        <w:rPr>
          <w:rFonts w:ascii="Times New Roman" w:hAnsi="Times New Roman" w:cs="Times New Roman" w:eastAsia="Times New Roman" w:hint="default"/>
          <w:b/>
          <w:bCs/>
          <w:spacing w:val="4"/>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向全体股东每</w:t>
      </w:r>
      <w:r>
        <w:rPr>
          <w:rFonts w:ascii="宋体" w:hAnsi="宋体" w:cs="宋体" w:eastAsia="宋体" w:hint="default"/>
          <w:b/>
          <w:bCs/>
          <w:spacing w:val="-66"/>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sz w:val="28"/>
          <w:szCs w:val="28"/>
        </w:rPr>
      </w:r>
    </w:p>
    <w:p>
      <w:pPr>
        <w:spacing w:before="236"/>
        <w:ind w:left="153" w:right="0" w:firstLine="0"/>
        <w:jc w:val="both"/>
        <w:rPr>
          <w:rFonts w:ascii="宋体" w:hAnsi="宋体" w:cs="宋体" w:eastAsia="宋体" w:hint="default"/>
          <w:sz w:val="28"/>
          <w:szCs w:val="28"/>
        </w:rPr>
      </w:pP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含税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公积金向全体股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674" w:right="67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19"/>
              </w:rPr>
              <w:t> </w:t>
            </w:r>
            <w:r>
              <w:rPr/>
              <w:t>备查文件目录</w:t>
            </w:r>
            <w:r>
              <w:rPr>
                <w:rFonts w:ascii="Times New Roman" w:hAnsi="Times New Roman" w:cs="Times New Roman" w:eastAsia="Times New Roman" w:hint="default"/>
              </w:rPr>
              <w:tab/>
              <w:t>170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674" w:right="6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公司、本公司、汉得信息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交易所、深交所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公司股票获准在交易所上市</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上海汉得信息技术股份有限公司章程</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上海汉得信息技术股份有限公司股东大会、董事会、监事会</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Oracle</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宋体" w:hAnsi="宋体" w:cs="宋体" w:eastAsia="宋体" w:hint="default"/>
                <w:spacing w:val="-4"/>
                <w:sz w:val="18"/>
                <w:szCs w:val="18"/>
              </w:rPr>
              <w:t>美国甲骨文软件系统股份有限公司，</w:t>
            </w:r>
            <w:r>
              <w:rPr>
                <w:rFonts w:ascii="Times New Roman" w:hAnsi="Times New Roman" w:cs="Times New Roman" w:eastAsia="Times New Roman" w:hint="default"/>
                <w:spacing w:val="-4"/>
                <w:sz w:val="18"/>
                <w:szCs w:val="18"/>
              </w:rPr>
              <w:t>1989</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年正式进入中国市场成立甲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骨文（中国）软件系统有限公司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总部位于德国的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SAP </w:t>
            </w:r>
            <w:r>
              <w:rPr>
                <w:rFonts w:ascii="宋体" w:hAnsi="宋体" w:cs="宋体" w:eastAsia="宋体" w:hint="default"/>
                <w:sz w:val="18"/>
                <w:szCs w:val="18"/>
              </w:rPr>
              <w:t>公司，</w:t>
            </w:r>
            <w:r>
              <w:rPr>
                <w:rFonts w:ascii="Times New Roman" w:hAnsi="Times New Roman" w:cs="Times New Roman" w:eastAsia="Times New Roman" w:hint="default"/>
                <w:sz w:val="18"/>
                <w:szCs w:val="18"/>
              </w:rPr>
              <w:t>SAP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Systems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Applications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and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Products</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的缩写，既是其公司简称，也是其主要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软件产品的简称。</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ERP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Enterprises Resource Planning</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的缩写，中文意思为企业资源计划</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MAS</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公司拥有自主产权的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软件产品系列名称</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BPO</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是指企业将一些标准化的、非决策性的业务流程外包给第三方服务供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应商，以降低成本，同时提高作业质量的业务模式</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498"/>
        <w:jc w:val="left"/>
        <w:rPr>
          <w:b w:val="0"/>
          <w:bCs w:val="0"/>
        </w:rPr>
      </w:pPr>
      <w:bookmarkStart w:name="_TOC_250009" w:id="2"/>
      <w:r>
        <w:rPr/>
        <w:t>第二节</w:t>
      </w:r>
      <w:r>
        <w:rPr>
          <w:spacing w:val="-6"/>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498"/>
        <w:jc w:val="left"/>
        <w:rPr>
          <w:b w:val="0"/>
          <w:bCs w:val="0"/>
        </w:rPr>
      </w:pPr>
      <w:r>
        <w:rPr/>
        <w:pict>
          <v:shape style="position:absolute;margin-left:138.024002pt;margin-top:114.681595pt;width:396.95pt;height:19.75pt;mso-position-horizontal-relative:page;mso-position-vertical-relative:paragraph;z-index:-830152"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5"/>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汉得信息</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300170</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HAND ENTERPRISE SOLUTIONS CO.,</w:t>
            </w:r>
            <w:r>
              <w:rPr>
                <w:rFonts w:ascii="Times New Roman"/>
                <w:spacing w:val="-4"/>
                <w:sz w:val="18"/>
              </w:rPr>
              <w:t> </w:t>
            </w:r>
            <w:r>
              <w:rPr>
                <w:rFonts w:ascii="Times New Roman"/>
                <w:spacing w:val="-6"/>
                <w:sz w:val="18"/>
              </w:rPr>
              <w:t>LTD.</w:t>
            </w:r>
          </w:p>
        </w:tc>
      </w:tr>
      <w:tr>
        <w:trPr>
          <w:trHeight w:val="404" w:hRule="exact"/>
        </w:trPr>
        <w:tc>
          <w:tcPr>
            <w:tcW w:w="2284"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12" w:space="0" w:color="FFFFFF"/>
            </w:tcBorders>
          </w:tcPr>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HAND</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上海市青浦工业园区外青松公路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303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201700</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http://www.hand-china.com/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498"/>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舒笑</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021-67002300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021-50177372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021-59800969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021-59800969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mars.zhang@hand-china.com</w:t>
              </w:r>
            </w:hyperlink>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investors@vip.hand-china.com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498"/>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上海市青浦区汇联路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b/>
          <w:bCs/>
          <w:sz w:val="18"/>
          <w:szCs w:val="18"/>
        </w:rPr>
      </w:pPr>
    </w:p>
    <w:p>
      <w:pPr>
        <w:pStyle w:val="Heading2"/>
        <w:spacing w:line="240" w:lineRule="auto" w:before="26"/>
        <w:ind w:right="498"/>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t>公司聘请的会计师事务所</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上海市四川中路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z w:val="18"/>
                <w:szCs w:val="18"/>
              </w:rPr>
              <w:t>号久事商务大厦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林伟、何剑</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公司聘请的报告期内履行持续督导职责的保荐机构</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498"/>
        <w:jc w:val="left"/>
      </w:pPr>
      <w:r>
        <w:rPr/>
        <w:t>公司聘请的报告期内履行持续督导职责的财务顾问</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498"/>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t>公司是否因会计政策变更及会计差错更正等追溯调整或重述以前年度会计数据</w:t>
      </w:r>
    </w:p>
    <w:p>
      <w:pPr>
        <w:pStyle w:val="BodyText"/>
        <w:spacing w:line="240" w:lineRule="auto" w:before="117"/>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60"/>
        <w:gridCol w:w="1200"/>
        <w:gridCol w:w="1203"/>
        <w:gridCol w:w="1200"/>
        <w:gridCol w:w="1203"/>
        <w:gridCol w:w="1200"/>
        <w:gridCol w:w="1203"/>
      </w:tblGrid>
      <w:tr>
        <w:trPr>
          <w:trHeight w:val="71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6"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1,218,798,082.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1,009,023,906.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1,009,023,906.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846,922,273.60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846,922,273.60</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214,240,021.65</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177,302,356.33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177,302,356.33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146,062,378.78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146,062,378.78</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191,468,659.61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160,644,345.43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160,644,345.43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125,362,582.17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125,362,582.17</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206,128,153.69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60,535,594.27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60,535,594.27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240.51%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63,678,889.97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63,678,889.97</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0.18</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11.44%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11.44%</w:t>
            </w:r>
          </w:p>
        </w:tc>
      </w:tr>
      <w:tr>
        <w:trPr>
          <w:trHeight w:val="716"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6"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2,108,380,164.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1,759,828,509.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1,758,935,092.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1,477,196,420.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1,475,755,670.</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60</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1,731,909,030.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1,615,494,735.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1,435,089,488.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1,342,462,550.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1,242,491,850.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会计政策变更的原因及会计差错更正的情况</w:t>
      </w:r>
    </w:p>
    <w:p>
      <w:pPr>
        <w:spacing w:line="240" w:lineRule="auto" w:before="9"/>
        <w:rPr>
          <w:rFonts w:ascii="宋体" w:hAnsi="宋体" w:cs="宋体" w:eastAsia="宋体" w:hint="default"/>
          <w:sz w:val="18"/>
          <w:szCs w:val="18"/>
        </w:rPr>
      </w:pPr>
    </w:p>
    <w:p>
      <w:pPr>
        <w:pStyle w:val="BodyText"/>
        <w:spacing w:line="240" w:lineRule="auto"/>
        <w:ind w:right="0"/>
        <w:jc w:val="left"/>
      </w:pPr>
      <w:r>
        <w:rPr/>
        <w:t>执行财政部于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年制定及</w:t>
      </w:r>
      <w:r>
        <w:rPr>
          <w:spacing w:val="-3"/>
        </w:rPr>
        <w:t>印</w:t>
      </w:r>
      <w:r>
        <w:rPr/>
        <w:t>发</w:t>
      </w:r>
      <w:r>
        <w:rPr>
          <w:spacing w:val="-41"/>
        </w:rPr>
        <w:t>的</w:t>
      </w:r>
      <w:r>
        <w:rPr/>
        <w:t>《企业会计准则解释第</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号</w:t>
      </w:r>
      <w:r>
        <w:rPr>
          <w:spacing w:val="-92"/>
        </w:rPr>
        <w:t>》</w:t>
      </w:r>
      <w:r>
        <w:rPr>
          <w:spacing w:val="-41"/>
        </w:rPr>
        <w:t>，</w:t>
      </w:r>
      <w:r>
        <w:rPr/>
        <w:t>本公司进行追溯调整对本期和上期财务报表的主要影响如</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408" w:lineRule="auto" w:before="44"/>
        <w:ind w:left="233" w:right="8953"/>
        <w:jc w:val="left"/>
      </w:pPr>
      <w:r>
        <w:rPr/>
        <w:t>下： 合并报表：</w:t>
      </w:r>
    </w:p>
    <w:p>
      <w:pPr>
        <w:pStyle w:val="BodyText"/>
        <w:spacing w:line="240" w:lineRule="auto" w:before="37"/>
        <w:ind w:left="0" w:right="230"/>
        <w:jc w:val="right"/>
      </w:pPr>
      <w:r>
        <w:rPr/>
        <w:t>单位：元</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97"/>
        <w:gridCol w:w="4093"/>
        <w:gridCol w:w="4067"/>
      </w:tblGrid>
      <w:tr>
        <w:trPr>
          <w:trHeight w:val="401"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4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3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3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-893,417.00</w:t>
            </w:r>
          </w:p>
        </w:tc>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401"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179,511,829.97</w:t>
            </w:r>
          </w:p>
        </w:tc>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2,063,833.52</w:t>
            </w:r>
          </w:p>
        </w:tc>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403" w:hRule="exact"/>
        </w:trPr>
        <w:tc>
          <w:tcPr>
            <w:tcW w:w="16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182,469,080.49</w:t>
            </w:r>
          </w:p>
        </w:tc>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107,624,985.49</w:t>
            </w:r>
          </w:p>
        </w:tc>
      </w:tr>
    </w:tbl>
    <w:p>
      <w:pPr>
        <w:spacing w:line="240" w:lineRule="auto" w:before="12"/>
        <w:rPr>
          <w:rFonts w:ascii="宋体" w:hAnsi="宋体" w:cs="宋体" w:eastAsia="宋体" w:hint="default"/>
          <w:sz w:val="6"/>
          <w:szCs w:val="6"/>
        </w:rPr>
      </w:pPr>
    </w:p>
    <w:p>
      <w:pPr>
        <w:pStyle w:val="BodyText"/>
        <w:spacing w:line="240" w:lineRule="auto" w:before="44"/>
        <w:ind w:left="233" w:right="0"/>
        <w:jc w:val="left"/>
      </w:pPr>
      <w:r>
        <w:rPr/>
        <w:t>母公司报表：</w:t>
      </w:r>
    </w:p>
    <w:p>
      <w:pPr>
        <w:spacing w:line="240" w:lineRule="auto" w:before="1"/>
        <w:rPr>
          <w:rFonts w:ascii="宋体" w:hAnsi="宋体" w:cs="宋体" w:eastAsia="宋体" w:hint="default"/>
          <w:sz w:val="9"/>
          <w:szCs w:val="9"/>
        </w:rPr>
      </w:pPr>
    </w:p>
    <w:p>
      <w:pPr>
        <w:pStyle w:val="BodyText"/>
        <w:spacing w:line="240" w:lineRule="auto" w:before="44"/>
        <w:ind w:left="0" w:right="230"/>
        <w:jc w:val="right"/>
      </w:pPr>
      <w:r>
        <w:rPr/>
        <w:t>单位：元</w:t>
      </w:r>
    </w:p>
    <w:p>
      <w:pPr>
        <w:spacing w:line="240" w:lineRule="auto" w:before="4"/>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697"/>
        <w:gridCol w:w="4093"/>
        <w:gridCol w:w="4067"/>
      </w:tblGrid>
      <w:tr>
        <w:trPr>
          <w:trHeight w:val="408"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40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3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3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-893,417.00</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408"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179,511,829.97</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2,063,833.52</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408"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182,469,080.49</w:t>
            </w:r>
          </w:p>
        </w:tc>
        <w:tc>
          <w:tcPr>
            <w:tcW w:w="4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107,624,985.49</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left="233"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30"/>
        <w:jc w:val="right"/>
      </w:pPr>
      <w:r>
        <w:rPr/>
        <w:t>单位：元</w:t>
      </w:r>
    </w:p>
    <w:p>
      <w:pPr>
        <w:spacing w:line="240" w:lineRule="auto" w:before="4"/>
        <w:rPr>
          <w:rFonts w:ascii="宋体" w:hAnsi="宋体" w:cs="宋体" w:eastAsia="宋体" w:hint="default"/>
          <w:sz w:val="8"/>
          <w:szCs w:val="8"/>
        </w:rPr>
      </w:pPr>
    </w:p>
    <w:tbl>
      <w:tblPr>
        <w:tblW w:w="0" w:type="auto"/>
        <w:jc w:val="left"/>
        <w:tblInd w:w="228"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247,259,142.14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310,169,152.69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322,380,165.91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338,989,621.94</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31,439,305.41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59,637,264.22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56,099,781.64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67,063,670.38</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31,346,605.60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51,598,439.92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49,513,599.33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59,010,014.76</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-83,723,999.56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-95,031,347.53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-73,204,577.73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458,088,078.51</w:t>
            </w:r>
          </w:p>
        </w:tc>
      </w:tr>
    </w:tbl>
    <w:p>
      <w:pPr>
        <w:spacing w:line="240" w:lineRule="auto" w:before="2"/>
        <w:rPr>
          <w:rFonts w:ascii="宋体" w:hAnsi="宋体" w:cs="宋体" w:eastAsia="宋体" w:hint="default"/>
          <w:sz w:val="27"/>
          <w:szCs w:val="27"/>
        </w:rPr>
      </w:pPr>
    </w:p>
    <w:p>
      <w:pPr>
        <w:pStyle w:val="BodyText"/>
        <w:spacing w:line="240" w:lineRule="auto" w:before="44"/>
        <w:ind w:left="233" w:right="0"/>
        <w:jc w:val="left"/>
      </w:pPr>
      <w:r>
        <w:rPr/>
        <w:t>上述财务指标或其加总数是否与公司已披露季度报告、半年度报告相关财务指标存在重大差异</w:t>
      </w:r>
    </w:p>
    <w:p>
      <w:pPr>
        <w:pStyle w:val="BodyText"/>
        <w:spacing w:line="240" w:lineRule="auto" w:before="118"/>
        <w:ind w:left="233" w:right="89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left="233"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33"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233"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after="0" w:line="338" w:lineRule="auto"/>
        <w:jc w:val="left"/>
        <w:sectPr>
          <w:pgSz w:w="11910" w:h="16840"/>
          <w:pgMar w:header="745" w:footer="979" w:top="1060" w:bottom="1160" w:left="900" w:right="90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16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19"/>
          <w:szCs w:val="19"/>
        </w:rPr>
      </w:pPr>
    </w:p>
    <w:p>
      <w:pPr>
        <w:pStyle w:val="Heading2"/>
        <w:spacing w:line="240" w:lineRule="auto"/>
        <w:ind w:right="498"/>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19"/>
        <w:gridCol w:w="1522"/>
        <w:gridCol w:w="1712"/>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-97,604.17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-138,780.14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92,419.30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27,186,759.43</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16,129,888.78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16,696,748.43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10" w:space="0" w:color="D2D2D2"/>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2,528,561.00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5,867,649.00</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21,289.40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105,678.52</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372,291.98</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4,104,895.34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1,874,573.24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2,063,003.91</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585,189.86</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8,374.90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-305.27</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22,771,362.04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16,658,010.90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20,699,796.61</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675"/>
        <w:jc w:val="center"/>
        <w:rPr>
          <w:b w:val="0"/>
          <w:bCs w:val="0"/>
        </w:rPr>
      </w:pPr>
      <w:bookmarkStart w:name="_TOC_250008" w:id="3"/>
      <w:r>
        <w:rPr/>
        <w:t>第三节</w:t>
      </w:r>
      <w:r>
        <w:rPr>
          <w:spacing w:val="-5"/>
        </w:rPr>
        <w:t> </w:t>
      </w:r>
      <w:r>
        <w:rPr/>
        <w:t>公司业务概要</w:t>
      </w:r>
      <w:bookmarkEnd w:id="3"/>
      <w:r>
        <w:rPr>
          <w:b w:val="0"/>
          <w:bCs w:val="0"/>
        </w:rPr>
      </w:r>
    </w:p>
    <w:p>
      <w:pPr>
        <w:spacing w:line="700" w:lineRule="atLeast" w:before="126"/>
        <w:ind w:left="633" w:right="146" w:hanging="480"/>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公司的主营业务主要由五部分组成</w:t>
      </w:r>
      <w:r>
        <w:rPr>
          <w:rFonts w:ascii="Times New Roman" w:hAnsi="Times New Roman" w:cs="Times New Roman" w:eastAsia="Times New Roman" w:hint="default"/>
          <w:sz w:val="24"/>
          <w:szCs w:val="24"/>
        </w:rPr>
        <w:t>:</w:t>
      </w:r>
      <w:r>
        <w:rPr>
          <w:rFonts w:ascii="宋体" w:hAnsi="宋体" w:cs="宋体" w:eastAsia="宋体" w:hint="default"/>
          <w:sz w:val="24"/>
          <w:szCs w:val="24"/>
        </w:rPr>
        <w:t>（</w:t>
      </w:r>
      <w:r>
        <w:rPr>
          <w:rFonts w:ascii="Times New Roman" w:hAnsi="Times New Roman" w:cs="Times New Roman" w:eastAsia="Times New Roman" w:hint="default"/>
          <w:sz w:val="24"/>
          <w:szCs w:val="24"/>
        </w:rPr>
        <w:t>1</w:t>
      </w:r>
      <w:r>
        <w:rPr>
          <w:rFonts w:ascii="宋体" w:hAnsi="宋体" w:cs="宋体" w:eastAsia="宋体" w:hint="default"/>
          <w:sz w:val="24"/>
          <w:szCs w:val="24"/>
        </w:rPr>
        <w:t>）高端</w:t>
      </w:r>
      <w:r>
        <w:rPr>
          <w:rFonts w:ascii="Times New Roman" w:hAnsi="Times New Roman" w:cs="Times New Roman" w:eastAsia="Times New Roman" w:hint="default"/>
          <w:sz w:val="24"/>
          <w:szCs w:val="24"/>
        </w:rPr>
        <w:t>ERP</w:t>
      </w:r>
      <w:r>
        <w:rPr>
          <w:rFonts w:ascii="宋体" w:hAnsi="宋体" w:cs="宋体" w:eastAsia="宋体" w:hint="default"/>
          <w:sz w:val="24"/>
          <w:szCs w:val="24"/>
        </w:rPr>
        <w:t>实施服务，主要是为以</w:t>
      </w:r>
      <w:r>
        <w:rPr>
          <w:rFonts w:ascii="Times New Roman" w:hAnsi="Times New Roman" w:cs="Times New Roman" w:eastAsia="Times New Roman" w:hint="default"/>
          <w:sz w:val="24"/>
          <w:szCs w:val="24"/>
        </w:rPr>
        <w:t>SAP</w:t>
      </w:r>
      <w:r>
        <w:rPr>
          <w:rFonts w:ascii="宋体" w:hAnsi="宋体" w:cs="宋体" w:eastAsia="宋体" w:hint="default"/>
          <w:sz w:val="24"/>
          <w:szCs w:val="24"/>
        </w:rPr>
        <w:t>和</w:t>
      </w:r>
      <w:r>
        <w:rPr>
          <w:rFonts w:ascii="Times New Roman" w:hAnsi="Times New Roman" w:cs="Times New Roman" w:eastAsia="Times New Roman" w:hint="default"/>
          <w:sz w:val="24"/>
          <w:szCs w:val="24"/>
        </w:rPr>
        <w:t>Oracle</w:t>
      </w:r>
      <w:r>
        <w:rPr>
          <w:rFonts w:ascii="宋体" w:hAnsi="宋体" w:cs="宋体" w:eastAsia="宋体" w:hint="default"/>
          <w:sz w:val="24"/>
          <w:szCs w:val="24"/>
        </w:rPr>
        <w:t>为</w:t>
      </w:r>
    </w:p>
    <w:p>
      <w:pPr>
        <w:pStyle w:val="Heading3"/>
        <w:spacing w:line="340" w:lineRule="auto" w:before="135"/>
        <w:ind w:right="146"/>
        <w:jc w:val="both"/>
      </w:pPr>
      <w:r>
        <w:rPr/>
        <w:t>代表的大型</w:t>
      </w:r>
      <w:r>
        <w:rPr>
          <w:rFonts w:ascii="Times New Roman" w:hAnsi="Times New Roman" w:cs="Times New Roman" w:eastAsia="Times New Roman" w:hint="default"/>
        </w:rPr>
        <w:t>ERP</w:t>
      </w:r>
      <w:r>
        <w:rPr/>
        <w:t>软件及自主开发的</w:t>
      </w:r>
      <w:r>
        <w:rPr>
          <w:rFonts w:ascii="Times New Roman" w:hAnsi="Times New Roman" w:cs="Times New Roman" w:eastAsia="Times New Roman" w:hint="default"/>
        </w:rPr>
        <w:t>MAS/ERP</w:t>
      </w:r>
      <w:r>
        <w:rPr/>
        <w:t>软件提供实施服务，高端</w:t>
      </w:r>
      <w:r>
        <w:rPr>
          <w:rFonts w:ascii="Times New Roman" w:hAnsi="Times New Roman" w:cs="Times New Roman" w:eastAsia="Times New Roman" w:hint="default"/>
        </w:rPr>
        <w:t>ERP</w:t>
      </w:r>
      <w:r>
        <w:rPr/>
        <w:t>软件由于软件投资</w:t>
      </w:r>
      <w:r>
        <w:rPr>
          <w:spacing w:val="-77"/>
        </w:rPr>
        <w:t> </w:t>
      </w:r>
      <w:r>
        <w:rPr>
          <w:spacing w:val="-77"/>
        </w:rPr>
      </w:r>
      <w:r>
        <w:rPr/>
        <w:t>额大、实施复杂程度高而区别于中低端</w:t>
      </w:r>
      <w:r>
        <w:rPr>
          <w:rFonts w:ascii="Times New Roman" w:hAnsi="Times New Roman" w:cs="Times New Roman" w:eastAsia="Times New Roman" w:hint="default"/>
        </w:rPr>
        <w:t>ERP</w:t>
      </w:r>
      <w:r>
        <w:rPr/>
        <w:t>实施服务。主要体现为客户提供业务流程咨询、</w:t>
      </w:r>
      <w:r>
        <w:rPr>
          <w:spacing w:val="-52"/>
        </w:rPr>
        <w:t> </w:t>
      </w:r>
      <w:r>
        <w:rPr>
          <w:spacing w:val="-52"/>
        </w:rPr>
      </w:r>
      <w:r>
        <w:rPr>
          <w:spacing w:val="-2"/>
        </w:rPr>
        <w:t>梳理、软件部署实施、二次开发、上线、调试、培训等服务；（</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ERP</w:t>
      </w:r>
      <w:r>
        <w:rPr>
          <w:spacing w:val="-2"/>
        </w:rPr>
        <w:t>软件外包服务，主要</w:t>
      </w:r>
      <w:r>
        <w:rPr>
          <w:spacing w:val="-79"/>
        </w:rPr>
        <w:t> </w:t>
      </w:r>
      <w:r>
        <w:rPr>
          <w:spacing w:val="-79"/>
        </w:rPr>
      </w:r>
      <w:r>
        <w:rPr/>
        <w:t>是针对日本市场的</w:t>
      </w:r>
      <w:r>
        <w:rPr>
          <w:rFonts w:ascii="Times New Roman" w:hAnsi="Times New Roman" w:cs="Times New Roman" w:eastAsia="Times New Roman" w:hint="default"/>
        </w:rPr>
        <w:t>ERP</w:t>
      </w:r>
      <w:r>
        <w:rPr/>
        <w:t>软件二次开发技术外包服务，业务涵盖财务、制造、供应链、人力资</w:t>
      </w:r>
      <w:r>
        <w:rPr>
          <w:spacing w:val="-50"/>
        </w:rPr>
        <w:t> </w:t>
      </w:r>
      <w:r>
        <w:rPr>
          <w:spacing w:val="-50"/>
        </w:rPr>
      </w:r>
      <w:r>
        <w:rPr>
          <w:spacing w:val="2"/>
        </w:rPr>
        <w:t>源等企业应用领域，</w:t>
      </w:r>
      <w:r>
        <w:rPr>
          <w:rFonts w:ascii="Times New Roman" w:hAnsi="Times New Roman" w:cs="Times New Roman" w:eastAsia="Times New Roman" w:hint="default"/>
          <w:spacing w:val="2"/>
        </w:rPr>
        <w:t>ERP</w:t>
      </w:r>
      <w:r>
        <w:rPr>
          <w:spacing w:val="2"/>
        </w:rPr>
        <w:t>外包服务业务是公司基于国内</w:t>
      </w:r>
      <w:r>
        <w:rPr>
          <w:rFonts w:ascii="Times New Roman" w:hAnsi="Times New Roman" w:cs="Times New Roman" w:eastAsia="Times New Roman" w:hint="default"/>
          <w:spacing w:val="2"/>
        </w:rPr>
        <w:t>ERP</w:t>
      </w:r>
      <w:r>
        <w:rPr>
          <w:spacing w:val="2"/>
        </w:rPr>
        <w:t>实施服务所积累的强大实施团队</w:t>
      </w:r>
      <w:r>
        <w:rPr>
          <w:spacing w:val="-105"/>
        </w:rPr>
        <w:t> </w:t>
      </w:r>
      <w:r>
        <w:rPr>
          <w:spacing w:val="-105"/>
        </w:rPr>
      </w:r>
      <w:r>
        <w:rPr>
          <w:spacing w:val="-1"/>
        </w:rPr>
        <w:t>与丰富经验而开拓的衍生业务领域；（</w:t>
      </w:r>
      <w:r>
        <w:rPr>
          <w:rFonts w:ascii="Times New Roman" w:hAnsi="Times New Roman" w:cs="Times New Roman" w:eastAsia="Times New Roman" w:hint="default"/>
          <w:spacing w:val="-1"/>
        </w:rPr>
        <w:t>3</w:t>
      </w:r>
      <w:r>
        <w:rPr>
          <w:spacing w:val="-1"/>
        </w:rPr>
        <w:t>）客户支持服务，包括两大来源：一是来源于在</w:t>
      </w:r>
      <w:r>
        <w:rPr>
          <w:rFonts w:ascii="Times New Roman" w:hAnsi="Times New Roman" w:cs="Times New Roman" w:eastAsia="Times New Roman" w:hint="default"/>
          <w:spacing w:val="-1"/>
        </w:rPr>
        <w:t>ERP</w:t>
      </w:r>
      <w:r>
        <w:rPr>
          <w:rFonts w:ascii="Times New Roman" w:hAnsi="Times New Roman" w:cs="Times New Roman" w:eastAsia="Times New Roman" w:hint="default"/>
          <w:w w:val="99"/>
        </w:rPr>
        <w:t> </w:t>
      </w:r>
      <w:r>
        <w:rPr/>
        <w:t>实施服务完成后，公司与客户另行签订的运行维护合同，为客户提供后续的支持服务；二是</w:t>
      </w:r>
      <w:r>
        <w:rPr>
          <w:spacing w:val="-91"/>
        </w:rPr>
        <w:t> </w:t>
      </w:r>
      <w:r>
        <w:rPr>
          <w:spacing w:val="-91"/>
        </w:rPr>
      </w:r>
      <w:r>
        <w:rPr>
          <w:spacing w:val="-5"/>
        </w:rPr>
        <w:t>来源于公司的客户支持服务中心。（</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ERP</w:t>
      </w:r>
      <w:r>
        <w:rPr>
          <w:spacing w:val="-5"/>
        </w:rPr>
        <w:t>软件销售，代理销售</w:t>
      </w:r>
      <w:r>
        <w:rPr>
          <w:rFonts w:ascii="Times New Roman" w:hAnsi="Times New Roman" w:cs="Times New Roman" w:eastAsia="Times New Roman" w:hint="default"/>
          <w:spacing w:val="-5"/>
        </w:rPr>
        <w:t>ERP</w:t>
      </w:r>
      <w:r>
        <w:rPr>
          <w:spacing w:val="-5"/>
        </w:rPr>
        <w:t>软件是公司主营业务</w:t>
      </w:r>
      <w:r>
        <w:rPr>
          <w:rFonts w:ascii="Times New Roman" w:hAnsi="Times New Roman" w:cs="Times New Roman" w:eastAsia="Times New Roman" w:hint="default"/>
          <w:spacing w:val="-5"/>
        </w:rPr>
        <w:t>ERP</w:t>
      </w:r>
      <w:r>
        <w:rPr>
          <w:rFonts w:ascii="Times New Roman" w:hAnsi="Times New Roman" w:cs="Times New Roman" w:eastAsia="Times New Roman" w:hint="default"/>
          <w:spacing w:val="-41"/>
        </w:rPr>
        <w:t> </w:t>
      </w:r>
      <w:r>
        <w:rPr/>
        <w:t>实施服务的衍生性业务，公司主要在实施服务前期参考客户自身意愿、结合客户的业务特点</w:t>
      </w:r>
      <w:r>
        <w:rPr>
          <w:spacing w:val="-91"/>
        </w:rPr>
        <w:t> </w:t>
      </w:r>
      <w:r>
        <w:rPr>
          <w:spacing w:val="-91"/>
        </w:rPr>
      </w:r>
      <w:r>
        <w:rPr/>
        <w:t>向客户销售</w:t>
      </w:r>
      <w:r>
        <w:rPr>
          <w:rFonts w:ascii="Times New Roman" w:hAnsi="Times New Roman" w:cs="Times New Roman" w:eastAsia="Times New Roman" w:hint="default"/>
        </w:rPr>
        <w:t>Oracle</w:t>
      </w:r>
      <w:r>
        <w:rPr/>
        <w:t>或</w:t>
      </w:r>
      <w:r>
        <w:rPr>
          <w:rFonts w:ascii="Times New Roman" w:hAnsi="Times New Roman" w:cs="Times New Roman" w:eastAsia="Times New Roman" w:hint="default"/>
        </w:rPr>
        <w:t>SAP</w:t>
      </w:r>
      <w:r>
        <w:rPr/>
        <w:t>软件产品。（</w:t>
      </w:r>
      <w:r>
        <w:rPr>
          <w:rFonts w:ascii="Times New Roman" w:hAnsi="Times New Roman" w:cs="Times New Roman" w:eastAsia="Times New Roman" w:hint="default"/>
        </w:rPr>
        <w:t>5</w:t>
      </w:r>
      <w:r>
        <w:rPr/>
        <w:t>）</w:t>
      </w:r>
      <w:r>
        <w:rPr>
          <w:rFonts w:ascii="Times New Roman" w:hAnsi="Times New Roman" w:cs="Times New Roman" w:eastAsia="Times New Roman" w:hint="default"/>
        </w:rPr>
        <w:t>BPO</w:t>
      </w:r>
      <w:r>
        <w:rPr/>
        <w:t>服务，全资子公司上海夏尔软件有限公司提供</w:t>
      </w:r>
      <w:r>
        <w:rPr>
          <w:spacing w:val="-78"/>
        </w:rPr>
        <w:t> </w:t>
      </w:r>
      <w:r>
        <w:rPr>
          <w:spacing w:val="-78"/>
        </w:rPr>
      </w:r>
      <w:r>
        <w:rPr/>
        <w:t>的扫描加工服务外包是</w:t>
      </w:r>
      <w:r>
        <w:rPr>
          <w:rFonts w:ascii="Times New Roman" w:hAnsi="Times New Roman" w:cs="Times New Roman" w:eastAsia="Times New Roman" w:hint="default"/>
        </w:rPr>
        <w:t>BPO</w:t>
      </w:r>
      <w:r>
        <w:rPr/>
        <w:t>的一种主要业务形式，是指由扫描加工服务提供商为客户提供档</w:t>
      </w:r>
      <w:r>
        <w:rPr>
          <w:spacing w:val="-74"/>
        </w:rPr>
        <w:t> </w:t>
      </w:r>
      <w:r>
        <w:rPr>
          <w:spacing w:val="-74"/>
        </w:rPr>
      </w:r>
      <w:r>
        <w:rPr/>
        <w:t>案资料的信息化处理。</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本年增加的固定资产主要为青浦园区配套设施</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本年增加的无形资产主要为公司自行研发的软件</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4"/>
              <w:jc w:val="left"/>
              <w:rPr>
                <w:rFonts w:ascii="宋体" w:hAnsi="宋体" w:cs="宋体" w:eastAsia="宋体" w:hint="default"/>
                <w:sz w:val="18"/>
                <w:szCs w:val="18"/>
              </w:rPr>
            </w:pPr>
            <w:r>
              <w:rPr>
                <w:rFonts w:ascii="宋体" w:hAnsi="宋体" w:cs="宋体" w:eastAsia="宋体" w:hint="default"/>
                <w:sz w:val="18"/>
                <w:szCs w:val="18"/>
              </w:rPr>
              <w:t>本年度货币资金增加主要来源于经营活动的现金流入以及股权激励计划筹得的资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5,733.6 </w:t>
            </w:r>
            <w:r>
              <w:rPr>
                <w:rFonts w:ascii="宋体" w:hAnsi="宋体" w:cs="宋体" w:eastAsia="宋体" w:hint="default"/>
                <w:sz w:val="18"/>
                <w:szCs w:val="18"/>
              </w:rPr>
              <w:t>万元</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随着业务规模的扩大，应收账款的余额也相应增长</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本年度公司对上海黑骥马股权投资合伙企业（有限合伙）增资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 </w:t>
            </w:r>
            <w:r>
              <w:rPr>
                <w:rFonts w:ascii="宋体" w:hAnsi="宋体" w:cs="宋体" w:eastAsia="宋体" w:hint="default"/>
                <w:sz w:val="18"/>
                <w:szCs w:val="18"/>
              </w:rPr>
              <w:t>万，并向上海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兴富创业投资管理中心（有限合伙）投资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本年度由于有尚未抵扣的股权激励费用以及新增的资产减值损失，导致递延所得税</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20"/>
      </w:tblGrid>
      <w:tr>
        <w:trPr>
          <w:trHeight w:val="363"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资产的增加</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本年度支付了与收购上海达美信息技术有限公司股权相关的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万预付款，记入 其他非流动资产</w:t>
            </w:r>
          </w:p>
        </w:tc>
      </w:tr>
    </w:tbl>
    <w:p>
      <w:pPr>
        <w:spacing w:line="240" w:lineRule="auto" w:before="3"/>
        <w:rPr>
          <w:rFonts w:ascii="宋体" w:hAnsi="宋体" w:cs="宋体" w:eastAsia="宋体" w:hint="default"/>
          <w:b/>
          <w:bCs/>
          <w:sz w:val="19"/>
          <w:szCs w:val="19"/>
        </w:rPr>
      </w:pPr>
    </w:p>
    <w:p>
      <w:pPr>
        <w:pStyle w:val="Heading4"/>
        <w:spacing w:line="240" w:lineRule="auto" w:before="36"/>
        <w:ind w:right="95"/>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5"/>
        <w:jc w:val="left"/>
        <w:rPr>
          <w:b w:val="0"/>
          <w:bCs w:val="0"/>
        </w:rPr>
      </w:pPr>
      <w:r>
        <w:rPr/>
        <w:t>三、核心竞争力分析</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633" w:right="95" w:hanging="480"/>
        <w:jc w:val="left"/>
      </w:pPr>
      <w:r>
        <w:rPr/>
        <w:t>（一）丰富的实施服务经验优势 </w:t>
      </w:r>
      <w:r>
        <w:rPr>
          <w:spacing w:val="2"/>
        </w:rPr>
        <w:t>公司长期从事</w:t>
      </w:r>
      <w:r>
        <w:rPr>
          <w:rFonts w:ascii="Times New Roman" w:hAnsi="Times New Roman" w:cs="Times New Roman" w:eastAsia="Times New Roman" w:hint="default"/>
          <w:spacing w:val="2"/>
        </w:rPr>
        <w:t>ERP</w:t>
      </w:r>
      <w:r>
        <w:rPr>
          <w:spacing w:val="2"/>
        </w:rPr>
        <w:t>实施服务业务，自成立伊始，公司就非常重视</w:t>
      </w:r>
      <w:r>
        <w:rPr>
          <w:rFonts w:ascii="Times New Roman" w:hAnsi="Times New Roman" w:cs="Times New Roman" w:eastAsia="Times New Roman" w:hint="default"/>
          <w:spacing w:val="2"/>
        </w:rPr>
        <w:t>ERP</w:t>
      </w:r>
      <w:r>
        <w:rPr>
          <w:spacing w:val="2"/>
        </w:rPr>
        <w:t>实施服务实施方法</w:t>
      </w:r>
    </w:p>
    <w:p>
      <w:pPr>
        <w:pStyle w:val="Heading3"/>
        <w:spacing w:line="348" w:lineRule="auto" w:before="5"/>
        <w:ind w:right="95"/>
        <w:jc w:val="left"/>
      </w:pPr>
      <w:r>
        <w:rPr>
          <w:spacing w:val="-2"/>
        </w:rPr>
        <w:t>论和解决方案的系统总结和应用，并通过有序引进、持续培训等方式逐步完善项目服务团队，</w:t>
      </w:r>
      <w:r>
        <w:rPr/>
        <w:t> 为项目的正常运行和质量提供了保障。公司主要针对</w:t>
      </w:r>
      <w:r>
        <w:rPr>
          <w:rFonts w:ascii="Times New Roman" w:hAnsi="Times New Roman" w:cs="Times New Roman" w:eastAsia="Times New Roman" w:hint="default"/>
        </w:rPr>
        <w:t>Oracle </w:t>
      </w:r>
      <w:r>
        <w:rPr/>
        <w:t>、</w:t>
      </w:r>
      <w:r>
        <w:rPr>
          <w:rFonts w:ascii="Times New Roman" w:hAnsi="Times New Roman" w:cs="Times New Roman" w:eastAsia="Times New Roman" w:hint="default"/>
        </w:rPr>
        <w:t>SAP</w:t>
      </w:r>
      <w:r>
        <w:rPr/>
        <w:t>等高端</w:t>
      </w:r>
      <w:r>
        <w:rPr>
          <w:rFonts w:ascii="Times New Roman" w:hAnsi="Times New Roman" w:cs="Times New Roman" w:eastAsia="Times New Roman" w:hint="default"/>
        </w:rPr>
        <w:t>ERP</w:t>
      </w:r>
      <w:r>
        <w:rPr/>
        <w:t>软件提供实施</w:t>
      </w:r>
      <w:r>
        <w:rPr>
          <w:spacing w:val="-55"/>
        </w:rPr>
        <w:t> </w:t>
      </w:r>
      <w:r>
        <w:rPr/>
        <w:t>服务。</w:t>
      </w:r>
      <w:r>
        <w:rPr>
          <w:rFonts w:ascii="Times New Roman" w:hAnsi="Times New Roman" w:cs="Times New Roman" w:eastAsia="Times New Roman" w:hint="default"/>
        </w:rPr>
        <w:t>Oracle</w:t>
      </w:r>
      <w:r>
        <w:rPr/>
        <w:t>与</w:t>
      </w:r>
      <w:r>
        <w:rPr>
          <w:rFonts w:ascii="Times New Roman" w:hAnsi="Times New Roman" w:cs="Times New Roman" w:eastAsia="Times New Roman" w:hint="default"/>
        </w:rPr>
        <w:t>SAP</w:t>
      </w:r>
      <w:r>
        <w:rPr/>
        <w:t>的</w:t>
      </w:r>
      <w:r>
        <w:rPr>
          <w:rFonts w:ascii="Times New Roman" w:hAnsi="Times New Roman" w:cs="Times New Roman" w:eastAsia="Times New Roman" w:hint="default"/>
        </w:rPr>
        <w:t>ERP</w:t>
      </w:r>
      <w:r>
        <w:rPr/>
        <w:t>软件产品是目前世界上功能最为全面、技术最为先进的高端</w:t>
      </w:r>
      <w:r>
        <w:rPr>
          <w:rFonts w:ascii="Times New Roman" w:hAnsi="Times New Roman" w:cs="Times New Roman" w:eastAsia="Times New Roman" w:hint="default"/>
        </w:rPr>
        <w:t>ERP</w:t>
      </w:r>
      <w:r>
        <w:rPr/>
        <w:t>软 件，公司在长期的实施过程中经过不断的消化、提炼和完善对其产品内涵形成了十分深刻的</w:t>
      </w:r>
      <w:r>
        <w:rPr>
          <w:spacing w:val="-91"/>
        </w:rPr>
        <w:t> </w:t>
      </w:r>
      <w:r>
        <w:rPr>
          <w:spacing w:val="-91"/>
        </w:rPr>
      </w:r>
      <w:r>
        <w:rPr/>
        <w:t>理解，并在其实施服务领域中积累了丰富的实战经验。与国内同行相比，由于公司的客户众</w:t>
      </w:r>
      <w:r>
        <w:rPr>
          <w:spacing w:val="-91"/>
        </w:rPr>
        <w:t> </w:t>
      </w:r>
      <w:r>
        <w:rPr>
          <w:spacing w:val="-91"/>
        </w:rPr>
      </w:r>
      <w:r>
        <w:rPr>
          <w:spacing w:val="-4"/>
        </w:rPr>
        <w:t>多，行业分布广泛，加之公司自身的知识库和方法论整理及时有效，因此汉得信息在高端</w:t>
      </w:r>
      <w:r>
        <w:rPr>
          <w:rFonts w:ascii="Times New Roman" w:hAnsi="Times New Roman" w:cs="Times New Roman" w:eastAsia="Times New Roman" w:hint="default"/>
          <w:spacing w:val="-4"/>
        </w:rPr>
        <w:t>ERP</w:t>
      </w:r>
      <w:r>
        <w:rPr>
          <w:rFonts w:ascii="Times New Roman" w:hAnsi="Times New Roman" w:cs="Times New Roman" w:eastAsia="Times New Roman" w:hint="default"/>
          <w:spacing w:val="-53"/>
        </w:rPr>
        <w:t> </w:t>
      </w:r>
      <w:r>
        <w:rPr/>
        <w:t>实施服务的经验方面具有明显的优势。</w:t>
      </w:r>
    </w:p>
    <w:p>
      <w:pPr>
        <w:pStyle w:val="Heading3"/>
        <w:spacing w:line="338" w:lineRule="auto" w:before="46"/>
        <w:ind w:right="226" w:firstLine="480"/>
        <w:jc w:val="both"/>
      </w:pPr>
      <w:r>
        <w:rPr/>
        <w:t>公司基于对不同</w:t>
      </w:r>
      <w:r>
        <w:rPr>
          <w:rFonts w:ascii="Times New Roman" w:hAnsi="Times New Roman" w:cs="Times New Roman" w:eastAsia="Times New Roman" w:hint="default"/>
        </w:rPr>
        <w:t>ERP</w:t>
      </w:r>
      <w:r>
        <w:rPr/>
        <w:t>软件产品内涵的理解，结合客户差异化的经营业务内容为国内大量 企业提供了度身定制的</w:t>
      </w:r>
      <w:r>
        <w:rPr>
          <w:rFonts w:ascii="Times New Roman" w:hAnsi="Times New Roman" w:cs="Times New Roman" w:eastAsia="Times New Roman" w:hint="default"/>
        </w:rPr>
        <w:t>ERP</w:t>
      </w:r>
      <w:r>
        <w:rPr/>
        <w:t>实施服务，并在通过大量成功实施服务经验的总结形成了自己的</w:t>
      </w:r>
      <w:r>
        <w:rPr>
          <w:spacing w:val="-52"/>
        </w:rPr>
        <w:t> </w:t>
      </w:r>
      <w:r>
        <w:rPr>
          <w:spacing w:val="-52"/>
        </w:rPr>
      </w:r>
      <w:r>
        <w:rPr>
          <w:rFonts w:ascii="Times New Roman" w:hAnsi="Times New Roman" w:cs="Times New Roman" w:eastAsia="Times New Roman" w:hint="default"/>
        </w:rPr>
        <w:t>Quick-HAND </w:t>
      </w:r>
      <w:r>
        <w:rPr>
          <w:rFonts w:ascii="Times New Roman" w:hAnsi="Times New Roman" w:cs="Times New Roman" w:eastAsia="Times New Roman" w:hint="default"/>
          <w:spacing w:val="-3"/>
        </w:rPr>
        <w:t>ERP</w:t>
      </w:r>
      <w:r>
        <w:rPr>
          <w:spacing w:val="-3"/>
        </w:rPr>
        <w:t>实施方法论和多项业内领先、适应性强的</w:t>
      </w:r>
      <w:r>
        <w:rPr>
          <w:rFonts w:ascii="Times New Roman" w:hAnsi="Times New Roman" w:cs="Times New Roman" w:eastAsia="Times New Roman" w:hint="default"/>
          <w:spacing w:val="-3"/>
        </w:rPr>
        <w:t>ERP</w:t>
      </w:r>
      <w:r>
        <w:rPr>
          <w:spacing w:val="-3"/>
        </w:rPr>
        <w:t>实施行业解决方案。经过多年</w:t>
      </w:r>
      <w:r>
        <w:rPr>
          <w:spacing w:val="-114"/>
        </w:rPr>
        <w:t> </w:t>
      </w:r>
      <w:r>
        <w:rPr>
          <w:spacing w:val="-114"/>
        </w:rPr>
      </w:r>
      <w:r>
        <w:rPr/>
        <w:t>实施服务经验的积累，公司目前具备为客户提供全面的高端</w:t>
      </w:r>
      <w:r>
        <w:rPr>
          <w:rFonts w:ascii="Times New Roman" w:hAnsi="Times New Roman" w:cs="Times New Roman" w:eastAsia="Times New Roman" w:hint="default"/>
        </w:rPr>
        <w:t>ERP</w:t>
      </w:r>
      <w:r>
        <w:rPr/>
        <w:t>实施服务的能力，可有效保</w:t>
      </w:r>
      <w:r>
        <w:rPr>
          <w:spacing w:val="-51"/>
        </w:rPr>
        <w:t> </w:t>
      </w:r>
      <w:r>
        <w:rPr>
          <w:spacing w:val="-51"/>
        </w:rPr>
      </w:r>
      <w:r>
        <w:rPr/>
        <w:t>障企业向管理全面信息化过渡，提升企业的管理与经营效率。</w:t>
      </w:r>
      <w:r>
        <w:rPr>
          <w:rFonts w:ascii="Times New Roman" w:hAnsi="Times New Roman" w:cs="Times New Roman" w:eastAsia="Times New Roman" w:hint="default"/>
        </w:rPr>
        <w:t>Quick-HAND</w:t>
      </w:r>
      <w:r>
        <w:rPr>
          <w:rFonts w:ascii="Times New Roman" w:hAnsi="Times New Roman" w:cs="Times New Roman" w:eastAsia="Times New Roman" w:hint="default"/>
          <w:spacing w:val="28"/>
        </w:rPr>
        <w:t> </w:t>
      </w:r>
      <w:r>
        <w:rPr>
          <w:rFonts w:ascii="Times New Roman" w:hAnsi="Times New Roman" w:cs="Times New Roman" w:eastAsia="Times New Roman" w:hint="default"/>
        </w:rPr>
        <w:t>ERP</w:t>
      </w:r>
      <w:r>
        <w:rPr/>
        <w:t>实施方法论</w:t>
      </w:r>
      <w:r>
        <w:rPr>
          <w:spacing w:val="-113"/>
        </w:rPr>
        <w:t> </w:t>
      </w:r>
      <w:r>
        <w:rPr/>
        <w:t>严格界定了</w:t>
      </w:r>
      <w:r>
        <w:rPr>
          <w:rFonts w:ascii="Times New Roman" w:hAnsi="Times New Roman" w:cs="Times New Roman" w:eastAsia="Times New Roman" w:hint="default"/>
        </w:rPr>
        <w:t>ERP</w:t>
      </w:r>
      <w:r>
        <w:rPr/>
        <w:t>实施的过程与阶段、每个阶段中的具体工作以及工作模板方法。汉得信息所</w:t>
      </w:r>
      <w:r>
        <w:rPr>
          <w:spacing w:val="-52"/>
        </w:rPr>
        <w:t> </w:t>
      </w:r>
      <w:r>
        <w:rPr>
          <w:spacing w:val="-52"/>
        </w:rPr>
      </w:r>
      <w:r>
        <w:rPr>
          <w:spacing w:val="2"/>
        </w:rPr>
        <w:t>有的</w:t>
      </w:r>
      <w:r>
        <w:rPr>
          <w:rFonts w:ascii="Times New Roman" w:hAnsi="Times New Roman" w:cs="Times New Roman" w:eastAsia="Times New Roman" w:hint="default"/>
          <w:spacing w:val="2"/>
        </w:rPr>
        <w:t>ERP</w:t>
      </w:r>
      <w:r>
        <w:rPr>
          <w:spacing w:val="2"/>
        </w:rPr>
        <w:t>实施咨询项目均采用这样的方法，非常有效地帮助公司及其客户在</w:t>
      </w:r>
      <w:r>
        <w:rPr>
          <w:rFonts w:ascii="Times New Roman" w:hAnsi="Times New Roman" w:cs="Times New Roman" w:eastAsia="Times New Roman" w:hint="default"/>
          <w:spacing w:val="2"/>
        </w:rPr>
        <w:t>ERP</w:t>
      </w:r>
      <w:r>
        <w:rPr>
          <w:spacing w:val="2"/>
        </w:rPr>
        <w:t>实施时进行</w:t>
      </w:r>
      <w:r>
        <w:rPr>
          <w:spacing w:val="-103"/>
        </w:rPr>
        <w:t> </w:t>
      </w:r>
      <w:r>
        <w:rPr>
          <w:spacing w:val="-103"/>
        </w:rPr>
      </w:r>
      <w:r>
        <w:rPr/>
        <w:t>良好的计划安排、进度控制和风险管理。</w:t>
      </w:r>
    </w:p>
    <w:p>
      <w:pPr>
        <w:pStyle w:val="Heading3"/>
        <w:spacing w:line="357" w:lineRule="auto" w:before="55"/>
        <w:ind w:left="633" w:right="95" w:hanging="480"/>
        <w:jc w:val="left"/>
      </w:pPr>
      <w:r>
        <w:rPr/>
        <w:t>（二）客户资源优势 目前，公司提供的实施服务覆盖了全国范围的客户，并且涉及到了各类行业专业领域。</w:t>
      </w:r>
    </w:p>
    <w:p>
      <w:pPr>
        <w:pStyle w:val="Heading3"/>
        <w:spacing w:line="345" w:lineRule="auto"/>
        <w:ind w:right="95"/>
        <w:jc w:val="left"/>
      </w:pPr>
      <w:r>
        <w:rPr/>
        <w:t>自公司成立以来，始终坚持贴近客户的策略，通过优质和全面的服务与客户建立了长期的合</w:t>
      </w:r>
      <w:r>
        <w:rPr>
          <w:spacing w:val="-91"/>
        </w:rPr>
        <w:t> </w:t>
      </w:r>
      <w:r>
        <w:rPr>
          <w:spacing w:val="-91"/>
        </w:rPr>
      </w:r>
      <w:r>
        <w:rPr>
          <w:spacing w:val="-4"/>
        </w:rPr>
        <w:t>作关系。公司在</w:t>
      </w:r>
      <w:r>
        <w:rPr>
          <w:rFonts w:ascii="Times New Roman" w:hAnsi="Times New Roman" w:cs="Times New Roman" w:eastAsia="Times New Roman" w:hint="default"/>
          <w:spacing w:val="-4"/>
        </w:rPr>
        <w:t>Oracle</w:t>
      </w:r>
      <w:r>
        <w:rPr>
          <w:spacing w:val="-4"/>
        </w:rPr>
        <w:t>和</w:t>
      </w:r>
      <w:r>
        <w:rPr>
          <w:rFonts w:ascii="Times New Roman" w:hAnsi="Times New Roman" w:cs="Times New Roman" w:eastAsia="Times New Roman" w:hint="default"/>
          <w:spacing w:val="-4"/>
        </w:rPr>
        <w:t>SAP</w:t>
      </w:r>
      <w:r>
        <w:rPr>
          <w:spacing w:val="-4"/>
        </w:rPr>
        <w:t>等高端</w:t>
      </w:r>
      <w:r>
        <w:rPr>
          <w:rFonts w:ascii="Times New Roman" w:hAnsi="Times New Roman" w:cs="Times New Roman" w:eastAsia="Times New Roman" w:hint="default"/>
          <w:spacing w:val="-4"/>
        </w:rPr>
        <w:t>ERP</w:t>
      </w:r>
      <w:r>
        <w:rPr>
          <w:spacing w:val="-4"/>
        </w:rPr>
        <w:t>实施服务市场中均拥有稳定的客户基础。自成立至今，</w:t>
      </w:r>
      <w:r>
        <w:rPr>
          <w:spacing w:val="-100"/>
        </w:rPr>
        <w:t> </w:t>
      </w:r>
      <w:r>
        <w:rPr>
          <w:spacing w:val="-100"/>
        </w:rPr>
      </w:r>
      <w:r>
        <w:rPr/>
        <w:t>公司已成功为</w:t>
      </w:r>
      <w:r>
        <w:rPr>
          <w:rFonts w:ascii="Times New Roman" w:hAnsi="Times New Roman" w:cs="Times New Roman" w:eastAsia="Times New Roman" w:hint="default"/>
        </w:rPr>
        <w:t>1000</w:t>
      </w:r>
      <w:r>
        <w:rPr/>
        <w:t>多家公司提供</w:t>
      </w:r>
      <w:r>
        <w:rPr>
          <w:rFonts w:ascii="Times New Roman" w:hAnsi="Times New Roman" w:cs="Times New Roman" w:eastAsia="Times New Roman" w:hint="default"/>
        </w:rPr>
        <w:t>ERP</w:t>
      </w:r>
      <w:r>
        <w:rPr/>
        <w:t>实施服务，在行业内形成了较大的品牌影响力。近年来</w:t>
      </w:r>
      <w:r>
        <w:rPr>
          <w:spacing w:val="-53"/>
        </w:rPr>
        <w:t> </w:t>
      </w:r>
      <w:r>
        <w:rPr>
          <w:spacing w:val="-53"/>
        </w:rPr>
      </w:r>
      <w:r>
        <w:rPr/>
        <w:t>公司主营业务收入</w:t>
      </w:r>
      <w:r>
        <w:rPr>
          <w:rFonts w:ascii="Times New Roman" w:hAnsi="Times New Roman" w:cs="Times New Roman" w:eastAsia="Times New Roman" w:hint="default"/>
        </w:rPr>
        <w:t>60%</w:t>
      </w:r>
      <w:r>
        <w:rPr/>
        <w:t>以上来自于老客户，较高的客户黏性是公司主营业务收入保持稳定增</w:t>
      </w:r>
    </w:p>
    <w:p>
      <w:pPr>
        <w:spacing w:after="0" w:line="345"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240" w:lineRule="auto" w:before="26"/>
        <w:ind w:right="0"/>
        <w:jc w:val="both"/>
      </w:pPr>
      <w:r>
        <w:rPr/>
        <w:t>长的主要原因，同时，公司高黏性的客户也是其他新的业务方向潜在的优质客户资源。</w:t>
      </w:r>
    </w:p>
    <w:p>
      <w:pPr>
        <w:pStyle w:val="Heading3"/>
        <w:spacing w:line="357" w:lineRule="auto" w:before="154"/>
        <w:ind w:left="633" w:right="0" w:hanging="480"/>
        <w:jc w:val="left"/>
      </w:pPr>
      <w:r>
        <w:rPr/>
        <w:t>（三）稳定的人力资源优势 作为具备人力资本密集特性的现代高科技服务类企业，公司十分重视企业文化的建设，</w:t>
      </w:r>
    </w:p>
    <w:p>
      <w:pPr>
        <w:pStyle w:val="Heading3"/>
        <w:spacing w:line="350" w:lineRule="auto"/>
        <w:ind w:right="152"/>
        <w:jc w:val="both"/>
      </w:pPr>
      <w:r>
        <w:rPr/>
        <w:t>积极倡导</w:t>
      </w:r>
      <w:r>
        <w:rPr>
          <w:rFonts w:ascii="Times New Roman" w:hAnsi="Times New Roman" w:cs="Times New Roman" w:eastAsia="Times New Roman" w:hint="default"/>
        </w:rPr>
        <w:t>“Better</w:t>
      </w:r>
      <w:r>
        <w:rPr>
          <w:rFonts w:ascii="Times New Roman" w:hAnsi="Times New Roman" w:cs="Times New Roman" w:eastAsia="Times New Roman" w:hint="default"/>
          <w:spacing w:val="14"/>
        </w:rPr>
        <w:t> </w:t>
      </w:r>
      <w:r>
        <w:rPr>
          <w:rFonts w:ascii="Times New Roman" w:hAnsi="Times New Roman" w:cs="Times New Roman" w:eastAsia="Times New Roman" w:hint="default"/>
        </w:rPr>
        <w:t>Experience</w:t>
      </w:r>
      <w:r>
        <w:rPr/>
        <w:t>，更好体验</w:t>
      </w:r>
      <w:r>
        <w:rPr>
          <w:rFonts w:ascii="Times New Roman" w:hAnsi="Times New Roman" w:cs="Times New Roman" w:eastAsia="Times New Roman" w:hint="default"/>
        </w:rPr>
        <w:t>”</w:t>
      </w:r>
      <w:r>
        <w:rPr/>
        <w:t>的经营理念，构建企业感恩文化，努力为客户提供更 好服务体验，为员工提供更好的工作体验。通过实施经验的积累和标准化实践，公司在人才</w:t>
      </w:r>
      <w:r>
        <w:rPr>
          <w:spacing w:val="-91"/>
        </w:rPr>
        <w:t> </w:t>
      </w:r>
      <w:r>
        <w:rPr>
          <w:spacing w:val="-91"/>
        </w:rPr>
      </w:r>
      <w:r>
        <w:rPr/>
        <w:t>梯队建设方面取得了良好成果。公司在人才招聘、人才培养和激励等方面采取了一系列的措</w:t>
      </w:r>
      <w:r>
        <w:rPr>
          <w:spacing w:val="-91"/>
        </w:rPr>
        <w:t> </w:t>
      </w:r>
      <w:r>
        <w:rPr>
          <w:spacing w:val="-91"/>
        </w:rPr>
      </w:r>
      <w:r>
        <w:rPr/>
        <w:t>施，包括：</w:t>
      </w:r>
    </w:p>
    <w:p>
      <w:pPr>
        <w:pStyle w:val="Heading3"/>
        <w:spacing w:line="240" w:lineRule="auto" w:before="43"/>
        <w:ind w:left="633" w:right="498"/>
        <w:jc w:val="left"/>
      </w:pPr>
      <w:r>
        <w:rPr/>
        <w:t>（</w:t>
      </w:r>
      <w:r>
        <w:rPr>
          <w:rFonts w:ascii="Times New Roman" w:hAnsi="Times New Roman" w:cs="Times New Roman" w:eastAsia="Times New Roman" w:hint="default"/>
        </w:rPr>
        <w:t>1</w:t>
      </w:r>
      <w:r>
        <w:rPr/>
        <w:t>）股权激励计划的实施，使其得以共享企业发展带来的收益；</w:t>
      </w:r>
    </w:p>
    <w:p>
      <w:pPr>
        <w:pStyle w:val="Heading3"/>
        <w:spacing w:line="240" w:lineRule="auto" w:before="136"/>
        <w:ind w:left="633" w:right="498"/>
        <w:jc w:val="left"/>
      </w:pPr>
      <w:r>
        <w:rPr/>
        <w:t>（</w:t>
      </w:r>
      <w:r>
        <w:rPr>
          <w:rFonts w:ascii="Times New Roman" w:hAnsi="Times New Roman" w:cs="Times New Roman" w:eastAsia="Times New Roman" w:hint="default"/>
        </w:rPr>
        <w:t>2</w:t>
      </w:r>
      <w:r>
        <w:rPr/>
        <w:t>）具有完善的培训与考核体制，为人才的进一步发展提供良好的平台；</w:t>
      </w:r>
    </w:p>
    <w:p>
      <w:pPr>
        <w:pStyle w:val="Heading3"/>
        <w:spacing w:line="338" w:lineRule="auto" w:before="135"/>
        <w:ind w:left="633" w:right="0"/>
        <w:jc w:val="left"/>
      </w:pPr>
      <w:r>
        <w:rPr/>
        <w:t>（</w:t>
      </w:r>
      <w:r>
        <w:rPr>
          <w:rFonts w:ascii="Times New Roman" w:hAnsi="Times New Roman" w:cs="Times New Roman" w:eastAsia="Times New Roman" w:hint="default"/>
        </w:rPr>
        <w:t>3</w:t>
      </w:r>
      <w:r>
        <w:rPr/>
        <w:t>）加强企业文化建设，为员工提供良好的工作氛围。 通过上述一系列措施的实施，公司的高级顾问和核心员工的稳定度高，新进员工的成长</w:t>
      </w:r>
    </w:p>
    <w:p>
      <w:pPr>
        <w:pStyle w:val="Heading3"/>
        <w:spacing w:line="240" w:lineRule="auto" w:before="55"/>
        <w:ind w:right="0"/>
        <w:jc w:val="both"/>
      </w:pPr>
      <w:r>
        <w:rPr/>
        <w:t>快速，为企业的持续发展提供了有力的保障。</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498"/>
        <w:jc w:val="left"/>
        <w:rPr>
          <w:b w:val="0"/>
          <w:bCs w:val="0"/>
        </w:rPr>
      </w:pPr>
      <w:bookmarkStart w:name="_TOC_250007" w:id="4"/>
      <w:r>
        <w:rPr/>
        <w:t>第四节</w:t>
      </w:r>
      <w:r>
        <w:rPr>
          <w:spacing w:val="-6"/>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498"/>
        <w:jc w:val="left"/>
        <w:rPr>
          <w:b w:val="0"/>
          <w:bCs w:val="0"/>
        </w:rPr>
      </w:pPr>
      <w:r>
        <w:rPr/>
        <w:t>一、概述</w:t>
      </w:r>
      <w:r>
        <w:rPr>
          <w:b w:val="0"/>
          <w:bCs w:val="0"/>
        </w:rPr>
      </w:r>
    </w:p>
    <w:p>
      <w:pPr>
        <w:spacing w:line="240" w:lineRule="auto" w:before="11"/>
        <w:rPr>
          <w:rFonts w:ascii="宋体" w:hAnsi="宋体" w:cs="宋体" w:eastAsia="宋体" w:hint="default"/>
          <w:b/>
          <w:bCs/>
          <w:sz w:val="28"/>
          <w:szCs w:val="28"/>
        </w:rPr>
      </w:pPr>
    </w:p>
    <w:p>
      <w:pPr>
        <w:pStyle w:val="Heading3"/>
        <w:spacing w:line="338" w:lineRule="auto" w:before="0"/>
        <w:ind w:right="151" w:firstLine="480"/>
        <w:jc w:val="both"/>
      </w:pPr>
      <w:r>
        <w:rPr/>
        <w:t>报告期内，公司实现营业收入</w:t>
      </w:r>
      <w:r>
        <w:rPr>
          <w:rFonts w:ascii="Times New Roman" w:hAnsi="Times New Roman" w:cs="Times New Roman" w:eastAsia="Times New Roman" w:hint="default"/>
        </w:rPr>
        <w:t>1,218,798,082.68</w:t>
      </w:r>
      <w:r>
        <w:rPr/>
        <w:t>元，相比上年同期增长</w:t>
      </w:r>
      <w:r>
        <w:rPr>
          <w:rFonts w:ascii="Times New Roman" w:hAnsi="Times New Roman" w:cs="Times New Roman" w:eastAsia="Times New Roman" w:hint="default"/>
        </w:rPr>
        <w:t>20.79%</w:t>
      </w:r>
      <w:r>
        <w:rPr/>
        <w:t>；实现归属 </w:t>
      </w:r>
      <w:r>
        <w:rPr>
          <w:spacing w:val="-1"/>
        </w:rPr>
        <w:t>于上市公司股东的净利润</w:t>
      </w:r>
      <w:r>
        <w:rPr>
          <w:rFonts w:ascii="Times New Roman" w:hAnsi="Times New Roman" w:cs="Times New Roman" w:eastAsia="Times New Roman" w:hint="default"/>
          <w:spacing w:val="-1"/>
        </w:rPr>
        <w:t>214,240,021.65</w:t>
      </w:r>
      <w:r>
        <w:rPr>
          <w:spacing w:val="-1"/>
        </w:rPr>
        <w:t>元，相比上年同期增长</w:t>
      </w:r>
      <w:r>
        <w:rPr>
          <w:rFonts w:ascii="Times New Roman" w:hAnsi="Times New Roman" w:cs="Times New Roman" w:eastAsia="Times New Roman" w:hint="default"/>
          <w:spacing w:val="-1"/>
        </w:rPr>
        <w:t>20.83%</w:t>
      </w:r>
      <w:r>
        <w:rPr>
          <w:spacing w:val="-1"/>
        </w:rPr>
        <w:t>。报告期内总体经营情</w:t>
      </w:r>
      <w:r>
        <w:rPr>
          <w:spacing w:val="-114"/>
        </w:rPr>
        <w:t> </w:t>
      </w:r>
      <w:r>
        <w:rPr>
          <w:spacing w:val="-114"/>
        </w:rPr>
      </w:r>
      <w:r>
        <w:rPr/>
        <w:t>况分析如下：</w:t>
      </w:r>
    </w:p>
    <w:p>
      <w:pPr>
        <w:pStyle w:val="Heading3"/>
        <w:spacing w:line="348" w:lineRule="auto" w:before="55"/>
        <w:ind w:right="143" w:firstLine="480"/>
        <w:jc w:val="both"/>
      </w:pPr>
      <w:r>
        <w:rPr/>
        <w:t>一、报告期内，公司主营业务增长稳健，公司不断补充和完善覆盖全行业的信息化解决 方案，加强人才团队的培养和构建以持续提高服务交付能力，巩固公司在国内高端</w:t>
      </w:r>
      <w:r>
        <w:rPr>
          <w:rFonts w:ascii="Times New Roman" w:hAnsi="Times New Roman" w:cs="Times New Roman" w:eastAsia="Times New Roman" w:hint="default"/>
        </w:rPr>
        <w:t>ERP</w:t>
      </w:r>
      <w:r>
        <w:rPr/>
        <w:t>实施</w:t>
      </w:r>
      <w:r>
        <w:rPr>
          <w:spacing w:val="-49"/>
        </w:rPr>
        <w:t> </w:t>
      </w:r>
      <w:r>
        <w:rPr/>
        <w:t>服务领域领先地位，致力于实现在企业信息化领域更加全面和完整的服务能力。</w:t>
      </w:r>
    </w:p>
    <w:p>
      <w:pPr>
        <w:pStyle w:val="Heading3"/>
        <w:spacing w:line="355" w:lineRule="auto" w:before="46"/>
        <w:ind w:right="151" w:firstLine="480"/>
        <w:jc w:val="both"/>
      </w:pPr>
      <w:r>
        <w:rPr/>
        <w:t>从主营业务整体情况来看：国内经济整体下行压力较大的宏观形势下，部分企业也在积 极寻找转型机会，包括在自身传统业务领域进行横向的业务延伸，在产业链上下游进行纵向</w:t>
      </w:r>
      <w:r>
        <w:rPr>
          <w:spacing w:val="-87"/>
        </w:rPr>
        <w:t> </w:t>
      </w:r>
      <w:r>
        <w:rPr>
          <w:spacing w:val="-87"/>
        </w:rPr>
      </w:r>
      <w:r>
        <w:rPr/>
        <w:t>的业务资源整合及并购，寻找新的利润增长点和商业模式；在企业进入新兴的或相对其自身</w:t>
      </w:r>
      <w:r>
        <w:rPr>
          <w:spacing w:val="-91"/>
        </w:rPr>
        <w:t> </w:t>
      </w:r>
      <w:r>
        <w:rPr>
          <w:spacing w:val="-91"/>
        </w:rPr>
      </w:r>
      <w:r>
        <w:rPr/>
        <w:t>传统业务并不熟悉或擅长的业务领域时，其对于信息化手段及具备丰富行业经验和较强交付</w:t>
      </w:r>
      <w:r>
        <w:rPr>
          <w:spacing w:val="-91"/>
        </w:rPr>
        <w:t> </w:t>
      </w:r>
      <w:r>
        <w:rPr>
          <w:spacing w:val="-91"/>
        </w:rPr>
      </w:r>
      <w:r>
        <w:rPr/>
        <w:t>能力的信息服务提供商的依赖，则体现得更为明显，公司在企业信息化服务领域的经验积累</w:t>
      </w:r>
      <w:r>
        <w:rPr>
          <w:spacing w:val="-91"/>
        </w:rPr>
        <w:t> </w:t>
      </w:r>
      <w:r>
        <w:rPr>
          <w:spacing w:val="-91"/>
        </w:rPr>
      </w:r>
      <w:r>
        <w:rPr/>
        <w:t>也显现出更强的比较优势，经过多年的发展公司已具备较为完善和全面的信息化解决方案、</w:t>
      </w:r>
      <w:r>
        <w:rPr>
          <w:spacing w:val="-91"/>
        </w:rPr>
        <w:t> </w:t>
      </w:r>
      <w:r>
        <w:rPr>
          <w:spacing w:val="-91"/>
        </w:rPr>
      </w:r>
      <w:r>
        <w:rPr/>
        <w:t>充足的人才储备及优质的交付能力，能够为客户提供全行业、多领域的全面综合的信息化服</w:t>
      </w:r>
      <w:r>
        <w:rPr>
          <w:spacing w:val="-91"/>
        </w:rPr>
        <w:t> </w:t>
      </w:r>
      <w:r>
        <w:rPr>
          <w:spacing w:val="-91"/>
        </w:rPr>
      </w:r>
      <w:r>
        <w:rPr/>
        <w:t>务；另一方面，近年来部分国内企业在积极寻找</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的机会或国际化的发展方向，公司</w:t>
      </w:r>
      <w:r>
        <w:rPr>
          <w:spacing w:val="-61"/>
        </w:rPr>
        <w:t> </w:t>
      </w:r>
      <w:r>
        <w:rPr>
          <w:spacing w:val="-61"/>
        </w:rPr>
      </w:r>
      <w:r>
        <w:rPr/>
        <w:t>伴随客户信息化需求的海外延伸，自</w:t>
      </w:r>
      <w:r>
        <w:rPr>
          <w:rFonts w:ascii="Times New Roman" w:hAnsi="Times New Roman" w:cs="Times New Roman" w:eastAsia="Times New Roman" w:hint="default"/>
        </w:rPr>
        <w:t>2010</w:t>
      </w:r>
      <w:r>
        <w:rPr/>
        <w:t>年起陆续在日本、新加坡、美国设立全资子公司，</w:t>
      </w:r>
      <w:r>
        <w:rPr>
          <w:spacing w:val="-90"/>
        </w:rPr>
        <w:t> </w:t>
      </w:r>
      <w:r>
        <w:rPr>
          <w:spacing w:val="-90"/>
        </w:rPr>
      </w:r>
      <w:r>
        <w:rPr/>
        <w:t>努力在海外市场实现交付团队本地化，在满足客户在海外的信息化需求的背景下，公司也逐</w:t>
      </w:r>
      <w:r>
        <w:rPr>
          <w:spacing w:val="-91"/>
        </w:rPr>
        <w:t> </w:t>
      </w:r>
      <w:r>
        <w:rPr>
          <w:spacing w:val="-91"/>
        </w:rPr>
      </w:r>
      <w:r>
        <w:rPr/>
        <w:t>渐基本具备了在海外市场为客户提供本地化实施和运维的能力，从而也逐渐具备在海外独立</w:t>
      </w:r>
      <w:r>
        <w:rPr>
          <w:spacing w:val="-91"/>
        </w:rPr>
        <w:t> </w:t>
      </w:r>
      <w:r>
        <w:rPr>
          <w:spacing w:val="-91"/>
        </w:rPr>
      </w:r>
      <w:r>
        <w:rPr/>
        <w:t>进行市场开拓的能力，进一步拓宽了公司的业务分布范围，也为公司盈利能力的稳定提升提</w:t>
      </w:r>
      <w:r>
        <w:rPr>
          <w:spacing w:val="-91"/>
        </w:rPr>
        <w:t> </w:t>
      </w:r>
      <w:r>
        <w:rPr>
          <w:spacing w:val="-91"/>
        </w:rPr>
      </w:r>
      <w:r>
        <w:rPr/>
        <w:t>供一定的保障。</w:t>
      </w:r>
    </w:p>
    <w:p>
      <w:pPr>
        <w:pStyle w:val="Heading3"/>
        <w:spacing w:line="357" w:lineRule="auto" w:before="39"/>
        <w:ind w:right="158" w:firstLine="480"/>
        <w:jc w:val="both"/>
      </w:pPr>
      <w:r>
        <w:rPr/>
        <w:t>更为重要的是，基于公司多年积累的优质客户群体以及不断提升的交付能力、不断完善 的行业解决方案，在整体经济形势较为低迷的情况下，公司业务订单仍然较为充足，主营业</w:t>
      </w:r>
      <w:r>
        <w:rPr>
          <w:spacing w:val="-91"/>
        </w:rPr>
        <w:t> </w:t>
      </w:r>
      <w:r>
        <w:rPr>
          <w:spacing w:val="-91"/>
        </w:rPr>
      </w:r>
      <w:r>
        <w:rPr/>
        <w:t>务仍保持了稳定的增长。</w:t>
      </w:r>
    </w:p>
    <w:p>
      <w:pPr>
        <w:pStyle w:val="Heading3"/>
        <w:spacing w:line="240" w:lineRule="auto"/>
        <w:ind w:left="633" w:right="498"/>
        <w:jc w:val="left"/>
      </w:pPr>
      <w:r>
        <w:rPr/>
        <w:t>从主营业务具体进展来看：</w:t>
      </w:r>
    </w:p>
    <w:p>
      <w:pPr>
        <w:pStyle w:val="Heading3"/>
        <w:spacing w:line="338" w:lineRule="auto" w:before="154"/>
        <w:ind w:right="153" w:firstLine="480"/>
        <w:jc w:val="both"/>
      </w:pPr>
      <w:r>
        <w:rPr>
          <w:rFonts w:ascii="Times New Roman" w:hAnsi="Times New Roman" w:cs="Times New Roman" w:eastAsia="Times New Roman" w:hint="default"/>
          <w:spacing w:val="-3"/>
        </w:rPr>
        <w:t>1</w:t>
      </w:r>
      <w:r>
        <w:rPr>
          <w:spacing w:val="-3"/>
        </w:rPr>
        <w:t>、报告期内，公司在新兴行业的客户拓展方面获得较大的进步。在现代服务业领域，如</w:t>
      </w:r>
      <w:r>
        <w:rPr/>
        <w:t> 在</w:t>
      </w:r>
      <w:r>
        <w:rPr>
          <w:rFonts w:ascii="Times New Roman" w:hAnsi="Times New Roman" w:cs="Times New Roman" w:eastAsia="Times New Roman" w:hint="default"/>
        </w:rPr>
        <w:t>O2O</w:t>
      </w:r>
      <w:r>
        <w:rPr/>
        <w:t>等互联网行业中开拓了大量的新客户，为其提供全面的财务、预算及业务流程管理等</w:t>
      </w:r>
    </w:p>
    <w:p>
      <w:pPr>
        <w:spacing w:after="0" w:line="338"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0"/>
        <w:jc w:val="left"/>
      </w:pPr>
      <w:r>
        <w:rPr/>
        <w:t>方面的信息化服务，并且互联网行业客户的业务模式对信息化手段的依赖较为强烈，这些客</w:t>
      </w:r>
      <w:r>
        <w:rPr>
          <w:spacing w:val="-91"/>
        </w:rPr>
        <w:t> </w:t>
      </w:r>
      <w:r>
        <w:rPr>
          <w:spacing w:val="-91"/>
        </w:rPr>
      </w:r>
      <w:r>
        <w:rPr/>
        <w:t>户未来的</w:t>
      </w:r>
      <w:r>
        <w:rPr>
          <w:rFonts w:ascii="Times New Roman" w:hAnsi="Times New Roman" w:cs="Times New Roman" w:eastAsia="Times New Roman" w:hint="default"/>
        </w:rPr>
        <w:t>IT</w:t>
      </w:r>
      <w:r>
        <w:rPr/>
        <w:t>服务需求也存在较大的潜力。</w:t>
      </w:r>
    </w:p>
    <w:p>
      <w:pPr>
        <w:pStyle w:val="Heading3"/>
        <w:spacing w:line="345" w:lineRule="auto" w:before="5"/>
        <w:ind w:right="151" w:firstLine="480"/>
        <w:jc w:val="both"/>
      </w:pPr>
      <w:r>
        <w:rPr>
          <w:rFonts w:ascii="Times New Roman" w:hAnsi="Times New Roman" w:cs="Times New Roman" w:eastAsia="Times New Roman" w:hint="default"/>
          <w:spacing w:val="2"/>
        </w:rPr>
        <w:t>2</w:t>
      </w:r>
      <w:r>
        <w:rPr>
          <w:spacing w:val="2"/>
        </w:rPr>
        <w:t>、报告期内，公司在新的服务领域进行了初步的尝试。如在工业</w:t>
      </w:r>
      <w:r>
        <w:rPr>
          <w:rFonts w:ascii="Times New Roman" w:hAnsi="Times New Roman" w:cs="Times New Roman" w:eastAsia="Times New Roman" w:hint="default"/>
          <w:spacing w:val="2"/>
        </w:rPr>
        <w:t>4.0</w:t>
      </w:r>
      <w:r>
        <w:rPr>
          <w:spacing w:val="2"/>
        </w:rPr>
        <w:t>或智慧工厂建设领 </w:t>
      </w:r>
      <w:r>
        <w:rPr/>
        <w:t>域，公司与国内大型的玻璃生产工业集团达成服务协议，为其建立基于</w:t>
      </w:r>
      <w:r>
        <w:rPr>
          <w:rFonts w:ascii="Times New Roman" w:hAnsi="Times New Roman" w:cs="Times New Roman" w:eastAsia="Times New Roman" w:hint="default"/>
        </w:rPr>
        <w:t>ERP</w:t>
      </w:r>
      <w:r>
        <w:rPr/>
        <w:t>和</w:t>
      </w:r>
      <w:r>
        <w:rPr>
          <w:rFonts w:ascii="Times New Roman" w:hAnsi="Times New Roman" w:cs="Times New Roman" w:eastAsia="Times New Roman" w:hint="default"/>
        </w:rPr>
        <w:t>MES</w:t>
      </w:r>
      <w:r>
        <w:rPr/>
        <w:t>的生产计</w:t>
      </w:r>
      <w:r>
        <w:rPr>
          <w:spacing w:val="-62"/>
        </w:rPr>
        <w:t> </w:t>
      </w:r>
      <w:r>
        <w:rPr>
          <w:spacing w:val="-62"/>
        </w:rPr>
      </w:r>
      <w:r>
        <w:rPr/>
        <w:t>划制定和生产计划发布体系，建立生产现场全覆盖的数据采集体系，建立基于数字化的物流</w:t>
      </w:r>
      <w:r>
        <w:rPr>
          <w:spacing w:val="-88"/>
        </w:rPr>
        <w:t> </w:t>
      </w:r>
      <w:r>
        <w:rPr>
          <w:spacing w:val="-88"/>
        </w:rPr>
      </w:r>
      <w:r>
        <w:rPr/>
        <w:t>体系，最终形成整体数据互联的数字化生产管控平台。</w:t>
      </w:r>
    </w:p>
    <w:p>
      <w:pPr>
        <w:pStyle w:val="Heading3"/>
        <w:spacing w:line="352" w:lineRule="auto" w:before="48"/>
        <w:ind w:right="155" w:firstLine="480"/>
        <w:jc w:val="both"/>
      </w:pPr>
      <w:r>
        <w:rPr>
          <w:rFonts w:ascii="Times New Roman" w:hAnsi="Times New Roman" w:cs="Times New Roman" w:eastAsia="Times New Roman" w:hint="default"/>
          <w:spacing w:val="-3"/>
        </w:rPr>
        <w:t>3</w:t>
      </w:r>
      <w:r>
        <w:rPr>
          <w:spacing w:val="-3"/>
        </w:rPr>
        <w:t>、报告期内，在客户成熟度较高、信息化基础较好的华东、华南地区，部分业务规模较</w:t>
      </w:r>
      <w:r>
        <w:rPr/>
        <w:t> 大、业务流程复杂的客户在其本地的资源化需求逐渐增多，公司与这些大客户的合作也随着</w:t>
      </w:r>
      <w:r>
        <w:rPr>
          <w:spacing w:val="-91"/>
        </w:rPr>
        <w:t> </w:t>
      </w:r>
      <w:r>
        <w:rPr>
          <w:spacing w:val="-91"/>
        </w:rPr>
      </w:r>
      <w:r>
        <w:rPr/>
        <w:t>客户需求的变化更为紧密，公司能够为这些大客户提供更为贴近其需求的服务资源供应，报</w:t>
      </w:r>
      <w:r>
        <w:rPr>
          <w:spacing w:val="-91"/>
        </w:rPr>
        <w:t> </w:t>
      </w:r>
      <w:r>
        <w:rPr>
          <w:spacing w:val="-91"/>
        </w:rPr>
      </w:r>
      <w:r>
        <w:rPr/>
        <w:t>告期内公司在广东地区设立了独立的华南开发中心，组建专门的本地服务团队，便于就近为</w:t>
      </w:r>
      <w:r>
        <w:rPr>
          <w:spacing w:val="-91"/>
        </w:rPr>
        <w:t> </w:t>
      </w:r>
      <w:r>
        <w:rPr>
          <w:spacing w:val="-91"/>
        </w:rPr>
      </w:r>
      <w:r>
        <w:rPr/>
        <w:t>华南地区的大客户提供更为便捷的服务和更为优质的服务资源。</w:t>
      </w:r>
    </w:p>
    <w:p>
      <w:pPr>
        <w:pStyle w:val="Heading3"/>
        <w:spacing w:line="340" w:lineRule="auto" w:before="41"/>
        <w:ind w:right="143" w:firstLine="480"/>
        <w:jc w:val="both"/>
      </w:pPr>
      <w:r>
        <w:rPr>
          <w:rFonts w:ascii="Times New Roman" w:hAnsi="Times New Roman" w:cs="Times New Roman" w:eastAsia="Times New Roman" w:hint="default"/>
        </w:rPr>
        <w:t>4</w:t>
      </w:r>
      <w:r>
        <w:rPr/>
        <w:t>、报告期内，公司设立了控股子公司上海汉得微扬信息技术有限公司（以下简称</w:t>
      </w:r>
      <w:r>
        <w:rPr>
          <w:rFonts w:ascii="Times New Roman" w:hAnsi="Times New Roman" w:cs="Times New Roman" w:eastAsia="Times New Roman" w:hint="default"/>
        </w:rPr>
        <w:t>“</w:t>
      </w:r>
      <w:r>
        <w:rPr/>
        <w:t>汉得</w:t>
      </w:r>
      <w:r>
        <w:rPr>
          <w:spacing w:val="2"/>
        </w:rPr>
        <w:t> 微扬</w:t>
      </w:r>
      <w:r>
        <w:rPr>
          <w:rFonts w:ascii="Times New Roman" w:hAnsi="Times New Roman" w:cs="Times New Roman" w:eastAsia="Times New Roman" w:hint="default"/>
          <w:spacing w:val="2"/>
        </w:rPr>
        <w:t>”</w:t>
      </w:r>
      <w:r>
        <w:rPr>
          <w:spacing w:val="2"/>
        </w:rPr>
        <w:t>），借助于公司庞大的顾问团队和较强的交付能力，汉得微扬得以迅速切入企业</w:t>
      </w:r>
      <w:r>
        <w:rPr>
          <w:rFonts w:ascii="Times New Roman" w:hAnsi="Times New Roman" w:cs="Times New Roman" w:eastAsia="Times New Roman" w:hint="default"/>
          <w:spacing w:val="2"/>
        </w:rPr>
        <w:t>CRM</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和数字化营销市场，通过</w:t>
      </w:r>
      <w:r>
        <w:rPr>
          <w:rFonts w:ascii="Times New Roman" w:hAnsi="Times New Roman" w:cs="Times New Roman" w:eastAsia="Times New Roman" w:hint="default"/>
        </w:rPr>
        <w:t>IT</w:t>
      </w:r>
      <w:r>
        <w:rPr/>
        <w:t>系统帮助企业客户建设销售管理系统、营销管理系统和售后服务</w:t>
      </w:r>
      <w:r>
        <w:rPr>
          <w:spacing w:val="-73"/>
        </w:rPr>
        <w:t> </w:t>
      </w:r>
      <w:r>
        <w:rPr>
          <w:spacing w:val="-73"/>
        </w:rPr>
      </w:r>
      <w:r>
        <w:rPr/>
        <w:t>管理系统，帮助企业客户构建营销竞争力，增强客户满意度和客户获取能力；另一方面汉得</w:t>
      </w:r>
      <w:r>
        <w:rPr>
          <w:spacing w:val="-91"/>
        </w:rPr>
        <w:t> </w:t>
      </w:r>
      <w:r>
        <w:rPr>
          <w:spacing w:val="-91"/>
        </w:rPr>
      </w:r>
      <w:r>
        <w:rPr/>
        <w:t>微扬基于微软</w:t>
      </w:r>
      <w:r>
        <w:rPr>
          <w:rFonts w:ascii="Times New Roman" w:hAnsi="Times New Roman" w:cs="Times New Roman" w:eastAsia="Times New Roman" w:hint="default"/>
        </w:rPr>
        <w:t>Dynamics</w:t>
      </w:r>
      <w:r>
        <w:rPr>
          <w:rFonts w:ascii="Times New Roman" w:hAnsi="Times New Roman" w:cs="Times New Roman" w:eastAsia="Times New Roman" w:hint="default"/>
          <w:spacing w:val="59"/>
        </w:rPr>
        <w:t> </w:t>
      </w:r>
      <w:r>
        <w:rPr>
          <w:rFonts w:ascii="Times New Roman" w:hAnsi="Times New Roman" w:cs="Times New Roman" w:eastAsia="Times New Roman" w:hint="default"/>
          <w:spacing w:val="2"/>
        </w:rPr>
        <w:t>ERP</w:t>
      </w:r>
      <w:r>
        <w:rPr>
          <w:spacing w:val="2"/>
        </w:rPr>
        <w:t>切入传统的企业</w:t>
      </w:r>
      <w:r>
        <w:rPr>
          <w:rFonts w:ascii="Times New Roman" w:hAnsi="Times New Roman" w:cs="Times New Roman" w:eastAsia="Times New Roman" w:hint="default"/>
          <w:spacing w:val="2"/>
        </w:rPr>
        <w:t>ERP</w:t>
      </w:r>
      <w:r>
        <w:rPr>
          <w:rFonts w:ascii="Times New Roman" w:hAnsi="Times New Roman" w:cs="Times New Roman" w:eastAsia="Times New Roman" w:hint="default"/>
          <w:spacing w:val="59"/>
        </w:rPr>
        <w:t> </w:t>
      </w:r>
      <w:r>
        <w:rPr>
          <w:spacing w:val="3"/>
        </w:rPr>
        <w:t>市场，也是对公司主营业务领域有益的补</w:t>
      </w:r>
      <w:r>
        <w:rPr>
          <w:spacing w:val="-114"/>
        </w:rPr>
        <w:t> </w:t>
      </w:r>
      <w:r>
        <w:rPr>
          <w:spacing w:val="-114"/>
        </w:rPr>
      </w:r>
      <w:r>
        <w:rPr/>
        <w:t>充。截止报告期末，汉得微扬的业务发展顺利，独立的交付团队已发展至</w:t>
      </w:r>
      <w:r>
        <w:rPr>
          <w:rFonts w:ascii="Times New Roman" w:hAnsi="Times New Roman" w:cs="Times New Roman" w:eastAsia="Times New Roman" w:hint="default"/>
        </w:rPr>
        <w:t>60</w:t>
      </w:r>
      <w:r>
        <w:rPr/>
        <w:t>余人，并已陆续</w:t>
      </w:r>
      <w:r>
        <w:rPr>
          <w:spacing w:val="-87"/>
        </w:rPr>
        <w:t> </w:t>
      </w:r>
      <w:r>
        <w:rPr>
          <w:spacing w:val="-87"/>
        </w:rPr>
      </w:r>
      <w:r>
        <w:rPr/>
        <w:t>获得了多个行业的订单。</w:t>
      </w:r>
    </w:p>
    <w:p>
      <w:pPr>
        <w:pStyle w:val="Heading3"/>
        <w:spacing w:line="345" w:lineRule="auto" w:before="53"/>
        <w:ind w:right="146" w:firstLine="480"/>
        <w:jc w:val="both"/>
      </w:pPr>
      <w:r>
        <w:rPr>
          <w:rFonts w:ascii="Times New Roman" w:hAnsi="Times New Roman" w:cs="Times New Roman" w:eastAsia="Times New Roman" w:hint="default"/>
          <w:spacing w:val="-3"/>
        </w:rPr>
        <w:t>5</w:t>
      </w:r>
      <w:r>
        <w:rPr>
          <w:spacing w:val="-3"/>
        </w:rPr>
        <w:t>、报告期内，公司筹划了以非公开发行股份及支付现金购买资产，通过直接及间接方式</w:t>
      </w:r>
      <w:r>
        <w:rPr/>
        <w:t> </w:t>
      </w:r>
      <w:r>
        <w:rPr>
          <w:spacing w:val="-1"/>
        </w:rPr>
        <w:t>收购上海达美信息技术有限公司（以下简称</w:t>
      </w:r>
      <w:r>
        <w:rPr>
          <w:rFonts w:ascii="Times New Roman" w:hAnsi="Times New Roman" w:cs="Times New Roman" w:eastAsia="Times New Roman" w:hint="default"/>
          <w:spacing w:val="-1"/>
        </w:rPr>
        <w:t>“</w:t>
      </w:r>
      <w:r>
        <w:rPr>
          <w:spacing w:val="-1"/>
        </w:rPr>
        <w:t>上海达美</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的股权。通过本次交易使公司</w:t>
      </w:r>
      <w:r>
        <w:rPr>
          <w:spacing w:val="-93"/>
        </w:rPr>
        <w:t> </w:t>
      </w:r>
      <w:r>
        <w:rPr>
          <w:spacing w:val="-93"/>
        </w:rPr>
      </w:r>
      <w:r>
        <w:rPr/>
        <w:t>获得了上海达美在服装、食品等零售行业的客户及实施服务能力，使公司在国内高端</w:t>
      </w:r>
      <w:r>
        <w:rPr>
          <w:rFonts w:ascii="Times New Roman" w:hAnsi="Times New Roman" w:cs="Times New Roman" w:eastAsia="Times New Roman" w:hint="default"/>
        </w:rPr>
        <w:t>ERP</w:t>
      </w:r>
      <w:r>
        <w:rPr/>
        <w:t>实</w:t>
      </w:r>
      <w:r>
        <w:rPr>
          <w:spacing w:val="-50"/>
        </w:rPr>
        <w:t> </w:t>
      </w:r>
      <w:r>
        <w:rPr>
          <w:spacing w:val="-2"/>
        </w:rPr>
        <w:t>施服务领域的服务能力更加全面；公司也获得了上海达美超过</w:t>
      </w:r>
      <w:r>
        <w:rPr>
          <w:rFonts w:ascii="Times New Roman" w:hAnsi="Times New Roman" w:cs="Times New Roman" w:eastAsia="Times New Roman" w:hint="default"/>
          <w:spacing w:val="-2"/>
        </w:rPr>
        <w:t>200</w:t>
      </w:r>
      <w:r>
        <w:rPr>
          <w:spacing w:val="-2"/>
        </w:rPr>
        <w:t>人的专业咨询队伍，在为公</w:t>
      </w:r>
      <w:r>
        <w:rPr>
          <w:spacing w:val="-118"/>
        </w:rPr>
        <w:t> </w:t>
      </w:r>
      <w:r>
        <w:rPr>
          <w:spacing w:val="-118"/>
        </w:rPr>
      </w:r>
      <w:r>
        <w:rPr/>
        <w:t>司带来新的咨询服务能力、经验的同时也显著地增强公司的人力资源储备。本次交易可形成</w:t>
      </w:r>
      <w:r>
        <w:rPr>
          <w:spacing w:val="-91"/>
        </w:rPr>
        <w:t> </w:t>
      </w:r>
      <w:r>
        <w:rPr>
          <w:spacing w:val="-91"/>
        </w:rPr>
      </w:r>
      <w:r>
        <w:rPr/>
        <w:t>双方在业务、技术、人力资源、行业经验和客户资源等方面的全面融合和共享，以实现优势</w:t>
      </w:r>
      <w:r>
        <w:rPr>
          <w:spacing w:val="-91"/>
        </w:rPr>
        <w:t> </w:t>
      </w:r>
      <w:r>
        <w:rPr>
          <w:spacing w:val="-91"/>
        </w:rPr>
      </w:r>
      <w:r>
        <w:rPr/>
        <w:t>互补及显著的协同效应。</w:t>
      </w:r>
    </w:p>
    <w:p>
      <w:pPr>
        <w:pStyle w:val="Heading3"/>
        <w:spacing w:line="338" w:lineRule="auto" w:before="48"/>
        <w:ind w:right="152" w:firstLine="480"/>
        <w:jc w:val="both"/>
      </w:pPr>
      <w:r>
        <w:rPr>
          <w:spacing w:val="2"/>
        </w:rPr>
        <w:t>二、报告期内，公司主要的新业务方向即供应链金融、在线教育及</w:t>
      </w:r>
      <w:r>
        <w:rPr>
          <w:rFonts w:ascii="Times New Roman" w:hAnsi="Times New Roman" w:cs="Times New Roman" w:eastAsia="Times New Roman" w:hint="default"/>
          <w:spacing w:val="2"/>
        </w:rPr>
        <w:t>YunMart</w:t>
      </w:r>
      <w:r>
        <w:rPr>
          <w:spacing w:val="2"/>
        </w:rPr>
        <w:t>业务进展情</w:t>
      </w:r>
      <w:r>
        <w:rPr>
          <w:w w:val="99"/>
        </w:rPr>
        <w:t> </w:t>
      </w:r>
      <w:r>
        <w:rPr/>
        <w:t>况良好。</w:t>
      </w:r>
    </w:p>
    <w:p>
      <w:pPr>
        <w:pStyle w:val="Heading3"/>
        <w:spacing w:line="338" w:lineRule="auto" w:before="55"/>
        <w:ind w:left="633" w:right="0"/>
        <w:jc w:val="left"/>
      </w:pPr>
      <w:r>
        <w:rPr>
          <w:rFonts w:ascii="Times New Roman" w:hAnsi="Times New Roman" w:cs="Times New Roman" w:eastAsia="Times New Roman" w:hint="default"/>
        </w:rPr>
        <w:t>1</w:t>
      </w:r>
      <w:r>
        <w:rPr/>
        <w:t>、供应链金融业务推进顺利，核心客户开拓符合预期。 报告期内，公司设立了全资子公司上海汉得商业保理有限公司作为供应链金融业务的资</w:t>
      </w:r>
    </w:p>
    <w:p>
      <w:pPr>
        <w:spacing w:after="0" w:line="33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38" w:lineRule="auto" w:before="26"/>
        <w:ind w:right="152"/>
        <w:jc w:val="both"/>
      </w:pPr>
      <w:r>
        <w:rPr/>
        <w:t>金平台，公司依托传统</w:t>
      </w:r>
      <w:r>
        <w:rPr>
          <w:rFonts w:ascii="Times New Roman" w:hAnsi="Times New Roman" w:cs="Times New Roman" w:eastAsia="Times New Roman" w:hint="default"/>
        </w:rPr>
        <w:t>ERP</w:t>
      </w:r>
      <w:r>
        <w:rPr/>
        <w:t>实施服务领域的核心客户资源，将公司自主研发的中小企业供应</w:t>
      </w:r>
      <w:r>
        <w:rPr>
          <w:spacing w:val="-52"/>
        </w:rPr>
        <w:t> </w:t>
      </w:r>
      <w:r>
        <w:rPr>
          <w:spacing w:val="-52"/>
        </w:rPr>
      </w:r>
      <w:r>
        <w:rPr/>
        <w:t>链金融云平台，对接核心客户</w:t>
      </w:r>
      <w:r>
        <w:rPr>
          <w:rFonts w:ascii="Times New Roman" w:hAnsi="Times New Roman" w:cs="Times New Roman" w:eastAsia="Times New Roman" w:hint="default"/>
        </w:rPr>
        <w:t>ERP</w:t>
      </w:r>
      <w:r>
        <w:rPr/>
        <w:t>系统的供应链模块，以获取交易、采购、发货、开票等真</w:t>
      </w:r>
      <w:r>
        <w:rPr>
          <w:spacing w:val="-52"/>
        </w:rPr>
        <w:t> </w:t>
      </w:r>
      <w:r>
        <w:rPr>
          <w:spacing w:val="-52"/>
        </w:rPr>
      </w:r>
      <w:r>
        <w:rPr/>
        <w:t>实数据；且基于这些</w:t>
      </w:r>
      <w:r>
        <w:rPr>
          <w:rFonts w:ascii="Times New Roman" w:hAnsi="Times New Roman" w:cs="Times New Roman" w:eastAsia="Times New Roman" w:hint="default"/>
        </w:rPr>
        <w:t>ERP</w:t>
      </w:r>
      <w:r>
        <w:rPr/>
        <w:t>系统内真实的交易数据，以优质应收账款为依据，向核心客户的上</w:t>
      </w:r>
      <w:r>
        <w:rPr>
          <w:spacing w:val="-55"/>
        </w:rPr>
        <w:t> </w:t>
      </w:r>
      <w:r>
        <w:rPr>
          <w:spacing w:val="-55"/>
        </w:rPr>
      </w:r>
      <w:r>
        <w:rPr/>
        <w:t>游供应商提供保理融资服务。</w:t>
      </w:r>
    </w:p>
    <w:p>
      <w:pPr>
        <w:pStyle w:val="Heading3"/>
        <w:spacing w:line="357" w:lineRule="auto" w:before="55"/>
        <w:ind w:right="156" w:firstLine="480"/>
        <w:jc w:val="both"/>
      </w:pPr>
      <w:r>
        <w:rPr/>
        <w:t>报告期内，公司建立了上海、北京、广州等区域的供应链金融业务客户拓展团队，加强 供应链金融业务的市场开拓力度，挖掘具备业务合作意向的核心客户及供应商；并且公司针</w:t>
      </w:r>
      <w:r>
        <w:rPr>
          <w:spacing w:val="-91"/>
        </w:rPr>
        <w:t> </w:t>
      </w:r>
      <w:r>
        <w:rPr>
          <w:spacing w:val="-91"/>
        </w:rPr>
      </w:r>
      <w:r>
        <w:rPr/>
        <w:t>对制造业及医疗行业的一般客户，积极向其推广部署公司具有自主知识产权的供应链关系管</w:t>
      </w:r>
      <w:r>
        <w:rPr>
          <w:spacing w:val="-91"/>
        </w:rPr>
        <w:t> </w:t>
      </w:r>
      <w:r>
        <w:rPr>
          <w:spacing w:val="-91"/>
        </w:rPr>
      </w:r>
      <w:r>
        <w:rPr/>
        <w:t>理系统及医院资源管理解决方案，以储备潜在的供应链金融业务客户；同时，公司通过前期</w:t>
      </w:r>
      <w:r>
        <w:rPr>
          <w:spacing w:val="-91"/>
        </w:rPr>
        <w:t> </w:t>
      </w:r>
      <w:r>
        <w:rPr>
          <w:spacing w:val="-91"/>
        </w:rPr>
      </w:r>
      <w:r>
        <w:rPr/>
        <w:t>合作的核心客户数据对接、上线运行的经验积累，未来新增核心客户的上线周期和用户体验</w:t>
      </w:r>
      <w:r>
        <w:rPr>
          <w:spacing w:val="-91"/>
        </w:rPr>
        <w:t> </w:t>
      </w:r>
      <w:r>
        <w:rPr>
          <w:spacing w:val="-91"/>
        </w:rPr>
      </w:r>
      <w:r>
        <w:rPr/>
        <w:t>将获得较大改善，也有利于后续新的核心客户推广以及用户体验的提升。</w:t>
      </w:r>
    </w:p>
    <w:p>
      <w:pPr>
        <w:pStyle w:val="Heading3"/>
        <w:spacing w:line="357" w:lineRule="auto"/>
        <w:ind w:right="155" w:firstLine="480"/>
        <w:jc w:val="both"/>
      </w:pPr>
      <w:r>
        <w:rPr/>
        <w:t>截止本报告披露之日，公司已与</w:t>
      </w:r>
      <w:r>
        <w:rPr>
          <w:rFonts w:ascii="宋体" w:hAnsi="宋体" w:cs="宋体" w:eastAsia="宋体" w:hint="default"/>
        </w:rPr>
        <w:t>11</w:t>
      </w:r>
      <w:r>
        <w:rPr/>
        <w:t>家核心客户达成供应链金融战略合作协议，并已与</w:t>
      </w:r>
      <w:r>
        <w:rPr>
          <w:rFonts w:ascii="宋体" w:hAnsi="宋体" w:cs="宋体" w:eastAsia="宋体" w:hint="default"/>
        </w:rPr>
        <w:t>10 </w:t>
      </w:r>
      <w:r>
        <w:rPr/>
        <w:t>余家供应商开展了保理业务。</w:t>
      </w:r>
    </w:p>
    <w:p>
      <w:pPr>
        <w:pStyle w:val="Heading3"/>
        <w:spacing w:line="338" w:lineRule="auto"/>
        <w:ind w:left="633" w:right="0"/>
        <w:jc w:val="left"/>
      </w:pPr>
      <w:r>
        <w:rPr>
          <w:rFonts w:ascii="Times New Roman" w:hAnsi="Times New Roman" w:cs="Times New Roman" w:eastAsia="Times New Roman" w:hint="default"/>
        </w:rPr>
        <w:t>2</w:t>
      </w:r>
      <w:r>
        <w:rPr/>
        <w:t>、在线教育业务积极拓展，产品持续更新迭代。 报告期内，公司从事在线教育业务的控股子公司即上海汉得知云软件有限公司（以下简</w:t>
      </w:r>
    </w:p>
    <w:p>
      <w:pPr>
        <w:pStyle w:val="Heading3"/>
        <w:spacing w:line="348" w:lineRule="auto" w:before="55"/>
        <w:ind w:right="143"/>
        <w:jc w:val="both"/>
      </w:pPr>
      <w:r>
        <w:rPr/>
        <w:t>称</w:t>
      </w:r>
      <w:r>
        <w:rPr>
          <w:rFonts w:ascii="Times New Roman" w:hAnsi="Times New Roman" w:cs="Times New Roman" w:eastAsia="Times New Roman" w:hint="default"/>
        </w:rPr>
        <w:t>“</w:t>
      </w:r>
      <w:r>
        <w:rPr/>
        <w:t>汉得知云</w:t>
      </w:r>
      <w:r>
        <w:rPr>
          <w:rFonts w:ascii="Times New Roman" w:hAnsi="Times New Roman" w:cs="Times New Roman" w:eastAsia="Times New Roman" w:hint="default"/>
        </w:rPr>
        <w:t>”</w:t>
      </w:r>
      <w:r>
        <w:rPr/>
        <w:t>）设立完成。在业务拓展方面，汉得知云立足上海、着眼全国，截止本报告披</w:t>
      </w:r>
      <w:r>
        <w:rPr>
          <w:spacing w:val="-65"/>
        </w:rPr>
        <w:t> </w:t>
      </w:r>
      <w:r>
        <w:rPr>
          <w:spacing w:val="-65"/>
        </w:rPr>
      </w:r>
      <w:r>
        <w:rPr/>
        <w:t>露之日，已在上海市拥有超过</w:t>
      </w:r>
      <w:r>
        <w:rPr>
          <w:rFonts w:ascii="Times New Roman" w:hAnsi="Times New Roman" w:cs="Times New Roman" w:eastAsia="Times New Roman" w:hint="default"/>
        </w:rPr>
        <w:t>45</w:t>
      </w:r>
      <w:r>
        <w:rPr/>
        <w:t>所的初中学校用户，约占上海市初中学校总数的</w:t>
      </w:r>
      <w:r>
        <w:rPr>
          <w:rFonts w:ascii="Times New Roman" w:hAnsi="Times New Roman" w:cs="Times New Roman" w:eastAsia="Times New Roman" w:hint="default"/>
        </w:rPr>
        <w:t>10%</w:t>
      </w:r>
      <w:r>
        <w:rPr/>
        <w:t>；已在</w:t>
      </w:r>
      <w:r>
        <w:rPr>
          <w:spacing w:val="-44"/>
        </w:rPr>
        <w:t> </w:t>
      </w:r>
      <w:r>
        <w:rPr/>
        <w:t>浙江、湖南、贵州等其他省市开拓了约</w:t>
      </w:r>
      <w:r>
        <w:rPr>
          <w:rFonts w:ascii="Times New Roman" w:hAnsi="Times New Roman" w:cs="Times New Roman" w:eastAsia="Times New Roman" w:hint="default"/>
        </w:rPr>
        <w:t>10</w:t>
      </w:r>
      <w:r>
        <w:rPr/>
        <w:t>余所即将展开合作的学校，在线教育产品的总用户</w:t>
      </w:r>
      <w:r>
        <w:rPr>
          <w:spacing w:val="-90"/>
        </w:rPr>
        <w:t> </w:t>
      </w:r>
      <w:r>
        <w:rPr>
          <w:spacing w:val="-90"/>
        </w:rPr>
      </w:r>
      <w:r>
        <w:rPr>
          <w:spacing w:val="-2"/>
        </w:rPr>
        <w:t>量已突破</w:t>
      </w:r>
      <w:r>
        <w:rPr>
          <w:rFonts w:ascii="Times New Roman" w:hAnsi="Times New Roman" w:cs="Times New Roman" w:eastAsia="Times New Roman" w:hint="default"/>
          <w:spacing w:val="-2"/>
        </w:rPr>
        <w:t>20000</w:t>
      </w:r>
      <w:r>
        <w:rPr>
          <w:spacing w:val="-2"/>
        </w:rPr>
        <w:t>名；截止本报告披露之日，汉得知云第一批在线教育产品的用户已顺利进入收</w:t>
      </w:r>
      <w:r>
        <w:rPr>
          <w:spacing w:val="-117"/>
        </w:rPr>
        <w:t> </w:t>
      </w:r>
      <w:r>
        <w:rPr>
          <w:spacing w:val="-117"/>
        </w:rPr>
      </w:r>
      <w:r>
        <w:rPr/>
        <w:t>费期，产品的商业模式已被初步验证；在产品迭代方面，汉得知云结合教育市场的需求持续</w:t>
      </w:r>
      <w:r>
        <w:rPr>
          <w:spacing w:val="-87"/>
        </w:rPr>
        <w:t> </w:t>
      </w:r>
      <w:r>
        <w:rPr>
          <w:spacing w:val="-87"/>
        </w:rPr>
      </w:r>
      <w:r>
        <w:rPr/>
        <w:t>进行产品创新，已完成了移动终端产品的开发及上线，实现了基于微软云平台的产品搭建部</w:t>
      </w:r>
      <w:r>
        <w:rPr>
          <w:spacing w:val="-91"/>
        </w:rPr>
        <w:t> </w:t>
      </w:r>
      <w:r>
        <w:rPr>
          <w:spacing w:val="-91"/>
        </w:rPr>
      </w:r>
      <w:r>
        <w:rPr/>
        <w:t>署与云端运营，进行了多次的产品更新迭代，持续丰富和完善产品功能。未来，在全国市场</w:t>
      </w:r>
      <w:r>
        <w:rPr>
          <w:spacing w:val="-91"/>
        </w:rPr>
        <w:t> </w:t>
      </w:r>
      <w:r>
        <w:rPr>
          <w:spacing w:val="-91"/>
        </w:rPr>
      </w:r>
      <w:r>
        <w:rPr/>
        <w:t>快速稳步推进的同时，汉得知云将会进一步扩展产品的学科范围如从英语学科扩展至其他学</w:t>
      </w:r>
      <w:r>
        <w:rPr>
          <w:spacing w:val="-91"/>
        </w:rPr>
        <w:t> </w:t>
      </w:r>
      <w:r>
        <w:rPr>
          <w:spacing w:val="-91"/>
        </w:rPr>
      </w:r>
      <w:r>
        <w:rPr/>
        <w:t>科乃至全学科，持续推出并验证多种商业增值模式，并尝试进行线上线下结合的新业务模式</w:t>
      </w:r>
      <w:r>
        <w:rPr>
          <w:spacing w:val="-91"/>
        </w:rPr>
        <w:t> </w:t>
      </w:r>
      <w:r>
        <w:rPr>
          <w:spacing w:val="-91"/>
        </w:rPr>
      </w:r>
      <w:r>
        <w:rPr/>
        <w:t>探索。</w:t>
      </w:r>
    </w:p>
    <w:p>
      <w:pPr>
        <w:pStyle w:val="Heading3"/>
        <w:spacing w:line="338" w:lineRule="auto" w:before="46"/>
        <w:ind w:left="633" w:right="0"/>
        <w:jc w:val="left"/>
      </w:pPr>
      <w:r>
        <w:rPr>
          <w:rFonts w:ascii="Times New Roman" w:hAnsi="Times New Roman" w:cs="Times New Roman" w:eastAsia="Times New Roman" w:hint="default"/>
        </w:rPr>
        <w:t>3</w:t>
      </w:r>
      <w:r>
        <w:rPr/>
        <w:t>、推出</w:t>
      </w:r>
      <w:r>
        <w:rPr>
          <w:rFonts w:ascii="Times New Roman" w:hAnsi="Times New Roman" w:cs="Times New Roman" w:eastAsia="Times New Roman" w:hint="default"/>
        </w:rPr>
        <w:t>YunMart</w:t>
      </w:r>
      <w:r>
        <w:rPr/>
        <w:t>业务，尝试拓展新的业务形态和商业模式。 </w:t>
      </w:r>
      <w:r>
        <w:rPr>
          <w:spacing w:val="2"/>
        </w:rPr>
        <w:t>报告期内，公司推出的</w:t>
      </w:r>
      <w:r>
        <w:rPr>
          <w:rFonts w:ascii="Times New Roman" w:hAnsi="Times New Roman" w:cs="Times New Roman" w:eastAsia="Times New Roman" w:hint="default"/>
          <w:spacing w:val="2"/>
        </w:rPr>
        <w:t>YunMart</w:t>
      </w:r>
      <w:r>
        <w:rPr>
          <w:spacing w:val="2"/>
        </w:rPr>
        <w:t>系连接并服务于企业、云厂商、云服务从业者、合作伙</w:t>
      </w:r>
    </w:p>
    <w:p>
      <w:pPr>
        <w:pStyle w:val="Heading3"/>
        <w:spacing w:line="348" w:lineRule="auto" w:before="27"/>
        <w:ind w:right="154"/>
        <w:jc w:val="both"/>
      </w:pPr>
      <w:r>
        <w:rPr/>
        <w:t>伴等多方的云平台，致力于打通不同云产品间的数据壁垒，解决企业在使用不同云产品时面</w:t>
      </w:r>
      <w:r>
        <w:rPr>
          <w:spacing w:val="-90"/>
        </w:rPr>
        <w:t> </w:t>
      </w:r>
      <w:r>
        <w:rPr>
          <w:spacing w:val="-90"/>
        </w:rPr>
      </w:r>
      <w:r>
        <w:rPr/>
        <w:t>临的信息孤岛问题。企业在</w:t>
      </w:r>
      <w:r>
        <w:rPr>
          <w:rFonts w:ascii="Times New Roman" w:hAnsi="Times New Roman" w:cs="Times New Roman" w:eastAsia="Times New Roman" w:hint="default"/>
        </w:rPr>
        <w:t>YunMart</w:t>
      </w:r>
      <w:r>
        <w:rPr/>
        <w:t>上使用</w:t>
      </w:r>
      <w:r>
        <w:rPr>
          <w:rFonts w:ascii="Times New Roman" w:hAnsi="Times New Roman" w:cs="Times New Roman" w:eastAsia="Times New Roman" w:hint="default"/>
        </w:rPr>
        <w:t>HR</w:t>
      </w:r>
      <w:r>
        <w:rPr/>
        <w:t>、财务、团队协作等云产品时，可免登陆、快</w:t>
      </w:r>
      <w:r>
        <w:rPr>
          <w:spacing w:val="-101"/>
        </w:rPr>
        <w:t> </w:t>
      </w:r>
      <w:r>
        <w:rPr>
          <w:spacing w:val="-101"/>
        </w:rPr>
      </w:r>
      <w:r>
        <w:rPr/>
        <w:t>速便捷的在各种云产品间一键切换，并且跨产品间的业务数据可实现互联互通。报告期内，</w:t>
      </w:r>
    </w:p>
    <w:p>
      <w:pPr>
        <w:spacing w:after="0" w:line="348"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left="633" w:right="0" w:hanging="480"/>
        <w:jc w:val="left"/>
      </w:pPr>
      <w:r>
        <w:rPr/>
        <w:t>公司已与十余家合作伙伴在技术上完成了云产品间的数据互通。 </w:t>
      </w:r>
      <w:r>
        <w:rPr>
          <w:spacing w:val="6"/>
        </w:rPr>
        <w:t>此外，为解决企业</w:t>
      </w:r>
      <w:r>
        <w:rPr>
          <w:rFonts w:ascii="Times New Roman" w:hAnsi="Times New Roman" w:cs="Times New Roman" w:eastAsia="Times New Roman" w:hint="default"/>
          <w:spacing w:val="6"/>
        </w:rPr>
        <w:t>IT</w:t>
      </w:r>
      <w:r>
        <w:rPr>
          <w:spacing w:val="6"/>
        </w:rPr>
        <w:t>系统中的业务数据和实际商务消费之间的数据不对称问题，公司</w:t>
      </w:r>
    </w:p>
    <w:p>
      <w:pPr>
        <w:pStyle w:val="Heading3"/>
        <w:spacing w:line="350" w:lineRule="auto" w:before="5"/>
        <w:ind w:right="146"/>
        <w:jc w:val="both"/>
      </w:pPr>
      <w:r>
        <w:rPr>
          <w:rFonts w:ascii="Times New Roman" w:hAnsi="Times New Roman" w:cs="Times New Roman" w:eastAsia="Times New Roman" w:hint="default"/>
          <w:spacing w:val="2"/>
        </w:rPr>
        <w:t>YunMart</w:t>
      </w:r>
      <w:r>
        <w:rPr>
          <w:spacing w:val="2"/>
        </w:rPr>
        <w:t>业务团队推出了一站式商旅及费用管理解决方案</w:t>
      </w:r>
      <w:r>
        <w:rPr>
          <w:rFonts w:ascii="Times New Roman" w:hAnsi="Times New Roman" w:cs="Times New Roman" w:eastAsia="Times New Roman" w:hint="default"/>
          <w:spacing w:val="2"/>
        </w:rPr>
        <w:t>“</w:t>
      </w:r>
      <w:r>
        <w:rPr>
          <w:spacing w:val="2"/>
        </w:rPr>
        <w:t>汇联易</w:t>
      </w:r>
      <w:r>
        <w:rPr>
          <w:rFonts w:ascii="Times New Roman" w:hAnsi="Times New Roman" w:cs="Times New Roman" w:eastAsia="Times New Roman" w:hint="default"/>
          <w:spacing w:val="2"/>
        </w:rPr>
        <w:t>”</w:t>
      </w:r>
      <w:r>
        <w:rPr>
          <w:spacing w:val="2"/>
        </w:rPr>
        <w:t>，在汇联易中嵌入出行服</w:t>
      </w:r>
      <w:r>
        <w:rPr>
          <w:spacing w:val="-80"/>
        </w:rPr>
        <w:t> </w:t>
      </w:r>
      <w:r>
        <w:rPr>
          <w:spacing w:val="-80"/>
        </w:rPr>
      </w:r>
      <w:r>
        <w:rPr/>
        <w:t>务、商旅服务等合作伙伴的产品，企业客户的员工即终端个人用户仅通过一个</w:t>
      </w:r>
      <w:r>
        <w:rPr>
          <w:rFonts w:ascii="Times New Roman" w:hAnsi="Times New Roman" w:cs="Times New Roman" w:eastAsia="Times New Roman" w:hint="default"/>
        </w:rPr>
        <w:t>APP</w:t>
      </w:r>
      <w:r>
        <w:rPr/>
        <w:t>即可完成</w:t>
      </w:r>
      <w:r>
        <w:rPr>
          <w:spacing w:val="-51"/>
        </w:rPr>
        <w:t> </w:t>
      </w:r>
      <w:r>
        <w:rPr>
          <w:spacing w:val="-51"/>
        </w:rPr>
      </w:r>
      <w:r>
        <w:rPr/>
        <w:t>包括出行、差旅、餐饮、团建等商务活动的预定和支付；同时，汇联易也可连接合作伙伴的</w:t>
      </w:r>
      <w:r>
        <w:rPr>
          <w:spacing w:val="-91"/>
        </w:rPr>
        <w:t> </w:t>
      </w:r>
      <w:r>
        <w:rPr>
          <w:spacing w:val="-91"/>
        </w:rPr>
      </w:r>
      <w:r>
        <w:rPr/>
        <w:t>后台数据库读取消费明细，由合作伙伴直接向企业客户开具发票，改变传统的员工贴票审核</w:t>
      </w:r>
      <w:r>
        <w:rPr>
          <w:spacing w:val="-91"/>
        </w:rPr>
        <w:t> </w:t>
      </w:r>
      <w:r>
        <w:rPr>
          <w:spacing w:val="-91"/>
        </w:rPr>
      </w:r>
      <w:r>
        <w:rPr/>
        <w:t>的报销流程。如终端个人用户发生合作伙伴不能覆盖或提供的商旅活动，也只需通过</w:t>
      </w:r>
      <w:r>
        <w:rPr>
          <w:rFonts w:ascii="Times New Roman" w:hAnsi="Times New Roman" w:cs="Times New Roman" w:eastAsia="Times New Roman" w:hint="default"/>
        </w:rPr>
        <w:t>APP</w:t>
      </w:r>
      <w:r>
        <w:rPr/>
        <w:t>发</w:t>
      </w:r>
      <w:r>
        <w:rPr>
          <w:spacing w:val="-50"/>
        </w:rPr>
        <w:t> </w:t>
      </w:r>
      <w:r>
        <w:rPr/>
        <w:t>送发票照片，利用画面识别技术提取信息直接生成报销流程，免除了手工录入等报销流程的</w:t>
      </w:r>
      <w:r>
        <w:rPr>
          <w:spacing w:val="-91"/>
        </w:rPr>
        <w:t> </w:t>
      </w:r>
      <w:r>
        <w:rPr>
          <w:spacing w:val="-91"/>
        </w:rPr>
      </w:r>
      <w:r>
        <w:rPr/>
        <w:t>繁琐。报告期内，汇联易已在公司内部全面推广使用，也已向部分老客户进行了推广，目前</w:t>
      </w:r>
      <w:r>
        <w:rPr>
          <w:spacing w:val="-91"/>
        </w:rPr>
        <w:t> </w:t>
      </w:r>
      <w:r>
        <w:rPr>
          <w:spacing w:val="-91"/>
        </w:rPr>
      </w:r>
      <w:r>
        <w:rPr/>
        <w:t>客户及终端个人用户反应较为良好，未来也有望进一步拓展市场空间。</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6"/>
        <w:rPr>
          <w:rFonts w:ascii="宋体" w:hAnsi="宋体" w:cs="宋体" w:eastAsia="宋体" w:hint="default"/>
          <w:b/>
          <w:bCs/>
          <w:sz w:val="28"/>
          <w:szCs w:val="28"/>
        </w:rPr>
      </w:pPr>
    </w:p>
    <w:p>
      <w:pPr>
        <w:pStyle w:val="Heading3"/>
        <w:spacing w:line="338" w:lineRule="auto" w:before="0"/>
        <w:ind w:right="0" w:firstLine="480"/>
        <w:jc w:val="left"/>
      </w:pPr>
      <w:r>
        <w:rPr>
          <w:spacing w:val="-7"/>
        </w:rPr>
        <w:t>报告期内，公司实现营业总收入</w:t>
      </w:r>
      <w:r>
        <w:rPr>
          <w:rFonts w:ascii="Times New Roman" w:hAnsi="Times New Roman" w:cs="Times New Roman" w:eastAsia="Times New Roman" w:hint="default"/>
          <w:spacing w:val="-7"/>
        </w:rPr>
        <w:t>12.2</w:t>
      </w:r>
      <w:r>
        <w:rPr>
          <w:spacing w:val="-7"/>
        </w:rPr>
        <w:t>亿元，同比增长</w:t>
      </w:r>
      <w:r>
        <w:rPr>
          <w:rFonts w:ascii="Times New Roman" w:hAnsi="Times New Roman" w:cs="Times New Roman" w:eastAsia="Times New Roman" w:hint="default"/>
          <w:spacing w:val="-7"/>
        </w:rPr>
        <w:t>20.8%</w:t>
      </w:r>
      <w:r>
        <w:rPr>
          <w:spacing w:val="-7"/>
        </w:rPr>
        <w:t>，业务规模逐年稳步扩大。</w:t>
      </w:r>
      <w:r>
        <w:rPr>
          <w:rFonts w:ascii="Times New Roman" w:hAnsi="Times New Roman" w:cs="Times New Roman" w:eastAsia="Times New Roman" w:hint="default"/>
          <w:spacing w:val="-7"/>
        </w:rPr>
        <w:t>2015</w:t>
      </w:r>
      <w:r>
        <w:rPr>
          <w:rFonts w:ascii="Times New Roman" w:hAnsi="Times New Roman" w:cs="Times New Roman" w:eastAsia="Times New Roman" w:hint="default"/>
        </w:rPr>
        <w:t> </w:t>
      </w:r>
      <w:r>
        <w:rPr/>
        <w:t>年度，公司发生营业成本</w:t>
      </w:r>
      <w:r>
        <w:rPr>
          <w:rFonts w:ascii="Times New Roman" w:hAnsi="Times New Roman" w:cs="Times New Roman" w:eastAsia="Times New Roman" w:hint="default"/>
        </w:rPr>
        <w:t>7.3</w:t>
      </w:r>
      <w:r>
        <w:rPr/>
        <w:t>亿元，较</w:t>
      </w:r>
      <w:r>
        <w:rPr>
          <w:rFonts w:ascii="Times New Roman" w:hAnsi="Times New Roman" w:cs="Times New Roman" w:eastAsia="Times New Roman" w:hint="default"/>
        </w:rPr>
        <w:t>2014</w:t>
      </w:r>
      <w:r>
        <w:rPr/>
        <w:t>年度增长</w:t>
      </w:r>
      <w:r>
        <w:rPr>
          <w:rFonts w:ascii="Times New Roman" w:hAnsi="Times New Roman" w:cs="Times New Roman" w:eastAsia="Times New Roman" w:hint="default"/>
        </w:rPr>
        <w:t>19.7%</w:t>
      </w:r>
      <w:r>
        <w:rPr/>
        <w:t>，主营业务毛利率与去年持平。</w:t>
      </w:r>
    </w:p>
    <w:p>
      <w:pPr>
        <w:pStyle w:val="Heading3"/>
        <w:spacing w:line="348" w:lineRule="auto" w:before="27"/>
        <w:ind w:right="151" w:firstLine="480"/>
        <w:jc w:val="both"/>
      </w:pPr>
      <w:r>
        <w:rPr/>
        <w:t>随着业务规模的拓展及研发投入的增加，销售费用及管理费用较去年同期均有所增长。 </w:t>
      </w:r>
      <w:r>
        <w:rPr>
          <w:spacing w:val="-1"/>
        </w:rPr>
        <w:t>本报告期发生销售费用</w:t>
      </w:r>
      <w:r>
        <w:rPr>
          <w:rFonts w:ascii="Times New Roman" w:hAnsi="Times New Roman" w:cs="Times New Roman" w:eastAsia="Times New Roman" w:hint="default"/>
          <w:spacing w:val="-1"/>
        </w:rPr>
        <w:t>7,037.7</w:t>
      </w:r>
      <w:r>
        <w:rPr>
          <w:spacing w:val="-1"/>
        </w:rPr>
        <w:t>万元，同比增长</w:t>
      </w:r>
      <w:r>
        <w:rPr>
          <w:rFonts w:ascii="Times New Roman" w:hAnsi="Times New Roman" w:cs="Times New Roman" w:eastAsia="Times New Roman" w:hint="default"/>
          <w:spacing w:val="-1"/>
        </w:rPr>
        <w:t>24.2%</w:t>
      </w:r>
      <w:r>
        <w:rPr>
          <w:spacing w:val="-1"/>
        </w:rPr>
        <w:t>；管理费用本期发生额为</w:t>
      </w:r>
      <w:r>
        <w:rPr>
          <w:rFonts w:ascii="Times New Roman" w:hAnsi="Times New Roman" w:cs="Times New Roman" w:eastAsia="Times New Roman" w:hint="default"/>
          <w:spacing w:val="-1"/>
        </w:rPr>
        <w:t>2.19</w:t>
      </w:r>
      <w:r>
        <w:rPr>
          <w:spacing w:val="-1"/>
        </w:rPr>
        <w:t>亿元，同比</w:t>
      </w:r>
      <w:r>
        <w:rPr>
          <w:spacing w:val="-115"/>
        </w:rPr>
        <w:t> </w:t>
      </w:r>
      <w:r>
        <w:rPr>
          <w:spacing w:val="-115"/>
        </w:rPr>
      </w:r>
      <w:r>
        <w:rPr/>
        <w:t>增长</w:t>
      </w:r>
      <w:r>
        <w:rPr>
          <w:rFonts w:ascii="Times New Roman" w:hAnsi="Times New Roman" w:cs="Times New Roman" w:eastAsia="Times New Roman" w:hint="default"/>
        </w:rPr>
        <w:t>35.7%</w:t>
      </w:r>
      <w:r>
        <w:rPr/>
        <w:t>，其中研发投入为</w:t>
      </w:r>
      <w:r>
        <w:rPr>
          <w:rFonts w:ascii="Times New Roman" w:hAnsi="Times New Roman" w:cs="Times New Roman" w:eastAsia="Times New Roman" w:hint="default"/>
        </w:rPr>
        <w:t>1.1</w:t>
      </w:r>
      <w:r>
        <w:rPr/>
        <w:t>亿元，较去年同期增长</w:t>
      </w:r>
      <w:r>
        <w:rPr>
          <w:rFonts w:ascii="Times New Roman" w:hAnsi="Times New Roman" w:cs="Times New Roman" w:eastAsia="Times New Roman" w:hint="default"/>
        </w:rPr>
        <w:t>24.8%</w:t>
      </w:r>
      <w:r>
        <w:rPr/>
        <w:t>。</w:t>
      </w:r>
    </w:p>
    <w:p>
      <w:pPr>
        <w:pStyle w:val="Heading3"/>
        <w:spacing w:line="338" w:lineRule="auto" w:before="57"/>
        <w:ind w:right="233" w:firstLine="480"/>
        <w:jc w:val="left"/>
      </w:pPr>
      <w:r>
        <w:rPr/>
        <w:t>报告期内，经营活动净现金流入为</w:t>
      </w:r>
      <w:r>
        <w:rPr>
          <w:rFonts w:ascii="Times New Roman" w:hAnsi="Times New Roman" w:cs="Times New Roman" w:eastAsia="Times New Roman" w:hint="default"/>
        </w:rPr>
        <w:t>2.06</w:t>
      </w:r>
      <w:r>
        <w:rPr/>
        <w:t>亿元，较</w:t>
      </w:r>
      <w:r>
        <w:rPr>
          <w:rFonts w:ascii="Times New Roman" w:hAnsi="Times New Roman" w:cs="Times New Roman" w:eastAsia="Times New Roman" w:hint="default"/>
        </w:rPr>
        <w:t>2014</w:t>
      </w:r>
      <w:r>
        <w:rPr/>
        <w:t>年度有较大增长；投资活动净现金 流出</w:t>
      </w:r>
      <w:r>
        <w:rPr>
          <w:rFonts w:ascii="Times New Roman" w:hAnsi="Times New Roman" w:cs="Times New Roman" w:eastAsia="Times New Roman" w:hint="default"/>
        </w:rPr>
        <w:t>1.34</w:t>
      </w:r>
      <w:r>
        <w:rPr/>
        <w:t>亿元，主要为青浦园区建设投入及支付的股权投资款项；筹资活动净现金流入为 </w:t>
      </w:r>
      <w:r>
        <w:rPr>
          <w:rFonts w:ascii="Times New Roman" w:hAnsi="Times New Roman" w:cs="Times New Roman" w:eastAsia="Times New Roman" w:hint="default"/>
        </w:rPr>
        <w:t>5,239.7</w:t>
      </w:r>
      <w:r>
        <w:rPr/>
        <w:t>万元，其中股权激励计划筹集资金</w:t>
      </w:r>
      <w:r>
        <w:rPr>
          <w:rFonts w:ascii="Times New Roman" w:hAnsi="Times New Roman" w:cs="Times New Roman" w:eastAsia="Times New Roman" w:hint="default"/>
        </w:rPr>
        <w:t>5,733.6</w:t>
      </w:r>
      <w:r>
        <w:rPr/>
        <w:t>万元。</w:t>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1,218,798,082.68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2" w:right="0"/>
              <w:jc w:val="left"/>
              <w:rPr>
                <w:rFonts w:ascii="Times New Roman" w:hAnsi="Times New Roman" w:cs="Times New Roman" w:eastAsia="Times New Roman" w:hint="default"/>
                <w:sz w:val="18"/>
                <w:szCs w:val="18"/>
              </w:rPr>
            </w:pPr>
            <w:r>
              <w:rPr>
                <w:rFonts w:ascii="Times New Roman"/>
                <w:sz w:val="18"/>
              </w:rPr>
              <w:t>1,009,023,906.20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8" w:right="0"/>
              <w:jc w:val="left"/>
              <w:rPr>
                <w:rFonts w:ascii="Times New Roman" w:hAnsi="Times New Roman" w:cs="Times New Roman" w:eastAsia="Times New Roman" w:hint="default"/>
                <w:sz w:val="18"/>
                <w:szCs w:val="18"/>
              </w:rPr>
            </w:pPr>
            <w:r>
              <w:rPr>
                <w:rFonts w:ascii="Times New Roman"/>
                <w:sz w:val="18"/>
              </w:rPr>
              <w:t>20.79%</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1,218,690,134.67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1,009,023,906.20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20.78%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保理业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107,948.01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77,297,983.66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68,950,003.01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1,878,346.15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933,152,249.30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769,980,518.21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21.19%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74,018,259.76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72,961,283.09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111,337,914.86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78,415,760.87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41.98%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20,486,237.84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15,181,371.20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107,948.01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1,320,015.75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1,656,623.67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-20.32%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1,093,457,824.78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880,598,205.21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125,340,257.90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128,425,700.99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1,218,690,134.67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729,908,149.03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40.11%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1,140,422,625.52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665,640,786.47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20.29%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1,093,457,824.78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622,507,117.60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27.13%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t>行业和产品分类</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729,908,149.03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609,531,028.32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19.75%</w:t>
            </w:r>
          </w:p>
        </w:tc>
      </w:tr>
    </w:tbl>
    <w:p>
      <w:pPr>
        <w:pStyle w:val="BodyText"/>
        <w:spacing w:line="240" w:lineRule="auto" w:before="49"/>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63,416,287.87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54,604,719.65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851,074.69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1,544,015.37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-44.88%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软件实施</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534,772,308.16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451,834,896.31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软件外包</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41,689,495.38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45,879,773.52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客户支持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73,363,813.22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44,325,683.14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65.51%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数据处理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15,706,150.74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11,245,343.34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39.67%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109,018.97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96,596.99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12.86%</w:t>
            </w:r>
          </w:p>
        </w:tc>
      </w:tr>
    </w:tbl>
    <w:p>
      <w:pPr>
        <w:pStyle w:val="BodyText"/>
        <w:spacing w:line="240" w:lineRule="auto" w:before="49"/>
        <w:ind w:right="0"/>
        <w:jc w:val="both"/>
      </w:pPr>
      <w:r>
        <w:rPr/>
        <w:t>说明</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Heading3"/>
        <w:spacing w:line="240" w:lineRule="auto" w:before="134"/>
        <w:ind w:right="0"/>
        <w:jc w:val="both"/>
      </w:pPr>
      <w:r>
        <w:rPr/>
        <w:t>与上年相比本年新增合并单位</w:t>
      </w:r>
      <w:r>
        <w:rPr>
          <w:spacing w:val="-24"/>
        </w:rPr>
        <w:t> </w:t>
      </w:r>
      <w:r>
        <w:rPr>
          <w:rFonts w:ascii="Times New Roman" w:hAnsi="Times New Roman" w:cs="Times New Roman" w:eastAsia="Times New Roman" w:hint="default"/>
        </w:rPr>
        <w:t>3</w:t>
      </w:r>
      <w:r>
        <w:rPr/>
        <w:t>家，原因为：</w:t>
      </w:r>
    </w:p>
    <w:p>
      <w:pPr>
        <w:pStyle w:val="Heading3"/>
        <w:spacing w:line="338" w:lineRule="auto" w:before="176"/>
        <w:ind w:right="189"/>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月，公司出资</w:t>
      </w:r>
      <w:r>
        <w:rPr>
          <w:rFonts w:ascii="Times New Roman" w:hAnsi="Times New Roman" w:cs="Times New Roman" w:eastAsia="Times New Roman" w:hint="default"/>
        </w:rPr>
        <w:t>1</w:t>
      </w:r>
      <w:r>
        <w:rPr/>
        <w:t>亿元人民币，设立上海汉得商业保理有限公司，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 汉得保理纳入合并范围。</w:t>
      </w:r>
    </w:p>
    <w:p>
      <w:pPr>
        <w:pStyle w:val="Heading3"/>
        <w:spacing w:line="338" w:lineRule="auto" w:before="94"/>
        <w:ind w:right="152"/>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月，公司与上海禹哲投资管理合伙企业（有限合伙）、展舸协议共同出资</w:t>
      </w:r>
      <w:r>
        <w:rPr>
          <w:rFonts w:ascii="Times New Roman" w:hAnsi="Times New Roman" w:cs="Times New Roman" w:eastAsia="Times New Roman" w:hint="default"/>
        </w:rPr>
        <w:t>1000 </w:t>
      </w:r>
      <w:r>
        <w:rPr>
          <w:spacing w:val="-1"/>
        </w:rPr>
        <w:t>万元人民币设立上海汉得微扬信息技术有限公司，其中公司出资</w:t>
      </w:r>
      <w:r>
        <w:rPr>
          <w:rFonts w:ascii="Times New Roman" w:hAnsi="Times New Roman" w:cs="Times New Roman" w:eastAsia="Times New Roman" w:hint="default"/>
          <w:spacing w:val="-1"/>
        </w:rPr>
        <w:t>510</w:t>
      </w:r>
      <w:r>
        <w:rPr>
          <w:spacing w:val="-1"/>
        </w:rPr>
        <w:t>万元，取得汉得微扬</w:t>
      </w:r>
      <w:r>
        <w:rPr>
          <w:rFonts w:ascii="Times New Roman" w:hAnsi="Times New Roman" w:cs="Times New Roman" w:eastAsia="Times New Roman" w:hint="default"/>
          <w:spacing w:val="-1"/>
        </w:rPr>
        <w:t>51%</w:t>
      </w:r>
      <w:r>
        <w:rPr>
          <w:rFonts w:ascii="Times New Roman" w:hAnsi="Times New Roman" w:cs="Times New Roman" w:eastAsia="Times New Roman" w:hint="default"/>
        </w:rPr>
        <w:t> </w:t>
      </w:r>
      <w:r>
        <w:rPr/>
        <w:t>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月公司已支付投资款</w:t>
      </w:r>
      <w:r>
        <w:rPr>
          <w:rFonts w:ascii="Times New Roman" w:hAnsi="Times New Roman" w:cs="Times New Roman" w:eastAsia="Times New Roman" w:hint="default"/>
        </w:rPr>
        <w:t>200</w:t>
      </w:r>
      <w:r>
        <w:rPr/>
        <w:t>万元人民币。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月起，汉得微扬纳入合并 范围。</w:t>
      </w:r>
    </w:p>
    <w:p>
      <w:pPr>
        <w:pStyle w:val="Heading3"/>
        <w:spacing w:line="338" w:lineRule="auto" w:before="96"/>
        <w:ind w:right="152"/>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月，公司与上海天序科技资讯有限公司、</w:t>
      </w:r>
      <w:r>
        <w:rPr>
          <w:rFonts w:ascii="Times New Roman" w:hAnsi="Times New Roman" w:cs="Times New Roman" w:eastAsia="Times New Roman" w:hint="default"/>
        </w:rPr>
        <w:t>Knowledge Platform Pte.</w:t>
      </w:r>
      <w:r>
        <w:rPr>
          <w:rFonts w:ascii="Times New Roman" w:hAnsi="Times New Roman" w:cs="Times New Roman" w:eastAsia="Times New Roman" w:hint="default"/>
          <w:spacing w:val="-5"/>
        </w:rPr>
        <w:t> </w:t>
      </w:r>
      <w:r>
        <w:rPr>
          <w:rFonts w:ascii="Times New Roman" w:hAnsi="Times New Roman" w:cs="Times New Roman" w:eastAsia="Times New Roman" w:hint="default"/>
        </w:rPr>
        <w:t>Ltd.</w:t>
      </w:r>
      <w:r>
        <w:rPr/>
        <w:t>协议共同 </w:t>
      </w:r>
      <w:r>
        <w:rPr>
          <w:spacing w:val="-4"/>
        </w:rPr>
        <w:t>出资</w:t>
      </w:r>
      <w:r>
        <w:rPr>
          <w:rFonts w:ascii="Times New Roman" w:hAnsi="Times New Roman" w:cs="Times New Roman" w:eastAsia="Times New Roman" w:hint="default"/>
          <w:spacing w:val="-4"/>
        </w:rPr>
        <w:t>400</w:t>
      </w:r>
      <w:r>
        <w:rPr>
          <w:spacing w:val="-4"/>
        </w:rPr>
        <w:t>万美元设立上海汉得知云软件有限公司，其中公司出资</w:t>
      </w:r>
      <w:r>
        <w:rPr>
          <w:rFonts w:ascii="Times New Roman" w:hAnsi="Times New Roman" w:cs="Times New Roman" w:eastAsia="Times New Roman" w:hint="default"/>
          <w:spacing w:val="-4"/>
        </w:rPr>
        <w:t>204</w:t>
      </w:r>
      <w:r>
        <w:rPr>
          <w:spacing w:val="-4"/>
        </w:rPr>
        <w:t>万美元，取得汉得知云</w:t>
      </w:r>
      <w:r>
        <w:rPr>
          <w:rFonts w:ascii="Times New Roman" w:hAnsi="Times New Roman" w:cs="Times New Roman" w:eastAsia="Times New Roman" w:hint="default"/>
          <w:spacing w:val="-4"/>
        </w:rPr>
        <w:t>51%</w:t>
      </w:r>
      <w:r>
        <w:rPr>
          <w:rFonts w:ascii="Times New Roman" w:hAnsi="Times New Roman" w:cs="Times New Roman" w:eastAsia="Times New Roman" w:hint="default"/>
          <w:spacing w:val="-44"/>
        </w:rPr>
        <w:t> </w:t>
      </w:r>
      <w:r>
        <w:rPr/>
        <w:t>的股权。截止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月，投资款尚未支付。</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月起，汉得知云纳入合并范围。</w:t>
      </w:r>
    </w:p>
    <w:p>
      <w:pPr>
        <w:spacing w:after="0" w:line="338"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149,341,425.70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12.27%</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35,953,603.11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33,544,938.36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31,256,092.29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2.57%</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26,893,335.62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21,693,456.32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149,341,425.70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12.27%</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3"/>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120,149,954.35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31.90%</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53,506,945.23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26,058,441.00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20,542,896.62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13,652,943.50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6,388,728.00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120,149,954.35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637"/>
        <w:gridCol w:w="1637"/>
        <w:gridCol w:w="1462"/>
        <w:gridCol w:w="2919"/>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70,376,754.09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54,648,291.49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28.78%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宋体" w:hAnsi="宋体" w:cs="宋体" w:eastAsia="宋体" w:hint="default"/>
                <w:sz w:val="18"/>
                <w:szCs w:val="18"/>
              </w:rPr>
              <w:t>由于业务拓展的需要，销售团队规模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及差旅费用较去年上升</w:t>
            </w:r>
          </w:p>
        </w:tc>
      </w:tr>
      <w:tr>
        <w:trPr>
          <w:trHeight w:val="133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219,298,412.41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161,564,978.87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35.73%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研发投入持续增加，研发费用较去年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2,190.8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万元；股权激励成本增</w:t>
            </w:r>
          </w:p>
          <w:p>
            <w:pPr>
              <w:pStyle w:val="TableParagraph"/>
              <w:spacing w:line="300" w:lineRule="auto"/>
              <w:ind w:left="23" w:right="19"/>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841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万；此外，随着青浦园区全面 投入使用，房屋折旧费用增长</w:t>
            </w:r>
          </w:p>
        </w:tc>
      </w:tr>
      <w:tr>
        <w:trPr>
          <w:trHeight w:val="102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-24,395,361.80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-19,728,636.69</w:t>
            </w: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年度日币汇率有所回升，产生了</w:t>
            </w:r>
            <w:r>
              <w:rPr>
                <w:rFonts w:ascii="宋体" w:hAnsi="宋体" w:cs="宋体" w:eastAsia="宋体" w:hint="default"/>
                <w:sz w:val="18"/>
                <w:szCs w:val="18"/>
              </w:rPr>
              <w:t> </w:t>
            </w:r>
            <w:r>
              <w:rPr>
                <w:rFonts w:ascii="宋体" w:hAnsi="宋体" w:cs="宋体" w:eastAsia="宋体" w:hint="default"/>
                <w:spacing w:val="-7"/>
                <w:sz w:val="18"/>
                <w:szCs w:val="18"/>
              </w:rPr>
              <w:t>汇兑收益；</w:t>
            </w:r>
            <w:r>
              <w:rPr>
                <w:rFonts w:ascii="Times New Roman" w:hAnsi="Times New Roman" w:cs="Times New Roman" w:eastAsia="Times New Roman" w:hint="default"/>
                <w:spacing w:val="-7"/>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年度由于日币贬值而 导致汇兑损失</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57" w:lineRule="auto" w:before="132"/>
        <w:ind w:right="0" w:firstLine="480"/>
        <w:jc w:val="left"/>
      </w:pPr>
      <w:r>
        <w:rPr/>
        <w:t>公司历来重视新技术研发创新工作，截止报告期末，公司拥有及正在申请的计算机软件 著作权、发明专利情况如下表所示：</w:t>
      </w:r>
    </w:p>
    <w:tbl>
      <w:tblPr>
        <w:tblW w:w="0" w:type="auto"/>
        <w:jc w:val="left"/>
        <w:tblInd w:w="146" w:type="dxa"/>
        <w:tblLayout w:type="fixed"/>
        <w:tblCellMar>
          <w:top w:w="0" w:type="dxa"/>
          <w:left w:w="0" w:type="dxa"/>
          <w:bottom w:w="0" w:type="dxa"/>
          <w:right w:w="0" w:type="dxa"/>
        </w:tblCellMar>
        <w:tblLook w:val="01E0"/>
      </w:tblPr>
      <w:tblGrid>
        <w:gridCol w:w="804"/>
        <w:gridCol w:w="4381"/>
        <w:gridCol w:w="2329"/>
        <w:gridCol w:w="2129"/>
      </w:tblGrid>
      <w:tr>
        <w:trPr>
          <w:trHeight w:val="325" w:hRule="exact"/>
        </w:trPr>
        <w:tc>
          <w:tcPr>
            <w:tcW w:w="804"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81"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4"/>
              <w:ind w:left="1281"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2329"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4"/>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29"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362"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6"/>
              <w:ind w:left="1" w:right="0"/>
              <w:jc w:val="center"/>
              <w:rPr>
                <w:rFonts w:ascii="Times New Roman" w:hAnsi="Times New Roman" w:cs="Times New Roman" w:eastAsia="Times New Roman" w:hint="default"/>
                <w:sz w:val="18"/>
                <w:szCs w:val="18"/>
              </w:rPr>
            </w:pPr>
            <w:r>
              <w:rPr>
                <w:rFonts w:ascii="Times New Roman"/>
                <w:sz w:val="18"/>
              </w:rPr>
              <w:t>1</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汉得人力资源管理系统（简称：</w:t>
            </w:r>
            <w:r>
              <w:rPr>
                <w:rFonts w:ascii="Times New Roman" w:hAnsi="Times New Roman" w:cs="Times New Roman" w:eastAsia="Times New Roman" w:hint="default"/>
                <w:sz w:val="18"/>
                <w:szCs w:val="18"/>
              </w:rPr>
              <w:t>HAND-HRMS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2004SR08844</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国产化制造资源规划软件（简称： </w:t>
            </w: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2004SR08306</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3</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全富汉得现代管理应用软件（简称：</w:t>
            </w:r>
            <w:r>
              <w:rPr>
                <w:rFonts w:ascii="Times New Roman" w:hAnsi="Times New Roman" w:cs="Times New Roman" w:eastAsia="Times New Roman" w:hint="default"/>
                <w:sz w:val="18"/>
                <w:szCs w:val="18"/>
              </w:rPr>
              <w:t>MAS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V6.0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2008SR23547</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汉得供应商门户软件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HAND ISP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V2.0)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2009SR056858</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营销渠道管理软件（简称：</w:t>
            </w:r>
            <w:r>
              <w:rPr>
                <w:rFonts w:ascii="Times New Roman" w:hAnsi="Times New Roman" w:cs="Times New Roman" w:eastAsia="Times New Roman" w:hint="default"/>
                <w:sz w:val="18"/>
                <w:szCs w:val="18"/>
              </w:rPr>
              <w:t>HAND FSMS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2009SR056934</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6</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汉得协同制造软件（简称：</w:t>
            </w:r>
            <w:r>
              <w:rPr>
                <w:rFonts w:ascii="Times New Roman" w:hAnsi="Times New Roman" w:cs="Times New Roman" w:eastAsia="Times New Roman" w:hint="default"/>
                <w:sz w:val="18"/>
                <w:szCs w:val="18"/>
              </w:rPr>
              <w:t>HCM</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2009SR056935</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7</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汉得人力资源管理软件（简称：</w:t>
            </w:r>
            <w:r>
              <w:rPr>
                <w:rFonts w:ascii="Times New Roman" w:hAnsi="Times New Roman" w:cs="Times New Roman" w:eastAsia="Times New Roman" w:hint="default"/>
                <w:sz w:val="18"/>
                <w:szCs w:val="18"/>
              </w:rPr>
              <w:t>HRMS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V3.0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2009SR056981</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8</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汉得客户关系管理软件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HAND CRM</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2009SR056936</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9</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汉得现代管理应用软件（简称：</w:t>
            </w:r>
            <w:r>
              <w:rPr>
                <w:rFonts w:ascii="Times New Roman" w:hAnsi="Times New Roman" w:cs="Times New Roman" w:eastAsia="Times New Roman" w:hint="default"/>
                <w:sz w:val="18"/>
                <w:szCs w:val="18"/>
              </w:rPr>
              <w:t>MAS ERP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2009SR056932</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2011SR088481</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汉得融资租赁管理软件（简称：</w:t>
            </w:r>
            <w:r>
              <w:rPr>
                <w:rFonts w:ascii="Times New Roman" w:hAnsi="Times New Roman" w:cs="Times New Roman" w:eastAsia="Times New Roman" w:hint="default"/>
                <w:sz w:val="18"/>
                <w:szCs w:val="18"/>
              </w:rPr>
              <w:t>HLS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2012SR028825</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12</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2012SR130777</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汉得移动商务软件（简称：</w:t>
            </w:r>
            <w:r>
              <w:rPr>
                <w:rFonts w:ascii="Times New Roman" w:hAnsi="Times New Roman" w:cs="Times New Roman" w:eastAsia="Times New Roman" w:hint="default"/>
                <w:sz w:val="18"/>
                <w:szCs w:val="18"/>
              </w:rPr>
              <w:t>HMBS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V1.3</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2013SR010289</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14</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汉得集成服务管理软件（简称：</w:t>
            </w:r>
            <w:r>
              <w:rPr>
                <w:rFonts w:ascii="Times New Roman" w:hAnsi="Times New Roman" w:cs="Times New Roman" w:eastAsia="Times New Roman" w:hint="default"/>
                <w:sz w:val="18"/>
                <w:szCs w:val="18"/>
              </w:rPr>
              <w:t>HiSMS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V2.0</w:t>
            </w:r>
            <w:r>
              <w:rPr>
                <w:rFonts w:ascii="宋体" w:hAnsi="宋体" w:cs="宋体" w:eastAsia="宋体" w:hint="default"/>
                <w:sz w:val="18"/>
                <w:szCs w:val="18"/>
              </w:rPr>
              <w:t>）</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2013SR090645</w:t>
            </w:r>
          </w:p>
        </w:tc>
      </w:tr>
      <w:tr>
        <w:trPr>
          <w:trHeight w:val="660"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Form9i</w:t>
            </w:r>
            <w:r>
              <w:rPr>
                <w:rFonts w:ascii="宋体" w:hAnsi="宋体" w:cs="宋体" w:eastAsia="宋体" w:hint="default"/>
                <w:sz w:val="18"/>
                <w:szCs w:val="18"/>
              </w:rPr>
              <w:t>和</w:t>
            </w: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
                <w:sz w:val="18"/>
                <w:szCs w:val="18"/>
              </w:rPr>
              <w:t>Excel</w:t>
            </w:r>
            <w:r>
              <w:rPr>
                <w:rFonts w:ascii="宋体" w:hAnsi="宋体" w:cs="宋体" w:eastAsia="宋体" w:hint="default"/>
                <w:spacing w:val="4"/>
                <w:sz w:val="18"/>
                <w:szCs w:val="18"/>
              </w:rPr>
              <w:t>透视表的自动转换的方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法</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ZL 2005 1</w:t>
            </w:r>
            <w:r>
              <w:rPr>
                <w:rFonts w:ascii="Times New Roman"/>
                <w:spacing w:val="-6"/>
                <w:sz w:val="18"/>
              </w:rPr>
              <w:t> </w:t>
            </w:r>
            <w:r>
              <w:rPr>
                <w:rFonts w:ascii="Times New Roman"/>
                <w:sz w:val="18"/>
              </w:rPr>
              <w:t>0024604.0</w:t>
            </w:r>
          </w:p>
        </w:tc>
      </w:tr>
      <w:tr>
        <w:trPr>
          <w:trHeight w:val="65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2" w:right="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PLM-ERP </w:t>
            </w:r>
            <w:r>
              <w:rPr>
                <w:rFonts w:ascii="宋体" w:hAnsi="宋体" w:cs="宋体" w:eastAsia="宋体" w:hint="default"/>
                <w:sz w:val="18"/>
                <w:szCs w:val="18"/>
              </w:rPr>
              <w:t>集 成 过 程 中 的 交 易 控 制 方</w:t>
            </w:r>
            <w:r>
              <w:rPr>
                <w:rFonts w:ascii="宋体" w:hAnsi="宋体" w:cs="宋体" w:eastAsia="宋体" w:hint="default"/>
                <w:spacing w:val="32"/>
                <w:sz w:val="18"/>
                <w:szCs w:val="18"/>
              </w:rPr>
              <w:t> </w:t>
            </w:r>
            <w:r>
              <w:rPr>
                <w:rFonts w:ascii="宋体" w:hAnsi="宋体" w:cs="宋体" w:eastAsia="宋体" w:hint="default"/>
                <w:sz w:val="18"/>
                <w:szCs w:val="18"/>
              </w:rPr>
              <w:t>法</w:t>
            </w:r>
            <w:r>
              <w:rPr>
                <w:rFonts w:ascii="宋体" w:hAnsi="宋体" w:cs="宋体" w:eastAsia="宋体" w:hint="default"/>
                <w:sz w:val="18"/>
                <w:szCs w:val="18"/>
              </w:rPr>
              <w:t> 专利申请受理号：</w:t>
            </w:r>
            <w:r>
              <w:rPr>
                <w:rFonts w:ascii="Times New Roman" w:hAnsi="Times New Roman" w:cs="Times New Roman" w:eastAsia="Times New Roman" w:hint="default"/>
                <w:sz w:val="18"/>
                <w:szCs w:val="18"/>
              </w:rPr>
              <w:t>201210170291.X</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660"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17</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20"/>
              <w:ind w:left="2" w:right="3"/>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一种基于</w:t>
            </w:r>
            <w:r>
              <w:rPr>
                <w:rFonts w:ascii="Times New Roman" w:hAnsi="Times New Roman" w:cs="Times New Roman" w:eastAsia="Times New Roman" w:hint="default"/>
                <w:spacing w:val="9"/>
                <w:sz w:val="18"/>
                <w:szCs w:val="18"/>
              </w:rPr>
              <w:t>EBS</w:t>
            </w:r>
            <w:r>
              <w:rPr>
                <w:rFonts w:ascii="宋体" w:hAnsi="宋体" w:cs="宋体" w:eastAsia="宋体" w:hint="default"/>
                <w:spacing w:val="9"/>
                <w:sz w:val="18"/>
                <w:szCs w:val="18"/>
              </w:rPr>
              <w:t>企业系统中快速开取增值税发票的方法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专利申请受理号：</w:t>
            </w:r>
            <w:r>
              <w:rPr>
                <w:rFonts w:ascii="Times New Roman" w:hAnsi="Times New Roman" w:cs="Times New Roman" w:eastAsia="Times New Roman" w:hint="default"/>
                <w:sz w:val="18"/>
                <w:szCs w:val="18"/>
              </w:rPr>
              <w:t>201210170278.4</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65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18</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一</w:t>
            </w:r>
            <w:r>
              <w:rPr>
                <w:rFonts w:ascii="宋体" w:hAnsi="宋体" w:cs="宋体" w:eastAsia="宋体" w:hint="default"/>
                <w:sz w:val="18"/>
                <w:szCs w:val="18"/>
              </w:rPr>
              <w:t> </w:t>
            </w:r>
            <w:r>
              <w:rPr>
                <w:rFonts w:ascii="宋体" w:hAnsi="宋体" w:cs="宋体" w:eastAsia="宋体" w:hint="default"/>
                <w:spacing w:val="8"/>
                <w:sz w:val="18"/>
                <w:szCs w:val="18"/>
              </w:rPr>
              <w:t>种</w:t>
            </w:r>
            <w:r>
              <w:rPr>
                <w:rFonts w:ascii="宋体" w:hAnsi="宋体" w:cs="宋体" w:eastAsia="宋体" w:hint="default"/>
                <w:sz w:val="18"/>
                <w:szCs w:val="18"/>
              </w:rPr>
              <w:t> </w:t>
            </w:r>
            <w:r>
              <w:rPr>
                <w:rFonts w:ascii="宋体" w:hAnsi="宋体" w:cs="宋体" w:eastAsia="宋体" w:hint="default"/>
                <w:spacing w:val="8"/>
                <w:sz w:val="18"/>
                <w:szCs w:val="18"/>
              </w:rPr>
              <w:t>基</w:t>
            </w:r>
            <w:r>
              <w:rPr>
                <w:rFonts w:ascii="宋体" w:hAnsi="宋体" w:cs="宋体" w:eastAsia="宋体" w:hint="default"/>
                <w:sz w:val="18"/>
                <w:szCs w:val="18"/>
              </w:rPr>
              <w:t> </w:t>
            </w:r>
            <w:r>
              <w:rPr>
                <w:rFonts w:ascii="宋体" w:hAnsi="宋体" w:cs="宋体" w:eastAsia="宋体" w:hint="default"/>
                <w:spacing w:val="8"/>
                <w:sz w:val="18"/>
                <w:szCs w:val="18"/>
              </w:rPr>
              <w:t>于</w:t>
            </w:r>
            <w:r>
              <w:rPr>
                <w:rFonts w:ascii="宋体" w:hAnsi="宋体" w:cs="宋体" w:eastAsia="宋体" w:hint="default"/>
                <w:sz w:val="18"/>
                <w:szCs w:val="18"/>
              </w:rPr>
              <w:t> </w:t>
            </w:r>
            <w:r>
              <w:rPr>
                <w:rFonts w:ascii="宋体" w:hAnsi="宋体" w:cs="宋体" w:eastAsia="宋体" w:hint="default"/>
                <w:spacing w:val="8"/>
                <w:sz w:val="18"/>
                <w:szCs w:val="18"/>
              </w:rPr>
              <w:t>云</w:t>
            </w:r>
            <w:r>
              <w:rPr>
                <w:rFonts w:ascii="宋体" w:hAnsi="宋体" w:cs="宋体" w:eastAsia="宋体" w:hint="default"/>
                <w:sz w:val="18"/>
                <w:szCs w:val="18"/>
              </w:rPr>
              <w:t> </w:t>
            </w:r>
            <w:r>
              <w:rPr>
                <w:rFonts w:ascii="宋体" w:hAnsi="宋体" w:cs="宋体" w:eastAsia="宋体" w:hint="default"/>
                <w:spacing w:val="8"/>
                <w:sz w:val="18"/>
                <w:szCs w:val="18"/>
              </w:rPr>
              <w:t>计</w:t>
            </w:r>
            <w:r>
              <w:rPr>
                <w:rFonts w:ascii="宋体" w:hAnsi="宋体" w:cs="宋体" w:eastAsia="宋体" w:hint="default"/>
                <w:sz w:val="18"/>
                <w:szCs w:val="18"/>
              </w:rPr>
              <w:t> </w:t>
            </w:r>
            <w:r>
              <w:rPr>
                <w:rFonts w:ascii="宋体" w:hAnsi="宋体" w:cs="宋体" w:eastAsia="宋体" w:hint="default"/>
                <w:spacing w:val="8"/>
                <w:sz w:val="18"/>
                <w:szCs w:val="18"/>
              </w:rPr>
              <w:t>算</w:t>
            </w:r>
            <w:r>
              <w:rPr>
                <w:rFonts w:ascii="宋体" w:hAnsi="宋体" w:cs="宋体" w:eastAsia="宋体" w:hint="default"/>
                <w:sz w:val="18"/>
                <w:szCs w:val="18"/>
              </w:rPr>
              <w:t> 的</w:t>
            </w:r>
            <w:r>
              <w:rPr>
                <w:rFonts w:ascii="宋体" w:hAnsi="宋体" w:cs="宋体" w:eastAsia="宋体" w:hint="default"/>
                <w:spacing w:val="10"/>
                <w:sz w:val="18"/>
                <w:szCs w:val="18"/>
              </w:rPr>
              <w:t> </w:t>
            </w:r>
            <w:r>
              <w:rPr>
                <w:rFonts w:ascii="宋体" w:hAnsi="宋体" w:cs="宋体" w:eastAsia="宋体" w:hint="default"/>
                <w:spacing w:val="8"/>
                <w:sz w:val="18"/>
                <w:szCs w:val="18"/>
              </w:rPr>
              <w:t>系</w:t>
            </w:r>
            <w:r>
              <w:rPr>
                <w:rFonts w:ascii="宋体" w:hAnsi="宋体" w:cs="宋体" w:eastAsia="宋体" w:hint="default"/>
                <w:sz w:val="18"/>
                <w:szCs w:val="18"/>
              </w:rPr>
              <w:t> </w:t>
            </w:r>
            <w:r>
              <w:rPr>
                <w:rFonts w:ascii="宋体" w:hAnsi="宋体" w:cs="宋体" w:eastAsia="宋体" w:hint="default"/>
                <w:spacing w:val="8"/>
                <w:sz w:val="18"/>
                <w:szCs w:val="18"/>
              </w:rPr>
              <w:t>统</w:t>
            </w:r>
            <w:r>
              <w:rPr>
                <w:rFonts w:ascii="宋体" w:hAnsi="宋体" w:cs="宋体" w:eastAsia="宋体" w:hint="default"/>
                <w:sz w:val="18"/>
                <w:szCs w:val="18"/>
              </w:rPr>
              <w:t> </w:t>
            </w:r>
            <w:r>
              <w:rPr>
                <w:rFonts w:ascii="宋体" w:hAnsi="宋体" w:cs="宋体" w:eastAsia="宋体" w:hint="default"/>
                <w:spacing w:val="8"/>
                <w:sz w:val="18"/>
                <w:szCs w:val="18"/>
              </w:rPr>
              <w:t>运</w:t>
            </w:r>
            <w:r>
              <w:rPr>
                <w:rFonts w:ascii="宋体" w:hAnsi="宋体" w:cs="宋体" w:eastAsia="宋体" w:hint="default"/>
                <w:sz w:val="18"/>
                <w:szCs w:val="18"/>
              </w:rPr>
              <w:t> </w:t>
            </w:r>
            <w:r>
              <w:rPr>
                <w:rFonts w:ascii="宋体" w:hAnsi="宋体" w:cs="宋体" w:eastAsia="宋体" w:hint="default"/>
                <w:spacing w:val="8"/>
                <w:sz w:val="18"/>
                <w:szCs w:val="18"/>
              </w:rPr>
              <w:t>营</w:t>
            </w:r>
            <w:r>
              <w:rPr>
                <w:rFonts w:ascii="宋体" w:hAnsi="宋体" w:cs="宋体" w:eastAsia="宋体" w:hint="default"/>
                <w:sz w:val="18"/>
                <w:szCs w:val="18"/>
              </w:rPr>
              <w:t> </w:t>
            </w:r>
            <w:r>
              <w:rPr>
                <w:rFonts w:ascii="宋体" w:hAnsi="宋体" w:cs="宋体" w:eastAsia="宋体" w:hint="default"/>
                <w:spacing w:val="8"/>
                <w:sz w:val="18"/>
                <w:szCs w:val="18"/>
              </w:rPr>
              <w:t>支</w:t>
            </w:r>
            <w:r>
              <w:rPr>
                <w:rFonts w:ascii="宋体" w:hAnsi="宋体" w:cs="宋体" w:eastAsia="宋体" w:hint="default"/>
                <w:sz w:val="18"/>
                <w:szCs w:val="18"/>
              </w:rPr>
              <w:t> </w:t>
            </w:r>
            <w:r>
              <w:rPr>
                <w:rFonts w:ascii="宋体" w:hAnsi="宋体" w:cs="宋体" w:eastAsia="宋体" w:hint="default"/>
                <w:spacing w:val="8"/>
                <w:sz w:val="18"/>
                <w:szCs w:val="18"/>
              </w:rPr>
              <w:t>持</w:t>
            </w:r>
            <w:r>
              <w:rPr>
                <w:rFonts w:ascii="宋体" w:hAnsi="宋体" w:cs="宋体" w:eastAsia="宋体" w:hint="default"/>
                <w:sz w:val="18"/>
                <w:szCs w:val="18"/>
              </w:rPr>
              <w:t> 系</w:t>
            </w:r>
            <w:r>
              <w:rPr>
                <w:rFonts w:ascii="宋体" w:hAnsi="宋体" w:cs="宋体" w:eastAsia="宋体" w:hint="default"/>
                <w:spacing w:val="7"/>
                <w:sz w:val="18"/>
                <w:szCs w:val="18"/>
              </w:rPr>
              <w:t> </w:t>
            </w:r>
            <w:r>
              <w:rPr>
                <w:rFonts w:ascii="宋体" w:hAnsi="宋体" w:cs="宋体" w:eastAsia="宋体" w:hint="default"/>
                <w:sz w:val="18"/>
                <w:szCs w:val="18"/>
              </w:rPr>
              <w:t>统</w:t>
            </w:r>
            <w:r>
              <w:rPr>
                <w:rFonts w:ascii="宋体" w:hAnsi="宋体" w:cs="宋体" w:eastAsia="宋体" w:hint="default"/>
                <w:sz w:val="18"/>
                <w:szCs w:val="18"/>
              </w:rPr>
              <w:t> 专利申请受理号：</w:t>
            </w:r>
            <w:r>
              <w:rPr>
                <w:rFonts w:ascii="Times New Roman" w:hAnsi="Times New Roman" w:cs="Times New Roman" w:eastAsia="Times New Roman" w:hint="default"/>
                <w:sz w:val="18"/>
                <w:szCs w:val="18"/>
              </w:rPr>
              <w:t>20130345225.6</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基于云计算的中小企业供应链金融平台</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申请中</w:t>
            </w:r>
          </w:p>
        </w:tc>
      </w:tr>
      <w:tr>
        <w:trPr>
          <w:trHeight w:val="660"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9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汉得基于云计算的中小企业供应链金融平台软件（简称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供应链金融平台）</w:t>
            </w:r>
            <w:r>
              <w:rPr>
                <w:rFonts w:ascii="Times New Roman" w:hAnsi="Times New Roman" w:cs="Times New Roman" w:eastAsia="Times New Roman" w:hint="default"/>
                <w:sz w:val="18"/>
                <w:szCs w:val="18"/>
              </w:rPr>
              <w:t>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17"/>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2014SR026446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04"/>
        <w:gridCol w:w="4381"/>
        <w:gridCol w:w="2329"/>
        <w:gridCol w:w="2129"/>
      </w:tblGrid>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21</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汉得融资租赁管理软件</w:t>
            </w:r>
            <w:r>
              <w:rPr>
                <w:rFonts w:ascii="Times New Roman" w:hAnsi="Times New Roman" w:cs="Times New Roman" w:eastAsia="Times New Roman" w:hint="default"/>
                <w:sz w:val="18"/>
                <w:szCs w:val="18"/>
              </w:rPr>
              <w:t>V3.0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2014SR047703</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22</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汉得企业应用开发平台软件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HAP  </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2014SR106191</w:t>
            </w:r>
          </w:p>
        </w:tc>
      </w:tr>
      <w:tr>
        <w:trPr>
          <w:trHeight w:val="660"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23</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2" w:right="9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汉得供应商关系管理云平台软件（简称：</w:t>
            </w:r>
            <w:r>
              <w:rPr>
                <w:rFonts w:ascii="Times New Roman" w:hAnsi="Times New Roman" w:cs="Times New Roman" w:eastAsia="Times New Roman" w:hint="default"/>
                <w:spacing w:val="-5"/>
                <w:sz w:val="18"/>
                <w:szCs w:val="18"/>
              </w:rPr>
              <w:t>HAND </w:t>
            </w:r>
            <w:r>
              <w:rPr>
                <w:rFonts w:ascii="Times New Roman" w:hAnsi="Times New Roman" w:cs="Times New Roman" w:eastAsia="Times New Roman" w:hint="default"/>
                <w:sz w:val="18"/>
                <w:szCs w:val="18"/>
              </w:rPr>
              <w:t>SRM</w:t>
            </w:r>
            <w:r>
              <w:rPr>
                <w:rFonts w:ascii="宋体" w:hAnsi="宋体" w:cs="宋体" w:eastAsia="宋体" w:hint="default"/>
                <w:sz w:val="18"/>
                <w:szCs w:val="18"/>
              </w:rPr>
              <w:t>云</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0"/>
              <w:ind w:left="-10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2014SR104188</w:t>
            </w:r>
          </w:p>
        </w:tc>
      </w:tr>
      <w:tr>
        <w:trPr>
          <w:trHeight w:val="65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2"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汉得供应商关系管理平台软件（简称：</w:t>
            </w:r>
            <w:r>
              <w:rPr>
                <w:rFonts w:ascii="Times New Roman" w:hAnsi="Times New Roman" w:cs="Times New Roman" w:eastAsia="Times New Roman" w:hint="default"/>
                <w:sz w:val="18"/>
                <w:szCs w:val="18"/>
              </w:rPr>
              <w:t>HAND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SRM</w:t>
            </w:r>
            <w:r>
              <w:rPr>
                <w:rFonts w:ascii="宋体" w:hAnsi="宋体" w:cs="宋体" w:eastAsia="宋体" w:hint="default"/>
                <w:sz w:val="18"/>
                <w:szCs w:val="18"/>
              </w:rPr>
              <w:t>云） </w:t>
            </w:r>
            <w:r>
              <w:rPr>
                <w:rFonts w:ascii="Times New Roman" w:hAnsi="Times New Roman" w:cs="Times New Roman" w:eastAsia="Times New Roman" w:hint="default"/>
                <w:sz w:val="18"/>
                <w:szCs w:val="18"/>
              </w:rPr>
              <w:t>V3.0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2014SR169146</w:t>
            </w:r>
          </w:p>
        </w:tc>
      </w:tr>
      <w:tr>
        <w:trPr>
          <w:trHeight w:val="660"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25</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20"/>
              <w:ind w:left="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汉得物料主数据管理软件（简称：</w:t>
            </w:r>
            <w:r>
              <w:rPr>
                <w:rFonts w:ascii="Times New Roman" w:hAnsi="Times New Roman" w:cs="Times New Roman" w:eastAsia="Times New Roman" w:hint="default"/>
                <w:sz w:val="18"/>
                <w:szCs w:val="18"/>
              </w:rPr>
              <w:t>HAND MDM</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System</w:t>
            </w:r>
            <w:r>
              <w:rPr>
                <w:rFonts w:ascii="Times New Roman" w:hAnsi="Times New Roman" w:cs="Times New Roman" w:eastAsia="Times New Roman" w:hint="default"/>
                <w:sz w:val="18"/>
                <w:szCs w:val="18"/>
              </w:rPr>
              <w:t> 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196" w:lineRule="exact" w:before="20"/>
              <w:ind w:left="-10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70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2015SR003585</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26</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w:t>
            </w:r>
            <w:r>
              <w:rPr>
                <w:rFonts w:ascii="Times New Roman" w:hAnsi="Times New Roman" w:cs="Times New Roman" w:eastAsia="Times New Roman" w:hint="default"/>
                <w:sz w:val="18"/>
                <w:szCs w:val="18"/>
              </w:rPr>
              <w:t>Aurora Quick UI</w:t>
            </w:r>
            <w:r>
              <w:rPr>
                <w:rFonts w:ascii="宋体" w:hAnsi="宋体" w:cs="宋体" w:eastAsia="宋体" w:hint="default"/>
                <w:sz w:val="18"/>
                <w:szCs w:val="18"/>
              </w:rPr>
              <w:t>软件（简称：</w:t>
            </w:r>
            <w:r>
              <w:rPr>
                <w:rFonts w:ascii="Times New Roman" w:hAnsi="Times New Roman" w:cs="Times New Roman" w:eastAsia="Times New Roman" w:hint="default"/>
                <w:sz w:val="18"/>
                <w:szCs w:val="18"/>
              </w:rPr>
              <w:t>Quick</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UI</w:t>
            </w:r>
            <w:r>
              <w:rPr>
                <w:rFonts w:ascii="宋体" w:hAnsi="宋体" w:cs="宋体" w:eastAsia="宋体" w:hint="default"/>
                <w:sz w:val="18"/>
                <w:szCs w:val="18"/>
              </w:rPr>
              <w:t>）</w:t>
            </w:r>
            <w:r>
              <w:rPr>
                <w:rFonts w:ascii="Times New Roman" w:hAnsi="Times New Roman" w:cs="Times New Roman" w:eastAsia="Times New Roman" w:hint="default"/>
                <w:sz w:val="18"/>
                <w:szCs w:val="18"/>
              </w:rPr>
              <w:t>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2015SR003563</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27</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汉得费控软件（简称：</w:t>
            </w:r>
            <w:r>
              <w:rPr>
                <w:rFonts w:ascii="Times New Roman" w:hAnsi="Times New Roman" w:cs="Times New Roman" w:eastAsia="Times New Roman" w:hint="default"/>
                <w:sz w:val="18"/>
                <w:szCs w:val="18"/>
              </w:rPr>
              <w:t>HEC</w:t>
            </w:r>
            <w:r>
              <w:rPr>
                <w:rFonts w:ascii="宋体" w:hAnsi="宋体" w:cs="宋体" w:eastAsia="宋体" w:hint="default"/>
                <w:sz w:val="18"/>
                <w:szCs w:val="18"/>
              </w:rPr>
              <w:t>）</w:t>
            </w:r>
            <w:r>
              <w:rPr>
                <w:rFonts w:ascii="Times New Roman" w:hAnsi="Times New Roman" w:cs="Times New Roman" w:eastAsia="Times New Roman" w:hint="default"/>
                <w:sz w:val="18"/>
                <w:szCs w:val="18"/>
              </w:rPr>
              <w:t>V3.0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2015SR003538</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汉得</w:t>
            </w:r>
            <w:r>
              <w:rPr>
                <w:rFonts w:ascii="Times New Roman" w:hAnsi="Times New Roman" w:cs="Times New Roman" w:eastAsia="Times New Roman" w:hint="default"/>
                <w:spacing w:val="-5"/>
                <w:sz w:val="18"/>
                <w:szCs w:val="18"/>
              </w:rPr>
              <w:t>HRMS</w:t>
            </w:r>
            <w:r>
              <w:rPr>
                <w:rFonts w:ascii="宋体" w:hAnsi="宋体" w:cs="宋体" w:eastAsia="宋体" w:hint="default"/>
                <w:spacing w:val="-5"/>
                <w:sz w:val="18"/>
                <w:szCs w:val="18"/>
              </w:rPr>
              <w:t>云服务软件（简称：</w:t>
            </w:r>
            <w:r>
              <w:rPr>
                <w:rFonts w:ascii="Times New Roman" w:hAnsi="Times New Roman" w:cs="Times New Roman" w:eastAsia="Times New Roman" w:hint="default"/>
                <w:spacing w:val="-5"/>
                <w:sz w:val="18"/>
                <w:szCs w:val="18"/>
              </w:rPr>
              <w:t>HAND </w:t>
            </w:r>
            <w:r>
              <w:rPr>
                <w:rFonts w:ascii="Times New Roman" w:hAnsi="Times New Roman" w:cs="Times New Roman" w:eastAsia="Times New Roman" w:hint="default"/>
                <w:sz w:val="18"/>
                <w:szCs w:val="18"/>
              </w:rPr>
              <w:t>HRMS</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Cloud)V4.2</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2015SR003521</w:t>
            </w:r>
          </w:p>
        </w:tc>
      </w:tr>
      <w:tr>
        <w:trPr>
          <w:trHeight w:val="346"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汉得移动商务软件</w:t>
            </w:r>
            <w:r>
              <w:rPr>
                <w:rFonts w:ascii="Times New Roman" w:hAnsi="Times New Roman" w:cs="Times New Roman" w:eastAsia="Times New Roman" w:hint="default"/>
                <w:sz w:val="18"/>
                <w:szCs w:val="18"/>
              </w:rPr>
              <w:t>v2.0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2015SR003516</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30</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汉得移动报销（安卓版）软件（简称：移动报销）</w:t>
            </w:r>
            <w:r>
              <w:rPr>
                <w:rFonts w:ascii="Times New Roman" w:hAnsi="Times New Roman" w:cs="Times New Roman" w:eastAsia="Times New Roman" w:hint="default"/>
                <w:sz w:val="18"/>
                <w:szCs w:val="18"/>
              </w:rPr>
              <w:t>V1.0</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96" w:right="0"/>
              <w:jc w:val="left"/>
              <w:rPr>
                <w:rFonts w:ascii="Times New Roman" w:hAnsi="Times New Roman" w:cs="Times New Roman" w:eastAsia="Times New Roman" w:hint="default"/>
                <w:sz w:val="18"/>
                <w:szCs w:val="18"/>
              </w:rPr>
            </w:pPr>
            <w:r>
              <w:rPr>
                <w:rFonts w:ascii="Times New Roman"/>
                <w:sz w:val="18"/>
              </w:rPr>
              <w:t>2015SR003564</w:t>
            </w:r>
          </w:p>
        </w:tc>
      </w:tr>
      <w:tr>
        <w:trPr>
          <w:trHeight w:val="348" w:hRule="exact"/>
        </w:trPr>
        <w:tc>
          <w:tcPr>
            <w:tcW w:w="8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31</w:t>
            </w:r>
          </w:p>
        </w:tc>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汉得供应链金融服务平台软件</w:t>
            </w:r>
          </w:p>
        </w:tc>
        <w:tc>
          <w:tcPr>
            <w:tcW w:w="23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96" w:right="0"/>
              <w:jc w:val="left"/>
              <w:rPr>
                <w:rFonts w:ascii="Times New Roman" w:hAnsi="Times New Roman" w:cs="Times New Roman" w:eastAsia="Times New Roman" w:hint="default"/>
                <w:sz w:val="18"/>
                <w:szCs w:val="18"/>
              </w:rPr>
            </w:pPr>
            <w:r>
              <w:rPr>
                <w:rFonts w:ascii="Times New Roman"/>
                <w:sz w:val="18"/>
              </w:rPr>
              <w:t>2015SR263688</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3"/>
        <w:spacing w:line="240" w:lineRule="auto" w:before="26"/>
        <w:ind w:right="95"/>
        <w:jc w:val="left"/>
      </w:pPr>
      <w:r>
        <w:rPr/>
        <w:t>全资子公司上海夏尔软件有限公司拥有的计算机软件著作权、发明专利情况如下表所示：</w:t>
      </w:r>
    </w:p>
    <w:p>
      <w:pPr>
        <w:spacing w:line="240" w:lineRule="auto" w:before="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739"/>
        <w:gridCol w:w="4364"/>
        <w:gridCol w:w="2410"/>
        <w:gridCol w:w="2175"/>
      </w:tblGrid>
      <w:tr>
        <w:trPr>
          <w:trHeight w:val="33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274"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证件编号</w:t>
            </w:r>
          </w:p>
        </w:tc>
      </w:tr>
      <w:tr>
        <w:trPr>
          <w:trHeight w:val="353"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w:t>
            </w:r>
          </w:p>
        </w:tc>
        <w:tc>
          <w:tcPr>
            <w:tcW w:w="436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夏尔超效影像捕获和索引软件</w:t>
            </w:r>
            <w:r>
              <w:rPr>
                <w:rFonts w:ascii="宋体" w:hAnsi="宋体" w:cs="宋体" w:eastAsia="宋体" w:hint="default"/>
                <w:sz w:val="18"/>
                <w:szCs w:val="18"/>
              </w:rPr>
              <w:t>V1.0 </w:t>
            </w:r>
          </w:p>
        </w:tc>
        <w:tc>
          <w:tcPr>
            <w:tcW w:w="24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2003SR9017</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夏尔超效影像捕获和索引软件</w:t>
            </w:r>
            <w:r>
              <w:rPr>
                <w:rFonts w:ascii="宋体" w:hAnsi="宋体" w:cs="宋体" w:eastAsia="宋体" w:hint="default"/>
                <w:sz w:val="18"/>
                <w:szCs w:val="18"/>
              </w:rPr>
              <w:t>V2.0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2006SR17916</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夏尔超效数控电源综合管理软件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2006SR07120</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夏尔归档服务软件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2007SR10205</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夏尔超效内容管理软件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2009SR02234</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夏尔法规遵从文件归档软件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2009SR032306</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夏尔超效内容管理软件</w:t>
            </w:r>
            <w:r>
              <w:rPr>
                <w:rFonts w:ascii="宋体" w:hAnsi="宋体" w:cs="宋体" w:eastAsia="宋体" w:hint="default"/>
                <w:sz w:val="18"/>
                <w:szCs w:val="18"/>
              </w:rPr>
              <w:t>V2.0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2009SR037703</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夏尔法规遵从邮件归档软件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2009SR037765</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夏尔超效工作流软件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2009SR037767</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夏尔信息资产管理及防扩散软件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2010SR049748</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11</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夏尔归档服务软件</w:t>
            </w:r>
            <w:r>
              <w:rPr>
                <w:rFonts w:ascii="宋体" w:hAnsi="宋体" w:cs="宋体" w:eastAsia="宋体" w:hint="default"/>
                <w:sz w:val="18"/>
                <w:szCs w:val="18"/>
              </w:rPr>
              <w:t>V2.0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2010SR049752</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夏尔屏幕追溯软件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2011SR084943</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13</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夏尔信息资产管理及防扩散软件</w:t>
            </w:r>
            <w:r>
              <w:rPr>
                <w:rFonts w:ascii="宋体" w:hAnsi="宋体" w:cs="宋体" w:eastAsia="宋体" w:hint="default"/>
                <w:sz w:val="18"/>
                <w:szCs w:val="18"/>
              </w:rPr>
              <w:t>V2.0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2011SR082750</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14</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夏尔超效影像捕获和索引软件</w:t>
            </w:r>
            <w:r>
              <w:rPr>
                <w:rFonts w:ascii="宋体" w:hAnsi="宋体" w:cs="宋体" w:eastAsia="宋体" w:hint="default"/>
                <w:sz w:val="18"/>
                <w:szCs w:val="18"/>
              </w:rPr>
              <w:t>V3.0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2013SR077727</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15</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夏尔录入培训软件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2013SR074327</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16</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夏尔计费影像捕获和索引软件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2013SR025951</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17</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夏尔自动编译服务器软件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2014SR039852</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18</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夏尔归档服务软件</w:t>
            </w:r>
            <w:r>
              <w:rPr>
                <w:rFonts w:ascii="宋体" w:hAnsi="宋体" w:cs="宋体" w:eastAsia="宋体" w:hint="default"/>
                <w:sz w:val="18"/>
                <w:szCs w:val="18"/>
              </w:rPr>
              <w:t>V3.0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2015SR246757</w:t>
            </w:r>
          </w:p>
        </w:tc>
      </w:tr>
      <w:tr>
        <w:trPr>
          <w:trHeight w:val="346"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19</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夏尔内部管理软件</w:t>
            </w:r>
            <w:r>
              <w:rPr>
                <w:rFonts w:ascii="宋体" w:hAnsi="宋体" w:cs="宋体" w:eastAsia="宋体" w:hint="default"/>
                <w:sz w:val="18"/>
                <w:szCs w:val="18"/>
              </w:rPr>
              <w:t>V1.0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2015SR199842</w:t>
            </w:r>
          </w:p>
        </w:tc>
      </w:tr>
      <w:tr>
        <w:trPr>
          <w:trHeight w:val="348" w:hRule="exact"/>
        </w:trPr>
        <w:tc>
          <w:tcPr>
            <w:tcW w:w="73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20</w:t>
            </w:r>
          </w:p>
        </w:tc>
        <w:tc>
          <w:tcPr>
            <w:tcW w:w="4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一种基于关键字光学字符识别的影像清晰度判断的方法</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专利</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201110255911.5</w:t>
            </w:r>
            <w:r>
              <w:rPr>
                <w:rFonts w:ascii="宋体" w:hAnsi="宋体" w:cs="宋体" w:eastAsia="宋体" w:hint="default"/>
                <w:sz w:val="18"/>
                <w:szCs w:val="18"/>
              </w:rPr>
              <w:t>已受理状态</w:t>
            </w:r>
          </w:p>
        </w:tc>
      </w:tr>
    </w:tbl>
    <w:p>
      <w:pPr>
        <w:pStyle w:val="Heading3"/>
        <w:spacing w:line="357" w:lineRule="auto" w:before="39"/>
        <w:ind w:right="-26"/>
        <w:jc w:val="left"/>
      </w:pPr>
      <w:r>
        <w:rPr>
          <w:rFonts w:ascii="宋体" w:hAnsi="宋体" w:cs="宋体" w:eastAsia="宋体" w:hint="default"/>
        </w:rPr>
        <w:t> </w:t>
      </w:r>
      <w:r>
        <w:rPr/>
        <w:t>控股子公司随身科</w:t>
      </w:r>
      <w:r>
        <w:rPr>
          <w:spacing w:val="-27"/>
        </w:rPr>
        <w:t>技</w:t>
      </w:r>
      <w:r>
        <w:rPr/>
        <w:t>（上海</w:t>
      </w:r>
      <w:r>
        <w:rPr>
          <w:spacing w:val="-27"/>
        </w:rPr>
        <w:t>）</w:t>
      </w:r>
      <w:r>
        <w:rPr/>
        <w:t>有限公司拥有的计算机软件著作权</w:t>
      </w:r>
      <w:r>
        <w:rPr>
          <w:spacing w:val="-27"/>
        </w:rPr>
        <w:t>、</w:t>
      </w:r>
      <w:r>
        <w:rPr/>
        <w:t>发明专利情况如下表所示：</w:t>
      </w:r>
    </w:p>
    <w:p>
      <w:pPr>
        <w:spacing w:after="0" w:line="357" w:lineRule="auto"/>
        <w:jc w:val="left"/>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76"/>
        <w:gridCol w:w="4395"/>
        <w:gridCol w:w="2273"/>
        <w:gridCol w:w="2415"/>
      </w:tblGrid>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4395"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7"/>
              <w:ind w:left="1291" w:right="0"/>
              <w:jc w:val="left"/>
              <w:rPr>
                <w:rFonts w:ascii="宋体" w:hAnsi="宋体" w:cs="宋体" w:eastAsia="宋体" w:hint="default"/>
                <w:sz w:val="18"/>
                <w:szCs w:val="18"/>
              </w:rPr>
            </w:pPr>
            <w:r>
              <w:rPr>
                <w:rFonts w:ascii="宋体" w:hAnsi="宋体" w:cs="宋体" w:eastAsia="宋体" w:hint="default"/>
                <w:sz w:val="18"/>
                <w:szCs w:val="18"/>
              </w:rPr>
              <w:t>自主知识产权产品名称</w:t>
            </w:r>
          </w:p>
        </w:tc>
        <w:tc>
          <w:tcPr>
            <w:tcW w:w="2273"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415"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证件编号</w:t>
            </w:r>
            <w:r>
              <w:rPr>
                <w:rFonts w:ascii="Times New Roman" w:hAnsi="Times New Roman" w:cs="Times New Roman" w:eastAsia="Times New Roman" w:hint="default"/>
                <w:sz w:val="18"/>
                <w:szCs w:val="18"/>
              </w:rPr>
              <w:t>/</w:t>
            </w:r>
            <w:r>
              <w:rPr>
                <w:rFonts w:ascii="宋体" w:hAnsi="宋体" w:cs="宋体" w:eastAsia="宋体" w:hint="default"/>
                <w:sz w:val="18"/>
                <w:szCs w:val="18"/>
              </w:rPr>
              <w:t>状态</w:t>
            </w:r>
          </w:p>
        </w:tc>
      </w:tr>
      <w:tr>
        <w:trPr>
          <w:trHeight w:val="658" w:hRule="exact"/>
        </w:trPr>
        <w:tc>
          <w:tcPr>
            <w:tcW w:w="576" w:type="dxa"/>
            <w:tcBorders>
              <w:top w:val="single" w:sz="10"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1</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随身科技随需即用无线管理软件</w:t>
            </w:r>
          </w:p>
          <w:p>
            <w:pPr>
              <w:pStyle w:val="TableParagraph"/>
              <w:spacing w:line="240" w:lineRule="auto" w:before="76"/>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OnDemand]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V2.0.0.0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045561</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随身行无线管理软件</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简称：</w:t>
            </w:r>
            <w:r>
              <w:rPr>
                <w:rFonts w:ascii="Times New Roman" w:hAnsi="Times New Roman" w:cs="Times New Roman" w:eastAsia="Times New Roman" w:hint="default"/>
                <w:spacing w:val="-3"/>
                <w:sz w:val="18"/>
                <w:szCs w:val="18"/>
              </w:rPr>
              <w:t>ZeroWire </w:t>
            </w:r>
            <w:r>
              <w:rPr>
                <w:rFonts w:ascii="Times New Roman" w:hAnsi="Times New Roman" w:cs="Times New Roman" w:eastAsia="Times New Roman" w:hint="default"/>
                <w:sz w:val="18"/>
                <w:szCs w:val="18"/>
              </w:rPr>
              <w:t>Enterprise®]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V2.2.0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076527</w:t>
            </w:r>
            <w:r>
              <w:rPr>
                <w:rFonts w:ascii="宋体" w:hAnsi="宋体" w:cs="宋体" w:eastAsia="宋体" w:hint="default"/>
                <w:sz w:val="18"/>
                <w:szCs w:val="18"/>
              </w:rPr>
              <w:t>号</w:t>
            </w:r>
          </w:p>
        </w:tc>
      </w:tr>
      <w:tr>
        <w:trPr>
          <w:trHeight w:val="346"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随身协同办公软件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MOC]V1.0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0208215</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随身无线评份软件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MGS]V1.8</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0208213</w:t>
            </w:r>
            <w:r>
              <w:rPr>
                <w:rFonts w:ascii="宋体" w:hAnsi="宋体" w:cs="宋体" w:eastAsia="宋体" w:hint="default"/>
                <w:sz w:val="18"/>
                <w:szCs w:val="18"/>
              </w:rPr>
              <w:t>号</w:t>
            </w:r>
          </w:p>
        </w:tc>
      </w:tr>
      <w:tr>
        <w:trPr>
          <w:trHeight w:val="346"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随身贷款通软件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MLS]V3.0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0208280</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随身快销通软件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Standard]V3</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0383703</w:t>
            </w:r>
            <w:r>
              <w:rPr>
                <w:rFonts w:ascii="宋体" w:hAnsi="宋体" w:cs="宋体" w:eastAsia="宋体" w:hint="default"/>
                <w:sz w:val="18"/>
                <w:szCs w:val="18"/>
              </w:rPr>
              <w:t>号</w:t>
            </w:r>
          </w:p>
        </w:tc>
      </w:tr>
      <w:tr>
        <w:trPr>
          <w:trHeight w:val="660"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随身快销通</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z w:val="18"/>
                <w:szCs w:val="18"/>
              </w:rPr>
              <w:t>Standard</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z w:val="18"/>
                <w:szCs w:val="18"/>
              </w:rPr>
              <w:t>for</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Android]V2.0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0432559</w:t>
            </w:r>
            <w:r>
              <w:rPr>
                <w:rFonts w:ascii="宋体" w:hAnsi="宋体" w:cs="宋体" w:eastAsia="宋体" w:hint="default"/>
                <w:sz w:val="18"/>
                <w:szCs w:val="18"/>
              </w:rPr>
              <w:t>号</w:t>
            </w:r>
          </w:p>
        </w:tc>
      </w:tr>
      <w:tr>
        <w:trPr>
          <w:trHeight w:val="65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8</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17"/>
              <w:ind w:left="4"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随身企业移动平台软件</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简称：</w:t>
            </w:r>
            <w:r>
              <w:rPr>
                <w:rFonts w:ascii="Times New Roman" w:hAnsi="Times New Roman" w:cs="Times New Roman" w:eastAsia="Times New Roman" w:hint="default"/>
                <w:spacing w:val="2"/>
                <w:sz w:val="18"/>
                <w:szCs w:val="18"/>
              </w:rPr>
              <w:t>ZeroWire </w:t>
            </w:r>
            <w:r>
              <w:rPr>
                <w:rFonts w:ascii="Times New Roman" w:hAnsi="Times New Roman" w:cs="Times New Roman" w:eastAsia="Times New Roman" w:hint="default"/>
                <w:sz w:val="18"/>
                <w:szCs w:val="18"/>
              </w:rPr>
              <w:t>EMP</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Platform]</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V2.0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0563447</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随身工作云软件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Oncloud]</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V2.5</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0675755</w:t>
            </w:r>
            <w:r>
              <w:rPr>
                <w:rFonts w:ascii="宋体" w:hAnsi="宋体" w:cs="宋体" w:eastAsia="宋体" w:hint="default"/>
                <w:sz w:val="18"/>
                <w:szCs w:val="18"/>
              </w:rPr>
              <w:t>号</w:t>
            </w:r>
          </w:p>
        </w:tc>
      </w:tr>
      <w:tr>
        <w:trPr>
          <w:trHeight w:val="346"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10</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随身管理云软件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Managers]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V2.1</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0675665</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11</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随身监管云软件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Monitoring]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V2.2.1.0</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0964114</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12</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随身渠道通软件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Channels]</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V1.0.0.1</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0866568</w:t>
            </w:r>
            <w:r>
              <w:rPr>
                <w:rFonts w:ascii="宋体" w:hAnsi="宋体" w:cs="宋体" w:eastAsia="宋体" w:hint="default"/>
                <w:sz w:val="18"/>
                <w:szCs w:val="18"/>
              </w:rPr>
              <w:t>号</w:t>
            </w:r>
          </w:p>
        </w:tc>
      </w:tr>
      <w:tr>
        <w:trPr>
          <w:trHeight w:val="346"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13</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随身工作云专业版软件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Oncloud]</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V1.61</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0866978</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14</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随身查核通软件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CPG]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V1.15</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0868476</w:t>
            </w:r>
            <w:r>
              <w:rPr>
                <w:rFonts w:ascii="宋体" w:hAnsi="宋体" w:cs="宋体" w:eastAsia="宋体" w:hint="default"/>
                <w:sz w:val="18"/>
                <w:szCs w:val="18"/>
              </w:rPr>
              <w:t>号</w:t>
            </w:r>
          </w:p>
        </w:tc>
      </w:tr>
      <w:tr>
        <w:trPr>
          <w:trHeight w:val="348" w:hRule="exact"/>
        </w:trPr>
        <w:tc>
          <w:tcPr>
            <w:tcW w:w="5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15</w:t>
            </w:r>
          </w:p>
        </w:tc>
        <w:tc>
          <w:tcPr>
            <w:tcW w:w="4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随身外包云软件</w:t>
            </w:r>
            <w:r>
              <w:rPr>
                <w:rFonts w:ascii="Times New Roman" w:hAnsi="Times New Roman" w:cs="Times New Roman" w:eastAsia="Times New Roman" w:hint="default"/>
                <w:sz w:val="18"/>
                <w:szCs w:val="18"/>
              </w:rPr>
              <w:t>[</w:t>
            </w:r>
            <w:r>
              <w:rPr>
                <w:rFonts w:ascii="宋体" w:hAnsi="宋体" w:cs="宋体" w:eastAsia="宋体" w:hint="default"/>
                <w:sz w:val="18"/>
                <w:szCs w:val="18"/>
              </w:rPr>
              <w:t>简称：</w:t>
            </w:r>
            <w:r>
              <w:rPr>
                <w:rFonts w:ascii="Times New Roman" w:hAnsi="Times New Roman" w:cs="Times New Roman" w:eastAsia="Times New Roman" w:hint="default"/>
                <w:sz w:val="18"/>
                <w:szCs w:val="18"/>
              </w:rPr>
              <w:t>ZeroWire HRO]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V1.02</w:t>
            </w:r>
          </w:p>
        </w:tc>
        <w:tc>
          <w:tcPr>
            <w:tcW w:w="2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软著登字第</w:t>
            </w:r>
            <w:r>
              <w:rPr>
                <w:rFonts w:ascii="Times New Roman" w:hAnsi="Times New Roman" w:cs="Times New Roman" w:eastAsia="Times New Roman" w:hint="default"/>
                <w:sz w:val="18"/>
                <w:szCs w:val="18"/>
              </w:rPr>
              <w:t>1184904</w:t>
            </w:r>
            <w:r>
              <w:rPr>
                <w:rFonts w:ascii="宋体" w:hAnsi="宋体" w:cs="宋体" w:eastAsia="宋体" w:hint="default"/>
                <w:sz w:val="18"/>
                <w:szCs w:val="18"/>
              </w:rPr>
              <w:t>号</w:t>
            </w:r>
          </w:p>
        </w:tc>
      </w:tr>
    </w:tbl>
    <w:p>
      <w:pPr>
        <w:spacing w:line="240" w:lineRule="auto" w:before="2"/>
        <w:rPr>
          <w:rFonts w:ascii="宋体" w:hAnsi="宋体" w:cs="宋体" w:eastAsia="宋体" w:hint="default"/>
          <w:sz w:val="24"/>
          <w:szCs w:val="24"/>
        </w:rPr>
      </w:pPr>
    </w:p>
    <w:p>
      <w:pPr>
        <w:pStyle w:val="BodyText"/>
        <w:spacing w:line="240" w:lineRule="auto" w:before="44"/>
        <w:ind w:right="498"/>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2,611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93.11%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128,737,891.50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95,878,254.97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76,878,957.47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18,681,163.23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7,730,201.90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4,754,532.00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6.18%</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研发投入总额占营业收入的比重较上年发生显著变化的原因</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498"/>
        <w:jc w:val="left"/>
      </w:pPr>
      <w:r>
        <w:rPr/>
        <w:t>研发投入资本化率大幅变动的原因及其合理性说明</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1,290,581,186.48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976,863,296.59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32.11%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1,084,453,032.79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916,327,702.32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18.35%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206,128,153.69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60,535,594.27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240.51%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4,040,949.80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133,675,017.24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138,792,493.06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-133,675,017.24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-134,751,543.26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57,336,260.00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125,737,320.00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4,938,908.41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41,742,436.50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-88.17%</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52,397,351.59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83,994,883.50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-37.62%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140,637,433.13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12,481,604.28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1,026.76%</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相关数据同比发生重大变动的主要影响因素说明</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57" w:lineRule="auto" w:before="134"/>
        <w:ind w:right="173"/>
        <w:jc w:val="left"/>
      </w:pPr>
      <w:r>
        <w:rPr/>
        <w:t>随着业务规模的扩大，经营性活动的现金流入及流出较</w:t>
      </w:r>
      <w:r>
        <w:rPr>
          <w:rFonts w:ascii="Times New Roman" w:hAnsi="Times New Roman" w:cs="Times New Roman" w:eastAsia="Times New Roman" w:hint="default"/>
        </w:rPr>
        <w:t>2014</w:t>
      </w:r>
      <w:r>
        <w:rPr/>
        <w:t>年度均有所增加；而随着公司加 大对应收账款的催收力度，</w:t>
      </w:r>
      <w:r>
        <w:rPr>
          <w:rFonts w:ascii="Times New Roman" w:hAnsi="Times New Roman" w:cs="Times New Roman" w:eastAsia="Times New Roman" w:hint="default"/>
        </w:rPr>
        <w:t>2015</w:t>
      </w:r>
      <w:r>
        <w:rPr/>
        <w:t>年度经营性活动的现金流状况较往年有较大改善； 投资活动净现金流出</w:t>
      </w:r>
      <w:r>
        <w:rPr>
          <w:rFonts w:ascii="Times New Roman" w:hAnsi="Times New Roman" w:cs="Times New Roman" w:eastAsia="Times New Roman" w:hint="default"/>
        </w:rPr>
        <w:t>1.34</w:t>
      </w:r>
      <w:r>
        <w:rPr/>
        <w:t>亿元，主要为青浦园区建设投入及支付的股权投资款项； 筹资活动净现金流入为</w:t>
      </w:r>
      <w:r>
        <w:rPr>
          <w:rFonts w:ascii="Times New Roman" w:hAnsi="Times New Roman" w:cs="Times New Roman" w:eastAsia="Times New Roman" w:hint="default"/>
        </w:rPr>
        <w:t>5,239.7</w:t>
      </w:r>
      <w:r>
        <w:rPr/>
        <w:t>万元，其中股权激励计划筹集资金</w:t>
      </w:r>
      <w:r>
        <w:rPr>
          <w:rFonts w:ascii="Times New Roman" w:hAnsi="Times New Roman" w:cs="Times New Roman" w:eastAsia="Times New Roman" w:hint="default"/>
        </w:rPr>
        <w:t>5,733.6</w:t>
      </w:r>
      <w:r>
        <w:rPr/>
        <w:t>万元。</w:t>
      </w:r>
    </w:p>
    <w:p>
      <w:pPr>
        <w:spacing w:line="240" w:lineRule="auto" w:before="0"/>
        <w:rPr>
          <w:rFonts w:ascii="宋体" w:hAnsi="宋体" w:cs="宋体" w:eastAsia="宋体" w:hint="default"/>
          <w:sz w:val="24"/>
          <w:szCs w:val="24"/>
        </w:rPr>
      </w:pPr>
    </w:p>
    <w:p>
      <w:pPr>
        <w:pStyle w:val="BodyText"/>
        <w:spacing w:line="240" w:lineRule="auto" w:before="210"/>
        <w:ind w:right="498"/>
        <w:jc w:val="left"/>
      </w:pPr>
      <w:r>
        <w:rPr/>
        <w:t>报告期内公司经营活动产生的现金净流量与本年度净利润存在重大差异的原因说明</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三、非主营业务情况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5"/>
        <w:gridCol w:w="1063"/>
        <w:gridCol w:w="1196"/>
        <w:gridCol w:w="1063"/>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6"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944,594,525.3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798,621,501.84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本年度货币资金增长主要来源于经 营活动的现金流入以及股权激励计 划筹得的资金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5,733.6 </w:t>
            </w:r>
            <w:r>
              <w:rPr>
                <w:rFonts w:ascii="宋体" w:hAnsi="宋体" w:cs="宋体" w:eastAsia="宋体" w:hint="default"/>
                <w:sz w:val="18"/>
                <w:szCs w:val="18"/>
              </w:rPr>
              <w:t>万元</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512,239,606.3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459,581,915.45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随着业务规模的扩大，应收账款的余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额也相应增长</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1,055,840.80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1,046,199.79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299,871,683.7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265,463,285.27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本年增加的固定资产主要为青浦园 区配套设施</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9"/>
        <w:gridCol w:w="1213"/>
        <w:gridCol w:w="1214"/>
        <w:gridCol w:w="1212"/>
        <w:gridCol w:w="1214"/>
        <w:gridCol w:w="1213"/>
        <w:gridCol w:w="1212"/>
        <w:gridCol w:w="1076"/>
      </w:tblGrid>
      <w:tr>
        <w:trPr>
          <w:trHeight w:val="1027"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11" w:right="60" w:hanging="449"/>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2"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5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603,500.00</w:t>
            </w:r>
          </w:p>
        </w:tc>
      </w:tr>
      <w:tr>
        <w:trPr>
          <w:trHeight w:val="403"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4,075,050.00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603,500.00</w:t>
            </w:r>
          </w:p>
        </w:tc>
      </w:tr>
      <w:tr>
        <w:trPr>
          <w:trHeight w:val="401" w:hRule="exact"/>
        </w:trPr>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4"/>
        <w:rPr>
          <w:rFonts w:ascii="宋体" w:hAnsi="宋体" w:cs="宋体" w:eastAsia="宋体" w:hint="default"/>
          <w:sz w:val="27"/>
          <w:szCs w:val="27"/>
        </w:rPr>
      </w:pPr>
    </w:p>
    <w:p>
      <w:pPr>
        <w:pStyle w:val="BodyText"/>
        <w:spacing w:line="240" w:lineRule="auto" w:before="44"/>
        <w:ind w:right="498"/>
        <w:jc w:val="left"/>
      </w:pPr>
      <w:r>
        <w:rPr/>
        <w:t>报告期内公司主要资产计量属性是否发生重大变化</w:t>
      </w:r>
    </w:p>
    <w:p>
      <w:pPr>
        <w:pStyle w:val="BodyText"/>
        <w:spacing w:line="240" w:lineRule="auto" w:before="115"/>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60,367,089.44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382.94%</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5"/>
        <w:gridCol w:w="682"/>
        <w:gridCol w:w="684"/>
        <w:gridCol w:w="682"/>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9" w:right="6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3" w:hanging="181"/>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446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上海汉 得商业 保理有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金融服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9" w:lineRule="auto"/>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152,105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47"/>
              <w:jc w:val="left"/>
              <w:rPr>
                <w:rFonts w:ascii="宋体" w:hAnsi="宋体" w:cs="宋体" w:eastAsia="宋体" w:hint="default"/>
                <w:sz w:val="18"/>
                <w:szCs w:val="18"/>
              </w:rPr>
            </w:pPr>
            <w:r>
              <w:rPr>
                <w:rFonts w:ascii="宋体" w:hAnsi="宋体" w:cs="宋体" w:eastAsia="宋体" w:hint="default"/>
                <w:sz w:val="18"/>
                <w:szCs w:val="18"/>
              </w:rPr>
              <w:t>巨潮资 讯网</w:t>
            </w:r>
            <w:r>
              <w:rPr>
                <w:rFonts w:ascii="Times New Roman" w:hAnsi="Times New Roman" w:cs="Times New Roman" w:eastAsia="Times New Roman" w:hint="default"/>
                <w:sz w:val="18"/>
                <w:szCs w:val="18"/>
              </w:rPr>
              <w:t>-</w:t>
            </w:r>
            <w:r>
              <w:rPr>
                <w:rFonts w:ascii="宋体" w:hAnsi="宋体" w:cs="宋体" w:eastAsia="宋体" w:hint="default"/>
                <w:sz w:val="18"/>
                <w:szCs w:val="18"/>
              </w:rPr>
              <w:t>关 于以自 有资金 人民币 壹亿元 设立上 海汉得 商业保 理有限 公司的 公告</w:t>
            </w:r>
          </w:p>
          <w:p>
            <w:pPr>
              <w:pStyle w:val="TableParagraph"/>
              <w:spacing w:line="300" w:lineRule="auto" w:before="19"/>
              <w:ind w:left="26"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2015- 024</w:t>
            </w:r>
            <w:r>
              <w:rPr>
                <w:rFonts w:ascii="宋体" w:hAnsi="宋体" w:cs="宋体" w:eastAsia="宋体" w:hint="default"/>
                <w:sz w:val="18"/>
                <w:szCs w:val="18"/>
              </w:rPr>
              <w:t>）</w:t>
            </w:r>
          </w:p>
        </w:tc>
      </w:tr>
      <w:tr>
        <w:trPr>
          <w:trHeight w:val="320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上海汉 得微扬 信息技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6" w:right="105"/>
              <w:jc w:val="left"/>
              <w:rPr>
                <w:rFonts w:ascii="宋体" w:hAnsi="宋体" w:cs="宋体" w:eastAsia="宋体" w:hint="default"/>
                <w:sz w:val="18"/>
                <w:szCs w:val="18"/>
              </w:rPr>
            </w:pPr>
            <w:r>
              <w:rPr>
                <w:rFonts w:ascii="宋体" w:hAnsi="宋体" w:cs="宋体" w:eastAsia="宋体" w:hint="default"/>
                <w:sz w:val="18"/>
                <w:szCs w:val="18"/>
              </w:rPr>
              <w:t>信息服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上海禹 哲投资 管理合 伙企业</w:t>
            </w:r>
          </w:p>
          <w:p>
            <w:pPr>
              <w:pStyle w:val="TableParagraph"/>
              <w:spacing w:line="316" w:lineRule="auto" w:before="19"/>
              <w:ind w:left="23" w:right="20"/>
              <w:jc w:val="left"/>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展舸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19"/>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left="96" w:right="0"/>
              <w:jc w:val="left"/>
              <w:rPr>
                <w:rFonts w:ascii="Times New Roman" w:hAnsi="Times New Roman" w:cs="Times New Roman" w:eastAsia="Times New Roman" w:hint="default"/>
                <w:sz w:val="18"/>
                <w:szCs w:val="18"/>
              </w:rPr>
            </w:pPr>
            <w:r>
              <w:rPr>
                <w:rFonts w:ascii="Times New Roman"/>
                <w:sz w:val="18"/>
              </w:rPr>
              <w:t>-366,19</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0.31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7"/>
              <w:jc w:val="left"/>
              <w:rPr>
                <w:rFonts w:ascii="宋体" w:hAnsi="宋体" w:cs="宋体" w:eastAsia="宋体" w:hint="default"/>
                <w:sz w:val="18"/>
                <w:szCs w:val="18"/>
              </w:rPr>
            </w:pPr>
            <w:r>
              <w:rPr>
                <w:rFonts w:ascii="宋体" w:hAnsi="宋体" w:cs="宋体" w:eastAsia="宋体" w:hint="default"/>
                <w:sz w:val="18"/>
                <w:szCs w:val="18"/>
              </w:rPr>
              <w:t>巨潮资 讯网</w:t>
            </w:r>
            <w:r>
              <w:rPr>
                <w:rFonts w:ascii="Times New Roman" w:hAnsi="Times New Roman" w:cs="Times New Roman" w:eastAsia="Times New Roman" w:hint="default"/>
                <w:sz w:val="18"/>
                <w:szCs w:val="18"/>
              </w:rPr>
              <w:t>-</w:t>
            </w:r>
            <w:r>
              <w:rPr>
                <w:rFonts w:ascii="宋体" w:hAnsi="宋体" w:cs="宋体" w:eastAsia="宋体" w:hint="default"/>
                <w:sz w:val="18"/>
                <w:szCs w:val="18"/>
              </w:rPr>
              <w:t>关 于以自 有资金 出资设 立合资 公司的 公告</w:t>
            </w:r>
          </w:p>
          <w:p>
            <w:pPr>
              <w:pStyle w:val="TableParagraph"/>
              <w:spacing w:line="300" w:lineRule="auto" w:before="20"/>
              <w:ind w:left="26" w:right="4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2015- 010</w:t>
            </w:r>
            <w:r>
              <w:rPr>
                <w:rFonts w:ascii="宋体" w:hAnsi="宋体" w:cs="宋体" w:eastAsia="宋体" w:hint="default"/>
                <w:sz w:val="18"/>
                <w:szCs w:val="18"/>
              </w:rPr>
              <w:t>）</w:t>
            </w:r>
          </w:p>
        </w:tc>
      </w:tr>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上海汉 得知云 软件有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信息服 务业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8"/>
              <w:jc w:val="right"/>
              <w:rPr>
                <w:rFonts w:ascii="Times New Roman" w:hAnsi="Times New Roman" w:cs="Times New Roman" w:eastAsia="Times New Roman" w:hint="default"/>
                <w:sz w:val="18"/>
                <w:szCs w:val="18"/>
              </w:rPr>
            </w:pPr>
            <w:r>
              <w:rPr>
                <w:rFonts w:ascii="Times New Roman"/>
                <w:sz w:val="18"/>
              </w:rPr>
              <w:t>51.00%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9" w:lineRule="auto"/>
              <w:ind w:left="23" w:right="79"/>
              <w:jc w:val="left"/>
              <w:rPr>
                <w:rFonts w:ascii="宋体" w:hAnsi="宋体" w:cs="宋体" w:eastAsia="宋体" w:hint="default"/>
                <w:sz w:val="18"/>
                <w:szCs w:val="18"/>
              </w:rPr>
            </w:pPr>
            <w:r>
              <w:rPr>
                <w:rFonts w:ascii="宋体" w:hAnsi="宋体" w:cs="宋体" w:eastAsia="宋体" w:hint="default"/>
                <w:sz w:val="18"/>
                <w:szCs w:val="18"/>
              </w:rPr>
              <w:t>上海天 序科技 资讯有 限公 司、</w:t>
            </w:r>
          </w:p>
          <w:p>
            <w:pPr>
              <w:pStyle w:val="TableParagraph"/>
              <w:spacing w:line="362" w:lineRule="auto" w:before="59"/>
              <w:ind w:left="23" w:right="79"/>
              <w:jc w:val="left"/>
              <w:rPr>
                <w:rFonts w:ascii="Times New Roman" w:hAnsi="Times New Roman" w:cs="Times New Roman" w:eastAsia="Times New Roman" w:hint="default"/>
                <w:sz w:val="18"/>
                <w:szCs w:val="18"/>
              </w:rPr>
            </w:pPr>
            <w:r>
              <w:rPr>
                <w:rFonts w:ascii="Times New Roman"/>
                <w:sz w:val="18"/>
              </w:rPr>
              <w:t>Knowle dge Platfor</w:t>
            </w:r>
            <w:r>
              <w:rPr>
                <w:rFonts w:ascii="Times New Roman"/>
                <w:w w:val="99"/>
                <w:sz w:val="18"/>
              </w:rPr>
              <w:t> </w:t>
            </w:r>
            <w:r>
              <w:rPr>
                <w:rFonts w:ascii="Times New Roman"/>
                <w:sz w:val="18"/>
              </w:rPr>
              <w:t>m</w:t>
            </w:r>
            <w:r>
              <w:rPr>
                <w:rFonts w:ascii="Times New Roman"/>
                <w:spacing w:val="-3"/>
                <w:sz w:val="18"/>
              </w:rPr>
              <w:t> </w:t>
            </w:r>
            <w:r>
              <w:rPr>
                <w:rFonts w:ascii="Times New Roman"/>
                <w:sz w:val="18"/>
              </w:rPr>
              <w:t>Pte.</w:t>
            </w:r>
            <w:r>
              <w:rPr>
                <w:rFonts w:ascii="Times New Roman"/>
                <w:sz w:val="18"/>
              </w:rPr>
              <w:t> Ltd.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-1,716,2</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95.99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47"/>
              <w:jc w:val="left"/>
              <w:rPr>
                <w:rFonts w:ascii="宋体" w:hAnsi="宋体" w:cs="宋体" w:eastAsia="宋体" w:hint="default"/>
                <w:sz w:val="18"/>
                <w:szCs w:val="18"/>
              </w:rPr>
            </w:pPr>
            <w:r>
              <w:rPr>
                <w:rFonts w:ascii="宋体" w:hAnsi="宋体" w:cs="宋体" w:eastAsia="宋体" w:hint="default"/>
                <w:sz w:val="18"/>
                <w:szCs w:val="18"/>
              </w:rPr>
              <w:t>巨潮资 讯网</w:t>
            </w:r>
            <w:r>
              <w:rPr>
                <w:rFonts w:ascii="Times New Roman" w:hAnsi="Times New Roman" w:cs="Times New Roman" w:eastAsia="Times New Roman" w:hint="default"/>
                <w:sz w:val="18"/>
                <w:szCs w:val="18"/>
              </w:rPr>
              <w:t>-</w:t>
            </w:r>
            <w:r>
              <w:rPr>
                <w:rFonts w:ascii="宋体" w:hAnsi="宋体" w:cs="宋体" w:eastAsia="宋体" w:hint="default"/>
                <w:sz w:val="18"/>
                <w:szCs w:val="18"/>
              </w:rPr>
              <w:t>关 于以自 有资金 与</w:t>
            </w:r>
          </w:p>
          <w:p>
            <w:pPr>
              <w:pStyle w:val="TableParagraph"/>
              <w:spacing w:line="362" w:lineRule="auto" w:before="63"/>
              <w:ind w:left="26" w:right="73"/>
              <w:jc w:val="left"/>
              <w:rPr>
                <w:rFonts w:ascii="Times New Roman" w:hAnsi="Times New Roman" w:cs="Times New Roman" w:eastAsia="Times New Roman" w:hint="default"/>
                <w:sz w:val="18"/>
                <w:szCs w:val="18"/>
              </w:rPr>
            </w:pPr>
            <w:r>
              <w:rPr>
                <w:rFonts w:ascii="Times New Roman"/>
                <w:sz w:val="18"/>
              </w:rPr>
              <w:t>Knowle dge Platfor</w:t>
            </w:r>
            <w:r>
              <w:rPr>
                <w:rFonts w:ascii="Times New Roman"/>
                <w:w w:val="99"/>
                <w:sz w:val="18"/>
              </w:rPr>
              <w:t> </w:t>
            </w:r>
            <w:r>
              <w:rPr>
                <w:rFonts w:ascii="Times New Roman"/>
                <w:sz w:val="18"/>
              </w:rPr>
              <w:t>m</w:t>
            </w:r>
            <w:r>
              <w:rPr>
                <w:rFonts w:ascii="Times New Roman"/>
                <w:w w:val="99"/>
                <w:sz w:val="18"/>
              </w:rPr>
              <w:t> </w:t>
            </w:r>
            <w:r>
              <w:rPr>
                <w:rFonts w:ascii="Times New Roman"/>
                <w:sz w:val="18"/>
              </w:rPr>
              <w:t>Pte.Ltd.</w:t>
            </w:r>
          </w:p>
          <w:p>
            <w:pPr>
              <w:pStyle w:val="TableParagraph"/>
              <w:spacing w:line="197"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316" w:lineRule="auto" w:before="76"/>
              <w:ind w:left="26" w:right="107"/>
              <w:jc w:val="both"/>
              <w:rPr>
                <w:rFonts w:ascii="宋体" w:hAnsi="宋体" w:cs="宋体" w:eastAsia="宋体" w:hint="default"/>
                <w:sz w:val="18"/>
                <w:szCs w:val="18"/>
              </w:rPr>
            </w:pPr>
            <w:r>
              <w:rPr>
                <w:rFonts w:ascii="宋体" w:hAnsi="宋体" w:cs="宋体" w:eastAsia="宋体" w:hint="default"/>
                <w:sz w:val="18"/>
                <w:szCs w:val="18"/>
              </w:rPr>
              <w:t>天序科 技咨询 有限公 司</w:t>
            </w:r>
            <w:r>
              <w:rPr>
                <w:rFonts w:ascii="宋体" w:hAnsi="宋体" w:cs="宋体" w:eastAsia="宋体" w:hint="default"/>
                <w:spacing w:val="1"/>
                <w:sz w:val="18"/>
                <w:szCs w:val="18"/>
              </w:rPr>
              <w:t> </w:t>
            </w:r>
            <w:r>
              <w:rPr>
                <w:rFonts w:ascii="宋体" w:hAnsi="宋体" w:cs="宋体" w:eastAsia="宋体" w:hint="default"/>
                <w:sz w:val="18"/>
                <w:szCs w:val="18"/>
              </w:rPr>
              <w:t>设</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5"/>
        <w:gridCol w:w="682"/>
        <w:gridCol w:w="684"/>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6" w:right="107"/>
              <w:jc w:val="both"/>
              <w:rPr>
                <w:rFonts w:ascii="宋体" w:hAnsi="宋体" w:cs="宋体" w:eastAsia="宋体" w:hint="default"/>
                <w:sz w:val="18"/>
                <w:szCs w:val="18"/>
              </w:rPr>
            </w:pPr>
            <w:r>
              <w:rPr>
                <w:rFonts w:ascii="宋体" w:hAnsi="宋体" w:cs="宋体" w:eastAsia="宋体" w:hint="default"/>
                <w:sz w:val="18"/>
                <w:szCs w:val="18"/>
              </w:rPr>
              <w:t>立合资 公司的 公告</w:t>
            </w:r>
          </w:p>
          <w:p>
            <w:pPr>
              <w:pStyle w:val="TableParagraph"/>
              <w:spacing w:line="300" w:lineRule="auto" w:before="17"/>
              <w:ind w:left="26" w:right="4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2014- 079</w:t>
            </w:r>
            <w:r>
              <w:rPr>
                <w:rFonts w:ascii="宋体" w:hAnsi="宋体" w:cs="宋体" w:eastAsia="宋体" w:hint="default"/>
                <w:sz w:val="18"/>
                <w:szCs w:val="18"/>
              </w:rPr>
              <w:t>）</w:t>
            </w:r>
          </w:p>
        </w:tc>
      </w:tr>
      <w:tr>
        <w:trPr>
          <w:trHeight w:val="71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102,000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-1,930,3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80.66</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87"/>
        <w:gridCol w:w="896"/>
        <w:gridCol w:w="1090"/>
        <w:gridCol w:w="1179"/>
        <w:gridCol w:w="1193"/>
        <w:gridCol w:w="958"/>
        <w:gridCol w:w="955"/>
        <w:gridCol w:w="955"/>
        <w:gridCol w:w="958"/>
      </w:tblGrid>
      <w:tr>
        <w:trPr>
          <w:trHeight w:val="1025"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3" w:right="80"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3" w:right="22"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84" w:right="19"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6"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1179"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603,500.00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603,500.00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9"/>
        <w:gridCol w:w="869"/>
        <w:gridCol w:w="871"/>
        <w:gridCol w:w="869"/>
        <w:gridCol w:w="869"/>
        <w:gridCol w:w="872"/>
        <w:gridCol w:w="869"/>
        <w:gridCol w:w="871"/>
        <w:gridCol w:w="869"/>
      </w:tblGrid>
      <w:tr>
        <w:trPr>
          <w:trHeight w:val="1337"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0"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1"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7"/>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587"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网下向询 价对象配 售与网上 向社会公 众投资者 定价发行 相结合的 方式</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71,373.31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6,168.75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44,744.13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26,629.17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6" w:right="113"/>
              <w:jc w:val="both"/>
              <w:rPr>
                <w:rFonts w:ascii="宋体" w:hAnsi="宋体" w:cs="宋体" w:eastAsia="宋体" w:hint="default"/>
                <w:sz w:val="18"/>
                <w:szCs w:val="18"/>
              </w:rPr>
            </w:pPr>
            <w:r>
              <w:rPr>
                <w:rFonts w:ascii="宋体" w:hAnsi="宋体" w:cs="宋体" w:eastAsia="宋体" w:hint="default"/>
                <w:sz w:val="18"/>
                <w:szCs w:val="18"/>
              </w:rPr>
              <w:t>均存储在 本公司开 立的募集 资金专户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26,629.17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6"/>
        <w:gridCol w:w="862"/>
        <w:gridCol w:w="879"/>
        <w:gridCol w:w="869"/>
        <w:gridCol w:w="871"/>
        <w:gridCol w:w="869"/>
        <w:gridCol w:w="869"/>
        <w:gridCol w:w="872"/>
        <w:gridCol w:w="870"/>
        <w:gridCol w:w="870"/>
        <w:gridCol w:w="869"/>
      </w:tblGrid>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71,373.31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6,168.75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44,744.13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26,629.17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26,629.17</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5"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日，公司本年度使用募集资金投入募投项目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37,687,534.55 </w:t>
            </w:r>
            <w:r>
              <w:rPr>
                <w:rFonts w:ascii="宋体" w:hAnsi="宋体" w:cs="宋体" w:eastAsia="宋体" w:hint="default"/>
                <w:sz w:val="18"/>
                <w:szCs w:val="18"/>
              </w:rPr>
              <w:t>元，其中已使用超募资金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27,649,328.63</w:t>
            </w:r>
            <w:r>
              <w:rPr>
                <w:rFonts w:ascii="宋体" w:hAnsi="宋体" w:cs="宋体" w:eastAsia="宋体" w:hint="default"/>
                <w:sz w:val="18"/>
                <w:szCs w:val="18"/>
              </w:rPr>
              <w:t>。</w:t>
            </w:r>
          </w:p>
          <w:p>
            <w:pPr>
              <w:pStyle w:val="TableParagraph"/>
              <w:spacing w:line="300" w:lineRule="auto" w:before="63"/>
              <w:ind w:left="24" w:right="14"/>
              <w:jc w:val="left"/>
              <w:rPr>
                <w:rFonts w:ascii="Times New Roman" w:hAnsi="Times New Roman" w:cs="Times New Roman" w:eastAsia="Times New Roman" w:hint="default"/>
                <w:sz w:val="18"/>
                <w:szCs w:val="18"/>
              </w:rPr>
            </w:pPr>
            <w:r>
              <w:rPr>
                <w:rFonts w:ascii="宋体" w:hAnsi="宋体" w:cs="宋体" w:eastAsia="宋体" w:hint="default"/>
                <w:spacing w:val="-5"/>
                <w:w w:val="100"/>
                <w:sz w:val="18"/>
                <w:szCs w:val="18"/>
              </w:rPr>
              <w:t>募集资金投入募投项目明细：</w:t>
            </w:r>
            <w:r>
              <w:rPr>
                <w:rFonts w:ascii="Times New Roman" w:hAnsi="Times New Roman" w:cs="Times New Roman" w:eastAsia="Times New Roman" w:hint="default"/>
                <w:spacing w:val="-5"/>
                <w:w w:val="100"/>
                <w:sz w:val="18"/>
                <w:szCs w:val="18"/>
              </w:rPr>
              <w:t>“ERP</w:t>
            </w:r>
            <w:r>
              <w:rPr>
                <w:rFonts w:ascii="Times New Roman" w:hAnsi="Times New Roman" w:cs="Times New Roman" w:eastAsia="Times New Roman" w:hint="default"/>
                <w:spacing w:val="12"/>
                <w:w w:val="100"/>
                <w:sz w:val="18"/>
                <w:szCs w:val="18"/>
              </w:rPr>
              <w:t> </w:t>
            </w:r>
            <w:r>
              <w:rPr>
                <w:rFonts w:ascii="宋体" w:hAnsi="宋体" w:cs="宋体" w:eastAsia="宋体" w:hint="default"/>
                <w:spacing w:val="-1"/>
                <w:w w:val="100"/>
                <w:sz w:val="18"/>
                <w:szCs w:val="18"/>
              </w:rPr>
              <w:t>实施服务平台建设项目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本年使用募集资金</w:t>
            </w:r>
            <w:r>
              <w:rPr>
                <w:rFonts w:ascii="宋体" w:hAnsi="宋体" w:cs="宋体" w:eastAsia="宋体" w:hint="default"/>
                <w:spacing w:val="-37"/>
                <w:w w:val="100"/>
                <w:sz w:val="18"/>
                <w:szCs w:val="18"/>
              </w:rPr>
              <w:t> </w:t>
            </w:r>
            <w:r>
              <w:rPr>
                <w:rFonts w:ascii="Times New Roman" w:hAnsi="Times New Roman" w:cs="Times New Roman" w:eastAsia="Times New Roman" w:hint="default"/>
                <w:spacing w:val="-1"/>
                <w:sz w:val="18"/>
                <w:szCs w:val="18"/>
              </w:rPr>
              <w:t>10,785,030.79</w:t>
            </w:r>
            <w:r>
              <w:rPr>
                <w:rFonts w:ascii="Times New Roman" w:hAnsi="Times New Roman" w:cs="Times New Roman" w:eastAsia="Times New Roman" w:hint="default"/>
                <w:spacing w:val="9"/>
                <w:sz w:val="18"/>
                <w:szCs w:val="18"/>
              </w:rPr>
              <w:t> </w:t>
            </w:r>
            <w:r>
              <w:rPr>
                <w:rFonts w:ascii="宋体" w:hAnsi="宋体" w:cs="宋体" w:eastAsia="宋体" w:hint="default"/>
                <w:spacing w:val="-12"/>
                <w:sz w:val="18"/>
                <w:szCs w:val="18"/>
              </w:rPr>
              <w:t>元，已累计使用</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128,190,887.51</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海外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软件外包开发中心建设项目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20,178,763.34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元，已累计使用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129,450,368.77</w:t>
            </w:r>
            <w:r>
              <w:rPr>
                <w:rFonts w:ascii="Times New Roman" w:hAnsi="Times New Roman" w:cs="Times New Roman" w:eastAsia="Times New Roman" w:hint="default"/>
                <w:spacing w:val="44"/>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应用产</w:t>
            </w:r>
            <w:r>
              <w:rPr>
                <w:rFonts w:ascii="宋体" w:hAnsi="宋体" w:cs="宋体" w:eastAsia="宋体" w:hint="default"/>
                <w:sz w:val="18"/>
                <w:szCs w:val="18"/>
              </w:rPr>
              <w:t> 品解决方案项目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本年未使用募集资金，已累计使用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30,092,626.46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本年使用募集资金 </w:t>
            </w:r>
            <w:r>
              <w:rPr>
                <w:rFonts w:ascii="Times New Roman" w:hAnsi="Times New Roman" w:cs="Times New Roman" w:eastAsia="Times New Roman" w:hint="default"/>
                <w:sz w:val="18"/>
                <w:szCs w:val="18"/>
              </w:rPr>
              <w:t>6,723,740.43</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元，已累计使用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50,734,177.78</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元。截止报告期已累计投入募集资金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338,468,060.52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日，公司本年度使用超募资金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51,649,328.63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元用于收购上海达美信息技术有限公司，</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27,649,328.63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元用于补充募投项目。</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51"/>
        <w:gridCol w:w="617"/>
        <w:gridCol w:w="852"/>
        <w:gridCol w:w="850"/>
        <w:gridCol w:w="708"/>
        <w:gridCol w:w="852"/>
        <w:gridCol w:w="708"/>
        <w:gridCol w:w="709"/>
        <w:gridCol w:w="852"/>
        <w:gridCol w:w="850"/>
        <w:gridCol w:w="425"/>
        <w:gridCol w:w="490"/>
      </w:tblGrid>
      <w:tr>
        <w:trPr>
          <w:trHeight w:val="2273"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369" w:right="98" w:hanging="269"/>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5"/>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45" w:right="4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4"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9" w:right="6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9"/>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9"/>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404"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实施服务平 台建设项目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12,138.8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12,138.8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12,275.81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24,638.55</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、海外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 包开发中心建设项 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10,927</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10,927.16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1,084.62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2,433.2</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4"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、应用产品解决方 案项目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3,088.6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3,009.26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2,324.55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3,870.19</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运维服务中 心建设项目</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5,006.65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605.61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5,006.65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1,239.16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2,833.94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31,161.05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31,161.05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1,003.82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31,081.87</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16,924.14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33,775.88</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75"/>
              <w:jc w:val="left"/>
              <w:rPr>
                <w:rFonts w:ascii="宋体" w:hAnsi="宋体" w:cs="宋体" w:eastAsia="宋体" w:hint="default"/>
                <w:sz w:val="18"/>
                <w:szCs w:val="18"/>
              </w:rPr>
            </w:pPr>
            <w:r>
              <w:rPr>
                <w:rFonts w:ascii="宋体" w:hAnsi="宋体" w:cs="宋体" w:eastAsia="宋体" w:hint="default"/>
                <w:sz w:val="18"/>
                <w:szCs w:val="18"/>
              </w:rPr>
              <w:t>收购上海夏尔软件 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6,187.33</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6,187.33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1,468.94</w:t>
            </w: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出资设立上海汉得</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405.81</w:t>
            </w: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24pt;margin-top:71.999985pt;width:478.9pt;height:696.85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617"/>
                    <w:gridCol w:w="852"/>
                    <w:gridCol w:w="850"/>
                    <w:gridCol w:w="708"/>
                    <w:gridCol w:w="852"/>
                    <w:gridCol w:w="708"/>
                    <w:gridCol w:w="709"/>
                    <w:gridCol w:w="852"/>
                    <w:gridCol w:w="850"/>
                    <w:gridCol w:w="425"/>
                    <w:gridCol w:w="490"/>
                  </w:tblGrid>
                  <w:tr>
                    <w:trPr>
                      <w:trHeight w:val="67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75"/>
                          <w:jc w:val="left"/>
                          <w:rPr>
                            <w:rFonts w:ascii="宋体" w:hAnsi="宋体" w:cs="宋体" w:eastAsia="宋体" w:hint="default"/>
                            <w:sz w:val="18"/>
                            <w:szCs w:val="18"/>
                          </w:rPr>
                        </w:pPr>
                        <w:r>
                          <w:rPr>
                            <w:rFonts w:ascii="宋体" w:hAnsi="宋体" w:cs="宋体" w:eastAsia="宋体" w:hint="default"/>
                            <w:sz w:val="18"/>
                            <w:szCs w:val="18"/>
                          </w:rPr>
                          <w:t>融晶信息科技有限 公司</w:t>
                        </w:r>
                      </w:p>
                    </w:tc>
                    <w:tc>
                      <w:tcPr>
                        <w:tcW w:w="61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both"/>
                          <w:rPr>
                            <w:rFonts w:ascii="宋体" w:hAnsi="宋体" w:cs="宋体" w:eastAsia="宋体" w:hint="default"/>
                            <w:sz w:val="18"/>
                            <w:szCs w:val="18"/>
                          </w:rPr>
                        </w:pPr>
                        <w:r>
                          <w:rPr>
                            <w:rFonts w:ascii="宋体" w:hAnsi="宋体" w:cs="宋体" w:eastAsia="宋体" w:hint="default"/>
                            <w:sz w:val="18"/>
                            <w:szCs w:val="18"/>
                          </w:rPr>
                          <w:t>设立合资公司并收 购上海欧俊信息技 术有限公司部分资 产及业务</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50.00%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-407.92</w:t>
                        </w: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收购上海达美信息 技术有限公司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32.43%</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上海汉得信息技术 股份有限公司厂房 </w:t>
                        </w:r>
                        <w:r>
                          <w:rPr>
                            <w:rFonts w:ascii="宋体" w:hAnsi="宋体" w:cs="宋体" w:eastAsia="宋体" w:hint="default"/>
                            <w:spacing w:val="-21"/>
                            <w:sz w:val="18"/>
                            <w:szCs w:val="18"/>
                          </w:rPr>
                          <w:t>项目（一期）建设（注</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6,340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2,764.93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2,764.93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43.61%</w:t>
                        </w:r>
                      </w:p>
                    </w:tc>
                    <w:tc>
                      <w:tcPr>
                        <w:tcW w:w="70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23,037.33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5,164.93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13,662.26</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1,466.83</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4" w:right="0"/>
                          <w:jc w:val="left"/>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54,211.05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54,198.38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6,168.75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44,744.13</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17,103.62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35,242.71</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w:t>
                        </w:r>
                      </w:p>
                    </w:tc>
                  </w:tr>
                  <w:tr>
                    <w:trPr>
                      <w:trHeight w:val="2588"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4"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4"/>
                          <w:jc w:val="both"/>
                          <w:rPr>
                            <w:rFonts w:ascii="宋体" w:hAnsi="宋体" w:cs="宋体" w:eastAsia="宋体" w:hint="default"/>
                            <w:sz w:val="18"/>
                            <w:szCs w:val="18"/>
                          </w:rPr>
                        </w:pPr>
                        <w:r>
                          <w:rPr>
                            <w:rFonts w:ascii="宋体" w:hAnsi="宋体" w:cs="宋体" w:eastAsia="宋体" w:hint="default"/>
                            <w:sz w:val="18"/>
                            <w:szCs w:val="18"/>
                          </w:rPr>
                          <w:t>海外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软件外包开发中心建设项目分三年进行投资建设，由于项目在规划设计阶段以及施工阶段 </w:t>
                        </w:r>
                        <w:r>
                          <w:rPr>
                            <w:rFonts w:ascii="宋体" w:hAnsi="宋体" w:cs="宋体" w:eastAsia="宋体" w:hint="default"/>
                            <w:spacing w:val="-2"/>
                            <w:sz w:val="18"/>
                            <w:szCs w:val="18"/>
                          </w:rPr>
                          <w:t>中出现若干设计规划合规性调整和其他不可预计因素，以及基于节能减排发展目标考虑，该项目工程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造价增加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3,392.53</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万元。海外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软件外包开发中心建设项目建成后是为公司原有的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ERP </w:t>
                        </w:r>
                        <w:r>
                          <w:rPr>
                            <w:rFonts w:ascii="宋体" w:hAnsi="宋体" w:cs="宋体" w:eastAsia="宋体" w:hint="default"/>
                            <w:sz w:val="18"/>
                            <w:szCs w:val="18"/>
                          </w:rPr>
                          <w:t>软件外包 服务提供全面平台支持，提升原有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软件外包服务能力。</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年实现外包收入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5,524.67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 现税后利润总额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1,084.62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万元。目前公司海外</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软件外包服务主要以日币计价，由于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 </w:t>
                        </w:r>
                        <w:r>
                          <w:rPr>
                            <w:rFonts w:ascii="宋体" w:hAnsi="宋体" w:cs="宋体" w:eastAsia="宋体" w:hint="default"/>
                            <w:spacing w:val="-2"/>
                            <w:sz w:val="18"/>
                            <w:szCs w:val="18"/>
                          </w:rPr>
                          <w:t>年以来日币贬值幅度巨大，导致当年度税后利润总额暂时未达到当初预计的年均税后利润。随着</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ERP</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软件外包服务能力的提升，本公司预计以后年度实现的效益会高于预计的年平均税后利润总额，最终</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本项目能达到预计的效益。</w:t>
                        </w:r>
                      </w:p>
                    </w:tc>
                  </w:tr>
                  <w:tr>
                    <w:trPr>
                      <w:trHeight w:val="713"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24" w:right="21"/>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5355" w:hRule="exact"/>
                    </w:trPr>
                    <w:tc>
                      <w:tcPr>
                        <w:tcW w:w="1651"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公司募集资金净额为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71,373.31</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万元，与预计募集资金相比，超募资金为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40,212.26</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万元。本公司已根</w:t>
                        </w:r>
                        <w:r>
                          <w:rPr>
                            <w:rFonts w:ascii="宋体" w:hAnsi="宋体" w:cs="宋体" w:eastAsia="宋体" w:hint="default"/>
                            <w:sz w:val="18"/>
                            <w:szCs w:val="18"/>
                          </w:rPr>
                          <w:t> </w:t>
                        </w:r>
                        <w:r>
                          <w:rPr>
                            <w:rFonts w:ascii="宋体" w:hAnsi="宋体" w:cs="宋体" w:eastAsia="宋体" w:hint="default"/>
                            <w:spacing w:val="-2"/>
                            <w:sz w:val="18"/>
                            <w:szCs w:val="18"/>
                          </w:rPr>
                          <w:t>据募集资金管理及使用制度与《募集资金三方监管协议》的相关约定对以上超募资金实行专户存储与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管理。根据《深圳证券交易所创业板股票上市规则》、《深圳证券交易所上市公司募集资金管理办法》</w:t>
                        </w:r>
                        <w:r>
                          <w:rPr>
                            <w:rFonts w:ascii="宋体" w:hAnsi="宋体" w:cs="宋体" w:eastAsia="宋体" w:hint="default"/>
                            <w:sz w:val="18"/>
                            <w:szCs w:val="18"/>
                          </w:rPr>
                        </w:r>
                      </w:p>
                      <w:p>
                        <w:pPr>
                          <w:pStyle w:val="TableParagraph"/>
                          <w:spacing w:line="307" w:lineRule="auto" w:before="24"/>
                          <w:ind w:left="24" w:right="17"/>
                          <w:jc w:val="left"/>
                          <w:rPr>
                            <w:rFonts w:ascii="宋体" w:hAnsi="宋体" w:cs="宋体" w:eastAsia="宋体" w:hint="default"/>
                            <w:sz w:val="18"/>
                            <w:szCs w:val="18"/>
                          </w:rPr>
                        </w:pPr>
                        <w:r>
                          <w:rPr>
                            <w:rFonts w:ascii="宋体" w:hAnsi="宋体" w:cs="宋体" w:eastAsia="宋体" w:hint="default"/>
                            <w:spacing w:val="-5"/>
                            <w:sz w:val="18"/>
                            <w:szCs w:val="18"/>
                          </w:rPr>
                          <w:t>《深圳证券交易所创业板上市公司规范运作指引》、《创业板信息披露业务备忘录第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超募资</w:t>
                        </w:r>
                        <w:r>
                          <w:rPr>
                            <w:rFonts w:ascii="宋体" w:hAnsi="宋体" w:cs="宋体" w:eastAsia="宋体" w:hint="default"/>
                            <w:spacing w:val="-88"/>
                            <w:sz w:val="18"/>
                            <w:szCs w:val="18"/>
                          </w:rPr>
                          <w:t> </w:t>
                        </w:r>
                        <w:r>
                          <w:rPr>
                            <w:rFonts w:ascii="宋体" w:hAnsi="宋体" w:cs="宋体" w:eastAsia="宋体" w:hint="default"/>
                            <w:spacing w:val="-2"/>
                            <w:sz w:val="18"/>
                            <w:szCs w:val="18"/>
                          </w:rPr>
                          <w:t>金使用》等有关法律、法规、规范性文件的规定，结合公司发展战略及实际经营情况，经审慎研究和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初步论证，超募资金使用情况如下：</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日，公司第一届董事会第二十九次（临时）会 </w:t>
                        </w:r>
                        <w:r>
                          <w:rPr>
                            <w:rFonts w:ascii="宋体" w:hAnsi="宋体" w:cs="宋体" w:eastAsia="宋体" w:hint="default"/>
                            <w:spacing w:val="-2"/>
                            <w:sz w:val="18"/>
                            <w:szCs w:val="18"/>
                          </w:rPr>
                          <w:t>议审议通过了《关于使用部分超募资金收购上海夏尔软件有限公司</w:t>
                        </w:r>
                        <w:r>
                          <w:rPr>
                            <w:rFonts w:ascii="宋体" w:hAnsi="宋体" w:cs="宋体" w:eastAsia="宋体" w:hint="default"/>
                            <w:spacing w:val="-26"/>
                            <w:sz w:val="18"/>
                            <w:szCs w:val="18"/>
                          </w:rPr>
                          <w:t>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股权的议案》，使用部分超募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资金收购上海夏尔软件有限公司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股权，已支付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6,187.33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 </w:t>
                        </w:r>
                        <w:r>
                          <w:rPr>
                            <w:rFonts w:ascii="宋体" w:hAnsi="宋体" w:cs="宋体" w:eastAsia="宋体" w:hint="default"/>
                            <w:spacing w:val="-2"/>
                            <w:sz w:val="18"/>
                            <w:szCs w:val="18"/>
                          </w:rPr>
                          <w:t>届董事会第三十四次（临时）会议及第一届监事会第二十一次（临时）会议审议通过了《关于公司以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部分超募资金设立合资公司的议案》，以超募资金出资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1,510 </w:t>
                        </w:r>
                        <w:r>
                          <w:rPr>
                            <w:rFonts w:ascii="宋体" w:hAnsi="宋体" w:cs="宋体" w:eastAsia="宋体" w:hint="default"/>
                            <w:sz w:val="18"/>
                            <w:szCs w:val="18"/>
                          </w:rPr>
                          <w:t>万元与自然人孟辉、张凌明、邱莉莉、</w:t>
                        </w:r>
                      </w:p>
                      <w:p>
                        <w:pPr>
                          <w:pStyle w:val="TableParagraph"/>
                          <w:spacing w:line="240" w:lineRule="auto" w:before="7"/>
                          <w:ind w:left="24" w:right="0"/>
                          <w:jc w:val="left"/>
                          <w:rPr>
                            <w:rFonts w:ascii="宋体" w:hAnsi="宋体" w:cs="宋体" w:eastAsia="宋体" w:hint="default"/>
                            <w:sz w:val="18"/>
                            <w:szCs w:val="18"/>
                          </w:rPr>
                        </w:pPr>
                        <w:r>
                          <w:rPr>
                            <w:rFonts w:ascii="宋体" w:hAnsi="宋体" w:cs="宋体" w:eastAsia="宋体" w:hint="default"/>
                            <w:sz w:val="18"/>
                            <w:szCs w:val="18"/>
                          </w:rPr>
                          <w:t>王盛合资设立上海汉得融晶信息科技有限公司。</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日，公司第二届董事会第十九次</w:t>
                        </w:r>
                      </w:p>
                      <w:p>
                        <w:pPr>
                          <w:pStyle w:val="TableParagraph"/>
                          <w:spacing w:line="312" w:lineRule="auto" w:before="63"/>
                          <w:ind w:left="24" w:right="14"/>
                          <w:jc w:val="left"/>
                          <w:rPr>
                            <w:rFonts w:ascii="宋体" w:hAnsi="宋体" w:cs="宋体" w:eastAsia="宋体" w:hint="default"/>
                            <w:sz w:val="18"/>
                            <w:szCs w:val="18"/>
                          </w:rPr>
                        </w:pPr>
                        <w:r>
                          <w:rPr>
                            <w:rFonts w:ascii="宋体" w:hAnsi="宋体" w:cs="宋体" w:eastAsia="宋体" w:hint="default"/>
                            <w:spacing w:val="-2"/>
                            <w:sz w:val="18"/>
                            <w:szCs w:val="18"/>
                          </w:rPr>
                          <w:t>（临时）会议审议通过了《关于以超募资金资金设立合资公司并收购上海欧俊信息技术有限公司部分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6"/>
                            <w:sz w:val="18"/>
                            <w:szCs w:val="18"/>
                          </w:rPr>
                          <w:t>资产及业务的议案》，以超募资金</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1600.00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万元与鸿竺投资管理合伙企业（有限合伙）合资设立一家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有限公司，并通过合资公司收购上海欧俊信息技术有限公司产品生命周期管理相关的资产和业务，截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日，已支付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日，公司第二届董事会第二十五次（临</w:t>
                        </w:r>
                        <w:r>
                          <w:rPr>
                            <w:rFonts w:ascii="宋体" w:hAnsi="宋体" w:cs="宋体" w:eastAsia="宋体" w:hint="default"/>
                            <w:sz w:val="18"/>
                            <w:szCs w:val="18"/>
                          </w:rPr>
                          <w:t> </w:t>
                        </w:r>
                        <w:r>
                          <w:rPr>
                            <w:rFonts w:ascii="宋体" w:hAnsi="宋体" w:cs="宋体" w:eastAsia="宋体" w:hint="default"/>
                            <w:spacing w:val="-3"/>
                            <w:sz w:val="18"/>
                            <w:szCs w:val="18"/>
                          </w:rPr>
                          <w:t>时）会议审议通过了《关于增加使用超募资金用于厂房项目（一期）建设的议案》，增加使用超募资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万元用于厂房项目（一期）建设。截至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2764.93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167"/>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1299"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20"/>
              <w:jc w:val="left"/>
              <w:rPr>
                <w:rFonts w:ascii="宋体" w:hAnsi="宋体" w:cs="宋体" w:eastAsia="宋体" w:hint="default"/>
                <w:sz w:val="18"/>
                <w:szCs w:val="18"/>
              </w:rPr>
            </w:pPr>
            <w:r>
              <w:rPr>
                <w:rFonts w:ascii="宋体" w:hAnsi="宋体" w:cs="宋体" w:eastAsia="宋体" w:hint="default"/>
                <w:sz w:val="18"/>
                <w:szCs w:val="18"/>
              </w:rPr>
              <w:t>元用于厂房项目（一期）建设。</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日，公司第二届董事会第三十一次（临时）会议 </w:t>
            </w:r>
            <w:r>
              <w:rPr>
                <w:rFonts w:ascii="宋体" w:hAnsi="宋体" w:cs="宋体" w:eastAsia="宋体" w:hint="default"/>
                <w:spacing w:val="-2"/>
                <w:sz w:val="18"/>
                <w:szCs w:val="18"/>
              </w:rPr>
              <w:t>及第二届监事会第二十六次（临时）会议审议通过了《关于使用超募资金支付收购上海达美现金对价</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sz w:val="18"/>
                <w:szCs w:val="18"/>
              </w:rPr>
              <w:t>部分的议案》，以超募资金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7400</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万元收购上海达美信息技术有限公司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w:t>
            </w:r>
            <w:r>
              <w:rPr>
                <w:rFonts w:ascii="宋体" w:hAnsi="宋体" w:cs="宋体" w:eastAsia="宋体" w:hint="default"/>
                <w:sz w:val="18"/>
                <w:szCs w:val="18"/>
              </w:rPr>
              <w:t>股权。截至</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万元支付了部分对价。</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22" w:right="17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58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日本公司召开的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年第一次临时股东大会审议通过《关于公司变更部分募投项目 </w:t>
            </w:r>
            <w:r>
              <w:rPr>
                <w:rFonts w:ascii="宋体" w:hAnsi="宋体" w:cs="宋体" w:eastAsia="宋体" w:hint="default"/>
                <w:spacing w:val="-3"/>
                <w:sz w:val="18"/>
                <w:szCs w:val="18"/>
              </w:rPr>
              <w:t>实施方式并使用部分超募资金的议案》，本公司原计划通过购置办公场地并装修的方式满足项目建设</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需要的办公场地投入的募投项目</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实施服务平台建设项目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海外</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软件外包开发中心建设项 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运维中心建设项目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。鉴于公司已成功获得沪青园工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11-026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号地块国有建设用地土地使用 </w:t>
            </w:r>
            <w:r>
              <w:rPr>
                <w:rFonts w:ascii="宋体" w:hAnsi="宋体" w:cs="宋体" w:eastAsia="宋体" w:hint="default"/>
                <w:spacing w:val="-2"/>
                <w:sz w:val="18"/>
                <w:szCs w:val="18"/>
              </w:rPr>
              <w:t>权，基于提高募集资金使用效率及募投项目建设质量的考虑，将上述募投项目办公场地的实施方式变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更为自主建设。</w:t>
            </w:r>
            <w:r>
              <w:rPr>
                <w:rFonts w:ascii="宋体" w:hAnsi="宋体" w:cs="宋体" w:eastAsia="宋体" w:hint="default"/>
                <w:spacing w:val="-14"/>
                <w:sz w:val="18"/>
                <w:szCs w:val="18"/>
              </w:rPr>
              <w:t> </w:t>
            </w:r>
            <w:r>
              <w:rPr>
                <w:rFonts w:ascii="宋体" w:hAnsi="宋体" w:cs="宋体" w:eastAsia="宋体" w:hint="default"/>
                <w:sz w:val="18"/>
                <w:szCs w:val="18"/>
              </w:rPr>
              <w:t>以上变更之后的建设项目总投入预计约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22,243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万元，资金来源分为三部分：一部分 为募投项目中计划用于办公场地购置及装修的募集资金约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11,801.85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万元；一部分为超募资金约</w:t>
            </w:r>
          </w:p>
          <w:p>
            <w:pPr>
              <w:pStyle w:val="TableParagraph"/>
              <w:spacing w:line="240" w:lineRule="auto" w:before="7"/>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5,224.15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万元；剩余部分员工宿舍建设资金约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万元为自有资金。</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尚未使用的募集资金均存储在本公司开立的募集资金专户。</w:t>
            </w:r>
          </w:p>
        </w:tc>
      </w:tr>
      <w:tr>
        <w:trPr>
          <w:trHeight w:val="102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本期无募集资金使用及披露中存在的问题或其他情况。</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98"/>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98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4851" w:space="4069"/>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539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汉得日本株 式会社</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信息系统和 软件咨询， 信息系统和 软件销售， 信息系统和 软件的设 计、开发、 构建支持和 接受委托， 信息系统的 运用和软件 维护，信息 处理技术人 员的派遣， 软件进出 口，投资业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万日元</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29,828,180.7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4,510,514.19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104,383,996.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4,995,031.58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2,976,559.04</w:t>
            </w:r>
          </w:p>
        </w:tc>
      </w:tr>
      <w:tr>
        <w:trPr>
          <w:trHeight w:val="28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上海夏尔软 件有限公司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z w:val="18"/>
                <w:szCs w:val="18"/>
              </w:rPr>
              <w:t>计算机领域 的技术服 务、技术开 发、技术转 让、技术咨 询，计算机 软件的开 发、制作、 销售，计算</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38"/>
              <w:jc w:val="center"/>
              <w:rPr>
                <w:rFonts w:ascii="Times New Roman" w:hAnsi="Times New Roman" w:cs="Times New Roman" w:eastAsia="Times New Roman" w:hint="default"/>
                <w:sz w:val="18"/>
                <w:szCs w:val="18"/>
              </w:rPr>
            </w:pPr>
            <w:r>
              <w:rPr>
                <w:rFonts w:ascii="Times New Roman"/>
                <w:sz w:val="18"/>
              </w:rPr>
              <w:t>4,510,514.19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104,383,996.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3" w:right="0"/>
              <w:jc w:val="center"/>
              <w:rPr>
                <w:rFonts w:ascii="Times New Roman" w:hAnsi="Times New Roman" w:cs="Times New Roman" w:eastAsia="Times New Roman" w:hint="default"/>
                <w:sz w:val="18"/>
                <w:szCs w:val="18"/>
              </w:rPr>
            </w:pPr>
            <w:r>
              <w:rPr>
                <w:rFonts w:ascii="Times New Roman"/>
                <w:sz w:val="18"/>
              </w:rPr>
              <w:t>4,995,031.58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5" w:right="0"/>
              <w:jc w:val="center"/>
              <w:rPr>
                <w:rFonts w:ascii="Times New Roman" w:hAnsi="Times New Roman" w:cs="Times New Roman" w:eastAsia="Times New Roman" w:hint="default"/>
                <w:sz w:val="18"/>
                <w:szCs w:val="18"/>
              </w:rPr>
            </w:pPr>
            <w:r>
              <w:rPr>
                <w:rFonts w:ascii="Times New Roman"/>
                <w:sz w:val="18"/>
              </w:rPr>
              <w:t>2,976,559.04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9"/>
              <w:jc w:val="right"/>
              <w:rPr>
                <w:rFonts w:ascii="Times New Roman" w:hAnsi="Times New Roman" w:cs="Times New Roman" w:eastAsia="Times New Roman" w:hint="default"/>
                <w:sz w:val="18"/>
                <w:szCs w:val="18"/>
              </w:rPr>
            </w:pPr>
            <w:r>
              <w:rPr>
                <w:rFonts w:ascii="Times New Roman"/>
                <w:spacing w:val="-1"/>
                <w:sz w:val="18"/>
              </w:rPr>
              <w:t>227,975.93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7"/>
              <w:jc w:val="right"/>
              <w:rPr>
                <w:rFonts w:ascii="Times New Roman" w:hAnsi="Times New Roman" w:cs="Times New Roman" w:eastAsia="Times New Roman" w:hint="default"/>
                <w:sz w:val="18"/>
                <w:szCs w:val="18"/>
              </w:rPr>
            </w:pPr>
            <w:r>
              <w:rPr>
                <w:rFonts w:ascii="Times New Roman"/>
                <w:spacing w:val="-1"/>
                <w:sz w:val="18"/>
              </w:rPr>
              <w:t>419,853.23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shape style="position:absolute;margin-left:215.690002pt;margin-top:72.47998pt;width:57.85pt;height:282.9pt;mso-position-horizontal-relative:page;mso-position-vertical-relative:page;z-index:-8300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4"/>
        <w:gridCol w:w="1198"/>
        <w:gridCol w:w="1044"/>
        <w:gridCol w:w="1044"/>
        <w:gridCol w:w="1047"/>
        <w:gridCol w:w="1046"/>
        <w:gridCol w:w="1045"/>
        <w:gridCol w:w="1044"/>
        <w:gridCol w:w="1047"/>
      </w:tblGrid>
      <w:tr>
        <w:trPr>
          <w:trHeight w:val="315" w:hRule="exact"/>
        </w:trPr>
        <w:tc>
          <w:tcPr>
            <w:tcW w:w="1054"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机硬件（以</w:t>
            </w:r>
          </w:p>
        </w:tc>
        <w:tc>
          <w:tcPr>
            <w:tcW w:w="1044" w:type="dxa"/>
            <w:vMerge w:val="restart"/>
            <w:tcBorders>
              <w:top w:val="single" w:sz="4" w:space="0" w:color="000000"/>
              <w:left w:val="single" w:sz="4" w:space="0" w:color="000000"/>
              <w:right w:val="single" w:sz="4" w:space="0" w:color="000000"/>
            </w:tcBorders>
          </w:tcPr>
          <w:p>
            <w:pPr>
              <w:pStyle w:val="TableParagraph"/>
              <w:spacing w:line="5657" w:lineRule="exact"/>
              <w:ind w:right="-53"/>
              <w:jc w:val="left"/>
              <w:rPr>
                <w:rFonts w:ascii="宋体" w:hAnsi="宋体" w:cs="宋体" w:eastAsia="宋体" w:hint="default"/>
                <w:sz w:val="20"/>
                <w:szCs w:val="20"/>
              </w:rPr>
            </w:pPr>
            <w:r>
              <w:rPr>
                <w:rFonts w:ascii="宋体" w:hAnsi="宋体" w:cs="宋体" w:eastAsia="宋体" w:hint="default"/>
                <w:position w:val="-112"/>
                <w:sz w:val="20"/>
                <w:szCs w:val="20"/>
              </w:rPr>
              <w:pict>
                <v:group style="width:51.85pt;height:282.9pt;mso-position-horizontal-relative:char;mso-position-vertical-relative:line" coordorigin="0,0" coordsize="1037,5658">
                  <v:group style="position:absolute;left:0;top:0;width:1037;height:5658" coordorigin="0,0" coordsize="1037,5658">
                    <v:shape style="position:absolute;left:0;top:0;width:1037;height:5658" coordorigin="0,0" coordsize="1037,5658" path="m0,5658l1037,5658,1037,0,0,0,0,5658xe" filled="true" fillcolor="#ffffff" stroked="false">
                      <v:path arrowok="t"/>
                      <v:fill type="solid"/>
                    </v:shape>
                  </v:group>
                </v:group>
              </w:pict>
            </w:r>
            <w:r>
              <w:rPr>
                <w:rFonts w:ascii="宋体" w:hAnsi="宋体" w:cs="宋体" w:eastAsia="宋体" w:hint="default"/>
                <w:position w:val="-112"/>
                <w:sz w:val="20"/>
                <w:szCs w:val="20"/>
              </w:rPr>
            </w:r>
          </w:p>
        </w:tc>
        <w:tc>
          <w:tcPr>
            <w:tcW w:w="1047"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4"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上除计算机</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信息系统安</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全专用产</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品）及配件</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通讯设备、</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文教用品的</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销售，系统</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集成，档案</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资料的数据</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处理服务，</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从事货物与</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口业务</w:t>
            </w:r>
            <w:r>
              <w:rPr>
                <w:rFonts w:ascii="宋体" w:hAnsi="宋体" w:cs="宋体" w:eastAsia="宋体" w:hint="default"/>
                <w:spacing w:val="-92"/>
                <w:sz w:val="18"/>
                <w:szCs w:val="18"/>
              </w:rPr>
              <w:t>。</w:t>
            </w:r>
            <w:r>
              <w:rPr>
                <w:rFonts w:ascii="宋体" w:hAnsi="宋体" w:cs="宋体" w:eastAsia="宋体" w:hint="default"/>
                <w:sz w:val="18"/>
                <w:szCs w:val="18"/>
              </w:rPr>
              <w:t>（企</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业经营涉及</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行政许可</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的，凭许可</w:t>
            </w: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4"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r>
      <w:tr>
        <w:trPr>
          <w:trHeight w:val="360" w:hRule="exact"/>
        </w:trPr>
        <w:tc>
          <w:tcPr>
            <w:tcW w:w="1054"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证件经营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4"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r>
      <w:tr>
        <w:trPr>
          <w:trHeight w:val="355"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信息科技、</w:t>
            </w: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网络科技及</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领域内的技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术开发、技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术服务、技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术咨询、技</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上海汉得融 晶信息科技 有限公司</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48"/>
              <w:jc w:val="both"/>
              <w:rPr>
                <w:rFonts w:ascii="宋体" w:hAnsi="宋体" w:cs="宋体" w:eastAsia="宋体" w:hint="default"/>
                <w:sz w:val="18"/>
                <w:szCs w:val="18"/>
              </w:rPr>
            </w:pPr>
            <w:r>
              <w:rPr>
                <w:rFonts w:ascii="宋体" w:hAnsi="宋体" w:cs="宋体" w:eastAsia="宋体" w:hint="default"/>
                <w:sz w:val="18"/>
                <w:szCs w:val="18"/>
              </w:rPr>
              <w:t>术转让，计 算机网络工 程</w:t>
            </w:r>
            <w:r>
              <w:rPr>
                <w:rFonts w:ascii="Times New Roman" w:hAnsi="Times New Roman" w:cs="Times New Roman" w:eastAsia="Times New Roman" w:hint="default"/>
                <w:sz w:val="18"/>
                <w:szCs w:val="18"/>
              </w:rPr>
              <w:t>(</w:t>
            </w:r>
            <w:r>
              <w:rPr>
                <w:rFonts w:ascii="宋体" w:hAnsi="宋体" w:cs="宋体" w:eastAsia="宋体" w:hint="default"/>
                <w:sz w:val="18"/>
                <w:szCs w:val="18"/>
              </w:rPr>
              <w:t>除专项审</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 币</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43,827,474.5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27,998,606.5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53,790,902.2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11,509,377.8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10,694,480.0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批</w:t>
            </w:r>
            <w:r>
              <w:rPr>
                <w:rFonts w:ascii="Times New Roman" w:hAnsi="Times New Roman" w:cs="Times New Roman" w:eastAsia="Times New Roman" w:hint="default"/>
                <w:sz w:val="18"/>
                <w:szCs w:val="18"/>
              </w:rPr>
              <w:t>)</w:t>
            </w:r>
            <w:r>
              <w:rPr>
                <w:rFonts w:ascii="宋体" w:hAnsi="宋体" w:cs="宋体" w:eastAsia="宋体" w:hint="default"/>
                <w:sz w:val="18"/>
                <w:szCs w:val="18"/>
              </w:rPr>
              <w:t>，计算机</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（企业经营</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涉及行政许</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可的，凭许</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可证件经</w:t>
            </w: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7"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498"/>
        <w:jc w:val="left"/>
      </w:pPr>
      <w:r>
        <w:rPr/>
        <w:t>报告期内取得和处置子公司的情况</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0" w:right="155"/>
        <w:jc w:val="right"/>
      </w:pPr>
      <w:r>
        <w:rPr/>
        <w:pict>
          <v:shape style="position:absolute;margin-left:56.424pt;margin-top:-30.888321pt;width:479.3pt;height:76.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月，公司出资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亿元人民币， 设立上海汉得商业保理有限公司。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月起，汉得保理纳入合并范围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月，公司与上海禹哲投资管理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月起，汉得微扬纳入合并范围</w:t>
                        </w:r>
                      </w:p>
                    </w:tc>
                  </w:tr>
                </w:tbl>
                <w:p>
                  <w:pPr/>
                </w:p>
              </w:txbxContent>
            </v:textbox>
            <w10:wrap type="none"/>
          </v:shape>
        </w:pict>
      </w:r>
      <w:r>
        <w:rPr/>
        <w:t>。</w:t>
      </w:r>
    </w:p>
    <w:p>
      <w:pPr>
        <w:spacing w:line="240" w:lineRule="auto" w:before="2"/>
        <w:rPr>
          <w:rFonts w:ascii="宋体" w:hAnsi="宋体" w:cs="宋体" w:eastAsia="宋体" w:hint="default"/>
          <w:sz w:val="21"/>
          <w:szCs w:val="21"/>
        </w:rPr>
      </w:pPr>
    </w:p>
    <w:p>
      <w:pPr>
        <w:pStyle w:val="BodyText"/>
        <w:spacing w:line="240" w:lineRule="auto" w:before="44"/>
        <w:ind w:left="0" w:right="155"/>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155"/>
        <w:jc w:val="right"/>
      </w:pPr>
      <w:r>
        <w:rPr/>
        <w:pict>
          <v:shape style="position:absolute;margin-left:56.424pt;margin-top:-122.468277pt;width:479.3pt;height:179.1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192"/>
                    <w:gridCol w:w="3191"/>
                  </w:tblGrid>
                  <w:tr>
                    <w:trPr>
                      <w:trHeight w:val="161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2"/>
                          <w:jc w:val="left"/>
                          <w:rPr>
                            <w:rFonts w:ascii="宋体" w:hAnsi="宋体" w:cs="宋体" w:eastAsia="宋体" w:hint="default"/>
                            <w:sz w:val="18"/>
                            <w:szCs w:val="18"/>
                          </w:rPr>
                        </w:pPr>
                        <w:r>
                          <w:rPr>
                            <w:rFonts w:ascii="宋体" w:hAnsi="宋体" w:cs="宋体" w:eastAsia="宋体" w:hint="default"/>
                            <w:spacing w:val="-6"/>
                            <w:sz w:val="18"/>
                            <w:szCs w:val="18"/>
                          </w:rPr>
                          <w:t>合伙企业（有限合伙）、展舸协议共同出</w:t>
                        </w:r>
                        <w:r>
                          <w:rPr>
                            <w:rFonts w:ascii="宋体" w:hAnsi="宋体" w:cs="宋体" w:eastAsia="宋体" w:hint="default"/>
                            <w:sz w:val="18"/>
                            <w:szCs w:val="18"/>
                          </w:rPr>
                          <w:t> 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万元人民币设立上海汉得微扬信</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息技术有限公司，其中公司出资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510 </w:t>
                        </w:r>
                        <w:r>
                          <w:rPr>
                            <w:rFonts w:ascii="宋体" w:hAnsi="宋体" w:cs="宋体" w:eastAsia="宋体" w:hint="default"/>
                            <w:sz w:val="18"/>
                            <w:szCs w:val="18"/>
                          </w:rPr>
                          <w:t>万</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元，取得汉得微扬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月已支付投资款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月，公司与上海天序科技资讯 有限公司、</w:t>
                        </w:r>
                        <w:r>
                          <w:rPr>
                            <w:rFonts w:ascii="Times New Roman" w:hAnsi="Times New Roman" w:cs="Times New Roman" w:eastAsia="Times New Roman" w:hint="default"/>
                            <w:sz w:val="18"/>
                            <w:szCs w:val="18"/>
                          </w:rPr>
                          <w:t>Knowledge Platform Pte.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Ltd.</w:t>
                        </w:r>
                        <w:r>
                          <w:rPr>
                            <w:rFonts w:ascii="Times New Roman" w:hAnsi="Times New Roman" w:cs="Times New Roman" w:eastAsia="Times New Roman" w:hint="default"/>
                            <w:sz w:val="18"/>
                            <w:szCs w:val="18"/>
                          </w:rPr>
                          <w:t> </w:t>
                        </w:r>
                        <w:r>
                          <w:rPr>
                            <w:rFonts w:ascii="宋体" w:hAnsi="宋体" w:cs="宋体" w:eastAsia="宋体" w:hint="default"/>
                            <w:sz w:val="18"/>
                            <w:szCs w:val="18"/>
                          </w:rPr>
                          <w:t>协议共同出资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万美元设立上海汉得</w:t>
                        </w:r>
                      </w:p>
                      <w:p>
                        <w:pPr>
                          <w:pStyle w:val="TableParagraph"/>
                          <w:spacing w:line="300" w:lineRule="auto" w:before="13"/>
                          <w:ind w:left="23" w:right="81"/>
                          <w:jc w:val="both"/>
                          <w:rPr>
                            <w:rFonts w:ascii="宋体" w:hAnsi="宋体" w:cs="宋体" w:eastAsia="宋体" w:hint="default"/>
                            <w:sz w:val="18"/>
                            <w:szCs w:val="18"/>
                          </w:rPr>
                        </w:pPr>
                        <w:r>
                          <w:rPr>
                            <w:rFonts w:ascii="宋体" w:hAnsi="宋体" w:cs="宋体" w:eastAsia="宋体" w:hint="default"/>
                            <w:sz w:val="18"/>
                            <w:szCs w:val="18"/>
                          </w:rPr>
                          <w:t>知云软件有限公司，其中公司出资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204 </w:t>
                        </w:r>
                        <w:r>
                          <w:rPr>
                            <w:rFonts w:ascii="宋体" w:hAnsi="宋体" w:cs="宋体" w:eastAsia="宋体" w:hint="default"/>
                            <w:sz w:val="18"/>
                            <w:szCs w:val="18"/>
                          </w:rPr>
                          <w:t>万美元。取得汉得知云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的股权，截 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月，投资款尚未支付。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月起，汉得知云纳入合并范围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right="498"/>
        <w:jc w:val="left"/>
      </w:pPr>
      <w:r>
        <w:rPr/>
        <w:t>主要控股参股公司情况说明</w:t>
      </w:r>
    </w:p>
    <w:p>
      <w:pPr>
        <w:pStyle w:val="Heading3"/>
        <w:spacing w:line="240" w:lineRule="auto" w:before="145"/>
        <w:ind w:right="498"/>
        <w:jc w:val="left"/>
      </w:pPr>
      <w:r>
        <w:rPr/>
        <w:t>报告期内，公司主要参股公司经营情况如下：</w:t>
      </w:r>
    </w:p>
    <w:p>
      <w:pPr>
        <w:pStyle w:val="Heading3"/>
        <w:spacing w:line="367" w:lineRule="auto" w:before="194"/>
        <w:ind w:left="633" w:right="173" w:hanging="480"/>
        <w:jc w:val="left"/>
      </w:pPr>
      <w:r>
        <w:rPr>
          <w:rFonts w:ascii="Times New Roman" w:hAnsi="Times New Roman" w:cs="Times New Roman" w:eastAsia="Times New Roman" w:hint="default"/>
        </w:rPr>
        <w:t>1.</w:t>
      </w:r>
      <w:r>
        <w:rPr/>
        <w:t>公司名称：汉得日本株式会社（以下简称</w:t>
      </w:r>
      <w:r>
        <w:rPr>
          <w:rFonts w:ascii="Times New Roman" w:hAnsi="Times New Roman" w:cs="Times New Roman" w:eastAsia="Times New Roman" w:hint="default"/>
        </w:rPr>
        <w:t>“</w:t>
      </w:r>
      <w:r>
        <w:rPr/>
        <w:t>汉得日本</w:t>
      </w:r>
      <w:r>
        <w:rPr>
          <w:rFonts w:ascii="Times New Roman" w:hAnsi="Times New Roman" w:cs="Times New Roman" w:eastAsia="Times New Roman" w:hint="default"/>
        </w:rPr>
        <w:t>”</w:t>
      </w:r>
      <w:r>
        <w:rPr/>
        <w:t>） 公司全资子公司，经营范围为：信息系统和软件咨询，信息系统和软件销售，信息系统</w:t>
      </w:r>
    </w:p>
    <w:p>
      <w:pPr>
        <w:pStyle w:val="Heading3"/>
        <w:spacing w:line="357" w:lineRule="auto" w:before="26"/>
        <w:ind w:right="191"/>
        <w:jc w:val="both"/>
      </w:pPr>
      <w:r>
        <w:rPr/>
        <w:t>和软件的设计、开发、构建支持和接受委托，信息系统的运用和软件维护，信息处理技术人 员的派遣，软件进出口，投资业务。</w:t>
      </w:r>
    </w:p>
    <w:p>
      <w:pPr>
        <w:pStyle w:val="Heading3"/>
        <w:spacing w:line="338" w:lineRule="auto" w:before="74"/>
        <w:ind w:right="173" w:firstLine="480"/>
        <w:jc w:val="left"/>
      </w:pPr>
      <w:r>
        <w:rPr/>
        <w:t>截至本报告期末，汉得日本总资产</w:t>
      </w:r>
      <w:r>
        <w:rPr>
          <w:rFonts w:ascii="Times New Roman" w:hAnsi="Times New Roman" w:cs="Times New Roman" w:eastAsia="Times New Roman" w:hint="default"/>
        </w:rPr>
        <w:t>29,828,180.75</w:t>
      </w:r>
      <w:r>
        <w:rPr/>
        <w:t>元，净资产</w:t>
      </w:r>
      <w:r>
        <w:rPr>
          <w:rFonts w:ascii="Times New Roman" w:hAnsi="Times New Roman" w:cs="Times New Roman" w:eastAsia="Times New Roman" w:hint="default"/>
        </w:rPr>
        <w:t>4,510,514.19</w:t>
      </w:r>
      <w:r>
        <w:rPr/>
        <w:t>元；</w:t>
      </w:r>
      <w:r>
        <w:rPr>
          <w:rFonts w:ascii="Times New Roman" w:hAnsi="Times New Roman" w:cs="Times New Roman" w:eastAsia="Times New Roman" w:hint="default"/>
        </w:rPr>
        <w:t>2015</w:t>
      </w:r>
      <w:r>
        <w:rPr/>
        <w:t>年营业 收入</w:t>
      </w:r>
      <w:r>
        <w:rPr>
          <w:rFonts w:ascii="Times New Roman" w:hAnsi="Times New Roman" w:cs="Times New Roman" w:eastAsia="Times New Roman" w:hint="default"/>
        </w:rPr>
        <w:t>104,383,996.46</w:t>
      </w:r>
      <w:r>
        <w:rPr/>
        <w:t>元，实现净利润</w:t>
      </w:r>
      <w:r>
        <w:rPr>
          <w:rFonts w:ascii="Times New Roman" w:hAnsi="Times New Roman" w:cs="Times New Roman" w:eastAsia="Times New Roman" w:hint="default"/>
        </w:rPr>
        <w:t>2,976,559.04</w:t>
      </w:r>
      <w:r>
        <w:rPr/>
        <w:t>元。</w:t>
      </w:r>
    </w:p>
    <w:p>
      <w:pPr>
        <w:pStyle w:val="Heading3"/>
        <w:spacing w:line="367" w:lineRule="auto" w:before="67"/>
        <w:ind w:left="633" w:right="173" w:hanging="480"/>
        <w:jc w:val="left"/>
      </w:pPr>
      <w:r>
        <w:rPr>
          <w:rFonts w:ascii="Times New Roman" w:hAnsi="Times New Roman" w:cs="Times New Roman" w:eastAsia="Times New Roman" w:hint="default"/>
        </w:rPr>
        <w:t>2.</w:t>
      </w:r>
      <w:r>
        <w:rPr/>
        <w:t>公司名称：上海夏尔软件有限公司（以下简称</w:t>
      </w:r>
      <w:r>
        <w:rPr>
          <w:rFonts w:ascii="Times New Roman" w:hAnsi="Times New Roman" w:cs="Times New Roman" w:eastAsia="Times New Roman" w:hint="default"/>
        </w:rPr>
        <w:t>“</w:t>
      </w:r>
      <w:r>
        <w:rPr/>
        <w:t>夏尔软件</w:t>
      </w:r>
      <w:r>
        <w:rPr>
          <w:rFonts w:ascii="Times New Roman" w:hAnsi="Times New Roman" w:cs="Times New Roman" w:eastAsia="Times New Roman" w:hint="default"/>
        </w:rPr>
        <w:t>”</w:t>
      </w:r>
      <w:r>
        <w:rPr/>
        <w:t>） 公司全资子公司，经营范围为：计算机领域的技术服务、技术开发、技术转让、技术咨</w:t>
      </w:r>
    </w:p>
    <w:p>
      <w:pPr>
        <w:pStyle w:val="Heading3"/>
        <w:spacing w:line="357" w:lineRule="auto" w:before="26"/>
        <w:ind w:right="189"/>
        <w:jc w:val="both"/>
      </w:pPr>
      <w:r>
        <w:rPr/>
        <w:t>询，计算机软件的开发、制作、销售，计算机硬件（以上除计算机信息系统安全专用产品） 及配件、通讯设备、文教用品的销售，系统集成，档案资料的数据处理服务，从事货物与技 术的进出口业务。（企业经营涉及行政许可的，凭许可证件经营）。</w:t>
      </w:r>
    </w:p>
    <w:p>
      <w:pPr>
        <w:pStyle w:val="Heading3"/>
        <w:spacing w:line="352" w:lineRule="auto" w:before="74"/>
        <w:ind w:right="0" w:firstLine="480"/>
        <w:jc w:val="left"/>
      </w:pPr>
      <w:r>
        <w:rPr>
          <w:spacing w:val="-2"/>
        </w:rPr>
        <w:t>截止本报告期末，夏尔软件总资产</w:t>
      </w:r>
      <w:r>
        <w:rPr>
          <w:rFonts w:ascii="Times New Roman" w:hAnsi="Times New Roman" w:cs="Times New Roman" w:eastAsia="Times New Roman" w:hint="default"/>
          <w:spacing w:val="-2"/>
        </w:rPr>
        <w:t>42,304,492.27</w:t>
      </w:r>
      <w:r>
        <w:rPr>
          <w:spacing w:val="-2"/>
        </w:rPr>
        <w:t>元，净资产</w:t>
      </w:r>
      <w:r>
        <w:rPr>
          <w:rFonts w:ascii="Times New Roman" w:hAnsi="Times New Roman" w:cs="Times New Roman" w:eastAsia="Times New Roman" w:hint="default"/>
          <w:spacing w:val="-2"/>
        </w:rPr>
        <w:t>34,405,817.59</w:t>
      </w:r>
      <w:r>
        <w:rPr>
          <w:spacing w:val="-2"/>
        </w:rPr>
        <w:t>元；</w:t>
      </w:r>
      <w:r>
        <w:rPr>
          <w:rFonts w:ascii="Times New Roman" w:hAnsi="Times New Roman" w:cs="Times New Roman" w:eastAsia="Times New Roman" w:hint="default"/>
          <w:spacing w:val="-2"/>
        </w:rPr>
        <w:t>2015</w:t>
      </w:r>
      <w:r>
        <w:rPr>
          <w:spacing w:val="-2"/>
        </w:rPr>
        <w:t>年营业</w:t>
      </w:r>
      <w:r>
        <w:rPr/>
        <w:t> 收入</w:t>
      </w:r>
      <w:r>
        <w:rPr>
          <w:rFonts w:ascii="Times New Roman" w:hAnsi="Times New Roman" w:cs="Times New Roman" w:eastAsia="Times New Roman" w:hint="default"/>
        </w:rPr>
        <w:t>27,195,122.73</w:t>
      </w:r>
      <w:r>
        <w:rPr/>
        <w:t>元，实现净利润</w:t>
      </w:r>
      <w:r>
        <w:rPr>
          <w:rFonts w:ascii="Times New Roman" w:hAnsi="Times New Roman" w:cs="Times New Roman" w:eastAsia="Times New Roman" w:hint="default"/>
        </w:rPr>
        <w:t>419,853.23</w:t>
      </w:r>
      <w:r>
        <w:rPr/>
        <w:t>元。 </w:t>
      </w:r>
      <w:r>
        <w:rPr>
          <w:rFonts w:ascii="Times New Roman" w:hAnsi="Times New Roman" w:cs="Times New Roman" w:eastAsia="Times New Roman" w:hint="default"/>
        </w:rPr>
        <w:t>3.</w:t>
      </w:r>
      <w:r>
        <w:rPr/>
        <w:t>公司名称：上海汉得融晶信息科技有限公司（以下简称</w:t>
      </w:r>
      <w:r>
        <w:rPr>
          <w:rFonts w:ascii="Times New Roman" w:hAnsi="Times New Roman" w:cs="Times New Roman" w:eastAsia="Times New Roman" w:hint="default"/>
        </w:rPr>
        <w:t>“</w:t>
      </w:r>
      <w:r>
        <w:rPr/>
        <w:t>汉得融晶</w:t>
      </w:r>
      <w:r>
        <w:rPr>
          <w:rFonts w:ascii="Times New Roman" w:hAnsi="Times New Roman" w:cs="Times New Roman" w:eastAsia="Times New Roman" w:hint="default"/>
        </w:rPr>
        <w:t>”</w:t>
      </w:r>
      <w:r>
        <w:rPr/>
        <w:t>）</w:t>
      </w:r>
    </w:p>
    <w:p>
      <w:pPr>
        <w:pStyle w:val="Heading3"/>
        <w:spacing w:line="348" w:lineRule="auto" w:before="51"/>
        <w:ind w:right="191" w:firstLine="480"/>
        <w:jc w:val="both"/>
      </w:pPr>
      <w:r>
        <w:rPr/>
        <w:t>公司控股子公司，经营范围为：信息科技、网络科技及计算机软件领域内的技术开发、 技术服务、技术咨询、技术转让，计算机网络工程</w:t>
      </w:r>
      <w:r>
        <w:rPr>
          <w:rFonts w:ascii="Times New Roman" w:hAnsi="Times New Roman" w:cs="Times New Roman" w:eastAsia="Times New Roman" w:hint="default"/>
        </w:rPr>
        <w:t>(</w:t>
      </w:r>
      <w:r>
        <w:rPr/>
        <w:t>除专项审批</w:t>
      </w:r>
      <w:r>
        <w:rPr>
          <w:rFonts w:ascii="Times New Roman" w:hAnsi="Times New Roman" w:cs="Times New Roman" w:eastAsia="Times New Roman" w:hint="default"/>
        </w:rPr>
        <w:t>)</w:t>
      </w:r>
      <w:r>
        <w:rPr/>
        <w:t>，计算机系统集成。（企业 经营涉及行政许可的，凭许可证件经营）。</w:t>
      </w:r>
    </w:p>
    <w:p>
      <w:pPr>
        <w:pStyle w:val="Heading3"/>
        <w:spacing w:line="240" w:lineRule="auto" w:before="84"/>
        <w:ind w:left="633" w:right="0"/>
        <w:jc w:val="left"/>
      </w:pPr>
      <w:r>
        <w:rPr/>
        <w:t>截止本报告期末，汉得融晶总资产</w:t>
      </w:r>
      <w:r>
        <w:rPr>
          <w:rFonts w:ascii="Times New Roman" w:hAnsi="Times New Roman" w:cs="Times New Roman" w:eastAsia="Times New Roman" w:hint="default"/>
        </w:rPr>
        <w:t>43,827,474.50</w:t>
      </w:r>
      <w:r>
        <w:rPr/>
        <w:t>元，净资产</w:t>
      </w:r>
      <w:r>
        <w:rPr>
          <w:rFonts w:ascii="Times New Roman" w:hAnsi="Times New Roman" w:cs="Times New Roman" w:eastAsia="Times New Roman" w:hint="default"/>
        </w:rPr>
        <w:t>27,998,606.51</w:t>
      </w:r>
      <w:r>
        <w:rPr/>
        <w:t>元；</w:t>
      </w:r>
      <w:r>
        <w:rPr>
          <w:rFonts w:ascii="Times New Roman" w:hAnsi="Times New Roman" w:cs="Times New Roman" w:eastAsia="Times New Roman" w:hint="default"/>
        </w:rPr>
        <w:t>2015</w:t>
      </w:r>
      <w:r>
        <w:rPr/>
        <w:t>年营业</w:t>
      </w:r>
    </w:p>
    <w:p>
      <w:pPr>
        <w:spacing w:after="0" w:line="240"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before="26"/>
        <w:ind w:right="95"/>
        <w:jc w:val="left"/>
      </w:pPr>
      <w:r>
        <w:rPr/>
        <w:t>收入</w:t>
      </w:r>
      <w:r>
        <w:rPr>
          <w:rFonts w:ascii="Times New Roman" w:hAnsi="Times New Roman" w:cs="Times New Roman" w:eastAsia="Times New Roman" w:hint="default"/>
        </w:rPr>
        <w:t>53,790,902.21</w:t>
      </w:r>
      <w:r>
        <w:rPr/>
        <w:t>元，实现净利润</w:t>
      </w:r>
      <w:r>
        <w:rPr>
          <w:rFonts w:ascii="Times New Roman" w:hAnsi="Times New Roman" w:cs="Times New Roman" w:eastAsia="Times New Roman" w:hint="default"/>
        </w:rPr>
        <w:t>10,694,480.08</w:t>
      </w:r>
      <w:r>
        <w:rPr/>
        <w:t>元。</w:t>
      </w:r>
    </w:p>
    <w:p>
      <w:pPr>
        <w:spacing w:line="240" w:lineRule="auto" w:before="6"/>
        <w:rPr>
          <w:rFonts w:ascii="宋体" w:hAnsi="宋体" w:cs="宋体" w:eastAsia="宋体" w:hint="default"/>
          <w:sz w:val="27"/>
          <w:szCs w:val="27"/>
        </w:rPr>
      </w:pPr>
    </w:p>
    <w:p>
      <w:pPr>
        <w:pStyle w:val="Heading2"/>
        <w:spacing w:line="240" w:lineRule="auto"/>
        <w:ind w:right="95"/>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692" w:lineRule="exact" w:before="41"/>
        <w:ind w:left="633" w:right="95" w:hanging="480"/>
        <w:jc w:val="left"/>
        <w:rPr>
          <w:rFonts w:ascii="宋体" w:hAnsi="宋体" w:cs="宋体" w:eastAsia="宋体" w:hint="default"/>
          <w:sz w:val="24"/>
          <w:szCs w:val="24"/>
        </w:rPr>
      </w:pPr>
      <w:r>
        <w:rPr>
          <w:rFonts w:ascii="宋体" w:hAnsi="宋体" w:cs="宋体" w:eastAsia="宋体" w:hint="default"/>
          <w:b/>
          <w:bCs/>
          <w:sz w:val="24"/>
          <w:szCs w:val="24"/>
        </w:rPr>
        <w:t>九、公司未来发展的展望</w:t>
      </w:r>
      <w:r>
        <w:rPr>
          <w:rFonts w:ascii="宋体" w:hAnsi="宋体" w:cs="宋体" w:eastAsia="宋体" w:hint="default"/>
          <w:b/>
          <w:bCs/>
          <w:w w:val="99"/>
          <w:sz w:val="24"/>
          <w:szCs w:val="24"/>
        </w:rPr>
        <w:t> </w:t>
      </w:r>
      <w:r>
        <w:rPr>
          <w:rFonts w:ascii="宋体" w:hAnsi="宋体" w:cs="宋体" w:eastAsia="宋体" w:hint="default"/>
          <w:sz w:val="24"/>
          <w:szCs w:val="24"/>
        </w:rPr>
        <w:t>本报告期内，公司继续巩固了作为中国本土最大高端</w:t>
      </w:r>
      <w:r>
        <w:rPr>
          <w:rFonts w:ascii="Times New Roman" w:hAnsi="Times New Roman" w:cs="Times New Roman" w:eastAsia="Times New Roman" w:hint="default"/>
          <w:sz w:val="24"/>
          <w:szCs w:val="24"/>
        </w:rPr>
        <w:t>ERP</w:t>
      </w:r>
      <w:r>
        <w:rPr>
          <w:rFonts w:ascii="宋体" w:hAnsi="宋体" w:cs="宋体" w:eastAsia="宋体" w:hint="default"/>
          <w:sz w:val="24"/>
          <w:szCs w:val="24"/>
        </w:rPr>
        <w:t>实施服务商的市场地位，主营</w:t>
      </w:r>
    </w:p>
    <w:p>
      <w:pPr>
        <w:pStyle w:val="Heading3"/>
        <w:spacing w:line="350" w:lineRule="auto" w:before="49"/>
        <w:ind w:right="95"/>
        <w:jc w:val="left"/>
      </w:pPr>
      <w:r>
        <w:rPr>
          <w:spacing w:val="-2"/>
        </w:rPr>
        <w:t>业务实现了较大的增长，员工总人数也在持续增加。公司在原有主营业务稳健发展的基础上，</w:t>
      </w:r>
      <w:r>
        <w:rPr/>
        <w:t> 完成了以发行股份及支付现金收购上海达美信息技术有限公司</w:t>
      </w:r>
      <w:r>
        <w:rPr>
          <w:rFonts w:ascii="Times New Roman" w:hAnsi="Times New Roman" w:cs="Times New Roman" w:eastAsia="Times New Roman" w:hint="default"/>
        </w:rPr>
        <w:t>100%</w:t>
      </w:r>
      <w:r>
        <w:rPr/>
        <w:t>的股权，分别出资设立了 上海汉得商业保理有限公司及上海汉得微扬信息技术有限公司，在主业扩张和新业务探索方</w:t>
      </w:r>
      <w:r>
        <w:rPr>
          <w:spacing w:val="-91"/>
        </w:rPr>
        <w:t> </w:t>
      </w:r>
      <w:r>
        <w:rPr>
          <w:spacing w:val="-91"/>
        </w:rPr>
      </w:r>
      <w:r>
        <w:rPr/>
        <w:t>面作出了积极的努力。</w:t>
      </w:r>
    </w:p>
    <w:p>
      <w:pPr>
        <w:pStyle w:val="Heading3"/>
        <w:spacing w:line="338" w:lineRule="auto" w:before="43"/>
        <w:ind w:right="227" w:firstLine="480"/>
        <w:jc w:val="both"/>
      </w:pPr>
      <w:r>
        <w:rPr/>
        <w:t>未来，公司并不局限于</w:t>
      </w:r>
      <w:r>
        <w:rPr>
          <w:rFonts w:ascii="Times New Roman" w:hAnsi="Times New Roman" w:cs="Times New Roman" w:eastAsia="Times New Roman" w:hint="default"/>
        </w:rPr>
        <w:t>ERP</w:t>
      </w:r>
      <w:r>
        <w:rPr/>
        <w:t>实施服务这一原有的业务领域，而是着眼于为企业客户提供</w:t>
      </w:r>
      <w:r>
        <w:rPr>
          <w:spacing w:val="2"/>
        </w:rPr>
        <w:t> </w:t>
      </w:r>
      <w:r>
        <w:rPr/>
        <w:t>更加全面的</w:t>
      </w:r>
      <w:r>
        <w:rPr>
          <w:rFonts w:ascii="Times New Roman" w:hAnsi="Times New Roman" w:cs="Times New Roman" w:eastAsia="Times New Roman" w:hint="default"/>
        </w:rPr>
        <w:t>IT</w:t>
      </w:r>
      <w:r>
        <w:rPr/>
        <w:t>管理或运营咨询服务，积极接触与公司现有业务或客户资源具备较强的协同效</w:t>
      </w:r>
      <w:r>
        <w:rPr>
          <w:spacing w:val="-74"/>
        </w:rPr>
        <w:t> </w:t>
      </w:r>
      <w:r>
        <w:rPr>
          <w:spacing w:val="-74"/>
        </w:rPr>
      </w:r>
      <w:r>
        <w:rPr/>
        <w:t>应的并购标的。同时，公司也会积极关注物联网、大数据等</w:t>
      </w:r>
      <w:r>
        <w:rPr>
          <w:rFonts w:ascii="Times New Roman" w:hAnsi="Times New Roman" w:cs="Times New Roman" w:eastAsia="Times New Roman" w:hint="default"/>
        </w:rPr>
        <w:t>IT</w:t>
      </w:r>
      <w:r>
        <w:rPr/>
        <w:t>新技术带来的行业变革和产业</w:t>
      </w:r>
      <w:r>
        <w:rPr>
          <w:spacing w:val="-70"/>
        </w:rPr>
        <w:t> </w:t>
      </w:r>
      <w:r>
        <w:rPr>
          <w:spacing w:val="-70"/>
        </w:rPr>
      </w:r>
      <w:r>
        <w:rPr/>
        <w:t>机会，公司会在新的业务方向上继续进行积极的探索和尝试。</w:t>
      </w:r>
    </w:p>
    <w:p>
      <w:pPr>
        <w:pStyle w:val="Heading3"/>
        <w:spacing w:line="340" w:lineRule="auto" w:before="55"/>
        <w:ind w:right="235" w:firstLine="480"/>
        <w:jc w:val="both"/>
      </w:pPr>
      <w:r>
        <w:rPr>
          <w:spacing w:val="-4"/>
        </w:rPr>
        <w:t>目前，公司新兴的业务方向主要集中于供应链金融以及在线教育领域、</w:t>
      </w:r>
      <w:r>
        <w:rPr>
          <w:rFonts w:ascii="Calibri" w:hAnsi="Calibri" w:cs="Calibri" w:eastAsia="Calibri" w:hint="default"/>
          <w:spacing w:val="-4"/>
        </w:rPr>
        <w:t>YunMart</w:t>
      </w:r>
      <w:r>
        <w:rPr>
          <w:spacing w:val="-4"/>
        </w:rPr>
        <w:t>业务，公</w:t>
      </w:r>
      <w:r>
        <w:rPr>
          <w:spacing w:val="-32"/>
        </w:rPr>
        <w:t> </w:t>
      </w:r>
      <w:r>
        <w:rPr/>
        <w:t>司将集中资金及业务、技术资源支持新兴业务方向的拓展，期待未来进一步强化公司在传统</w:t>
      </w:r>
      <w:r>
        <w:rPr>
          <w:spacing w:val="-91"/>
        </w:rPr>
        <w:t> </w:t>
      </w:r>
      <w:r>
        <w:rPr>
          <w:spacing w:val="-91"/>
        </w:rPr>
      </w:r>
      <w:r>
        <w:rPr>
          <w:rFonts w:ascii="Times New Roman" w:hAnsi="Times New Roman" w:cs="Times New Roman" w:eastAsia="Times New Roman" w:hint="default"/>
        </w:rPr>
        <w:t>ERP</w:t>
      </w:r>
      <w:r>
        <w:rPr/>
        <w:t>实施领域的优势地位，在主业稳健发展的基础上，大力拓展新兴的业务方向，开拓新的</w:t>
      </w:r>
      <w:r>
        <w:rPr>
          <w:spacing w:val="-52"/>
        </w:rPr>
        <w:t> </w:t>
      </w:r>
      <w:r>
        <w:rPr>
          <w:spacing w:val="-52"/>
        </w:rPr>
      </w:r>
      <w:r>
        <w:rPr/>
        <w:t>利润增长点，为公司未来的发展揭开新的篇章。</w:t>
      </w:r>
    </w:p>
    <w:p>
      <w:pPr>
        <w:spacing w:line="240" w:lineRule="auto" w:before="2"/>
        <w:rPr>
          <w:rFonts w:ascii="宋体" w:hAnsi="宋体" w:cs="宋体" w:eastAsia="宋体" w:hint="default"/>
          <w:sz w:val="21"/>
          <w:szCs w:val="21"/>
        </w:rPr>
      </w:pPr>
    </w:p>
    <w:p>
      <w:pPr>
        <w:pStyle w:val="Heading2"/>
        <w:spacing w:line="240" w:lineRule="auto"/>
        <w:ind w:right="95"/>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79"/>
        <w:gridCol w:w="2177"/>
        <w:gridCol w:w="1882"/>
        <w:gridCol w:w="3332"/>
      </w:tblGrid>
      <w:tr>
        <w:trPr>
          <w:trHeight w:val="401"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0"/>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5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0"/>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06"/>
              <w:jc w:val="left"/>
              <w:rPr>
                <w:rFonts w:ascii="宋体" w:hAnsi="宋体" w:cs="宋体" w:eastAsia="宋体" w:hint="default"/>
                <w:sz w:val="18"/>
                <w:szCs w:val="18"/>
              </w:rPr>
            </w:pPr>
            <w:r>
              <w:rPr>
                <w:rFonts w:ascii="宋体" w:hAnsi="宋体" w:cs="宋体" w:eastAsia="宋体" w:hint="default"/>
                <w:spacing w:val="-3"/>
                <w:w w:val="99"/>
                <w:sz w:val="18"/>
                <w:szCs w:val="18"/>
              </w:rPr>
              <w:t>（</w:t>
            </w:r>
            <w:hyperlink r:id="rId13">
              <w:r>
                <w:rPr>
                  <w:rFonts w:ascii="Times New Roman" w:hAnsi="Times New Roman" w:cs="Times New Roman" w:eastAsia="Times New Roman" w:hint="default"/>
                  <w:spacing w:val="-3"/>
                  <w:w w:val="99"/>
                  <w:sz w:val="18"/>
                  <w:szCs w:val="18"/>
                </w:rPr>
                <w:t>http://irm.p5w.net/ssgs/S300170/</w:t>
              </w:r>
            </w:hyperlink>
            <w:r>
              <w:rPr>
                <w:rFonts w:ascii="宋体" w:hAnsi="宋体" w:cs="宋体" w:eastAsia="宋体" w:hint="default"/>
                <w:spacing w:val="-3"/>
                <w:w w:val="99"/>
                <w:sz w:val="18"/>
                <w:szCs w:val="18"/>
              </w:rPr>
              <w:t>）《汉得</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信息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日机构调研纪要》</w:t>
            </w:r>
          </w:p>
        </w:tc>
      </w:tr>
      <w:tr>
        <w:trPr>
          <w:trHeight w:val="1025"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20"/>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06"/>
              <w:jc w:val="left"/>
              <w:rPr>
                <w:rFonts w:ascii="宋体" w:hAnsi="宋体" w:cs="宋体" w:eastAsia="宋体" w:hint="default"/>
                <w:sz w:val="18"/>
                <w:szCs w:val="18"/>
              </w:rPr>
            </w:pPr>
            <w:r>
              <w:rPr>
                <w:rFonts w:ascii="宋体" w:hAnsi="宋体" w:cs="宋体" w:eastAsia="宋体" w:hint="default"/>
                <w:spacing w:val="-3"/>
                <w:w w:val="99"/>
                <w:sz w:val="18"/>
                <w:szCs w:val="18"/>
              </w:rPr>
              <w:t>（</w:t>
            </w:r>
            <w:hyperlink r:id="rId13">
              <w:r>
                <w:rPr>
                  <w:rFonts w:ascii="Times New Roman" w:hAnsi="Times New Roman" w:cs="Times New Roman" w:eastAsia="Times New Roman" w:hint="default"/>
                  <w:spacing w:val="-3"/>
                  <w:w w:val="99"/>
                  <w:sz w:val="18"/>
                  <w:szCs w:val="18"/>
                </w:rPr>
                <w:t>http://irm.p5w.net/ssgs/S300170/</w:t>
              </w:r>
            </w:hyperlink>
            <w:r>
              <w:rPr>
                <w:rFonts w:ascii="宋体" w:hAnsi="宋体" w:cs="宋体" w:eastAsia="宋体" w:hint="default"/>
                <w:spacing w:val="-3"/>
                <w:w w:val="99"/>
                <w:sz w:val="18"/>
                <w:szCs w:val="18"/>
              </w:rPr>
              <w:t>）《汉得</w:t>
            </w:r>
            <w:r>
              <w:rPr>
                <w:rFonts w:ascii="宋体" w:hAnsi="宋体" w:cs="宋体" w:eastAsia="宋体" w:hint="default"/>
                <w:spacing w:val="-87"/>
                <w:w w:val="99"/>
                <w:sz w:val="18"/>
                <w:szCs w:val="18"/>
              </w:rPr>
              <w:t> </w:t>
            </w:r>
            <w:r>
              <w:rPr>
                <w:rFonts w:ascii="宋体" w:hAnsi="宋体" w:cs="宋体" w:eastAsia="宋体" w:hint="default"/>
                <w:spacing w:val="-87"/>
                <w:w w:val="99"/>
                <w:sz w:val="18"/>
                <w:szCs w:val="18"/>
              </w:rPr>
            </w:r>
            <w:r>
              <w:rPr>
                <w:rFonts w:ascii="宋体" w:hAnsi="宋体" w:cs="宋体" w:eastAsia="宋体" w:hint="default"/>
                <w:sz w:val="18"/>
                <w:szCs w:val="18"/>
              </w:rPr>
              <w:t>信息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日机构调研纪要》</w:t>
            </w:r>
          </w:p>
        </w:tc>
      </w:tr>
    </w:tbl>
    <w:p>
      <w:pPr>
        <w:spacing w:after="0" w:line="300" w:lineRule="auto"/>
        <w:jc w:val="left"/>
        <w:rPr>
          <w:rFonts w:ascii="宋体" w:hAnsi="宋体" w:cs="宋体" w:eastAsia="宋体" w:hint="default"/>
          <w:sz w:val="18"/>
          <w:szCs w:val="18"/>
        </w:rPr>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26"/>
        <w:jc w:val="center"/>
        <w:rPr>
          <w:b w:val="0"/>
          <w:bCs w:val="0"/>
        </w:rPr>
      </w:pPr>
      <w:bookmarkStart w:name="_TOC_250006" w:id="5"/>
      <w:r>
        <w:rPr/>
        <w:t>第五节</w:t>
      </w:r>
      <w:r>
        <w:rPr>
          <w:spacing w:val="-1"/>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5"/>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
        <w:jc w:val="left"/>
      </w:pPr>
      <w:r>
        <w:rPr/>
        <w:t>报告期内普通股利润分配政策，特别是现金分红政策的制定、执行或调整情况</w:t>
      </w:r>
    </w:p>
    <w:p>
      <w:pPr>
        <w:pStyle w:val="BodyText"/>
        <w:spacing w:line="240" w:lineRule="auto" w:before="117"/>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43" w:lineRule="auto" w:before="132"/>
        <w:ind w:right="93" w:firstLine="480"/>
        <w:jc w:val="left"/>
      </w:pPr>
      <w:r>
        <w:rPr/>
        <w:t>《公司章程》中规定的利润分配政策为：</w:t>
      </w:r>
      <w:r>
        <w:rPr>
          <w:spacing w:val="-14"/>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利润分配原则：公司利润分配应重视对投 </w:t>
      </w:r>
      <w:r>
        <w:rPr>
          <w:spacing w:val="-3"/>
        </w:rPr>
        <w:t>资者的合理投资回报，利润分配政策应保持连续性和稳定性，并兼顾公司的可持续发展；</w:t>
      </w: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6"/>
        </w:rPr>
        <w:t> </w:t>
      </w:r>
      <w:r>
        <w:rPr/>
        <w:t>利润分配条件：公司上一会计年度盈利，累计可分配利润为正数，且不存在影响利润分配的</w:t>
      </w:r>
      <w:r>
        <w:rPr>
          <w:spacing w:val="-91"/>
        </w:rPr>
        <w:t> </w:t>
      </w:r>
      <w:r>
        <w:rPr>
          <w:spacing w:val="-91"/>
        </w:rPr>
      </w:r>
      <w:r>
        <w:rPr>
          <w:spacing w:val="2"/>
        </w:rPr>
        <w:t>重大投资计划或现金支出事项；</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利润分配形式：公司可以采取现金、股票或者现金与股</w:t>
      </w:r>
      <w:r>
        <w:rPr>
          <w:spacing w:val="-103"/>
        </w:rPr>
        <w:t> </w:t>
      </w:r>
      <w:r>
        <w:rPr>
          <w:spacing w:val="-103"/>
        </w:rPr>
      </w:r>
      <w:r>
        <w:rPr>
          <w:spacing w:val="2"/>
        </w:rPr>
        <w:t>票相结合的方式分配股利，并积极推行以现金方式分配股利；</w:t>
      </w:r>
      <w:r>
        <w:rPr>
          <w:rFonts w:ascii="Times New Roman" w:hAnsi="Times New Roman" w:cs="Times New Roman" w:eastAsia="Times New Roman" w:hint="default"/>
          <w:spacing w:val="2"/>
        </w:rPr>
        <w:t>(</w:t>
      </w:r>
      <w:r>
        <w:rPr>
          <w:spacing w:val="2"/>
        </w:rPr>
        <w:t>四</w:t>
      </w:r>
      <w:r>
        <w:rPr>
          <w:rFonts w:ascii="Times New Roman" w:hAnsi="Times New Roman" w:cs="Times New Roman" w:eastAsia="Times New Roman" w:hint="default"/>
          <w:spacing w:val="2"/>
        </w:rPr>
        <w:t>)</w:t>
      </w:r>
      <w:r>
        <w:rPr>
          <w:spacing w:val="2"/>
        </w:rPr>
        <w:t>利润分配期间：公司原则</w:t>
      </w:r>
      <w:r>
        <w:rPr>
          <w:spacing w:val="-101"/>
        </w:rPr>
        <w:t> </w:t>
      </w:r>
      <w:r>
        <w:rPr>
          <w:spacing w:val="-101"/>
        </w:rPr>
      </w:r>
      <w:r>
        <w:rPr>
          <w:spacing w:val="-3"/>
        </w:rPr>
        <w:t>上按年进行利润分配；在有条件的情况下，公司可以进行中期利润分配和特别利润分配；</w:t>
      </w:r>
      <w:r>
        <w:rPr>
          <w:rFonts w:ascii="Times New Roman" w:hAnsi="Times New Roman" w:cs="Times New Roman" w:eastAsia="Times New Roman" w:hint="default"/>
          <w:spacing w:val="-3"/>
        </w:rPr>
        <w:t>(</w:t>
      </w:r>
      <w:r>
        <w:rPr>
          <w:spacing w:val="-3"/>
        </w:rPr>
        <w:t>五</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7"/>
        </w:rPr>
        <w:t> </w:t>
      </w:r>
      <w:r>
        <w:rPr>
          <w:spacing w:val="2"/>
        </w:rPr>
        <w:t>现金分红条件：除非不符合本条第</w:t>
      </w:r>
      <w:r>
        <w:rPr>
          <w:rFonts w:ascii="Times New Roman" w:hAnsi="Times New Roman" w:cs="Times New Roman" w:eastAsia="Times New Roman" w:hint="default"/>
          <w:spacing w:val="2"/>
        </w:rPr>
        <w:t>(</w:t>
      </w:r>
      <w:r>
        <w:rPr>
          <w:spacing w:val="2"/>
        </w:rPr>
        <w:t>二</w:t>
      </w:r>
      <w:r>
        <w:rPr>
          <w:rFonts w:ascii="Times New Roman" w:hAnsi="Times New Roman" w:cs="Times New Roman" w:eastAsia="Times New Roman" w:hint="default"/>
          <w:spacing w:val="2"/>
        </w:rPr>
        <w:t>)</w:t>
      </w:r>
      <w:r>
        <w:rPr>
          <w:spacing w:val="2"/>
        </w:rPr>
        <w:t>款规定的利润分配条件，否则公司每年应当至少以现</w:t>
      </w:r>
      <w:r>
        <w:rPr>
          <w:spacing w:val="-105"/>
        </w:rPr>
        <w:t> </w:t>
      </w:r>
      <w:r>
        <w:rPr>
          <w:spacing w:val="-105"/>
        </w:rPr>
      </w:r>
      <w:r>
        <w:rPr>
          <w:spacing w:val="2"/>
        </w:rPr>
        <w:t>金方式分配利润一次；</w:t>
      </w:r>
      <w:r>
        <w:rPr>
          <w:rFonts w:ascii="Times New Roman" w:hAnsi="Times New Roman" w:cs="Times New Roman" w:eastAsia="Times New Roman" w:hint="default"/>
          <w:spacing w:val="2"/>
        </w:rPr>
        <w:t>(</w:t>
      </w:r>
      <w:r>
        <w:rPr>
          <w:spacing w:val="2"/>
        </w:rPr>
        <w:t>六</w:t>
      </w:r>
      <w:r>
        <w:rPr>
          <w:rFonts w:ascii="Times New Roman" w:hAnsi="Times New Roman" w:cs="Times New Roman" w:eastAsia="Times New Roman" w:hint="default"/>
          <w:spacing w:val="2"/>
        </w:rPr>
        <w:t>)</w:t>
      </w:r>
      <w:r>
        <w:rPr>
          <w:spacing w:val="2"/>
        </w:rPr>
        <w:t>股票分红条件：公司根据盈利情况和现金流状况，为满足股本扩</w:t>
      </w:r>
      <w:r>
        <w:rPr>
          <w:spacing w:val="-105"/>
        </w:rPr>
        <w:t> </w:t>
      </w:r>
      <w:r>
        <w:rPr>
          <w:spacing w:val="-105"/>
        </w:rPr>
      </w:r>
      <w:r>
        <w:rPr/>
        <w:t>张的需要或合理调整股本规模和股权结构，可以采取股票方式分配利润；</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现金分红比例： 公司最近三年以现金形式累计分配的利润不少于最近三年实现的年均可供分配利润的</w:t>
      </w:r>
      <w:r>
        <w:rPr>
          <w:rFonts w:ascii="Times New Roman" w:hAnsi="Times New Roman" w:cs="Times New Roman" w:eastAsia="Times New Roman" w:hint="default"/>
        </w:rPr>
        <w:t>30%</w:t>
      </w:r>
      <w:r>
        <w:rPr/>
        <w:t>；</w:t>
      </w:r>
      <w:r>
        <w:rPr>
          <w:spacing w:val="-50"/>
        </w:rPr>
        <w:t> </w:t>
      </w:r>
      <w:r>
        <w:rPr>
          <w:rFonts w:ascii="Times New Roman" w:hAnsi="Times New Roman" w:cs="Times New Roman" w:eastAsia="Times New Roman" w:hint="default"/>
          <w:spacing w:val="2"/>
        </w:rPr>
        <w:t>(</w:t>
      </w:r>
      <w:r>
        <w:rPr>
          <w:spacing w:val="2"/>
        </w:rPr>
        <w:t>八</w:t>
      </w:r>
      <w:r>
        <w:rPr>
          <w:rFonts w:ascii="Times New Roman" w:hAnsi="Times New Roman" w:cs="Times New Roman" w:eastAsia="Times New Roman" w:hint="default"/>
          <w:spacing w:val="2"/>
        </w:rPr>
        <w:t>)</w:t>
      </w:r>
      <w:r>
        <w:rPr>
          <w:spacing w:val="2"/>
        </w:rPr>
        <w:t>若存在股东违规占用公司资金情况的，公司应当扣减该股东所分配的现金红利，以偿还</w:t>
      </w:r>
      <w:r>
        <w:rPr>
          <w:spacing w:val="-108"/>
        </w:rPr>
        <w:t> </w:t>
      </w:r>
      <w:r>
        <w:rPr>
          <w:spacing w:val="-108"/>
        </w:rPr>
      </w:r>
      <w:r>
        <w:rPr/>
        <w:t>其占用的资金；若公司上一会计年度盈利但董事会未做出现金分红具体方案的，应在定期报</w:t>
      </w:r>
      <w:r>
        <w:rPr>
          <w:spacing w:val="-91"/>
        </w:rPr>
        <w:t> </w:t>
      </w:r>
      <w:r>
        <w:rPr>
          <w:spacing w:val="-91"/>
        </w:rPr>
      </w:r>
      <w:r>
        <w:rPr/>
        <w:t>告中说明未进行现金分红的原因、未用于现金分红的资金留存公司的用途和使用计划；独立</w:t>
      </w:r>
      <w:r>
        <w:rPr>
          <w:spacing w:val="-91"/>
        </w:rPr>
        <w:t> </w:t>
      </w:r>
      <w:r>
        <w:rPr>
          <w:spacing w:val="-91"/>
        </w:rPr>
      </w:r>
      <w:r>
        <w:rPr/>
        <w:t>董事应对此发表独立意见。</w:t>
      </w:r>
    </w:p>
    <w:p>
      <w:pPr>
        <w:pStyle w:val="Heading3"/>
        <w:spacing w:line="338" w:lineRule="auto" w:before="50"/>
        <w:ind w:right="233" w:firstLine="480"/>
        <w:jc w:val="both"/>
      </w:pPr>
      <w:r>
        <w:rPr>
          <w:rFonts w:ascii="Times New Roman" w:hAnsi="Times New Roman" w:cs="Times New Roman" w:eastAsia="Times New Roman" w:hint="default"/>
        </w:rPr>
        <w:t>2014</w:t>
      </w:r>
      <w:r>
        <w:rPr/>
        <w:t>年度公司未进行利润分配，</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日召开的公司</w:t>
      </w:r>
      <w:r>
        <w:rPr>
          <w:rFonts w:ascii="Times New Roman" w:hAnsi="Times New Roman" w:cs="Times New Roman" w:eastAsia="Times New Roman" w:hint="default"/>
        </w:rPr>
        <w:t>2014</w:t>
      </w:r>
      <w:r>
        <w:rPr/>
        <w:t>年年度股东大会审议通过 的</w:t>
      </w:r>
      <w:r>
        <w:rPr>
          <w:rFonts w:ascii="Times New Roman" w:hAnsi="Times New Roman" w:cs="Times New Roman" w:eastAsia="Times New Roman" w:hint="default"/>
        </w:rPr>
        <w:t>2014</w:t>
      </w:r>
      <w:r>
        <w:rPr/>
        <w:t>年度利润分配方案为：</w:t>
      </w:r>
      <w:r>
        <w:rPr>
          <w:rFonts w:ascii="Times New Roman" w:hAnsi="Times New Roman" w:cs="Times New Roman" w:eastAsia="Times New Roman" w:hint="default"/>
        </w:rPr>
        <w:t>2014</w:t>
      </w:r>
      <w:r>
        <w:rPr/>
        <w:t>年度不进行利润分配，以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日总股本</w:t>
      </w:r>
      <w:r>
        <w:rPr>
          <w:rFonts w:ascii="Times New Roman" w:hAnsi="Times New Roman" w:cs="Times New Roman" w:eastAsia="Times New Roman" w:hint="default"/>
        </w:rPr>
        <w:t>549,065,756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w:t>
      </w:r>
      <w:r>
        <w:rPr>
          <w:rFonts w:ascii="Times New Roman" w:hAnsi="Times New Roman" w:cs="Times New Roman" w:eastAsia="Times New Roman" w:hint="default"/>
        </w:rPr>
        <w:t>274,532,878</w:t>
      </w:r>
      <w:r>
        <w:rPr/>
        <w:t>股。</w:t>
      </w:r>
    </w:p>
    <w:p>
      <w:pPr>
        <w:spacing w:line="240" w:lineRule="auto" w:before="1"/>
        <w:rPr>
          <w:rFonts w:ascii="宋体" w:hAnsi="宋体" w:cs="宋体" w:eastAsia="宋体" w:hint="default"/>
          <w:sz w:val="23"/>
          <w:szCs w:val="23"/>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0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7"/>
          <w:szCs w:val="27"/>
        </w:rPr>
      </w:pPr>
    </w:p>
    <w:p>
      <w:pPr>
        <w:pStyle w:val="BodyText"/>
        <w:spacing w:line="240" w:lineRule="auto" w:before="44"/>
        <w:ind w:left="113" w:right="0"/>
        <w:jc w:val="left"/>
      </w:pPr>
      <w:r>
        <w:rPr/>
        <w:t>公司报告期利润分配预案及资本公积金转增股本预案与公司章程和分红管理办法等的相关规定一致</w:t>
      </w:r>
    </w:p>
    <w:p>
      <w:pPr>
        <w:pStyle w:val="BodyText"/>
        <w:spacing w:line="240" w:lineRule="auto" w:before="117"/>
        <w:ind w:left="1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360" w:lineRule="auto"/>
        <w:ind w:left="113" w:right="3253"/>
        <w:jc w:val="left"/>
      </w:pPr>
      <w:r>
        <w:rPr/>
        <w:t>公司报告期利润分配预案及资本公积金转增股本预案符合公司章程等的相关规定。 本年度利润分配及资本公积金转增股本预案</w:t>
      </w:r>
    </w:p>
    <w:tbl>
      <w:tblPr>
        <w:tblW w:w="0" w:type="auto"/>
        <w:jc w:val="left"/>
        <w:tblInd w:w="108" w:type="dxa"/>
        <w:tblLayout w:type="fixed"/>
        <w:tblCellMar>
          <w:top w:w="0" w:type="dxa"/>
          <w:left w:w="0" w:type="dxa"/>
          <w:bottom w:w="0" w:type="dxa"/>
          <w:right w:w="0" w:type="dxa"/>
        </w:tblCellMar>
        <w:tblLook w:val="01E0"/>
      </w:tblPr>
      <w:tblGrid>
        <w:gridCol w:w="3718"/>
        <w:gridCol w:w="5853"/>
      </w:tblGrid>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w:t>
            </w:r>
          </w:p>
        </w:tc>
      </w:tr>
      <w:tr>
        <w:trPr>
          <w:trHeight w:val="404"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835,374,634</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25,061,239.02</w:t>
            </w:r>
          </w:p>
        </w:tc>
      </w:tr>
      <w:tr>
        <w:trPr>
          <w:trHeight w:val="401"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595,822,109.72</w:t>
            </w:r>
          </w:p>
        </w:tc>
      </w:tr>
      <w:tr>
        <w:trPr>
          <w:trHeight w:val="403" w:hRule="exact"/>
        </w:trPr>
        <w:tc>
          <w:tcPr>
            <w:tcW w:w="3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经立信会计师事务所（特殊普通合伙）审计，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214,240,021.65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元，其中母公司实 现的净利润为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209,285,440.80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元。根据《公司章程》的有关规定，按照母公司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年度实现净利润的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计提法定盈余公</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20,928,544.08 </w:t>
            </w:r>
            <w:r>
              <w:rPr>
                <w:rFonts w:ascii="宋体" w:hAnsi="宋体" w:cs="宋体" w:eastAsia="宋体" w:hint="default"/>
                <w:sz w:val="18"/>
                <w:szCs w:val="18"/>
              </w:rPr>
              <w:t>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595,822,109.72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元，母公司年末资本公积金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42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8"/>
                <w:sz w:val="18"/>
                <w:szCs w:val="18"/>
              </w:rPr>
              <w:t>；</w:t>
            </w:r>
            <w:r>
              <w:rPr>
                <w:rFonts w:ascii="宋体" w:hAnsi="宋体" w:cs="宋体" w:eastAsia="宋体" w:hint="default"/>
                <w:spacing w:val="-3"/>
                <w:sz w:val="18"/>
                <w:szCs w:val="18"/>
              </w:rPr>
              <w:t>现</w:t>
            </w:r>
            <w:r>
              <w:rPr>
                <w:rFonts w:ascii="宋体" w:hAnsi="宋体" w:cs="宋体" w:eastAsia="宋体" w:hint="default"/>
                <w:sz w:val="18"/>
                <w:szCs w:val="18"/>
              </w:rPr>
              <w:t>拟以公司总股本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t>为基数</w:t>
            </w:r>
            <w:r>
              <w:rPr>
                <w:rFonts w:ascii="宋体" w:hAnsi="宋体" w:cs="宋体" w:eastAsia="宋体" w:hint="default"/>
                <w:spacing w:val="-8"/>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派</w:t>
            </w:r>
            <w:r>
              <w:rPr>
                <w:rFonts w:ascii="宋体" w:hAnsi="宋体" w:cs="宋体" w:eastAsia="宋体" w:hint="default"/>
                <w:sz w:val="18"/>
                <w:szCs w:val="18"/>
              </w:rPr>
              <w:t>发现金红利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元</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计派发现金红利人民币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25,061,239.02 </w:t>
            </w:r>
            <w:r>
              <w:rPr>
                <w:rFonts w:ascii="宋体" w:hAnsi="宋体" w:cs="宋体" w:eastAsia="宋体" w:hint="default"/>
                <w:sz w:val="18"/>
                <w:szCs w:val="18"/>
              </w:rPr>
              <w:t>元。</w:t>
            </w:r>
          </w:p>
        </w:tc>
      </w:tr>
    </w:tbl>
    <w:p>
      <w:pPr>
        <w:pStyle w:val="BodyText"/>
        <w:spacing w:line="240" w:lineRule="auto" w:before="65"/>
        <w:ind w:left="113" w:right="0"/>
        <w:jc w:val="both"/>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Heading3"/>
        <w:spacing w:line="338" w:lineRule="auto" w:before="132"/>
        <w:ind w:left="593" w:right="0" w:hanging="480"/>
        <w:jc w:val="left"/>
      </w:pPr>
      <w:r>
        <w:rPr/>
        <w:t>（</w:t>
      </w: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2013</w:t>
      </w:r>
      <w:r>
        <w:rPr/>
        <w:t>年利润分配方案 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日总股本</w:t>
      </w:r>
      <w:r>
        <w:rPr>
          <w:rFonts w:ascii="Times New Roman" w:hAnsi="Times New Roman" w:cs="Times New Roman" w:eastAsia="Times New Roman" w:hint="default"/>
        </w:rPr>
        <w:t>266,171,661</w:t>
      </w:r>
      <w:r>
        <w:rPr/>
        <w:t>股为基数，向全体股东以每</w:t>
      </w:r>
      <w:r>
        <w:rPr>
          <w:rFonts w:ascii="Times New Roman" w:hAnsi="Times New Roman" w:cs="Times New Roman" w:eastAsia="Times New Roman" w:hint="default"/>
        </w:rPr>
        <w:t>10</w:t>
      </w:r>
      <w:r>
        <w:rPr/>
        <w:t>股派发人民币</w:t>
      </w:r>
      <w:r>
        <w:rPr>
          <w:rFonts w:ascii="Times New Roman" w:hAnsi="Times New Roman" w:cs="Times New Roman" w:eastAsia="Times New Roman" w:hint="default"/>
        </w:rPr>
        <w:t>1.5</w:t>
      </w:r>
      <w:r>
        <w:rPr/>
        <w:t>元现</w:t>
      </w:r>
    </w:p>
    <w:p>
      <w:pPr>
        <w:pStyle w:val="Heading3"/>
        <w:spacing w:line="338" w:lineRule="auto" w:before="27"/>
        <w:ind w:left="113" w:right="108"/>
        <w:jc w:val="both"/>
      </w:pPr>
      <w:r>
        <w:rPr>
          <w:spacing w:val="-1"/>
        </w:rPr>
        <w:t>金（含税）的股利分红，合计派发现金红利人民币</w:t>
      </w:r>
      <w:r>
        <w:rPr>
          <w:rFonts w:ascii="Times New Roman" w:hAnsi="Times New Roman" w:cs="Times New Roman" w:eastAsia="Times New Roman" w:hint="default"/>
          <w:spacing w:val="-1"/>
        </w:rPr>
        <w:t>39,925,749.15</w:t>
      </w:r>
      <w:r>
        <w:rPr>
          <w:spacing w:val="-1"/>
        </w:rPr>
        <w:t>元；同时，拟以</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34"/>
        </w:rPr>
        <w:t> </w:t>
      </w:r>
      <w:r>
        <w:rPr/>
        <w:t>日总股本</w:t>
      </w:r>
      <w:r>
        <w:rPr>
          <w:rFonts w:ascii="Times New Roman" w:hAnsi="Times New Roman" w:cs="Times New Roman" w:eastAsia="Times New Roman" w:hint="default"/>
        </w:rPr>
        <w:t>266,171,661</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266,171,661</w:t>
      </w:r>
      <w:r>
        <w:rPr>
          <w:rFonts w:ascii="Times New Roman" w:hAnsi="Times New Roman" w:cs="Times New Roman" w:eastAsia="Times New Roman" w:hint="default"/>
          <w:spacing w:val="-24"/>
        </w:rPr>
        <w:t> </w:t>
      </w:r>
      <w:r>
        <w:rPr/>
        <w:t>股。</w:t>
      </w:r>
    </w:p>
    <w:p>
      <w:pPr>
        <w:pStyle w:val="Heading3"/>
        <w:spacing w:line="338" w:lineRule="auto" w:before="55"/>
        <w:ind w:left="113" w:right="111" w:firstLine="480"/>
        <w:jc w:val="both"/>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日，公司完成了已离职股权激励对象所持的尚未解锁的</w:t>
      </w:r>
      <w:r>
        <w:rPr>
          <w:rFonts w:ascii="Times New Roman" w:hAnsi="Times New Roman" w:cs="Times New Roman" w:eastAsia="Times New Roman" w:hint="default"/>
        </w:rPr>
        <w:t>1,499,550</w:t>
      </w:r>
      <w:r>
        <w:rPr/>
        <w:t>股限制性 股票的回购注销，公司总股本由</w:t>
      </w:r>
      <w:r>
        <w:rPr>
          <w:rFonts w:ascii="Times New Roman" w:hAnsi="Times New Roman" w:cs="Times New Roman" w:eastAsia="Times New Roman" w:hint="default"/>
        </w:rPr>
        <w:t>266,171,661</w:t>
      </w:r>
      <w:r>
        <w:rPr>
          <w:rFonts w:ascii="Times New Roman" w:hAnsi="Times New Roman" w:cs="Times New Roman" w:eastAsia="Times New Roman" w:hint="default"/>
          <w:spacing w:val="20"/>
        </w:rPr>
        <w:t> </w:t>
      </w:r>
      <w:r>
        <w:rPr/>
        <w:t>股减至</w:t>
      </w:r>
      <w:r>
        <w:rPr>
          <w:rFonts w:ascii="Times New Roman" w:hAnsi="Times New Roman" w:cs="Times New Roman" w:eastAsia="Times New Roman" w:hint="default"/>
        </w:rPr>
        <w:t>264,672,111</w:t>
      </w:r>
      <w:r>
        <w:rPr/>
        <w:t>股；</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日，公司完</w:t>
      </w:r>
      <w:r>
        <w:rPr>
          <w:spacing w:val="-112"/>
        </w:rPr>
        <w:t> </w:t>
      </w:r>
      <w:r>
        <w:rPr>
          <w:spacing w:val="-112"/>
        </w:rPr>
      </w:r>
      <w:r>
        <w:rPr>
          <w:spacing w:val="16"/>
        </w:rPr>
        <w:t>成了</w:t>
      </w:r>
      <w:r>
        <w:rPr>
          <w:spacing w:val="-8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7"/>
        </w:rPr>
        <w:t> </w:t>
      </w:r>
      <w:r>
        <w:rPr/>
        <w:t>年</w:t>
      </w:r>
      <w:r>
        <w:rPr>
          <w:spacing w:val="-87"/>
        </w:rPr>
        <w:t> </w:t>
      </w:r>
      <w:r>
        <w:rPr/>
        <w:t>限</w:t>
      </w:r>
      <w:r>
        <w:rPr>
          <w:spacing w:val="-87"/>
        </w:rPr>
        <w:t> </w:t>
      </w:r>
      <w:r>
        <w:rPr/>
        <w:t>制</w:t>
      </w:r>
      <w:r>
        <w:rPr>
          <w:spacing w:val="-87"/>
        </w:rPr>
        <w:t> </w:t>
      </w:r>
      <w:r>
        <w:rPr/>
        <w:t>性</w:t>
      </w:r>
      <w:r>
        <w:rPr>
          <w:spacing w:val="-87"/>
        </w:rPr>
        <w:t> </w:t>
      </w:r>
      <w:r>
        <w:rPr/>
        <w:t>股</w:t>
      </w:r>
      <w:r>
        <w:rPr>
          <w:spacing w:val="-90"/>
        </w:rPr>
        <w:t> </w:t>
      </w:r>
      <w:r>
        <w:rPr/>
        <w:t>票</w:t>
      </w:r>
      <w:r>
        <w:rPr>
          <w:spacing w:val="-87"/>
        </w:rPr>
        <w:t> </w:t>
      </w:r>
      <w:r>
        <w:rPr/>
        <w:t>激</w:t>
      </w:r>
      <w:r>
        <w:rPr>
          <w:spacing w:val="-87"/>
        </w:rPr>
        <w:t> </w:t>
      </w:r>
      <w:r>
        <w:rPr/>
        <w:t>励</w:t>
      </w:r>
      <w:r>
        <w:rPr>
          <w:spacing w:val="-87"/>
        </w:rPr>
        <w:t> </w:t>
      </w:r>
      <w:r>
        <w:rPr/>
        <w:t>计</w:t>
      </w:r>
      <w:r>
        <w:rPr>
          <w:spacing w:val="-87"/>
        </w:rPr>
        <w:t> </w:t>
      </w:r>
      <w:r>
        <w:rPr/>
        <w:t>划</w:t>
      </w:r>
      <w:r>
        <w:rPr>
          <w:spacing w:val="-87"/>
        </w:rPr>
        <w:t> </w:t>
      </w:r>
      <w:r>
        <w:rPr/>
        <w:t>的</w:t>
      </w:r>
      <w:r>
        <w:rPr>
          <w:spacing w:val="-87"/>
        </w:rPr>
        <w:t> </w:t>
      </w:r>
      <w:r>
        <w:rPr/>
        <w:t>授</w:t>
      </w:r>
      <w:r>
        <w:rPr>
          <w:spacing w:val="-87"/>
        </w:rPr>
        <w:t> </w:t>
      </w:r>
      <w:r>
        <w:rPr/>
        <w:t>予</w:t>
      </w:r>
      <w:r>
        <w:rPr>
          <w:spacing w:val="-90"/>
        </w:rPr>
        <w:t> </w:t>
      </w:r>
      <w:r>
        <w:rPr/>
        <w:t>登</w:t>
      </w:r>
      <w:r>
        <w:rPr>
          <w:spacing w:val="-87"/>
        </w:rPr>
        <w:t> </w:t>
      </w:r>
      <w:r>
        <w:rPr/>
        <w:t>记</w:t>
      </w:r>
      <w:r>
        <w:rPr>
          <w:spacing w:val="-87"/>
        </w:rPr>
        <w:t> </w:t>
      </w:r>
      <w:r>
        <w:rPr/>
        <w:t>手</w:t>
      </w:r>
      <w:r>
        <w:rPr>
          <w:spacing w:val="-87"/>
        </w:rPr>
        <w:t> </w:t>
      </w:r>
      <w:r>
        <w:rPr/>
        <w:t>续</w:t>
      </w:r>
      <w:r>
        <w:rPr>
          <w:spacing w:val="-87"/>
        </w:rPr>
        <w:t> </w:t>
      </w:r>
      <w:r>
        <w:rPr/>
        <w:t>，</w:t>
      </w:r>
      <w:r>
        <w:rPr>
          <w:spacing w:val="-87"/>
        </w:rPr>
        <w:t> </w:t>
      </w:r>
      <w:r>
        <w:rPr/>
        <w:t>公</w:t>
      </w:r>
      <w:r>
        <w:rPr>
          <w:spacing w:val="-87"/>
        </w:rPr>
        <w:t> </w:t>
      </w:r>
      <w:r>
        <w:rPr/>
        <w:t>司</w:t>
      </w:r>
      <w:r>
        <w:rPr>
          <w:spacing w:val="-87"/>
        </w:rPr>
        <w:t> </w:t>
      </w:r>
      <w:r>
        <w:rPr/>
        <w:t>总</w:t>
      </w:r>
      <w:r>
        <w:rPr>
          <w:spacing w:val="-90"/>
        </w:rPr>
        <w:t> </w:t>
      </w:r>
      <w:r>
        <w:rPr/>
        <w:t>股</w:t>
      </w:r>
      <w:r>
        <w:rPr>
          <w:spacing w:val="-87"/>
        </w:rPr>
        <w:t> </w:t>
      </w:r>
      <w:r>
        <w:rPr/>
        <w:t>本</w:t>
      </w:r>
      <w:r>
        <w:rPr>
          <w:spacing w:val="-87"/>
        </w:rPr>
        <w:t> </w:t>
      </w:r>
      <w:r>
        <w:rPr/>
        <w:t>由</w:t>
      </w:r>
      <w:r>
        <w:rPr>
          <w:spacing w:val="-80"/>
        </w:rPr>
        <w:t> </w:t>
      </w:r>
      <w:r>
        <w:rPr>
          <w:rFonts w:ascii="Times New Roman" w:hAnsi="Times New Roman" w:cs="Times New Roman" w:eastAsia="Times New Roman" w:hint="default"/>
        </w:rPr>
        <w:t>264,672,111</w:t>
      </w:r>
      <w:r>
        <w:rPr>
          <w:rFonts w:ascii="Times New Roman" w:hAnsi="Times New Roman" w:cs="Times New Roman" w:eastAsia="Times New Roman" w:hint="default"/>
          <w:spacing w:val="-26"/>
        </w:rPr>
        <w:t> </w:t>
      </w:r>
      <w:r>
        <w:rPr/>
        <w:t>股</w:t>
      </w:r>
      <w:r>
        <w:rPr>
          <w:spacing w:val="-90"/>
        </w:rPr>
        <w:t> </w:t>
      </w:r>
      <w:r>
        <w:rPr/>
        <w:t>增</w:t>
      </w:r>
      <w:r>
        <w:rPr>
          <w:spacing w:val="-87"/>
        </w:rPr>
        <w:t> </w:t>
      </w:r>
      <w:r>
        <w:rPr/>
        <w:t>至</w:t>
      </w:r>
      <w:r>
        <w:rPr/>
        <w:t> </w:t>
      </w:r>
      <w:r>
        <w:rPr>
          <w:rFonts w:ascii="Times New Roman" w:hAnsi="Times New Roman" w:cs="Times New Roman" w:eastAsia="Times New Roman" w:hint="default"/>
        </w:rPr>
        <w:t>270,198,111</w:t>
      </w:r>
      <w:r>
        <w:rPr/>
        <w:t>股。</w:t>
      </w:r>
    </w:p>
    <w:p>
      <w:pPr>
        <w:pStyle w:val="Heading3"/>
        <w:spacing w:line="240" w:lineRule="auto" w:before="26"/>
        <w:ind w:left="593" w:right="0"/>
        <w:jc w:val="left"/>
      </w:pPr>
      <w:r>
        <w:rPr>
          <w:spacing w:val="-3"/>
        </w:rPr>
        <w:t>根据深圳证券交易《创业板信息披露业务备忘录第</w:t>
      </w:r>
      <w:r>
        <w:rPr>
          <w:rFonts w:ascii="Times New Roman" w:hAnsi="Times New Roman" w:cs="Times New Roman" w:eastAsia="Times New Roman" w:hint="default"/>
          <w:spacing w:val="-3"/>
        </w:rPr>
        <w:t>6</w:t>
      </w:r>
      <w:r>
        <w:rPr>
          <w:spacing w:val="-3"/>
        </w:rPr>
        <w:t>号：利润分配与资本公积金转增股本</w:t>
      </w:r>
    </w:p>
    <w:p>
      <w:pPr>
        <w:spacing w:after="0" w:line="240" w:lineRule="auto"/>
        <w:jc w:val="left"/>
        <w:sectPr>
          <w:pgSz w:w="11910" w:h="16840"/>
          <w:pgMar w:header="745" w:footer="979" w:top="1060" w:bottom="1160" w:left="1020" w:right="1020"/>
        </w:sectPr>
      </w:pP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Heading3"/>
        <w:spacing w:line="338" w:lineRule="auto" w:before="26"/>
        <w:ind w:right="95"/>
        <w:jc w:val="left"/>
      </w:pPr>
      <w:r>
        <w:rPr>
          <w:spacing w:val="-6"/>
        </w:rPr>
        <w:t>相关事项》相关规定，按照</w:t>
      </w:r>
      <w:r>
        <w:rPr>
          <w:rFonts w:ascii="Times New Roman" w:hAnsi="Times New Roman" w:cs="Times New Roman" w:eastAsia="Times New Roman" w:hint="default"/>
          <w:spacing w:val="-6"/>
        </w:rPr>
        <w:t>“</w:t>
      </w:r>
      <w:r>
        <w:rPr>
          <w:spacing w:val="-6"/>
        </w:rPr>
        <w:t>现金分红总额、送红股总额、转增股本总额固定不变</w:t>
      </w:r>
      <w:r>
        <w:rPr>
          <w:rFonts w:ascii="Times New Roman" w:hAnsi="Times New Roman" w:cs="Times New Roman" w:eastAsia="Times New Roman" w:hint="default"/>
          <w:spacing w:val="-6"/>
        </w:rPr>
        <w:t>”</w:t>
      </w:r>
      <w:r>
        <w:rPr>
          <w:spacing w:val="-6"/>
        </w:rPr>
        <w:t>的原则，</w:t>
      </w:r>
      <w:r>
        <w:rPr>
          <w:spacing w:val="-71"/>
        </w:rPr>
        <w:t> </w:t>
      </w:r>
      <w:r>
        <w:rPr/>
        <w:t>按</w:t>
      </w:r>
      <w:r>
        <w:rPr>
          <w:spacing w:val="-101"/>
        </w:rPr>
        <w:t> </w:t>
      </w:r>
      <w:r>
        <w:rPr>
          <w:spacing w:val="-101"/>
        </w:rPr>
      </w:r>
      <w:r>
        <w:rPr/>
        <w:t>公司最新股本计算的</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年年度权益分派方案调整为：以公司当时总股本</w:t>
      </w:r>
      <w:r>
        <w:rPr>
          <w:rFonts w:ascii="Times New Roman" w:hAnsi="Times New Roman" w:cs="Times New Roman" w:eastAsia="Times New Roman" w:hint="default"/>
        </w:rPr>
        <w:t>270,198,111</w:t>
      </w:r>
      <w:r>
        <w:rPr/>
        <w:t>股为基 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1.477647</w:t>
      </w:r>
      <w:r>
        <w:rPr/>
        <w:t>元人民币现金（含税；扣税后，</w:t>
      </w:r>
      <w:r>
        <w:rPr>
          <w:rFonts w:ascii="Times New Roman" w:hAnsi="Times New Roman" w:cs="Times New Roman" w:eastAsia="Times New Roman" w:hint="default"/>
        </w:rPr>
        <w:t>QFII</w:t>
      </w:r>
      <w:r>
        <w:rPr/>
        <w:t>、</w:t>
      </w:r>
      <w:r>
        <w:rPr>
          <w:rFonts w:ascii="Times New Roman" w:hAnsi="Times New Roman" w:cs="Times New Roman" w:eastAsia="Times New Roman" w:hint="default"/>
        </w:rPr>
        <w:t>RQFII</w:t>
      </w:r>
      <w:r>
        <w:rPr/>
        <w:t>以及持有股改</w:t>
      </w:r>
      <w:r>
        <w:rPr>
          <w:w w:val="99"/>
        </w:rPr>
        <w:t> </w:t>
      </w:r>
      <w:r>
        <w:rPr/>
        <w:t>限售股、首发限售股的个人和证券投资基金每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1.329882</w:t>
      </w:r>
      <w:r>
        <w:rPr/>
        <w:t>元；持有非股改、非首发限售</w:t>
      </w:r>
      <w:r>
        <w:rPr>
          <w:spacing w:val="-41"/>
        </w:rPr>
        <w:t> </w:t>
      </w:r>
      <w:r>
        <w:rPr>
          <w:spacing w:val="-41"/>
        </w:rPr>
      </w:r>
      <w:r>
        <w:rPr>
          <w:spacing w:val="6"/>
        </w:rPr>
        <w:t>股及无限售流通股的个人、证券投资基金股息红利税实行差别化税率征收，先按每</w:t>
      </w:r>
      <w:r>
        <w:rPr>
          <w:rFonts w:ascii="Times New Roman" w:hAnsi="Times New Roman" w:cs="Times New Roman" w:eastAsia="Times New Roman" w:hint="default"/>
          <w:spacing w:val="6"/>
        </w:rPr>
        <w:t>10</w:t>
      </w:r>
      <w:r>
        <w:rPr>
          <w:spacing w:val="6"/>
        </w:rPr>
        <w:t>股派</w:t>
      </w:r>
      <w:r>
        <w:rPr>
          <w:spacing w:val="-84"/>
        </w:rPr>
        <w:t> </w:t>
      </w:r>
      <w:r>
        <w:rPr>
          <w:rFonts w:ascii="Times New Roman" w:hAnsi="Times New Roman" w:cs="Times New Roman" w:eastAsia="Times New Roman" w:hint="default"/>
          <w:spacing w:val="-6"/>
        </w:rPr>
        <w:t>1.403765</w:t>
      </w:r>
      <w:r>
        <w:rPr>
          <w:spacing w:val="-6"/>
        </w:rPr>
        <w:t>元，权益登记日后根据投资者减持股票情况，再按实际持股期限补缴税款；对于</w:t>
      </w:r>
      <w:r>
        <w:rPr>
          <w:rFonts w:ascii="Times New Roman" w:hAnsi="Times New Roman" w:cs="Times New Roman" w:eastAsia="Times New Roman" w:hint="default"/>
          <w:spacing w:val="-6"/>
        </w:rPr>
        <w:t>QFII</w:t>
      </w:r>
      <w:r>
        <w:rPr>
          <w:spacing w:val="-6"/>
        </w:rPr>
        <w:t>、</w:t>
      </w:r>
      <w:r>
        <w:rPr>
          <w:spacing w:val="-84"/>
        </w:rPr>
        <w:t> </w:t>
      </w:r>
      <w:r>
        <w:rPr>
          <w:rFonts w:ascii="Times New Roman" w:hAnsi="Times New Roman" w:cs="Times New Roman" w:eastAsia="Times New Roman" w:hint="default"/>
          <w:spacing w:val="-6"/>
        </w:rPr>
        <w:t>RQFII</w:t>
      </w:r>
      <w:r>
        <w:rPr>
          <w:spacing w:val="-6"/>
        </w:rPr>
        <w:t>外的其他非居民企业，本公司未代扣代缴所得税，由纳税人在所得发生地缴纳）；同时，</w:t>
      </w:r>
      <w:r>
        <w:rPr>
          <w:spacing w:val="-91"/>
        </w:rPr>
        <w:t> </w:t>
      </w:r>
      <w:r>
        <w:rPr>
          <w:spacing w:val="-91"/>
        </w:rPr>
      </w:r>
      <w:r>
        <w:rPr/>
        <w:t>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9.850981</w:t>
      </w:r>
      <w:r>
        <w:rPr/>
        <w:t>股。</w:t>
      </w:r>
    </w:p>
    <w:p>
      <w:pPr>
        <w:pStyle w:val="Heading3"/>
        <w:spacing w:line="338" w:lineRule="auto" w:before="27"/>
        <w:ind w:left="633" w:right="95" w:hanging="480"/>
        <w:jc w:val="left"/>
      </w:pPr>
      <w:r>
        <w:rPr/>
        <w:t>（</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年利润分配方案 经立信会计师事务所（特殊普通合伙）审计，</w:t>
      </w:r>
      <w:r>
        <w:rPr>
          <w:rFonts w:ascii="Times New Roman" w:hAnsi="Times New Roman" w:cs="Times New Roman" w:eastAsia="Times New Roman" w:hint="default"/>
        </w:rPr>
        <w:t>2014</w:t>
      </w:r>
      <w:r>
        <w:rPr/>
        <w:t>年实现归属于母公司股东的净利润为</w:t>
      </w:r>
    </w:p>
    <w:p>
      <w:pPr>
        <w:pStyle w:val="Heading3"/>
        <w:spacing w:line="338" w:lineRule="auto" w:before="27"/>
        <w:ind w:right="150"/>
        <w:jc w:val="both"/>
      </w:pPr>
      <w:r>
        <w:rPr>
          <w:rFonts w:ascii="Times New Roman" w:hAnsi="Times New Roman" w:cs="Times New Roman" w:eastAsia="Times New Roman" w:hint="default"/>
        </w:rPr>
        <w:t>177,302,356.33</w:t>
      </w:r>
      <w:r>
        <w:rPr/>
        <w:t>元，其中母公司实现的净利润为</w:t>
      </w:r>
      <w:r>
        <w:rPr>
          <w:rFonts w:ascii="Times New Roman" w:hAnsi="Times New Roman" w:cs="Times New Roman" w:eastAsia="Times New Roman" w:hint="default"/>
        </w:rPr>
        <w:t>174,897,980.57</w:t>
      </w:r>
      <w:r>
        <w:rPr/>
        <w:t>元。根据公司章程的有关规定， </w:t>
      </w:r>
      <w:r>
        <w:rPr>
          <w:spacing w:val="2"/>
        </w:rPr>
        <w:t>按照母公司</w:t>
      </w:r>
      <w:r>
        <w:rPr>
          <w:rFonts w:ascii="Times New Roman" w:hAnsi="Times New Roman" w:cs="Times New Roman" w:eastAsia="Times New Roman" w:hint="default"/>
          <w:spacing w:val="2"/>
        </w:rPr>
        <w:t>2014</w:t>
      </w:r>
      <w:r>
        <w:rPr>
          <w:spacing w:val="2"/>
        </w:rPr>
        <w:t>年度实现净利润的</w:t>
      </w:r>
      <w:r>
        <w:rPr>
          <w:rFonts w:ascii="Times New Roman" w:hAnsi="Times New Roman" w:cs="Times New Roman" w:eastAsia="Times New Roman" w:hint="default"/>
          <w:spacing w:val="2"/>
        </w:rPr>
        <w:t>10%</w:t>
      </w:r>
      <w:r>
        <w:rPr>
          <w:spacing w:val="2"/>
        </w:rPr>
        <w:t>计提法定盈余公积金</w:t>
      </w:r>
      <w:r>
        <w:rPr>
          <w:rFonts w:ascii="Times New Roman" w:hAnsi="Times New Roman" w:cs="Times New Roman" w:eastAsia="Times New Roman" w:hint="default"/>
          <w:spacing w:val="2"/>
        </w:rPr>
        <w:t>17,489,798.06</w:t>
      </w:r>
      <w:r>
        <w:rPr>
          <w:spacing w:val="2"/>
        </w:rPr>
        <w:t>元，截至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42"/>
        </w:rPr>
        <w:t> </w:t>
      </w:r>
      <w:r>
        <w:rPr/>
        <w:t>月</w:t>
      </w:r>
      <w:r>
        <w:rPr>
          <w:spacing w:val="-99"/>
        </w:rPr>
        <w:t> </w:t>
      </w:r>
      <w:r>
        <w:rPr>
          <w:rFonts w:ascii="Times New Roman" w:hAnsi="Times New Roman" w:cs="Times New Roman" w:eastAsia="Times New Roman" w:hint="default"/>
        </w:rPr>
        <w:t>31</w:t>
      </w:r>
      <w:r>
        <w:rPr>
          <w:rFonts w:ascii="Times New Roman" w:hAnsi="Times New Roman" w:cs="Times New Roman" w:eastAsia="Times New Roman" w:hint="default"/>
          <w:spacing w:val="-39"/>
        </w:rPr>
        <w:t> </w:t>
      </w:r>
      <w:r>
        <w:rPr>
          <w:spacing w:val="11"/>
        </w:rPr>
        <w:t>日，</w:t>
      </w:r>
      <w:r>
        <w:rPr>
          <w:spacing w:val="-99"/>
        </w:rPr>
        <w:t> </w:t>
      </w:r>
      <w:r>
        <w:rPr>
          <w:spacing w:val="20"/>
        </w:rPr>
        <w:t>母公司可供股东分配利润为</w:t>
      </w:r>
      <w:r>
        <w:rPr>
          <w:spacing w:val="-95"/>
        </w:rPr>
        <w:t> </w:t>
      </w:r>
      <w:r>
        <w:rPr>
          <w:rFonts w:ascii="Times New Roman" w:hAnsi="Times New Roman" w:cs="Times New Roman" w:eastAsia="Times New Roman" w:hint="default"/>
        </w:rPr>
        <w:t>407,465,213.00</w:t>
      </w:r>
      <w:r>
        <w:rPr>
          <w:rFonts w:ascii="Times New Roman" w:hAnsi="Times New Roman" w:cs="Times New Roman" w:eastAsia="Times New Roman" w:hint="default"/>
          <w:spacing w:val="-38"/>
        </w:rPr>
        <w:t> </w:t>
      </w:r>
      <w:r>
        <w:rPr>
          <w:spacing w:val="10"/>
        </w:rPr>
        <w:t>元，</w:t>
      </w:r>
      <w:r>
        <w:rPr>
          <w:spacing w:val="-97"/>
        </w:rPr>
        <w:t> </w:t>
      </w:r>
      <w:r>
        <w:rPr>
          <w:spacing w:val="20"/>
        </w:rPr>
        <w:t>母公司年末资本公积金余额为</w:t>
      </w:r>
      <w:r>
        <w:rPr>
          <w:spacing w:val="-117"/>
        </w:rPr>
        <w:t> </w:t>
      </w:r>
      <w:r>
        <w:rPr>
          <w:spacing w:val="-117"/>
        </w:rPr>
      </w:r>
      <w:r>
        <w:rPr>
          <w:rFonts w:ascii="Times New Roman" w:hAnsi="Times New Roman" w:cs="Times New Roman" w:eastAsia="Times New Roman" w:hint="default"/>
        </w:rPr>
        <w:t>596,754,132.14</w:t>
      </w:r>
      <w:r>
        <w:rPr/>
        <w:t>元。公司</w:t>
      </w:r>
      <w:r>
        <w:rPr>
          <w:rFonts w:ascii="Times New Roman" w:hAnsi="Times New Roman" w:cs="Times New Roman" w:eastAsia="Times New Roman" w:hint="default"/>
        </w:rPr>
        <w:t>2014</w:t>
      </w:r>
      <w:r>
        <w:rPr/>
        <w:t>年度利润分配预案方案为：</w:t>
      </w:r>
      <w:r>
        <w:rPr>
          <w:rFonts w:ascii="Times New Roman" w:hAnsi="Times New Roman" w:cs="Times New Roman" w:eastAsia="Times New Roman" w:hint="default"/>
        </w:rPr>
        <w:t>2014</w:t>
      </w:r>
      <w:r>
        <w:rPr/>
        <w:t>年度不进行利润分配，以</w:t>
      </w:r>
      <w:r>
        <w:rPr>
          <w:rFonts w:ascii="Times New Roman" w:hAnsi="Times New Roman" w:cs="Times New Roman" w:eastAsia="Times New Roman" w:hint="default"/>
        </w:rPr>
        <w:t>2015</w:t>
      </w:r>
      <w:r>
        <w:rPr/>
        <w:t>年</w:t>
      </w:r>
    </w:p>
    <w:p>
      <w:pPr>
        <w:pStyle w:val="Heading3"/>
        <w:spacing w:line="240" w:lineRule="auto" w:before="27"/>
        <w:ind w:right="95"/>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3"/>
        </w:rPr>
        <w:t> </w:t>
      </w:r>
      <w:r>
        <w:rPr/>
        <w:t>月</w:t>
      </w:r>
      <w:r>
        <w:rPr>
          <w:spacing w:val="-93"/>
        </w:rPr>
        <w:t> </w:t>
      </w:r>
      <w:r>
        <w:rPr>
          <w:rFonts w:ascii="Times New Roman" w:hAnsi="Times New Roman" w:cs="Times New Roman" w:eastAsia="Times New Roman" w:hint="default"/>
        </w:rPr>
        <w:t>8</w:t>
      </w:r>
      <w:r>
        <w:rPr>
          <w:rFonts w:ascii="Times New Roman" w:hAnsi="Times New Roman" w:cs="Times New Roman" w:eastAsia="Times New Roman" w:hint="default"/>
          <w:spacing w:val="-33"/>
        </w:rPr>
        <w:t> </w:t>
      </w:r>
      <w:r>
        <w:rPr>
          <w:spacing w:val="19"/>
        </w:rPr>
        <w:t>日总股本</w:t>
      </w:r>
      <w:r>
        <w:rPr>
          <w:spacing w:val="-93"/>
        </w:rPr>
        <w:t> </w:t>
      </w:r>
      <w:r>
        <w:rPr>
          <w:rFonts w:ascii="Times New Roman" w:hAnsi="Times New Roman" w:cs="Times New Roman" w:eastAsia="Times New Roman" w:hint="default"/>
        </w:rPr>
        <w:t>549,065,756</w:t>
      </w:r>
      <w:r>
        <w:rPr>
          <w:rFonts w:ascii="Times New Roman" w:hAnsi="Times New Roman" w:cs="Times New Roman" w:eastAsia="Times New Roman" w:hint="default"/>
          <w:spacing w:val="-32"/>
        </w:rPr>
        <w:t> </w:t>
      </w:r>
      <w:r>
        <w:rPr>
          <w:spacing w:val="20"/>
        </w:rPr>
        <w:t>股为基数，</w:t>
      </w:r>
      <w:r>
        <w:rPr>
          <w:spacing w:val="-93"/>
        </w:rPr>
        <w:t> </w:t>
      </w:r>
      <w:r>
        <w:rPr>
          <w:spacing w:val="24"/>
        </w:rPr>
        <w:t>以资本公积金向全体股东每</w:t>
      </w:r>
      <w:r>
        <w:rPr>
          <w:spacing w:val="-88"/>
        </w:rPr>
        <w:t> </w:t>
      </w:r>
      <w:r>
        <w:rPr>
          <w:rFonts w:ascii="Times New Roman" w:hAnsi="Times New Roman" w:cs="Times New Roman" w:eastAsia="Times New Roman" w:hint="default"/>
        </w:rPr>
        <w:t>10</w:t>
      </w:r>
      <w:r>
        <w:rPr>
          <w:rFonts w:ascii="Times New Roman" w:hAnsi="Times New Roman" w:cs="Times New Roman" w:eastAsia="Times New Roman" w:hint="default"/>
          <w:spacing w:val="-33"/>
        </w:rPr>
        <w:t> </w:t>
      </w:r>
      <w:r>
        <w:rPr>
          <w:spacing w:val="17"/>
        </w:rPr>
        <w:t>股转增</w:t>
      </w:r>
      <w:r>
        <w:rPr>
          <w:spacing w:val="-93"/>
        </w:rPr>
        <w:t> </w:t>
      </w:r>
      <w:r>
        <w:rPr>
          <w:rFonts w:ascii="Times New Roman" w:hAnsi="Times New Roman" w:cs="Times New Roman" w:eastAsia="Times New Roman" w:hint="default"/>
        </w:rPr>
        <w:t>5</w:t>
      </w:r>
      <w:r>
        <w:rPr>
          <w:rFonts w:ascii="Times New Roman" w:hAnsi="Times New Roman" w:cs="Times New Roman" w:eastAsia="Times New Roman" w:hint="default"/>
          <w:spacing w:val="-33"/>
        </w:rPr>
        <w:t> </w:t>
      </w:r>
      <w:r>
        <w:rPr>
          <w:spacing w:val="13"/>
        </w:rPr>
        <w:t>股，</w:t>
      </w:r>
      <w:r>
        <w:rPr>
          <w:spacing w:val="-93"/>
        </w:rPr>
        <w:t> </w:t>
      </w:r>
      <w:r>
        <w:rPr>
          <w:spacing w:val="14"/>
        </w:rPr>
        <w:t>共计</w:t>
      </w:r>
    </w:p>
    <w:p>
      <w:pPr>
        <w:pStyle w:val="Heading3"/>
        <w:spacing w:line="240" w:lineRule="auto" w:before="136"/>
        <w:ind w:right="95"/>
        <w:jc w:val="left"/>
      </w:pPr>
      <w:r>
        <w:rPr>
          <w:rFonts w:ascii="Times New Roman" w:hAnsi="Times New Roman" w:cs="Times New Roman" w:eastAsia="Times New Roman" w:hint="default"/>
        </w:rPr>
        <w:t>274,532,878</w:t>
      </w:r>
      <w:r>
        <w:rPr/>
        <w:t>股。</w:t>
      </w:r>
    </w:p>
    <w:p>
      <w:pPr>
        <w:pStyle w:val="Heading3"/>
        <w:spacing w:line="338" w:lineRule="auto" w:before="135"/>
        <w:ind w:left="633" w:right="95" w:hanging="480"/>
        <w:jc w:val="left"/>
      </w:pPr>
      <w:r>
        <w:rPr/>
        <w:t>（</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2015</w:t>
      </w:r>
      <w:r>
        <w:rPr/>
        <w:t>年利润分配预案 经立信会计师事务所（特殊普通合伙）审计，</w:t>
      </w:r>
      <w:r>
        <w:rPr>
          <w:rFonts w:ascii="Times New Roman" w:hAnsi="Times New Roman" w:cs="Times New Roman" w:eastAsia="Times New Roman" w:hint="default"/>
        </w:rPr>
        <w:t>2015</w:t>
      </w:r>
      <w:r>
        <w:rPr/>
        <w:t>年实现归属于母公司股东的净利润为</w:t>
      </w:r>
    </w:p>
    <w:p>
      <w:pPr>
        <w:pStyle w:val="Heading3"/>
        <w:spacing w:line="338" w:lineRule="auto" w:before="27"/>
        <w:ind w:right="228"/>
        <w:jc w:val="both"/>
      </w:pPr>
      <w:r>
        <w:rPr>
          <w:rFonts w:ascii="Times New Roman" w:hAnsi="Times New Roman" w:cs="Times New Roman" w:eastAsia="Times New Roman" w:hint="default"/>
          <w:spacing w:val="-2"/>
        </w:rPr>
        <w:t>214,240,021.65</w:t>
      </w:r>
      <w:r>
        <w:rPr>
          <w:spacing w:val="-2"/>
        </w:rPr>
        <w:t>元，其中母公司实现的净利润为</w:t>
      </w:r>
      <w:r>
        <w:rPr>
          <w:rFonts w:ascii="Times New Roman" w:hAnsi="Times New Roman" w:cs="Times New Roman" w:eastAsia="Times New Roman" w:hint="default"/>
          <w:spacing w:val="-2"/>
        </w:rPr>
        <w:t>209,285,440.80</w:t>
      </w:r>
      <w:r>
        <w:rPr>
          <w:spacing w:val="-2"/>
        </w:rPr>
        <w:t>元。根据《公司章程》的有关规</w:t>
      </w:r>
      <w:r>
        <w:rPr>
          <w:spacing w:val="-92"/>
        </w:rPr>
        <w:t> </w:t>
      </w:r>
      <w:r>
        <w:rPr>
          <w:spacing w:val="-92"/>
        </w:rPr>
      </w:r>
      <w:r>
        <w:rPr>
          <w:spacing w:val="2"/>
        </w:rPr>
        <w:t>定，按照母公司</w:t>
      </w:r>
      <w:r>
        <w:rPr>
          <w:rFonts w:ascii="Times New Roman" w:hAnsi="Times New Roman" w:cs="Times New Roman" w:eastAsia="Times New Roman" w:hint="default"/>
          <w:spacing w:val="2"/>
        </w:rPr>
        <w:t>2015</w:t>
      </w:r>
      <w:r>
        <w:rPr>
          <w:spacing w:val="2"/>
        </w:rPr>
        <w:t>年度实现净利润的</w:t>
      </w:r>
      <w:r>
        <w:rPr>
          <w:rFonts w:ascii="Times New Roman" w:hAnsi="Times New Roman" w:cs="Times New Roman" w:eastAsia="Times New Roman" w:hint="default"/>
          <w:spacing w:val="2"/>
        </w:rPr>
        <w:t>10%</w:t>
      </w:r>
      <w:r>
        <w:rPr>
          <w:spacing w:val="2"/>
        </w:rPr>
        <w:t>计提法定盈余公积金</w:t>
      </w:r>
      <w:r>
        <w:rPr>
          <w:rFonts w:ascii="Times New Roman" w:hAnsi="Times New Roman" w:cs="Times New Roman" w:eastAsia="Times New Roman" w:hint="default"/>
          <w:spacing w:val="2"/>
        </w:rPr>
        <w:t>20,928,544.08</w:t>
      </w:r>
      <w:r>
        <w:rPr>
          <w:spacing w:val="2"/>
        </w:rPr>
        <w:t>元，截至</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41"/>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日，母公司可供股东分配利润为</w:t>
      </w:r>
      <w:r>
        <w:rPr>
          <w:rFonts w:ascii="Times New Roman" w:hAnsi="Times New Roman" w:cs="Times New Roman" w:eastAsia="Times New Roman" w:hint="default"/>
          <w:spacing w:val="3"/>
        </w:rPr>
        <w:t>595,822,109.72</w:t>
      </w:r>
      <w:r>
        <w:rPr>
          <w:spacing w:val="3"/>
        </w:rPr>
        <w:t>元，母公司年末资本公积金余额为</w:t>
      </w:r>
      <w:r>
        <w:rPr>
          <w:spacing w:val="-75"/>
        </w:rPr>
        <w:t> </w:t>
      </w:r>
      <w:r>
        <w:rPr>
          <w:spacing w:val="-75"/>
        </w:rPr>
      </w:r>
      <w:r>
        <w:rPr>
          <w:rFonts w:ascii="Times New Roman" w:hAnsi="Times New Roman" w:cs="Times New Roman" w:eastAsia="Times New Roman" w:hint="default"/>
          <w:spacing w:val="-1"/>
        </w:rPr>
        <w:t>396,895,442.73</w:t>
      </w:r>
      <w:r>
        <w:rPr>
          <w:spacing w:val="-1"/>
        </w:rPr>
        <w:t>元；现拟以公司总股本</w:t>
      </w:r>
      <w:r>
        <w:rPr>
          <w:rFonts w:ascii="Times New Roman" w:hAnsi="Times New Roman" w:cs="Times New Roman" w:eastAsia="Times New Roman" w:hint="default"/>
          <w:spacing w:val="-1"/>
        </w:rPr>
        <w:t>835,374,634</w:t>
      </w:r>
      <w:r>
        <w:rPr>
          <w:spacing w:val="-1"/>
        </w:rPr>
        <w:t>股为基数，向全体股东每</w:t>
      </w:r>
      <w:r>
        <w:rPr>
          <w:rFonts w:ascii="Times New Roman" w:hAnsi="Times New Roman" w:cs="Times New Roman" w:eastAsia="Times New Roman" w:hint="default"/>
          <w:spacing w:val="-1"/>
        </w:rPr>
        <w:t>10</w:t>
      </w:r>
      <w:r>
        <w:rPr>
          <w:spacing w:val="-1"/>
        </w:rPr>
        <w:t>股派发现金红利</w:t>
      </w:r>
    </w:p>
    <w:p>
      <w:pPr>
        <w:pStyle w:val="Heading3"/>
        <w:spacing w:line="240" w:lineRule="auto" w:before="27"/>
        <w:ind w:right="95"/>
        <w:jc w:val="left"/>
      </w:pPr>
      <w:r>
        <w:rPr>
          <w:rFonts w:ascii="Times New Roman" w:hAnsi="Times New Roman" w:cs="Times New Roman" w:eastAsia="Times New Roman" w:hint="default"/>
        </w:rPr>
        <w:t>0.3</w:t>
      </w:r>
      <w:r>
        <w:rPr/>
        <w:t>元（含税），合计派发现金红利人民币</w:t>
      </w:r>
      <w:r>
        <w:rPr>
          <w:rFonts w:ascii="Times New Roman" w:hAnsi="Times New Roman" w:cs="Times New Roman" w:eastAsia="Times New Roman" w:hint="default"/>
        </w:rPr>
        <w:t>25,061,239.02</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95"/>
        <w:jc w:val="left"/>
      </w:pPr>
      <w:r>
        <w:rPr/>
        <w:t>公司近三年（包括本报告期）普通股现金分红情况表</w:t>
      </w:r>
    </w:p>
    <w:p>
      <w:pPr>
        <w:pStyle w:val="BodyText"/>
        <w:spacing w:line="240" w:lineRule="auto" w:before="115"/>
        <w:ind w:left="0" w:right="23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133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12" w:right="70" w:hanging="541"/>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1"/>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8" w:right="0"/>
              <w:jc w:val="left"/>
              <w:rPr>
                <w:rFonts w:ascii="Times New Roman" w:hAnsi="Times New Roman" w:cs="Times New Roman" w:eastAsia="Times New Roman" w:hint="default"/>
                <w:sz w:val="18"/>
                <w:szCs w:val="18"/>
              </w:rPr>
            </w:pPr>
            <w:r>
              <w:rPr>
                <w:rFonts w:ascii="Times New Roman"/>
                <w:sz w:val="18"/>
              </w:rPr>
              <w:t>25,061,239.02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214,240,021.65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5" w:right="0"/>
              <w:jc w:val="left"/>
              <w:rPr>
                <w:rFonts w:ascii="Times New Roman" w:hAnsi="Times New Roman" w:cs="Times New Roman" w:eastAsia="Times New Roman" w:hint="default"/>
                <w:sz w:val="18"/>
                <w:szCs w:val="18"/>
              </w:rPr>
            </w:pPr>
            <w:r>
              <w:rPr>
                <w:rFonts w:ascii="Times New Roman"/>
                <w:sz w:val="18"/>
              </w:rPr>
              <w:t>11.70%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177,302,356.33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39,925,749.15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146,062,378.78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公司报告期内盈利且母公司可供普通股股东分配利润为正但未提出普通股现金红利分配预案</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7"/>
      </w:tblGrid>
      <w:tr>
        <w:trPr>
          <w:trHeight w:val="402"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85"/>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2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2"/>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4" w:lineRule="auto"/>
              <w:ind w:left="22" w:right="122"/>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22"/>
              <w:jc w:val="left"/>
              <w:rPr>
                <w:rFonts w:ascii="宋体" w:hAnsi="宋体" w:cs="宋体" w:eastAsia="宋体" w:hint="default"/>
                <w:sz w:val="18"/>
                <w:szCs w:val="18"/>
              </w:rPr>
            </w:pPr>
            <w:r>
              <w:rPr>
                <w:rFonts w:ascii="宋体" w:hAnsi="宋体" w:cs="宋体" w:eastAsia="宋体" w:hint="default"/>
                <w:sz w:val="18"/>
                <w:szCs w:val="18"/>
              </w:rPr>
              <w:t>上海汉得信息技 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不进行重大资 产重组承诺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公司承诺自本次股票复牌 之日起三个月内不再筹划 重大资产重组事项。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三个月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1"/>
              <w:jc w:val="righ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5394"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赵旭民、刘涛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股份限售承诺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自本次定向发行结束之 日起三十六个月内，本人 将不转让本人因汉得信息 本次定向发行而取得的汉 得信息股票；自本次定向 发行结束之日起，由于汉 得信息送红股、转增股本 等原因使得本人增持的上 市公司股份，本人承诺亦 遵守上述约定；本人因汉 得信息本次定向发行而取 得的汉得信息的股票的锁 定期</w:t>
            </w:r>
            <w:r>
              <w:rPr>
                <w:rFonts w:ascii="Times New Roman" w:hAnsi="Times New Roman" w:cs="Times New Roman" w:eastAsia="Times New Roman" w:hint="default"/>
                <w:sz w:val="18"/>
                <w:szCs w:val="18"/>
              </w:rPr>
              <w:t>/</w:t>
            </w:r>
            <w:r>
              <w:rPr>
                <w:rFonts w:ascii="宋体" w:hAnsi="宋体" w:cs="宋体" w:eastAsia="宋体" w:hint="default"/>
                <w:sz w:val="18"/>
                <w:szCs w:val="18"/>
              </w:rPr>
              <w:t>限售期的规定与证券 监管机构的最新监管意见 不相符，本人将根据监管 机构的监管意见进行相应 调整。</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3" w:right="185"/>
              <w:jc w:val="both"/>
              <w:rPr>
                <w:rFonts w:ascii="宋体" w:hAnsi="宋体" w:cs="宋体" w:eastAsia="宋体" w:hint="default"/>
                <w:sz w:val="18"/>
                <w:szCs w:val="18"/>
              </w:rPr>
            </w:pPr>
            <w:r>
              <w:rPr>
                <w:rFonts w:ascii="宋体" w:hAnsi="宋体" w:cs="宋体" w:eastAsia="宋体" w:hint="default"/>
                <w:sz w:val="18"/>
                <w:szCs w:val="18"/>
              </w:rPr>
              <w:t>自本次定向 发行结束之 日起三十六 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本次定向发 行的股份上 市时间为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1922"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BEYOND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7"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本公司在本次资产 重组过程中提供的有关信 息真实、准确和完整，保 证不存在任何虚假记载、 误导性陈述或者重大遗 漏，并对所提供信息的真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9"/>
      </w:tblGrid>
      <w:tr>
        <w:trPr>
          <w:trHeight w:val="3795"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实性、准确性和完整性承 担个别和连带的法律责 任；本人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本公司已向汉得 信息及相关中介机构提交 本次资产重组所需全部文 件及资料，同时承诺所提 供纸质版和电子版资料均 真实、完整、可靠，有关 副本材料或者复印件与原 件一致，文件上所有签字 与印章皆真实、有效，复 印件与原件相符。</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BEYOND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6" w:firstLine="9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截至本承诺函出具日，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本公司、本公司的董 事、监事、高级管理人员 及本公司的其他主要管理 人员最近五年内均未受到 过任何刑事处罚、行政处 罚，未涉及与经济纠纷有 关的重大民事诉讼或者仲 裁案件，亦不存在任何尚 未了结的重大诉讼、仲裁 及正在执行中的案件。</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66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赵旭民、刘涛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截至本承诺函出具日， 本人持有扬州达美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的 股权（以下简称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标的股 </w:t>
            </w:r>
            <w:r>
              <w:rPr>
                <w:rFonts w:ascii="宋体" w:hAnsi="宋体" w:cs="宋体" w:eastAsia="宋体" w:hint="default"/>
                <w:spacing w:val="-13"/>
                <w:w w:val="100"/>
                <w:sz w:val="18"/>
                <w:szCs w:val="18"/>
              </w:rPr>
              <w:t>权</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或</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标的资产</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）。本人保</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证扬州达美是合法成立、 有效存续的有限责任公 司，扬州达美不存在影响 其合法存续的情况，不存 在权利瑕疵和其他影响标 的资产过户的情况，标的 资产的持有人由本人过户 到汉得信息不存在法律障 碍；扬州达美不存在依据 中国法律规定及其章程需 要终止的情形；本人保证 本人合法持有标的股权且 该等股权不存在信托安 排、不存在股份代持、不 代表其他方的利益，且该 等股权未设定其他他项权 利，不存在任何股权纠纷</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9"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9"/>
      </w:tblGrid>
      <w:tr>
        <w:trPr>
          <w:trHeight w:val="10036"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84"/>
              <w:jc w:val="left"/>
              <w:rPr>
                <w:rFonts w:ascii="宋体" w:hAnsi="宋体" w:cs="宋体" w:eastAsia="宋体" w:hint="default"/>
                <w:sz w:val="18"/>
                <w:szCs w:val="18"/>
              </w:rPr>
            </w:pPr>
            <w:r>
              <w:rPr>
                <w:rFonts w:ascii="宋体" w:hAnsi="宋体" w:cs="宋体" w:eastAsia="宋体" w:hint="default"/>
                <w:sz w:val="18"/>
                <w:szCs w:val="18"/>
              </w:rPr>
              <w:t>或潜在的股权纠纷，亦未 被任何部门实施扣押、查 封、冻结等使其权利受到 限制的不利情形，不存在 权益纠纷，不存在涉及诉 讼、仲裁、司法强制执行 等重大争议或者存在其他 任何妨碍权属转移的其他 情形，本人保证标的资产 的该状态持续至本次交易 完成之日；本人保证，在 本次资产重组实施完成 前，将确保标的资产产权 清晰，扬州达美不发生抵 押、质押等权利限制的情 形，不发生涉及诉讼、仲 裁、司法强制执行等重大 争议或者妨碍权属转移的 其他情形；本人保证，自 汉得信息就本次资产重组 召开的首次股东大会决议 公告之日起三十（</w:t>
            </w:r>
            <w:r>
              <w:rPr>
                <w:rFonts w:ascii="Times New Roman" w:hAnsi="Times New Roman" w:cs="Times New Roman" w:eastAsia="Times New Roman" w:hint="default"/>
                <w:sz w:val="18"/>
                <w:szCs w:val="18"/>
              </w:rPr>
              <w:t>30</w:t>
            </w:r>
            <w:r>
              <w:rPr>
                <w:rFonts w:ascii="宋体" w:hAnsi="宋体" w:cs="宋体" w:eastAsia="宋体" w:hint="default"/>
                <w:sz w:val="18"/>
                <w:szCs w:val="18"/>
              </w:rPr>
              <w:t>）日 内，扬州达美向</w:t>
            </w:r>
          </w:p>
          <w:p>
            <w:pPr>
              <w:pStyle w:val="TableParagraph"/>
              <w:spacing w:line="362" w:lineRule="auto" w:before="61"/>
              <w:ind w:left="23" w:right="828"/>
              <w:jc w:val="left"/>
              <w:rPr>
                <w:rFonts w:ascii="Times New Roman" w:hAnsi="Times New Roman" w:cs="Times New Roman" w:eastAsia="Times New Roman" w:hint="default"/>
                <w:sz w:val="18"/>
                <w:szCs w:val="18"/>
              </w:rPr>
            </w:pPr>
            <w:r>
              <w:rPr>
                <w:rFonts w:ascii="Times New Roman"/>
                <w:sz w:val="18"/>
              </w:rPr>
              <w:t>CAMELOT</w:t>
            </w:r>
            <w:r>
              <w:rPr>
                <w:rFonts w:ascii="Times New Roman"/>
                <w:w w:val="99"/>
                <w:sz w:val="18"/>
              </w:rPr>
              <w:t> </w:t>
            </w:r>
            <w:r>
              <w:rPr>
                <w:rFonts w:ascii="Times New Roman"/>
                <w:spacing w:val="-2"/>
                <w:sz w:val="18"/>
              </w:rPr>
              <w:t>INFORMATION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w w:val="99"/>
                <w:sz w:val="18"/>
                <w:szCs w:val="18"/>
              </w:rPr>
              <w:t>YS</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99"/>
                <w:sz w:val="18"/>
                <w:szCs w:val="18"/>
              </w:rPr>
              <w:t>IN</w:t>
            </w:r>
            <w:r>
              <w:rPr>
                <w:rFonts w:ascii="Times New Roman" w:hAnsi="Times New Roman" w:cs="Times New Roman" w:eastAsia="Times New Roman" w:hint="default"/>
                <w:spacing w:val="-19"/>
                <w:sz w:val="18"/>
                <w:szCs w:val="18"/>
              </w:rPr>
              <w:t>C</w:t>
            </w:r>
            <w:r>
              <w:rPr>
                <w:rFonts w:ascii="宋体" w:hAnsi="宋体" w:cs="宋体" w:eastAsia="宋体" w:hint="default"/>
                <w:spacing w:val="-162"/>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以下简称</w:t>
            </w:r>
          </w:p>
          <w:p>
            <w:pPr>
              <w:pStyle w:val="TableParagraph"/>
              <w:spacing w:line="307" w:lineRule="auto" w:before="63"/>
              <w:ind w:left="23"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“CAMELOT”</w:t>
            </w:r>
            <w:r>
              <w:rPr>
                <w:rFonts w:ascii="宋体" w:hAnsi="宋体" w:cs="宋体" w:eastAsia="宋体" w:hint="default"/>
                <w:spacing w:val="-5"/>
                <w:sz w:val="18"/>
                <w:szCs w:val="18"/>
              </w:rPr>
              <w:t>）全额支付其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购买上海达 美股权的股权转让价款或 取得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豁免其支 付该等股权转让价款的书 面文件。</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328" w:right="0"/>
              <w:jc w:val="left"/>
              <w:rPr>
                <w:rFonts w:ascii="Times New Roman" w:hAnsi="Times New Roman" w:cs="Times New Roman" w:eastAsia="Times New Roman" w:hint="default"/>
                <w:sz w:val="18"/>
                <w:szCs w:val="18"/>
              </w:rPr>
            </w:pPr>
            <w:r>
              <w:rPr>
                <w:rFonts w:ascii="Times New Roman"/>
                <w:sz w:val="18"/>
              </w:rPr>
              <w:t>BEYOND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3"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截至本承诺函出具日， 本公司持有上海达美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的股权（以下简称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标的股</w:t>
            </w:r>
            <w:r>
              <w:rPr>
                <w:rFonts w:ascii="宋体" w:hAnsi="宋体" w:cs="宋体" w:eastAsia="宋体" w:hint="default"/>
                <w:spacing w:val="-82"/>
                <w:sz w:val="18"/>
                <w:szCs w:val="18"/>
              </w:rPr>
              <w:t> </w:t>
            </w:r>
            <w:r>
              <w:rPr>
                <w:rFonts w:ascii="宋体" w:hAnsi="宋体" w:cs="宋体" w:eastAsia="宋体" w:hint="default"/>
                <w:spacing w:val="-13"/>
                <w:w w:val="100"/>
                <w:sz w:val="18"/>
                <w:szCs w:val="18"/>
              </w:rPr>
              <w:t>权</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或</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标的资产</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）。本公司</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保证上海达美是合法成 立、有效存续的有限责任 公司，上海达美不存在影 响其合法存续的情况，不 存在权利瑕疵和其他影响 标的资产过户的情况，标 的资产的持有人由本公司 过户到汉得信息不存在法</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0.493011pt;margin-top:72.47998pt;width:143pt;height:641.75pt;mso-position-horizontal-relative:page;mso-position-vertical-relative:page;z-index:-8299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不代表其他方的利益，</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7"/>
      </w:tblGrid>
      <w:tr>
        <w:trPr>
          <w:trHeight w:val="315"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2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律障碍；上海达美不存在</w:t>
            </w:r>
          </w:p>
        </w:tc>
        <w:tc>
          <w:tcPr>
            <w:tcW w:w="1126" w:type="dxa"/>
            <w:vMerge w:val="restart"/>
            <w:tcBorders>
              <w:top w:val="single" w:sz="4" w:space="0" w:color="000000"/>
              <w:left w:val="single" w:sz="4" w:space="0" w:color="000000"/>
              <w:right w:val="single" w:sz="4" w:space="0" w:color="000000"/>
            </w:tcBorders>
          </w:tcPr>
          <w:p>
            <w:pPr>
              <w:pStyle w:val="TableParagraph"/>
              <w:spacing w:line="1283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55.85pt;height:641.75pt;mso-position-horizontal-relative:char;mso-position-vertical-relative:line" coordorigin="0,0" coordsize="1117,12835">
                  <v:group style="position:absolute;left:0;top:0;width:1117;height:12835" coordorigin="0,0" coordsize="1117,12835">
                    <v:shape style="position:absolute;left:0;top:0;width:1117;height:12835" coordorigin="0,0" coordsize="1117,12835" path="m0,12835l1116,12835,1116,0,0,0,0,12835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依据中国法律规定及其章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程需要终止的情形；本公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司保证本公司合法持有标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的股权且该等股权不存在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信托安排、不存在股份代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且该等股权未设定其他他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项权利，不存在任何股权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纠纷或潜在的股权纠纷，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亦未被任何部门实施扣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押、查封、冻结等使其权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利受到限制的不利情形，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不存在权益纠纷，不存在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涉及诉讼、仲裁、司法强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制执行等重大争议或者存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在其他任何妨碍权属转移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的其他情形，本公司保证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标的资产的该状态持续至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本次交易完成之日；本公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司保证，在本次资产重组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实施完成前，将确保标的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资产产权清晰，上海达美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不发生抵押、质押等权利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限制的情形，不发生涉及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诉讼、仲裁、司法强制执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行等重大争议或者妨碍权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属转移的其他情形；本公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司保证，自汉得信息就本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次资产重组召开的首次股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东大会决议公告之日起三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2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十（</w:t>
            </w:r>
            <w:r>
              <w:rPr>
                <w:rFonts w:ascii="Times New Roman" w:hAnsi="Times New Roman" w:cs="Times New Roman" w:eastAsia="Times New Roman" w:hint="default"/>
                <w:sz w:val="18"/>
                <w:szCs w:val="18"/>
              </w:rPr>
              <w:t>30</w:t>
            </w:r>
            <w:r>
              <w:rPr>
                <w:rFonts w:ascii="宋体" w:hAnsi="宋体" w:cs="宋体" w:eastAsia="宋体" w:hint="default"/>
                <w:sz w:val="18"/>
                <w:szCs w:val="18"/>
              </w:rPr>
              <w:t>）日内，本公司向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CAMELOT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3" w:right="0"/>
              <w:jc w:val="left"/>
              <w:rPr>
                <w:rFonts w:ascii="Times New Roman" w:hAnsi="Times New Roman" w:cs="Times New Roman" w:eastAsia="Times New Roman" w:hint="default"/>
                <w:sz w:val="18"/>
                <w:szCs w:val="18"/>
              </w:rPr>
            </w:pPr>
            <w:r>
              <w:rPr>
                <w:rFonts w:ascii="Times New Roman"/>
                <w:sz w:val="18"/>
              </w:rPr>
              <w:t>INFORMATION</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w w:val="99"/>
                <w:sz w:val="18"/>
                <w:szCs w:val="18"/>
              </w:rPr>
              <w:t>YS</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E</w:t>
            </w:r>
            <w:r>
              <w:rPr>
                <w:rFonts w:ascii="Times New Roman" w:hAnsi="Times New Roman" w:cs="Times New Roman" w:eastAsia="Times New Roman" w:hint="default"/>
                <w:spacing w:val="1"/>
                <w:w w:val="99"/>
                <w:sz w:val="18"/>
                <w:szCs w:val="18"/>
              </w:rPr>
              <w:t>M</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z w:val="18"/>
                <w:szCs w:val="18"/>
              </w:rPr>
              <w:t> </w:t>
            </w:r>
            <w:r>
              <w:rPr>
                <w:rFonts w:ascii="Times New Roman" w:hAnsi="Times New Roman" w:cs="Times New Roman" w:eastAsia="Times New Roman" w:hint="default"/>
                <w:w w:val="99"/>
                <w:sz w:val="18"/>
                <w:szCs w:val="18"/>
              </w:rPr>
              <w:t>IN</w:t>
            </w:r>
            <w:r>
              <w:rPr>
                <w:rFonts w:ascii="Times New Roman" w:hAnsi="Times New Roman" w:cs="Times New Roman" w:eastAsia="Times New Roman" w:hint="default"/>
                <w:spacing w:val="-19"/>
                <w:sz w:val="18"/>
                <w:szCs w:val="18"/>
              </w:rPr>
              <w:t>C</w:t>
            </w:r>
            <w:r>
              <w:rPr>
                <w:rFonts w:ascii="宋体" w:hAnsi="宋体" w:cs="宋体" w:eastAsia="宋体" w:hint="default"/>
                <w:spacing w:val="-162"/>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以下简称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“CAMELOT”</w:t>
            </w:r>
            <w:r>
              <w:rPr>
                <w:rFonts w:ascii="宋体" w:hAnsi="宋体" w:cs="宋体" w:eastAsia="宋体" w:hint="default"/>
                <w:spacing w:val="-5"/>
                <w:sz w:val="18"/>
                <w:szCs w:val="18"/>
              </w:rPr>
              <w:t>）全额支付向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购买上海达美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股权的股权转让价款或取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CAMELOT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豁免本公司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支付该等股权转让价款的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60"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书面文件。</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986"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BEYOND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6"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除扬州达美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上海达美 外，本人及本人关系密切 的家庭成员</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本公司及本公</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80.493011pt;margin-top:72.47998pt;width:143pt;height:657.35pt;mso-position-horizontal-relative:page;mso-position-vertical-relative:page;z-index:-829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pStyle w:val="BodyText"/>
                    <w:spacing w:line="240" w:lineRule="auto"/>
                    <w:ind w:left="0" w:right="0"/>
                    <w:jc w:val="left"/>
                  </w:pPr>
                  <w:r>
                    <w:rPr/>
                    <w:t>联营或采取租赁经营、</w:t>
                  </w:r>
                </w:p>
              </w:txbxContent>
            </v:textbox>
            <w10:wrap type="none"/>
          </v:shape>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9"/>
      </w:tblGrid>
      <w:tr>
        <w:trPr>
          <w:trHeight w:val="13156"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36"/>
              <w:jc w:val="left"/>
              <w:rPr>
                <w:rFonts w:ascii="宋体" w:hAnsi="宋体" w:cs="宋体" w:eastAsia="宋体" w:hint="default"/>
                <w:sz w:val="18"/>
                <w:szCs w:val="18"/>
              </w:rPr>
            </w:pPr>
            <w:r>
              <w:rPr>
                <w:rFonts w:ascii="宋体" w:hAnsi="宋体" w:cs="宋体" w:eastAsia="宋体" w:hint="default"/>
                <w:sz w:val="18"/>
                <w:szCs w:val="18"/>
              </w:rPr>
              <w:t>司董事、监事和高级管理 人员将不在中国境内外直 接或间接拥有、管理、控 制、投资、从事其他任何 与汉得信息及其分公司、 子公司相同或相近的业务 或项目，亦不参与拥有、 管理、控制、投资其他任 何与汉得信息及其分公 司、子公司相同或相近的 业务或项目，亦不谋求通 过与任何第三人合资、合 作、 承包经营、委托管理等任 何方式直接或间接从事与 汉得信息及其分公司、子 公司构成竞争的业务；本 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本公司保证，将在汉得 信息股东大会审议批准本 次交易后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日内召开北京 龙象信益科技有限公司、 上海和美软件有限公司和 扬州和美软件有限公司</w:t>
            </w:r>
          </w:p>
          <w:p>
            <w:pPr>
              <w:pStyle w:val="TableParagraph"/>
              <w:spacing w:line="312" w:lineRule="auto" w:before="19"/>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该三家关联 </w:t>
            </w: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）股东会会议并通过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决议同意注销该三家关联 公司，并履行相应注销公 告程序；本人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本公司在直 接或间接持有汉得信息股 份的期间，或者，若本人 在汉得信息或扬州达美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 海达美及其分子公司任职 的，则自本人与汉得信息 或扬州达美</w:t>
            </w:r>
            <w:r>
              <w:rPr>
                <w:rFonts w:ascii="Times New Roman" w:hAnsi="Times New Roman" w:cs="Times New Roman" w:eastAsia="Times New Roman" w:hint="default"/>
                <w:sz w:val="18"/>
                <w:szCs w:val="18"/>
              </w:rPr>
              <w:t>/</w:t>
            </w:r>
            <w:r>
              <w:rPr>
                <w:rFonts w:ascii="宋体" w:hAnsi="宋体" w:cs="宋体" w:eastAsia="宋体" w:hint="default"/>
                <w:sz w:val="18"/>
                <w:szCs w:val="18"/>
              </w:rPr>
              <w:t>上海达美及其 分子公司解除劳动关系之 日起的两年内，本人遵守 上述承诺；本人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本公司若 违反上述承诺，本人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 司将对由此给汉得信息造 成的损失作出全面、及时 和足额的赔偿；本承诺为 不可撤销的承诺。</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1314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2"/>
                <w:sz w:val="20"/>
                <w:szCs w:val="20"/>
              </w:rPr>
              <w:pict>
                <v:group style="width:55.85pt;height:657.35pt;mso-position-horizontal-relative:char;mso-position-vertical-relative:line" coordorigin="0,0" coordsize="1117,13147">
                  <v:group style="position:absolute;left:0;top:0;width:1117;height:13147" coordorigin="0,0" coordsize="1117,13147">
                    <v:shape style="position:absolute;left:0;top:0;width:1117;height:13147" coordorigin="0,0" coordsize="1117,13147" path="m0,13147l1116,13147,1116,0,0,0,0,13147xe" filled="true" fillcolor="#ffffff" stroked="false">
                      <v:path arrowok="t"/>
                      <v:fill type="solid"/>
                    </v:shape>
                  </v:group>
                </v:group>
              </w:pict>
            </w:r>
            <w:r>
              <w:rPr>
                <w:rFonts w:ascii="Times New Roman" w:hAnsi="Times New Roman" w:cs="Times New Roman" w:eastAsia="Times New Roman" w:hint="default"/>
                <w:position w:val="-262"/>
                <w:sz w:val="20"/>
                <w:szCs w:val="20"/>
              </w:rPr>
            </w: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有违反上述 承诺的情况。</w:t>
            </w:r>
          </w:p>
        </w:tc>
      </w:tr>
      <w:tr>
        <w:trPr>
          <w:trHeight w:val="71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赵旭民、刘涛、</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BEYOND</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
              <w:jc w:val="left"/>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3" w:right="47" w:firstLine="9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本公司将按照《中 华人民共和国公司法》等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2"/>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8.493011pt;margin-top:72.47998pt;width:125pt;height:438.95pt;mso-position-horizontal-relative:page;mso-position-vertical-relative:page;z-index:-829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pStyle w:val="BodyText"/>
                    <w:spacing w:line="240" w:lineRule="auto"/>
                    <w:ind w:left="0" w:right="0"/>
                    <w:jc w:val="left"/>
                  </w:pPr>
                  <w:r>
                    <w:rPr/>
                    <w:t>并依法签订协议，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7"/>
      </w:tblGrid>
      <w:tr>
        <w:trPr>
          <w:trHeight w:val="315"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占用方面的承</w:t>
            </w:r>
          </w:p>
        </w:tc>
        <w:tc>
          <w:tcPr>
            <w:tcW w:w="2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法律法规以及汉得信息公</w:t>
            </w:r>
          </w:p>
        </w:tc>
        <w:tc>
          <w:tcPr>
            <w:tcW w:w="1126" w:type="dxa"/>
            <w:vMerge w:val="restart"/>
            <w:tcBorders>
              <w:top w:val="single" w:sz="4" w:space="0" w:color="000000"/>
              <w:left w:val="single" w:sz="4" w:space="0" w:color="000000"/>
              <w:right w:val="single" w:sz="4" w:space="0" w:color="000000"/>
            </w:tcBorders>
          </w:tcPr>
          <w:p>
            <w:pPr>
              <w:pStyle w:val="TableParagraph"/>
              <w:spacing w:line="877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75"/>
                <w:sz w:val="20"/>
                <w:szCs w:val="20"/>
              </w:rPr>
              <w:pict>
                <v:group style="width:55.85pt;height:438.95pt;mso-position-horizontal-relative:char;mso-position-vertical-relative:line" coordorigin="0,0" coordsize="1117,8779">
                  <v:group style="position:absolute;left:0;top:0;width:1117;height:8779" coordorigin="0,0" coordsize="1117,8779">
                    <v:shape style="position:absolute;left:0;top:0;width:1117;height:8779" coordorigin="0,0" coordsize="1117,8779" path="m0,8778l1116,8778,1116,0,0,0,0,8778xe" filled="true" fillcolor="#ffffff" stroked="false">
                      <v:path arrowok="t"/>
                      <v:fill type="solid"/>
                    </v:shape>
                  </v:group>
                </v:group>
              </w:pict>
            </w:r>
            <w:r>
              <w:rPr>
                <w:rFonts w:ascii="Times New Roman" w:hAnsi="Times New Roman" w:cs="Times New Roman" w:eastAsia="Times New Roman" w:hint="default"/>
                <w:position w:val="-175"/>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pacing w:val="-5"/>
                <w:sz w:val="18"/>
                <w:szCs w:val="18"/>
              </w:rPr>
              <w:t>此项承诺，未</w:t>
            </w: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司章程的有关规定行使股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有违反上述</w:t>
            </w: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东权利；在股东大会对涉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7"/>
              <w:jc w:val="left"/>
              <w:rPr>
                <w:rFonts w:ascii="宋体" w:hAnsi="宋体" w:cs="宋体" w:eastAsia="宋体" w:hint="default"/>
                <w:sz w:val="18"/>
                <w:szCs w:val="18"/>
              </w:rPr>
            </w:pPr>
            <w:r>
              <w:rPr>
                <w:rFonts w:ascii="宋体" w:hAnsi="宋体" w:cs="宋体" w:eastAsia="宋体" w:hint="default"/>
                <w:sz w:val="18"/>
                <w:szCs w:val="18"/>
              </w:rPr>
              <w:t>承诺的情况。</w:t>
            </w: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进行表决时，按照《中华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人民共和国公司法》等法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律法规以及汉得信息公司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章程的有关规定履行回避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表决的义务；本人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将杜绝一切非法占用汉得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信息及其子公司的资金、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资产的行为，在任何情况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下，不要求汉得信息及其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本公司投资或控制的其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它企业提供任何形式的担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本公司将尽可能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地避免和减少本人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本公司投资或控制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的其它企业与汉得信息及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其子公司的关联交易；对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无法避免或者有合理原因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而发生的关联交易，将遵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循市场公正、公平、公开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的原则，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履行合法程序，按照汉得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信息公司章程、有关法律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1417"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法规履行信息披露义务。</w:t>
            </w:r>
            <w:r>
              <w:rPr>
                <w:rFonts w:ascii="Times New Roman" w:hAnsi="Times New Roman" w:cs="Times New Roman" w:eastAsia="Times New Roman" w:hint="default"/>
                <w:sz w:val="18"/>
                <w:szCs w:val="18"/>
              </w:rPr>
              <w:t>”</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10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本公司及董事会全体成员</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保证相关内容已经审阅，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报告期内，公</w:t>
            </w: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确认《申请文件》内容真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司及承诺人</w:t>
            </w:r>
          </w:p>
        </w:tc>
      </w:tr>
      <w:tr>
        <w:trPr>
          <w:trHeight w:val="629" w:hRule="exact"/>
        </w:trPr>
        <w:tc>
          <w:tcPr>
            <w:tcW w:w="141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54" w:right="70" w:hanging="180"/>
              <w:jc w:val="left"/>
              <w:rPr>
                <w:rFonts w:ascii="宋体" w:hAnsi="宋体" w:cs="宋体" w:eastAsia="宋体" w:hint="default"/>
                <w:sz w:val="18"/>
                <w:szCs w:val="18"/>
              </w:rPr>
            </w:pPr>
            <w:r>
              <w:rPr>
                <w:rFonts w:ascii="宋体" w:hAnsi="宋体" w:cs="宋体" w:eastAsia="宋体" w:hint="default"/>
                <w:sz w:val="18"/>
                <w:szCs w:val="18"/>
              </w:rPr>
              <w:t>汉得信息及董事 会全体成员</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87"/>
              <w:jc w:val="left"/>
              <w:rPr>
                <w:rFonts w:ascii="宋体" w:hAnsi="宋体" w:cs="宋体" w:eastAsia="宋体" w:hint="default"/>
                <w:sz w:val="18"/>
                <w:szCs w:val="18"/>
              </w:rPr>
            </w:pPr>
            <w:r>
              <w:rPr>
                <w:rFonts w:ascii="宋体" w:hAnsi="宋体" w:cs="宋体" w:eastAsia="宋体" w:hint="default"/>
                <w:sz w:val="18"/>
                <w:szCs w:val="18"/>
              </w:rPr>
              <w:t>实、准确、完整，无虚假 记载、误导性陈述或重大</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遵守了此项 </w:t>
            </w:r>
            <w:r>
              <w:rPr>
                <w:rFonts w:ascii="宋体" w:hAnsi="宋体" w:cs="宋体" w:eastAsia="宋体" w:hint="default"/>
                <w:spacing w:val="-5"/>
                <w:sz w:val="18"/>
                <w:szCs w:val="18"/>
              </w:rPr>
              <w:t>承诺，未有违</w:t>
            </w: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遗漏，并对其真实性、准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反上述承诺</w:t>
            </w: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确性和完整性承担相应的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的情况</w:t>
            </w:r>
          </w:p>
        </w:tc>
      </w:tr>
      <w:tr>
        <w:trPr>
          <w:trHeight w:val="357"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10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w:t>
            </w:r>
          </w:p>
        </w:tc>
        <w:tc>
          <w:tcPr>
            <w:tcW w:w="141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103" w:type="dxa"/>
            <w:tcBorders>
              <w:top w:val="single" w:sz="4" w:space="0" w:color="000000"/>
              <w:left w:val="single" w:sz="4" w:space="0" w:color="000000"/>
              <w:bottom w:val="nil" w:sz="6" w:space="0" w:color="auto"/>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再融资时所作承</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6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1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26" w:type="dxa"/>
            <w:vMerge/>
            <w:tcBorders>
              <w:left w:val="single" w:sz="4" w:space="0" w:color="000000"/>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0"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103" w:type="dxa"/>
            <w:tcBorders>
              <w:top w:val="nil" w:sz="6" w:space="0" w:color="auto"/>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1046"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22"/>
              <w:jc w:val="left"/>
              <w:rPr>
                <w:rFonts w:ascii="宋体" w:hAnsi="宋体" w:cs="宋体" w:eastAsia="宋体" w:hint="default"/>
                <w:sz w:val="18"/>
                <w:szCs w:val="18"/>
              </w:rPr>
            </w:pPr>
            <w:r>
              <w:rPr>
                <w:rFonts w:ascii="宋体" w:hAnsi="宋体" w:cs="宋体" w:eastAsia="宋体" w:hint="default"/>
                <w:sz w:val="18"/>
                <w:szCs w:val="18"/>
              </w:rPr>
              <w:t>上海汉得信息技 术股份有限公司</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49"/>
              <w:ind w:left="23" w:right="87"/>
              <w:jc w:val="both"/>
              <w:rPr>
                <w:rFonts w:ascii="宋体" w:hAnsi="宋体" w:cs="宋体" w:eastAsia="宋体" w:hint="default"/>
                <w:sz w:val="18"/>
                <w:szCs w:val="18"/>
              </w:rPr>
            </w:pPr>
            <w:r>
              <w:rPr>
                <w:rFonts w:ascii="宋体" w:hAnsi="宋体" w:cs="宋体" w:eastAsia="宋体" w:hint="default"/>
                <w:sz w:val="18"/>
                <w:szCs w:val="18"/>
              </w:rPr>
              <w:t>承诺不为激励对象依本股 权激励计划获取有关限制 性股票提供贷款以及其他</w:t>
            </w:r>
          </w:p>
        </w:tc>
        <w:tc>
          <w:tcPr>
            <w:tcW w:w="1126" w:type="dxa"/>
            <w:vMerge w:val="restart"/>
            <w:tcBorders>
              <w:top w:val="single" w:sz="4" w:space="0" w:color="000000"/>
              <w:left w:val="single" w:sz="4" w:space="0" w:color="000000"/>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3" w:right="171"/>
              <w:jc w:val="left"/>
              <w:rPr>
                <w:rFonts w:ascii="宋体" w:hAnsi="宋体" w:cs="宋体" w:eastAsia="宋体" w:hint="default"/>
                <w:sz w:val="18"/>
                <w:szCs w:val="18"/>
              </w:rPr>
            </w:pPr>
            <w:r>
              <w:rPr>
                <w:rFonts w:ascii="宋体" w:hAnsi="宋体" w:cs="宋体" w:eastAsia="宋体" w:hint="default"/>
                <w:sz w:val="18"/>
                <w:szCs w:val="18"/>
              </w:rPr>
              <w:t>公司切实履 行了该项承</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w:t>
            </w:r>
          </w:p>
        </w:tc>
      </w:tr>
      <w:tr>
        <w:trPr>
          <w:trHeight w:val="252"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103"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形式的财务资助，包括为</w:t>
            </w:r>
          </w:p>
        </w:tc>
        <w:tc>
          <w:tcPr>
            <w:tcW w:w="1126" w:type="dxa"/>
            <w:vMerge/>
            <w:tcBorders>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90.629982pt;width:61.85pt;height:222.4pt;mso-position-horizontal-relative:page;mso-position-vertical-relative:page;z-index:-829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shape style="position:absolute;margin-left:280.493011pt;margin-top:313.489990pt;width:143pt;height:97.7pt;mso-position-horizontal-relative:page;mso-position-vertical-relative:page;z-index:-8298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仅用于募投项目建设、</w:t>
                  </w:r>
                </w:p>
              </w:txbxContent>
            </v:textbox>
            <w10:wrap type="none"/>
          </v:shape>
        </w:pict>
      </w:r>
      <w:r>
        <w:rPr/>
        <w:pict>
          <v:group style="position:absolute;margin-left:367.630005pt;margin-top:90.629982pt;width:55.85pt;height:666.35pt;mso-position-horizontal-relative:page;mso-position-vertical-relative:page;z-index:-829792" coordorigin="7353,1813" coordsize="1117,13327">
            <v:group style="position:absolute;left:7353;top:1813;width:1117;height:4448" coordorigin="7353,1813" coordsize="1117,4448">
              <v:shape style="position:absolute;left:7353;top:1813;width:1117;height:4448" coordorigin="7353,1813" coordsize="1117,4448" path="m7353,6260l8469,6260,8469,1813,7353,1813,7353,6260xe" filled="true" fillcolor="#ffffff" stroked="false">
                <v:path arrowok="t"/>
                <v:fill type="solid"/>
              </v:shape>
            </v:group>
            <v:group style="position:absolute;left:7377;top:3684;width:1071;height:353" coordorigin="7377,3684" coordsize="1071,353">
              <v:shape style="position:absolute;left:7377;top:3684;width:1071;height:353" coordorigin="7377,3684" coordsize="1071,353" path="m7377,4037l8447,4037,8447,3684,7377,3684,7377,4037xe" filled="true" fillcolor="#ffffff" stroked="false">
                <v:path arrowok="t"/>
                <v:fill type="solid"/>
              </v:shape>
            </v:group>
            <v:group style="position:absolute;left:7377;top:4037;width:1071;height:351" coordorigin="7377,4037" coordsize="1071,351">
              <v:shape style="position:absolute;left:7377;top:4037;width:1071;height:351" coordorigin="7377,4037" coordsize="1071,351" path="m7377,4388l8447,4388,8447,4037,7377,4037,7377,4388xe" filled="true" fillcolor="#ffffff" stroked="false">
                <v:path arrowok="t"/>
                <v:fill type="solid"/>
              </v:shape>
            </v:group>
            <v:group style="position:absolute;left:7353;top:6270;width:1117;height:1954" coordorigin="7353,6270" coordsize="1117,1954">
              <v:shape style="position:absolute;left:7353;top:6270;width:1117;height:1954" coordorigin="7353,6270" coordsize="1117,1954" path="m7353,8223l8469,8223,8469,6270,7353,6270,7353,8223xe" filled="true" fillcolor="#ffffff" stroked="false">
                <v:path arrowok="t"/>
                <v:fill type="solid"/>
              </v:shape>
            </v:group>
            <v:group style="position:absolute;left:7377;top:6894;width:1071;height:353" coordorigin="7377,6894" coordsize="1071,353">
              <v:shape style="position:absolute;left:7377;top:6894;width:1071;height:353" coordorigin="7377,6894" coordsize="1071,353" path="m7377,7247l8447,7247,8447,6894,7377,6894,7377,7247xe" filled="true" fillcolor="#ffffff" stroked="false">
                <v:path arrowok="t"/>
                <v:fill type="solid"/>
              </v:shape>
            </v:group>
            <v:group style="position:absolute;left:7377;top:7247;width:1071;height:353" coordorigin="7377,7247" coordsize="1071,353">
              <v:shape style="position:absolute;left:7377;top:7247;width:1071;height:353" coordorigin="7377,7247" coordsize="1071,353" path="m7377,7599l8447,7599,8447,7247,7377,7247,7377,7599xe" filled="true" fillcolor="#ffffff" stroked="false">
                <v:path arrowok="t"/>
                <v:fill type="solid"/>
              </v:shape>
            </v:group>
            <v:group style="position:absolute;left:7353;top:8233;width:1117;height:6906" coordorigin="7353,8233" coordsize="1117,6906">
              <v:shape style="position:absolute;left:7353;top:8233;width:1117;height:6906" coordorigin="7353,8233" coordsize="1117,6906" path="m7353,15139l8469,15139,8469,8233,7353,8233,7353,15139xe" filled="true" fillcolor="#ffffff" stroked="false">
                <v:path arrowok="t"/>
                <v:fill type="solid"/>
              </v:shape>
            </v:group>
            <v:group style="position:absolute;left:7377;top:11334;width:1071;height:351" coordorigin="7377,11334" coordsize="1071,351">
              <v:shape style="position:absolute;left:7377;top:11334;width:1071;height:351" coordorigin="7377,11334" coordsize="1071,351" path="m7377,11685l8447,11685,8447,11334,7377,11334,7377,11685xe" filled="true" fillcolor="#ffffff" stroked="false">
                <v:path arrowok="t"/>
                <v:fill type="solid"/>
              </v:shape>
            </v:group>
            <v:group style="position:absolute;left:7377;top:11685;width:1071;height:353" coordorigin="7377,11685" coordsize="1071,353">
              <v:shape style="position:absolute;left:7377;top:11685;width:1071;height:353" coordorigin="7377,11685" coordsize="1071,353" path="m7377,12037l8447,12037,8447,11685,7377,11685,7377,1203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7"/>
      </w:tblGrid>
      <w:tr>
        <w:trPr>
          <w:trHeight w:val="363"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其贷款提供担保。</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2" w:right="122"/>
              <w:jc w:val="left"/>
              <w:rPr>
                <w:rFonts w:ascii="宋体" w:hAnsi="宋体" w:cs="宋体" w:eastAsia="宋体" w:hint="default"/>
                <w:sz w:val="18"/>
                <w:szCs w:val="18"/>
              </w:rPr>
            </w:pPr>
            <w:r>
              <w:rPr>
                <w:rFonts w:ascii="宋体" w:hAnsi="宋体" w:cs="宋体" w:eastAsia="宋体" w:hint="default"/>
                <w:sz w:val="18"/>
                <w:szCs w:val="18"/>
              </w:rPr>
              <w:t>其他对公司中小 股东所作承诺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日，公司发</w:t>
            </w:r>
            <w:r>
              <w:rPr>
                <w:rFonts w:ascii="宋体" w:hAnsi="宋体" w:cs="宋体" w:eastAsia="宋体" w:hint="default"/>
                <w:sz w:val="18"/>
                <w:szCs w:val="18"/>
              </w:rPr>
              <w:t> 布《关于公司股东黄火德 </w:t>
            </w:r>
            <w:r>
              <w:rPr>
                <w:rFonts w:ascii="宋体" w:hAnsi="宋体" w:cs="宋体" w:eastAsia="宋体" w:hint="default"/>
                <w:spacing w:val="-10"/>
                <w:sz w:val="18"/>
                <w:szCs w:val="18"/>
              </w:rPr>
              <w:t>追加承诺公告》，公司股东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黄火德承诺所持有的 </w:t>
            </w:r>
            <w:r>
              <w:rPr>
                <w:rFonts w:ascii="Times New Roman" w:hAnsi="Times New Roman" w:cs="Times New Roman" w:eastAsia="Times New Roman" w:hint="default"/>
                <w:sz w:val="18"/>
                <w:szCs w:val="18"/>
              </w:rPr>
              <w:t>1,490,000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股将自锁定手 续在中国证券登记结算有 限公司办理完毕之日起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24 </w:t>
            </w:r>
            <w:r>
              <w:rPr>
                <w:rFonts w:ascii="宋体" w:hAnsi="宋体" w:cs="宋体" w:eastAsia="宋体" w:hint="default"/>
                <w:spacing w:val="-3"/>
                <w:sz w:val="18"/>
                <w:szCs w:val="18"/>
              </w:rPr>
              <w:t>个月、</w:t>
            </w:r>
            <w:r>
              <w:rPr>
                <w:rFonts w:ascii="Times New Roman" w:hAnsi="Times New Roman" w:cs="Times New Roman" w:eastAsia="Times New Roman" w:hint="default"/>
                <w:spacing w:val="-3"/>
                <w:sz w:val="18"/>
                <w:szCs w:val="18"/>
              </w:rPr>
              <w:t>36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个月后 分别解锁</w:t>
            </w:r>
            <w:r>
              <w:rPr>
                <w:rFonts w:ascii="宋体" w:hAnsi="宋体" w:cs="宋体" w:eastAsia="宋体" w:hint="default"/>
                <w:spacing w:val="-43"/>
                <w:sz w:val="18"/>
                <w:szCs w:val="18"/>
              </w:rPr>
              <w:t> </w:t>
            </w:r>
            <w:r>
              <w:rPr>
                <w:rFonts w:ascii="Times New Roman" w:hAnsi="Times New Roman" w:cs="Times New Roman" w:eastAsia="Times New Roman" w:hint="default"/>
                <w:spacing w:val="-15"/>
                <w:sz w:val="18"/>
                <w:szCs w:val="18"/>
              </w:rPr>
              <w:t>30%</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30%</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40%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且在上述锁定期间内，黄 火德先生承诺不转让任何 数量之被锁股票，也不以 任何方式在被锁股票上设 置第三方权益。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三年</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963"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上海汉得信息技 术股份有限公司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7"/>
              <w:jc w:val="left"/>
              <w:rPr>
                <w:rFonts w:ascii="宋体" w:hAnsi="宋体" w:cs="宋体" w:eastAsia="宋体" w:hint="default"/>
                <w:sz w:val="18"/>
                <w:szCs w:val="18"/>
              </w:rPr>
            </w:pPr>
            <w:r>
              <w:rPr>
                <w:rFonts w:ascii="宋体" w:hAnsi="宋体" w:cs="宋体" w:eastAsia="宋体" w:hint="default"/>
                <w:sz w:val="18"/>
                <w:szCs w:val="18"/>
              </w:rPr>
              <w:t>承诺变更部分募投项目实 施方式及超募资金的使 用， 公司自身扩建或新建项目 使用，不出租、不转让也 不进行商业开发。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pacing w:val="-5"/>
                <w:sz w:val="18"/>
                <w:szCs w:val="18"/>
              </w:rPr>
              <w:t>报告期内，公</w:t>
            </w:r>
            <w:r>
              <w:rPr>
                <w:rFonts w:ascii="宋体" w:hAnsi="宋体" w:cs="宋体" w:eastAsia="宋体" w:hint="default"/>
                <w:sz w:val="18"/>
                <w:szCs w:val="18"/>
              </w:rPr>
              <w:t> 司遵守了此 </w:t>
            </w:r>
            <w:r>
              <w:rPr>
                <w:rFonts w:ascii="宋体" w:hAnsi="宋体" w:cs="宋体" w:eastAsia="宋体" w:hint="default"/>
                <w:spacing w:val="-5"/>
                <w:sz w:val="18"/>
                <w:szCs w:val="18"/>
              </w:rPr>
              <w:t>项承诺，未有</w:t>
            </w:r>
            <w:r>
              <w:rPr>
                <w:rFonts w:ascii="宋体" w:hAnsi="宋体" w:cs="宋体" w:eastAsia="宋体" w:hint="default"/>
                <w:sz w:val="18"/>
                <w:szCs w:val="18"/>
              </w:rPr>
              <w:t> 违反上述承 诺的情况。</w:t>
            </w:r>
          </w:p>
        </w:tc>
      </w:tr>
      <w:tr>
        <w:trPr>
          <w:trHeight w:val="6915"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陈迪清</w:t>
            </w:r>
            <w:r>
              <w:rPr>
                <w:rFonts w:ascii="Times New Roman" w:hAnsi="Times New Roman" w:cs="Times New Roman" w:eastAsia="Times New Roman" w:hint="default"/>
                <w:sz w:val="18"/>
                <w:szCs w:val="18"/>
              </w:rPr>
              <w:t>;</w:t>
            </w:r>
            <w:r>
              <w:rPr>
                <w:rFonts w:ascii="宋体" w:hAnsi="宋体" w:cs="宋体" w:eastAsia="宋体" w:hint="default"/>
                <w:sz w:val="18"/>
                <w:szCs w:val="18"/>
              </w:rPr>
              <w:t>范建震</w:t>
            </w:r>
            <w:r>
              <w:rPr>
                <w:rFonts w:ascii="Times New Roman" w:hAnsi="Times New Roman" w:cs="Times New Roman" w:eastAsia="Times New Roman" w:hint="default"/>
                <w:sz w:val="18"/>
                <w:szCs w:val="18"/>
              </w:rPr>
              <w:t>;</w:t>
            </w:r>
            <w:r>
              <w:rPr>
                <w:rFonts w:ascii="宋体" w:hAnsi="宋体" w:cs="宋体" w:eastAsia="宋体" w:hint="default"/>
                <w:sz w:val="18"/>
                <w:szCs w:val="18"/>
              </w:rPr>
              <w:t>上 海迪宣投资管理 </w:t>
            </w:r>
            <w:r>
              <w:rPr>
                <w:rFonts w:ascii="宋体" w:hAnsi="宋体" w:cs="宋体" w:eastAsia="宋体" w:hint="default"/>
                <w:spacing w:val="-10"/>
                <w:sz w:val="18"/>
                <w:szCs w:val="18"/>
              </w:rPr>
              <w:t>有限公司（目前已</w:t>
            </w:r>
            <w:r>
              <w:rPr>
                <w:rFonts w:ascii="宋体" w:hAnsi="宋体" w:cs="宋体" w:eastAsia="宋体" w:hint="default"/>
                <w:sz w:val="18"/>
                <w:szCs w:val="18"/>
              </w:rPr>
              <w:t> 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曲水迪宣 创业投资管理合 伙企业（有限合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4" w:right="-17"/>
              <w:jc w:val="both"/>
              <w:rPr>
                <w:rFonts w:ascii="宋体" w:hAnsi="宋体" w:cs="宋体" w:eastAsia="宋体" w:hint="default"/>
                <w:sz w:val="18"/>
                <w:szCs w:val="18"/>
              </w:rPr>
            </w:pPr>
            <w:r>
              <w:rPr>
                <w:rFonts w:ascii="宋体" w:hAnsi="宋体" w:cs="宋体" w:eastAsia="宋体" w:hint="default"/>
                <w:sz w:val="18"/>
                <w:szCs w:val="18"/>
              </w:rPr>
              <w:t>关于同业竞争、 </w:t>
            </w:r>
            <w:r>
              <w:rPr>
                <w:rFonts w:ascii="宋体" w:hAnsi="宋体" w:cs="宋体" w:eastAsia="宋体" w:hint="default"/>
                <w:spacing w:val="-6"/>
                <w:sz w:val="18"/>
                <w:szCs w:val="18"/>
              </w:rPr>
              <w:t>关联交易、资金</w:t>
            </w:r>
            <w:r>
              <w:rPr>
                <w:rFonts w:ascii="宋体" w:hAnsi="宋体" w:cs="宋体" w:eastAsia="宋体" w:hint="default"/>
                <w:sz w:val="18"/>
                <w:szCs w:val="18"/>
              </w:rPr>
              <w:t> 占用方面的承</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、我们及我们直接或间接</w:t>
            </w:r>
            <w:r>
              <w:rPr>
                <w:rFonts w:ascii="宋体" w:hAnsi="宋体" w:cs="宋体" w:eastAsia="宋体" w:hint="default"/>
                <w:sz w:val="18"/>
                <w:szCs w:val="18"/>
              </w:rPr>
              <w:t> 控制的子公司、合作或联 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或下属企业目前 没有直接或间接地从事任 何与汉得的主营业务及其 它业务相同或相似的业务</w:t>
            </w:r>
          </w:p>
          <w:p>
            <w:pPr>
              <w:pStyle w:val="TableParagraph"/>
              <w:spacing w:line="312" w:lineRule="auto" w:before="22"/>
              <w:ind w:left="23" w:right="19"/>
              <w:jc w:val="left"/>
              <w:rPr>
                <w:rFonts w:ascii="宋体" w:hAnsi="宋体" w:cs="宋体" w:eastAsia="宋体" w:hint="default"/>
                <w:sz w:val="18"/>
                <w:szCs w:val="18"/>
              </w:rPr>
            </w:pPr>
            <w:r>
              <w:rPr>
                <w:rFonts w:ascii="宋体" w:hAnsi="宋体" w:cs="宋体" w:eastAsia="宋体" w:hint="default"/>
                <w:spacing w:val="-8"/>
                <w:w w:val="99"/>
                <w:sz w:val="18"/>
                <w:szCs w:val="18"/>
              </w:rPr>
              <w:t>（以下称</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竞争业务</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w:t>
            </w:r>
            <w:r>
              <w:rPr>
                <w:rFonts w:ascii="Times New Roman" w:hAnsi="Times New Roman" w:cs="Times New Roman" w:eastAsia="Times New Roman" w:hint="default"/>
                <w:spacing w:val="-8"/>
                <w:w w:val="99"/>
                <w:sz w:val="18"/>
                <w:szCs w:val="18"/>
              </w:rPr>
              <w:t>2</w:t>
            </w:r>
            <w:r>
              <w:rPr>
                <w:rFonts w:ascii="Times New Roman" w:hAnsi="Times New Roman" w:cs="Times New Roman" w:eastAsia="Times New Roman" w:hint="default"/>
                <w:spacing w:val="-35"/>
                <w:w w:val="99"/>
                <w:sz w:val="18"/>
                <w:szCs w:val="18"/>
              </w:rPr>
              <w:t> </w:t>
            </w:r>
            <w:r>
              <w:rPr>
                <w:rFonts w:ascii="宋体" w:hAnsi="宋体" w:cs="宋体" w:eastAsia="宋体" w:hint="default"/>
                <w:sz w:val="18"/>
                <w:szCs w:val="18"/>
              </w:rPr>
              <w:t>我们及我们直接或间接控 制的子公司、合作或联营 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或下属企业，于我 们作为对汉得直接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 有权益的主要股东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 期间，不会直接或间接地 以任何方式从事竞争业务 或可能构成竞争业务的业 </w:t>
            </w:r>
            <w:r>
              <w:rPr>
                <w:rFonts w:ascii="宋体" w:hAnsi="宋体" w:cs="宋体" w:eastAsia="宋体" w:hint="default"/>
                <w:spacing w:val="-2"/>
                <w:sz w:val="18"/>
                <w:szCs w:val="18"/>
              </w:rPr>
              <w:t>务；</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、我们及我们直接或</w:t>
            </w:r>
            <w:r>
              <w:rPr>
                <w:rFonts w:ascii="宋体" w:hAnsi="宋体" w:cs="宋体" w:eastAsia="宋体" w:hint="default"/>
                <w:sz w:val="18"/>
                <w:szCs w:val="18"/>
              </w:rPr>
              <w:t> 间接控制的子公司、合作 或联营企业和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 业，将来面临或可能取得 任何与竞争业务有关的投 资机会或其它商业机会， 在同等条件下赋予汉得该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诺主体遵守 了此项承诺， 未有违反上 述承诺的情 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7"/>
        <w:gridCol w:w="1417"/>
        <w:gridCol w:w="1277"/>
        <w:gridCol w:w="2103"/>
        <w:gridCol w:w="1126"/>
        <w:gridCol w:w="1121"/>
        <w:gridCol w:w="1107"/>
      </w:tblGrid>
      <w:tr>
        <w:trPr>
          <w:trHeight w:val="4731"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等投资机会或商业机会之 </w:t>
            </w:r>
            <w:r>
              <w:rPr>
                <w:rFonts w:ascii="宋体" w:hAnsi="宋体" w:cs="宋体" w:eastAsia="宋体" w:hint="default"/>
                <w:spacing w:val="-2"/>
                <w:sz w:val="18"/>
                <w:szCs w:val="18"/>
              </w:rPr>
              <w:t>优先选择权；</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、自本函出</w:t>
            </w:r>
            <w:r>
              <w:rPr>
                <w:rFonts w:ascii="宋体" w:hAnsi="宋体" w:cs="宋体" w:eastAsia="宋体" w:hint="default"/>
                <w:sz w:val="18"/>
                <w:szCs w:val="18"/>
              </w:rPr>
              <w:t> 具日起，本函及本函项下 之承诺为不可撤销的，且 持续有效，直至我们不再 成为对汉得直接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间接拥有 权益的主要股东</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关联方为 </w:t>
            </w:r>
            <w:r>
              <w:rPr>
                <w:rFonts w:ascii="宋体" w:hAnsi="宋体" w:cs="宋体" w:eastAsia="宋体" w:hint="default"/>
                <w:spacing w:val="-6"/>
                <w:sz w:val="18"/>
                <w:szCs w:val="18"/>
              </w:rPr>
              <w:t>止；</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、我们和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或我们直接</w:t>
            </w:r>
            <w:r>
              <w:rPr>
                <w:rFonts w:ascii="宋体" w:hAnsi="宋体" w:cs="宋体" w:eastAsia="宋体" w:hint="default"/>
                <w:spacing w:val="-83"/>
                <w:sz w:val="18"/>
                <w:szCs w:val="18"/>
              </w:rPr>
              <w:t> </w:t>
            </w:r>
            <w:r>
              <w:rPr>
                <w:rFonts w:ascii="宋体" w:hAnsi="宋体" w:cs="宋体" w:eastAsia="宋体" w:hint="default"/>
                <w:sz w:val="18"/>
                <w:szCs w:val="18"/>
              </w:rPr>
              <w:t>或间接控制的子公司、合 作或联营企业和</w:t>
            </w:r>
            <w:r>
              <w:rPr>
                <w:rFonts w:ascii="Times New Roman" w:hAnsi="Times New Roman" w:cs="Times New Roman" w:eastAsia="Times New Roman" w:hint="default"/>
                <w:sz w:val="18"/>
                <w:szCs w:val="18"/>
              </w:rPr>
              <w:t>/</w:t>
            </w:r>
            <w:r>
              <w:rPr>
                <w:rFonts w:ascii="宋体" w:hAnsi="宋体" w:cs="宋体" w:eastAsia="宋体" w:hint="default"/>
                <w:sz w:val="18"/>
                <w:szCs w:val="18"/>
              </w:rPr>
              <w:t>或下属企 业如违反上述任何承诺， 我们将赔偿汉得及汉得其 他股东因此遭受的一切经 济损失，该等责任是连带 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范建震、陈迪清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7"/>
              <w:jc w:val="both"/>
              <w:rPr>
                <w:rFonts w:ascii="宋体" w:hAnsi="宋体" w:cs="宋体" w:eastAsia="宋体" w:hint="default"/>
                <w:sz w:val="18"/>
                <w:szCs w:val="18"/>
              </w:rPr>
            </w:pPr>
            <w:r>
              <w:rPr>
                <w:rFonts w:ascii="宋体" w:hAnsi="宋体" w:cs="宋体" w:eastAsia="宋体" w:hint="default"/>
                <w:sz w:val="18"/>
                <w:szCs w:val="18"/>
              </w:rPr>
              <w:t>在增持期间及在增持完成 后六个月内不减持公司股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1652" w:hRule="exact"/>
        </w:trPr>
        <w:tc>
          <w:tcPr>
            <w:tcW w:w="1417"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张伟锋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87"/>
              <w:jc w:val="both"/>
              <w:rPr>
                <w:rFonts w:ascii="宋体" w:hAnsi="宋体" w:cs="宋体" w:eastAsia="宋体" w:hint="default"/>
                <w:sz w:val="18"/>
                <w:szCs w:val="18"/>
              </w:rPr>
            </w:pPr>
            <w:r>
              <w:rPr>
                <w:rFonts w:ascii="宋体" w:hAnsi="宋体" w:cs="宋体" w:eastAsia="宋体" w:hint="default"/>
                <w:sz w:val="18"/>
                <w:szCs w:val="18"/>
              </w:rPr>
              <w:t>在增持期间及在增持完成 后六个月内不减持公司股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1649"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王辛夷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股份减持承诺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87"/>
              <w:jc w:val="both"/>
              <w:rPr>
                <w:rFonts w:ascii="宋体" w:hAnsi="宋体" w:cs="宋体" w:eastAsia="宋体" w:hint="default"/>
                <w:sz w:val="18"/>
                <w:szCs w:val="18"/>
              </w:rPr>
            </w:pPr>
            <w:r>
              <w:rPr>
                <w:rFonts w:ascii="宋体" w:hAnsi="宋体" w:cs="宋体" w:eastAsia="宋体" w:hint="default"/>
                <w:sz w:val="18"/>
                <w:szCs w:val="18"/>
              </w:rPr>
              <w:t>在增持期间及在增持完成 后六个月内不减持公司股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宋体" w:hAnsi="宋体" w:cs="宋体" w:eastAsia="宋体" w:hint="default"/>
                <w:sz w:val="18"/>
                <w:szCs w:val="18"/>
              </w:rPr>
            </w:pPr>
            <w:r>
              <w:rPr>
                <w:rFonts w:ascii="宋体" w:hAnsi="宋体" w:cs="宋体" w:eastAsia="宋体" w:hint="default"/>
                <w:spacing w:val="-5"/>
                <w:sz w:val="18"/>
                <w:szCs w:val="18"/>
              </w:rPr>
              <w:t>报告期内，承</w:t>
            </w:r>
            <w:r>
              <w:rPr>
                <w:rFonts w:ascii="宋体" w:hAnsi="宋体" w:cs="宋体" w:eastAsia="宋体" w:hint="default"/>
                <w:sz w:val="18"/>
                <w:szCs w:val="18"/>
              </w:rPr>
              <w:t> 诺人遵守了 </w:t>
            </w:r>
            <w:r>
              <w:rPr>
                <w:rFonts w:ascii="宋体" w:hAnsi="宋体" w:cs="宋体" w:eastAsia="宋体" w:hint="default"/>
                <w:spacing w:val="-5"/>
                <w:sz w:val="18"/>
                <w:szCs w:val="18"/>
              </w:rPr>
              <w:t>此项承诺，未</w:t>
            </w:r>
            <w:r>
              <w:rPr>
                <w:rFonts w:ascii="宋体" w:hAnsi="宋体" w:cs="宋体" w:eastAsia="宋体" w:hint="default"/>
                <w:sz w:val="18"/>
                <w:szCs w:val="18"/>
              </w:rPr>
              <w:t> 有违反上述 承诺的情况。</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z w:val="18"/>
                <w:szCs w:val="18"/>
              </w:rPr>
              <w:t> 细说明未完成履 行的具体原因及 下一步的工作计 划</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98"/>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0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498"/>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40"/>
        <w:jc w:val="left"/>
      </w:pPr>
      <w:r>
        <w:rPr/>
        <w:t>执行财政部于</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spacing w:val="-3"/>
        </w:rPr>
        <w:t>年制定及印发的《企业会计准则解释第</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spacing w:val="-5"/>
        </w:rPr>
        <w:t>号》，本公司进行追溯调整对本期和上期财务报表的主要影响如</w:t>
      </w:r>
      <w:r>
        <w:rPr/>
        <w:t> 下：</w:t>
      </w:r>
    </w:p>
    <w:p>
      <w:pPr>
        <w:pStyle w:val="BodyText"/>
        <w:spacing w:line="240" w:lineRule="auto" w:before="72"/>
        <w:ind w:right="498"/>
        <w:jc w:val="left"/>
      </w:pPr>
      <w:r>
        <w:rPr/>
        <w:t>合并报表：</w:t>
      </w:r>
    </w:p>
    <w:p>
      <w:pPr>
        <w:pStyle w:val="BodyText"/>
        <w:spacing w:line="240" w:lineRule="auto" w:before="117"/>
        <w:ind w:left="0" w:right="150"/>
        <w:jc w:val="right"/>
      </w:pPr>
      <w:r>
        <w:rPr/>
        <w:t>单位：元</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663"/>
        <w:gridCol w:w="4011"/>
        <w:gridCol w:w="3985"/>
      </w:tblGrid>
      <w:tr>
        <w:trPr>
          <w:trHeight w:val="337"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4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1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-893,417.00</w:t>
            </w:r>
          </w:p>
        </w:tc>
        <w:tc>
          <w:tcPr>
            <w:tcW w:w="3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346"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179,511,829.97</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2,063,833.52</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182,469,080.49</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107,624,985.49</w:t>
            </w:r>
          </w:p>
        </w:tc>
      </w:tr>
    </w:tbl>
    <w:p>
      <w:pPr>
        <w:pStyle w:val="BodyText"/>
        <w:spacing w:line="240" w:lineRule="auto" w:before="8"/>
        <w:ind w:right="498"/>
        <w:jc w:val="left"/>
      </w:pPr>
      <w:r>
        <w:rPr/>
        <w:t>母公司报表：</w:t>
      </w:r>
    </w:p>
    <w:p>
      <w:pPr>
        <w:pStyle w:val="BodyText"/>
        <w:spacing w:line="240" w:lineRule="auto" w:before="76"/>
        <w:ind w:left="0" w:right="150"/>
        <w:jc w:val="right"/>
      </w:pPr>
      <w:r>
        <w:rPr/>
        <w:t>单位：元</w:t>
      </w:r>
    </w:p>
    <w:p>
      <w:pPr>
        <w:spacing w:line="240" w:lineRule="auto" w:before="8"/>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663"/>
        <w:gridCol w:w="4011"/>
        <w:gridCol w:w="3985"/>
      </w:tblGrid>
      <w:tr>
        <w:trPr>
          <w:trHeight w:val="336"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4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4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3"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-893,417.00</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346"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179,511,829.97</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2,063,833.52</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182,469,080.49</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107,624,985.49</w:t>
            </w:r>
          </w:p>
        </w:tc>
      </w:tr>
    </w:tbl>
    <w:p>
      <w:pPr>
        <w:spacing w:line="240" w:lineRule="auto" w:before="1"/>
        <w:rPr>
          <w:rFonts w:ascii="宋体" w:hAnsi="宋体" w:cs="宋体" w:eastAsia="宋体" w:hint="default"/>
          <w:sz w:val="18"/>
          <w:szCs w:val="18"/>
        </w:rPr>
      </w:pPr>
    </w:p>
    <w:p>
      <w:pPr>
        <w:pStyle w:val="Heading2"/>
        <w:spacing w:line="240" w:lineRule="auto" w:before="26"/>
        <w:ind w:right="498"/>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pStyle w:val="Heading3"/>
        <w:spacing w:line="240" w:lineRule="auto" w:before="0"/>
        <w:ind w:right="498"/>
        <w:jc w:val="left"/>
      </w:pPr>
      <w:r>
        <w:rPr/>
        <w:t>一、与上年相比本年新增合并单位</w:t>
      </w:r>
      <w:r>
        <w:rPr>
          <w:spacing w:val="-24"/>
        </w:rPr>
        <w:t> </w:t>
      </w:r>
      <w:r>
        <w:rPr>
          <w:rFonts w:ascii="Times New Roman" w:hAnsi="Times New Roman" w:cs="Times New Roman" w:eastAsia="Times New Roman" w:hint="default"/>
        </w:rPr>
        <w:t>3</w:t>
      </w:r>
      <w:r>
        <w:rPr/>
        <w:t>家，原因为：</w:t>
      </w:r>
    </w:p>
    <w:p>
      <w:pPr>
        <w:pStyle w:val="Heading3"/>
        <w:spacing w:line="338" w:lineRule="auto" w:before="174"/>
        <w:ind w:left="573" w:right="132" w:hanging="360"/>
        <w:jc w:val="left"/>
      </w:pPr>
      <w:r>
        <w:rPr>
          <w:rFonts w:ascii="宋体" w:hAnsi="宋体" w:cs="宋体" w:eastAsia="宋体" w:hint="default"/>
        </w:rPr>
        <w:t>1.</w:t>
      </w:r>
      <w:r>
        <w:rPr>
          <w:rFonts w:ascii="宋体" w:hAnsi="宋体" w:cs="宋体" w:eastAsia="宋体" w:hint="default"/>
          <w:spacing w:val="-19"/>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月，公司出资</w:t>
      </w:r>
      <w:r>
        <w:rPr>
          <w:rFonts w:ascii="Times New Roman" w:hAnsi="Times New Roman" w:cs="Times New Roman" w:eastAsia="Times New Roman" w:hint="default"/>
        </w:rPr>
        <w:t>1</w:t>
      </w:r>
      <w:r>
        <w:rPr/>
        <w:t>亿元人民币，设立上海汉得商业保理有限公司，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月起，汉 得保理纳入合并范围。</w:t>
      </w:r>
    </w:p>
    <w:p>
      <w:pPr>
        <w:spacing w:after="0" w:line="33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38" w:lineRule="auto" w:before="26"/>
        <w:ind w:left="573" w:right="214" w:hanging="360"/>
        <w:jc w:val="left"/>
      </w:pPr>
      <w:r>
        <w:rPr>
          <w:rFonts w:ascii="宋体" w:hAnsi="宋体" w:cs="宋体" w:eastAsia="宋体" w:hint="default"/>
        </w:rPr>
        <w:t>2.</w:t>
      </w:r>
      <w:r>
        <w:rPr>
          <w:rFonts w:ascii="宋体" w:hAnsi="宋体" w:cs="宋体" w:eastAsia="宋体" w:hint="default"/>
          <w:spacing w:val="-21"/>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月，公司与上海禹哲投资管理合伙企业（有限合伙）、展舸协议共同出资</w:t>
      </w:r>
      <w:r>
        <w:rPr>
          <w:rFonts w:ascii="Times New Roman" w:hAnsi="Times New Roman" w:cs="Times New Roman" w:eastAsia="Times New Roman" w:hint="default"/>
        </w:rPr>
        <w:t>1000</w:t>
      </w:r>
      <w:r>
        <w:rPr/>
        <w:t>万 </w:t>
      </w:r>
      <w:r>
        <w:rPr>
          <w:spacing w:val="-6"/>
        </w:rPr>
        <w:t>元人民币设立上海汉得微扬信息技术有限公司，其中公司出资</w:t>
      </w:r>
      <w:r>
        <w:rPr>
          <w:rFonts w:ascii="Times New Roman" w:hAnsi="Times New Roman" w:cs="Times New Roman" w:eastAsia="Times New Roman" w:hint="default"/>
          <w:spacing w:val="-6"/>
        </w:rPr>
        <w:t>510</w:t>
      </w:r>
      <w:r>
        <w:rPr>
          <w:spacing w:val="-6"/>
        </w:rPr>
        <w:t>万元，取得汉得微扬</w:t>
      </w:r>
      <w:r>
        <w:rPr>
          <w:rFonts w:ascii="Times New Roman" w:hAnsi="Times New Roman" w:cs="Times New Roman" w:eastAsia="Times New Roman" w:hint="default"/>
          <w:spacing w:val="-6"/>
        </w:rPr>
        <w:t>51%</w:t>
      </w:r>
      <w:r>
        <w:rPr>
          <w:rFonts w:ascii="Times New Roman" w:hAnsi="Times New Roman" w:cs="Times New Roman" w:eastAsia="Times New Roman" w:hint="default"/>
        </w:rPr>
        <w:t> </w:t>
      </w:r>
      <w:r>
        <w:rPr/>
        <w:t>股权，截止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月已支付投资款</w:t>
      </w:r>
      <w:r>
        <w:rPr>
          <w:rFonts w:ascii="Times New Roman" w:hAnsi="Times New Roman" w:cs="Times New Roman" w:eastAsia="Times New Roman" w:hint="default"/>
        </w:rPr>
        <w:t>200</w:t>
      </w:r>
      <w:r>
        <w:rPr/>
        <w:t>万元人民币，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月起，汉得微扬纳入合并 范围。</w:t>
      </w:r>
    </w:p>
    <w:p>
      <w:pPr>
        <w:pStyle w:val="Heading3"/>
        <w:spacing w:line="338" w:lineRule="auto" w:before="96"/>
        <w:ind w:left="573" w:right="95" w:hanging="360"/>
        <w:jc w:val="left"/>
      </w:pPr>
      <w:r>
        <w:rPr>
          <w:rFonts w:ascii="宋体" w:hAnsi="宋体" w:cs="宋体" w:eastAsia="宋体" w:hint="default"/>
        </w:rPr>
        <w:t>3.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月，公司与上海天序科技资讯有限公司、</w:t>
      </w:r>
      <w:r>
        <w:rPr>
          <w:rFonts w:ascii="Times New Roman" w:hAnsi="Times New Roman" w:cs="Times New Roman" w:eastAsia="Times New Roman" w:hint="default"/>
        </w:rPr>
        <w:t>Knowledge Platform Pte.</w:t>
      </w:r>
      <w:r>
        <w:rPr>
          <w:rFonts w:ascii="Times New Roman" w:hAnsi="Times New Roman" w:cs="Times New Roman" w:eastAsia="Times New Roman" w:hint="default"/>
          <w:spacing w:val="-34"/>
        </w:rPr>
        <w:t> </w:t>
      </w:r>
      <w:r>
        <w:rPr>
          <w:rFonts w:ascii="Times New Roman" w:hAnsi="Times New Roman" w:cs="Times New Roman" w:eastAsia="Times New Roman" w:hint="default"/>
        </w:rPr>
        <w:t>Ltd.</w:t>
      </w:r>
      <w:r>
        <w:rPr/>
        <w:t>协议共同出 资</w:t>
      </w:r>
      <w:r>
        <w:rPr>
          <w:rFonts w:ascii="Times New Roman" w:hAnsi="Times New Roman" w:cs="Times New Roman" w:eastAsia="Times New Roman" w:hint="default"/>
        </w:rPr>
        <w:t>400</w:t>
      </w:r>
      <w:r>
        <w:rPr/>
        <w:t>万美元设立上海汉得知云软件有限公司，其中公司出资</w:t>
      </w:r>
      <w:r>
        <w:rPr>
          <w:rFonts w:ascii="Times New Roman" w:hAnsi="Times New Roman" w:cs="Times New Roman" w:eastAsia="Times New Roman" w:hint="default"/>
        </w:rPr>
        <w:t>204</w:t>
      </w:r>
      <w:r>
        <w:rPr/>
        <w:t>万美元。取得汉得知云 </w:t>
      </w:r>
      <w:r>
        <w:rPr>
          <w:rFonts w:ascii="Times New Roman" w:hAnsi="Times New Roman" w:cs="Times New Roman" w:eastAsia="Times New Roman" w:hint="default"/>
          <w:spacing w:val="-3"/>
        </w:rPr>
        <w:t>51%</w:t>
      </w:r>
      <w:r>
        <w:rPr>
          <w:spacing w:val="-3"/>
        </w:rPr>
        <w:t>的股权，截止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月，投资款尚未支付，</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月起，汉得知云纳入合并范围。</w:t>
      </w:r>
    </w:p>
    <w:p>
      <w:pPr>
        <w:pStyle w:val="Heading3"/>
        <w:spacing w:line="240" w:lineRule="auto" w:before="65"/>
        <w:ind w:right="95"/>
        <w:jc w:val="left"/>
      </w:pPr>
      <w:r>
        <w:rPr/>
        <w:t>二、本年合并单位未减少。</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1"/>
          <w:szCs w:val="31"/>
        </w:rPr>
      </w:pPr>
    </w:p>
    <w:p>
      <w:pPr>
        <w:pStyle w:val="Heading2"/>
        <w:spacing w:line="240" w:lineRule="auto"/>
        <w:ind w:right="95"/>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5"/>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w:t>
            </w:r>
          </w:p>
        </w:tc>
      </w:tr>
      <w:tr>
        <w:trPr>
          <w:trHeight w:val="401"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林伟、何剑</w:t>
            </w:r>
          </w:p>
        </w:tc>
      </w:tr>
    </w:tbl>
    <w:p>
      <w:pPr>
        <w:spacing w:line="240" w:lineRule="auto" w:before="4"/>
        <w:rPr>
          <w:rFonts w:ascii="宋体" w:hAnsi="宋体" w:cs="宋体" w:eastAsia="宋体" w:hint="default"/>
          <w:sz w:val="27"/>
          <w:szCs w:val="27"/>
        </w:rPr>
      </w:pPr>
    </w:p>
    <w:p>
      <w:pPr>
        <w:pStyle w:val="BodyText"/>
        <w:spacing w:line="240" w:lineRule="auto" w:before="44"/>
        <w:ind w:right="95"/>
        <w:jc w:val="left"/>
      </w:pPr>
      <w:r>
        <w:rPr/>
        <w:t>是否改聘会计师事务所</w:t>
      </w:r>
    </w:p>
    <w:p>
      <w:pPr>
        <w:pStyle w:val="BodyText"/>
        <w:spacing w:line="240" w:lineRule="auto" w:before="115"/>
        <w:ind w:right="9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95"/>
        <w:jc w:val="left"/>
      </w:pPr>
      <w:r>
        <w:rPr/>
        <w:t>聘请内部控制审计会计师事务所、财务顾问或保荐人情况</w:t>
      </w:r>
    </w:p>
    <w:p>
      <w:pPr>
        <w:pStyle w:val="BodyText"/>
        <w:spacing w:line="240" w:lineRule="auto" w:before="115"/>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5"/>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5"/>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95"/>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本报告期公司无重大诉讼、仲裁事项。</w:t>
      </w:r>
    </w:p>
    <w:p>
      <w:pPr>
        <w:spacing w:after="0" w:line="338" w:lineRule="auto"/>
        <w:jc w:val="left"/>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2"/>
        <w:spacing w:line="240" w:lineRule="auto" w:before="26"/>
        <w:ind w:right="498"/>
        <w:jc w:val="left"/>
        <w:rPr>
          <w:b w:val="0"/>
          <w:bCs w:val="0"/>
        </w:rPr>
      </w:pP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right="498"/>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98"/>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35"/>
        <w:ind w:left="633" w:right="0"/>
        <w:jc w:val="left"/>
      </w:pPr>
      <w:r>
        <w:rPr/>
        <w:t>一、报告期内，公司办理了</w:t>
      </w:r>
      <w:r>
        <w:rPr>
          <w:rFonts w:ascii="Times New Roman" w:hAnsi="Times New Roman" w:cs="Times New Roman" w:eastAsia="Times New Roman" w:hint="default"/>
        </w:rPr>
        <w:t>2012</w:t>
      </w:r>
      <w:r>
        <w:rPr/>
        <w:t>年股权激励计划第二期、</w:t>
      </w:r>
      <w:r>
        <w:rPr>
          <w:rFonts w:ascii="Times New Roman" w:hAnsi="Times New Roman" w:cs="Times New Roman" w:eastAsia="Times New Roman" w:hint="default"/>
        </w:rPr>
        <w:t>2013</w:t>
      </w:r>
      <w:r>
        <w:rPr/>
        <w:t>年股权激励计划第一期及</w:t>
      </w:r>
    </w:p>
    <w:p>
      <w:pPr>
        <w:pStyle w:val="Heading3"/>
        <w:spacing w:line="240" w:lineRule="auto" w:before="135"/>
        <w:ind w:right="498"/>
        <w:jc w:val="left"/>
      </w:pPr>
      <w:r>
        <w:rPr>
          <w:rFonts w:ascii="Times New Roman" w:hAnsi="Times New Roman" w:cs="Times New Roman" w:eastAsia="Times New Roman" w:hint="default"/>
        </w:rPr>
        <w:t>2014</w:t>
      </w:r>
      <w:r>
        <w:rPr/>
        <w:t>年股权激励计划第一期限制性股票的解锁手续，具体情况如下：</w:t>
      </w:r>
    </w:p>
    <w:p>
      <w:pPr>
        <w:pStyle w:val="Heading3"/>
        <w:spacing w:line="338" w:lineRule="auto" w:before="135"/>
        <w:ind w:right="150"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2012</w:t>
      </w:r>
      <w:r>
        <w:rPr/>
        <w:t>年股权激励计划第二期</w:t>
      </w:r>
      <w:r>
        <w:rPr>
          <w:rFonts w:ascii="Times New Roman" w:hAnsi="Times New Roman" w:cs="Times New Roman" w:eastAsia="Times New Roman" w:hint="default"/>
        </w:rPr>
        <w:t>8,372,874</w:t>
      </w:r>
      <w:r>
        <w:rPr/>
        <w:t>股限制性股票解锁手续办 </w:t>
      </w:r>
      <w:r>
        <w:rPr>
          <w:spacing w:val="7"/>
        </w:rPr>
        <w:t>理完毕，占公司股本总额的</w:t>
      </w:r>
      <w:r>
        <w:rPr>
          <w:rFonts w:ascii="Times New Roman" w:hAnsi="Times New Roman" w:cs="Times New Roman" w:eastAsia="Times New Roman" w:hint="default"/>
          <w:spacing w:val="7"/>
        </w:rPr>
        <w:t>1.52%</w:t>
      </w:r>
      <w:r>
        <w:rPr>
          <w:spacing w:val="7"/>
        </w:rPr>
        <w:t>；实际上市流通数量为</w:t>
      </w:r>
      <w:r>
        <w:rPr>
          <w:rFonts w:ascii="Times New Roman" w:hAnsi="Times New Roman" w:cs="Times New Roman" w:eastAsia="Times New Roman" w:hint="default"/>
          <w:spacing w:val="7"/>
        </w:rPr>
        <w:t>8,310,343</w:t>
      </w:r>
      <w:r>
        <w:rPr>
          <w:spacing w:val="7"/>
        </w:rPr>
        <w:t>股，占公司股本总额的</w:t>
      </w:r>
      <w:r>
        <w:rPr>
          <w:spacing w:val="-85"/>
        </w:rPr>
        <w:t> </w:t>
      </w:r>
      <w:r>
        <w:rPr>
          <w:spacing w:val="-85"/>
        </w:rPr>
      </w:r>
      <w:r>
        <w:rPr>
          <w:rFonts w:ascii="Times New Roman" w:hAnsi="Times New Roman" w:cs="Times New Roman" w:eastAsia="Times New Roman" w:hint="default"/>
        </w:rPr>
        <w:t>1.51%</w:t>
      </w:r>
      <w:r>
        <w:rPr/>
        <w:t>，本次申请解锁的激励对象人数为 </w:t>
      </w:r>
      <w:r>
        <w:rPr>
          <w:rFonts w:ascii="Times New Roman" w:hAnsi="Times New Roman" w:cs="Times New Roman" w:eastAsia="Times New Roman" w:hint="default"/>
        </w:rPr>
        <w:t>278 </w:t>
      </w:r>
      <w:r>
        <w:rPr/>
        <w:t>名。详情参见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日披露于证监会指定</w:t>
      </w:r>
      <w:r>
        <w:rPr>
          <w:spacing w:val="-109"/>
        </w:rPr>
        <w:t> </w:t>
      </w:r>
      <w:r>
        <w:rPr>
          <w:spacing w:val="-109"/>
        </w:rPr>
      </w:r>
      <w:r>
        <w:rPr/>
        <w:t>创业板信息披露媒体的相关公告。</w:t>
      </w:r>
    </w:p>
    <w:p>
      <w:pPr>
        <w:pStyle w:val="Heading3"/>
        <w:spacing w:line="338" w:lineRule="auto" w:before="55"/>
        <w:ind w:right="150"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年股权激励计划第一期</w:t>
      </w:r>
      <w:r>
        <w:rPr>
          <w:rFonts w:ascii="Times New Roman" w:hAnsi="Times New Roman" w:cs="Times New Roman" w:eastAsia="Times New Roman" w:hint="default"/>
        </w:rPr>
        <w:t>3,161,125</w:t>
      </w:r>
      <w:r>
        <w:rPr/>
        <w:t>股限制性股票解锁手续办 </w:t>
      </w:r>
      <w:r>
        <w:rPr>
          <w:spacing w:val="7"/>
        </w:rPr>
        <w:t>理完毕，占公司股本总额的</w:t>
      </w:r>
      <w:r>
        <w:rPr>
          <w:rFonts w:ascii="Times New Roman" w:hAnsi="Times New Roman" w:cs="Times New Roman" w:eastAsia="Times New Roman" w:hint="default"/>
          <w:spacing w:val="7"/>
        </w:rPr>
        <w:t>0.58%</w:t>
      </w:r>
      <w:r>
        <w:rPr>
          <w:spacing w:val="7"/>
        </w:rPr>
        <w:t>，实际上市流通数量为</w:t>
      </w:r>
      <w:r>
        <w:rPr>
          <w:rFonts w:ascii="Times New Roman" w:hAnsi="Times New Roman" w:cs="Times New Roman" w:eastAsia="Times New Roman" w:hint="default"/>
          <w:spacing w:val="7"/>
        </w:rPr>
        <w:t>3,154,177</w:t>
      </w:r>
      <w:r>
        <w:rPr>
          <w:spacing w:val="7"/>
        </w:rPr>
        <w:t>股，占公司股本总额的</w:t>
      </w:r>
      <w:r>
        <w:rPr>
          <w:spacing w:val="-85"/>
        </w:rPr>
        <w:t> </w:t>
      </w:r>
      <w:r>
        <w:rPr>
          <w:spacing w:val="-85"/>
        </w:rPr>
      </w:r>
      <w:r>
        <w:rPr>
          <w:rFonts w:ascii="Times New Roman" w:hAnsi="Times New Roman" w:cs="Times New Roman" w:eastAsia="Times New Roman" w:hint="default"/>
        </w:rPr>
        <w:t>0.57%</w:t>
      </w:r>
      <w:r>
        <w:rPr/>
        <w:t>，本次申请解锁的激励对象人数为</w:t>
      </w:r>
      <w:r>
        <w:rPr>
          <w:spacing w:val="-51"/>
        </w:rPr>
        <w:t> </w:t>
      </w:r>
      <w:r>
        <w:rPr>
          <w:rFonts w:ascii="Times New Roman" w:hAnsi="Times New Roman" w:cs="Times New Roman" w:eastAsia="Times New Roman" w:hint="default"/>
        </w:rPr>
        <w:t>221</w:t>
      </w:r>
      <w:r>
        <w:rPr>
          <w:rFonts w:ascii="Times New Roman" w:hAnsi="Times New Roman" w:cs="Times New Roman" w:eastAsia="Times New Roman" w:hint="default"/>
          <w:spacing w:val="9"/>
        </w:rPr>
        <w:t> </w:t>
      </w:r>
      <w:r>
        <w:rPr/>
        <w:t>名。详情参见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日披露于证监会指定 创业板信息披露媒体的相关公告。</w:t>
      </w:r>
    </w:p>
    <w:p>
      <w:pPr>
        <w:pStyle w:val="Heading3"/>
        <w:spacing w:line="338" w:lineRule="auto" w:before="55"/>
        <w:ind w:right="150" w:firstLine="48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2014</w:t>
      </w:r>
      <w:r>
        <w:rPr>
          <w:spacing w:val="-2"/>
        </w:rPr>
        <w:t>年股权激励计划第一期</w:t>
      </w:r>
      <w:r>
        <w:rPr>
          <w:rFonts w:ascii="Times New Roman" w:hAnsi="Times New Roman" w:cs="Times New Roman" w:eastAsia="Times New Roman" w:hint="default"/>
          <w:spacing w:val="-2"/>
        </w:rPr>
        <w:t>5,537,700</w:t>
      </w:r>
      <w:r>
        <w:rPr>
          <w:spacing w:val="-2"/>
        </w:rPr>
        <w:t>股限制性股票解锁手续办</w:t>
      </w:r>
      <w:r>
        <w:rPr/>
        <w:t> </w:t>
      </w:r>
      <w:r>
        <w:rPr>
          <w:spacing w:val="7"/>
        </w:rPr>
        <w:t>理完毕，占公司股本总额的</w:t>
      </w:r>
      <w:r>
        <w:rPr>
          <w:rFonts w:ascii="Times New Roman" w:hAnsi="Times New Roman" w:cs="Times New Roman" w:eastAsia="Times New Roman" w:hint="default"/>
          <w:spacing w:val="7"/>
        </w:rPr>
        <w:t>0.67%</w:t>
      </w:r>
      <w:r>
        <w:rPr>
          <w:spacing w:val="7"/>
        </w:rPr>
        <w:t>；实际可上市流通数量</w:t>
      </w:r>
      <w:r>
        <w:rPr>
          <w:rFonts w:ascii="Times New Roman" w:hAnsi="Times New Roman" w:cs="Times New Roman" w:eastAsia="Times New Roman" w:hint="default"/>
          <w:spacing w:val="7"/>
        </w:rPr>
        <w:t>5,537,700</w:t>
      </w:r>
      <w:r>
        <w:rPr>
          <w:spacing w:val="7"/>
        </w:rPr>
        <w:t>股，占公司股本总额的</w:t>
      </w:r>
      <w:r>
        <w:rPr>
          <w:spacing w:val="-85"/>
        </w:rPr>
        <w:t> </w:t>
      </w:r>
      <w:r>
        <w:rPr>
          <w:spacing w:val="-85"/>
        </w:rPr>
      </w:r>
      <w:r>
        <w:rPr>
          <w:rFonts w:ascii="Times New Roman" w:hAnsi="Times New Roman" w:cs="Times New Roman" w:eastAsia="Times New Roman" w:hint="default"/>
        </w:rPr>
        <w:t>0.67%</w:t>
      </w:r>
      <w:r>
        <w:rPr/>
        <w:t>，本次申请解锁的激励对象人数为 </w:t>
      </w:r>
      <w:r>
        <w:rPr>
          <w:rFonts w:ascii="Times New Roman" w:hAnsi="Times New Roman" w:cs="Times New Roman" w:eastAsia="Times New Roman" w:hint="default"/>
        </w:rPr>
        <w:t>536 </w:t>
      </w:r>
      <w:r>
        <w:rPr/>
        <w:t>名。详情参见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日披露于证监会指</w:t>
      </w:r>
      <w:r>
        <w:rPr>
          <w:spacing w:val="-110"/>
        </w:rPr>
        <w:t> </w:t>
      </w:r>
      <w:r>
        <w:rPr>
          <w:spacing w:val="-110"/>
        </w:rPr>
      </w:r>
      <w:r>
        <w:rPr/>
        <w:t>定创业板信息披露媒体的相关公告。</w:t>
      </w:r>
    </w:p>
    <w:p>
      <w:pPr>
        <w:pStyle w:val="Heading3"/>
        <w:spacing w:line="338" w:lineRule="auto" w:before="55"/>
        <w:ind w:right="156" w:firstLine="480"/>
        <w:jc w:val="both"/>
      </w:pPr>
      <w:r>
        <w:rPr/>
        <w:t>二、报告期内，公司推出了《上海汉得信息技术股份有限公司</w:t>
      </w:r>
      <w:r>
        <w:rPr>
          <w:rFonts w:ascii="Times New Roman" w:hAnsi="Times New Roman" w:cs="Times New Roman" w:eastAsia="Times New Roman" w:hint="default"/>
        </w:rPr>
        <w:t>2015</w:t>
      </w:r>
      <w:r>
        <w:rPr/>
        <w:t>年限制性股票激励计 划》，其实施情况如下：</w:t>
      </w:r>
    </w:p>
    <w:p>
      <w:pPr>
        <w:pStyle w:val="Heading3"/>
        <w:spacing w:line="338" w:lineRule="auto" w:before="55"/>
        <w:ind w:right="148" w:firstLine="480"/>
        <w:jc w:val="both"/>
      </w:pP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日，公司召开了第二届董事会第三十三次（临时）会议，审议通过了《上</w:t>
      </w:r>
      <w:r>
        <w:rPr/>
        <w:t> </w:t>
      </w:r>
      <w:r>
        <w:rPr>
          <w:spacing w:val="-2"/>
        </w:rPr>
        <w:t>海汉得信息技术股份有限公司</w:t>
      </w:r>
      <w:r>
        <w:rPr>
          <w:rFonts w:ascii="Times New Roman" w:hAnsi="Times New Roman" w:cs="Times New Roman" w:eastAsia="Times New Roman" w:hint="default"/>
          <w:spacing w:val="-2"/>
        </w:rPr>
        <w:t>2015</w:t>
      </w:r>
      <w:r>
        <w:rPr>
          <w:spacing w:val="-2"/>
        </w:rPr>
        <w:t>年限制性股票激励计划（草案）》（以下简称</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2015</w:t>
      </w:r>
      <w:r>
        <w:rPr>
          <w:spacing w:val="-2"/>
        </w:rPr>
        <w:t>年股</w:t>
      </w:r>
      <w:r>
        <w:rPr>
          <w:spacing w:val="-98"/>
        </w:rPr>
        <w:t> </w:t>
      </w:r>
      <w:r>
        <w:rPr>
          <w:spacing w:val="-2"/>
        </w:rPr>
        <w:t>权激励计划》</w:t>
      </w:r>
      <w:r>
        <w:rPr>
          <w:rFonts w:ascii="Times New Roman" w:hAnsi="Times New Roman" w:cs="Times New Roman" w:eastAsia="Times New Roman" w:hint="default"/>
          <w:spacing w:val="-2"/>
        </w:rPr>
        <w:t>”</w:t>
      </w:r>
      <w:r>
        <w:rPr>
          <w:spacing w:val="-2"/>
        </w:rPr>
        <w:t>）及摘要、《上海汉得信息技术股份有限公司</w:t>
      </w:r>
      <w:r>
        <w:rPr>
          <w:rFonts w:ascii="Times New Roman" w:hAnsi="Times New Roman" w:cs="Times New Roman" w:eastAsia="Times New Roman" w:hint="default"/>
          <w:spacing w:val="-2"/>
        </w:rPr>
        <w:t>2015</w:t>
      </w:r>
      <w:r>
        <w:rPr>
          <w:spacing w:val="-2"/>
        </w:rPr>
        <w:t>年限制性股票激励计划实施</w:t>
      </w:r>
      <w:r>
        <w:rPr>
          <w:spacing w:val="-102"/>
        </w:rPr>
        <w:t> </w:t>
      </w:r>
      <w:r>
        <w:rPr/>
        <w:t>考核办法》（以下简称</w:t>
      </w:r>
      <w:r>
        <w:rPr>
          <w:rFonts w:ascii="Times New Roman" w:hAnsi="Times New Roman" w:cs="Times New Roman" w:eastAsia="Times New Roman" w:hint="default"/>
        </w:rPr>
        <w:t>“</w:t>
      </w:r>
      <w:r>
        <w:rPr/>
        <w:t>《考核办法》</w:t>
      </w:r>
      <w:r>
        <w:rPr>
          <w:rFonts w:ascii="Times New Roman" w:hAnsi="Times New Roman" w:cs="Times New Roman" w:eastAsia="Times New Roman" w:hint="default"/>
        </w:rPr>
        <w:t>”</w:t>
      </w:r>
      <w:r>
        <w:rPr/>
        <w:t>）、《关于提请股东大会授权董事会办理公司</w:t>
      </w:r>
      <w:r>
        <w:rPr>
          <w:rFonts w:ascii="Times New Roman" w:hAnsi="Times New Roman" w:cs="Times New Roman" w:eastAsia="Times New Roman" w:hint="default"/>
        </w:rPr>
        <w:t>2015</w:t>
      </w:r>
      <w:r>
        <w:rPr/>
        <w:t>年</w:t>
      </w:r>
      <w:r>
        <w:rPr>
          <w:spacing w:val="-58"/>
        </w:rPr>
        <w:t> </w:t>
      </w:r>
      <w:r>
        <w:rPr/>
        <w:t>限制性股票激励计划相关事宜的议案》（以下简称</w:t>
      </w:r>
      <w:r>
        <w:rPr>
          <w:rFonts w:ascii="Times New Roman" w:hAnsi="Times New Roman" w:cs="Times New Roman" w:eastAsia="Times New Roman" w:hint="default"/>
        </w:rPr>
        <w:t>“</w:t>
      </w:r>
      <w:r>
        <w:rPr/>
        <w:t>《授权议案》</w:t>
      </w:r>
      <w:r>
        <w:rPr>
          <w:rFonts w:ascii="Times New Roman" w:hAnsi="Times New Roman" w:cs="Times New Roman" w:eastAsia="Times New Roman" w:hint="default"/>
        </w:rPr>
        <w:t>”</w:t>
      </w:r>
      <w:r>
        <w:rPr/>
        <w:t>）。同日，独立董事发表</w:t>
      </w:r>
    </w:p>
    <w:p>
      <w:pPr>
        <w:spacing w:after="0" w:line="338" w:lineRule="auto"/>
        <w:jc w:val="both"/>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before="26"/>
        <w:ind w:right="95"/>
        <w:jc w:val="left"/>
      </w:pPr>
      <w:r>
        <w:rPr/>
        <w:t>同意的独立意见。</w:t>
      </w:r>
    </w:p>
    <w:p>
      <w:pPr>
        <w:pStyle w:val="Heading3"/>
        <w:spacing w:line="345" w:lineRule="auto" w:before="154"/>
        <w:ind w:right="230" w:firstLine="480"/>
        <w:jc w:val="both"/>
      </w:pPr>
      <w:r>
        <w:rPr>
          <w:rFonts w:ascii="Times New Roman" w:hAnsi="Times New Roman" w:cs="Times New Roman" w:eastAsia="Times New Roman" w:hint="default"/>
          <w:spacing w:val="-10"/>
        </w:rPr>
        <w:t>2</w:t>
      </w:r>
      <w:r>
        <w:rPr>
          <w:spacing w:val="-10"/>
        </w:rPr>
        <w:t>、</w:t>
      </w:r>
      <w:r>
        <w:rPr>
          <w:rFonts w:ascii="Times New Roman" w:hAnsi="Times New Roman" w:cs="Times New Roman" w:eastAsia="Times New Roman" w:hint="default"/>
          <w:spacing w:val="-10"/>
        </w:rPr>
        <w:t>2015</w:t>
      </w:r>
      <w:r>
        <w:rPr>
          <w:spacing w:val="-10"/>
        </w:rPr>
        <w:t>年</w:t>
      </w:r>
      <w:r>
        <w:rPr>
          <w:rFonts w:ascii="Times New Roman" w:hAnsi="Times New Roman" w:cs="Times New Roman" w:eastAsia="Times New Roman" w:hint="default"/>
          <w:spacing w:val="-10"/>
        </w:rPr>
        <w:t>7</w:t>
      </w:r>
      <w:r>
        <w:rPr>
          <w:spacing w:val="-10"/>
        </w:rPr>
        <w:t>月</w:t>
      </w:r>
      <w:r>
        <w:rPr>
          <w:rFonts w:ascii="Times New Roman" w:hAnsi="Times New Roman" w:cs="Times New Roman" w:eastAsia="Times New Roman" w:hint="default"/>
          <w:spacing w:val="-10"/>
        </w:rPr>
        <w:t>24</w:t>
      </w:r>
      <w:r>
        <w:rPr>
          <w:spacing w:val="-10"/>
        </w:rPr>
        <w:t>日，公司召开了第二届监事会第二十七次（临时）会议，审议通过了《</w:t>
      </w:r>
      <w:r>
        <w:rPr>
          <w:rFonts w:ascii="Times New Roman" w:hAnsi="Times New Roman" w:cs="Times New Roman" w:eastAsia="Times New Roman" w:hint="default"/>
          <w:spacing w:val="-10"/>
        </w:rPr>
        <w:t>2015</w:t>
      </w:r>
      <w:r>
        <w:rPr>
          <w:rFonts w:ascii="Times New Roman" w:hAnsi="Times New Roman" w:cs="Times New Roman" w:eastAsia="Times New Roman" w:hint="default"/>
        </w:rPr>
        <w:t> </w:t>
      </w:r>
      <w:r>
        <w:rPr/>
        <w:t>年股权激励计划》及其摘要与《关于核查公司</w:t>
      </w:r>
      <w:r>
        <w:rPr>
          <w:rFonts w:ascii="Times New Roman" w:hAnsi="Times New Roman" w:cs="Times New Roman" w:eastAsia="Times New Roman" w:hint="default"/>
        </w:rPr>
        <w:t>2015</w:t>
      </w:r>
      <w:r>
        <w:rPr/>
        <w:t>年限制性股票激励计划（草案）激励对象</w:t>
      </w:r>
      <w:r>
        <w:rPr>
          <w:spacing w:val="-88"/>
        </w:rPr>
        <w:t> </w:t>
      </w:r>
      <w:r>
        <w:rPr>
          <w:spacing w:val="-88"/>
        </w:rPr>
      </w:r>
      <w:r>
        <w:rPr/>
        <w:t>名单的议案》。对本次获授限制性股票的激励对象名单进行了核查，认为本次获授限制性股</w:t>
      </w:r>
      <w:r>
        <w:rPr>
          <w:spacing w:val="-91"/>
        </w:rPr>
        <w:t> </w:t>
      </w:r>
      <w:r>
        <w:rPr>
          <w:spacing w:val="-91"/>
        </w:rPr>
      </w:r>
      <w:r>
        <w:rPr/>
        <w:t>票的激励对象主体资格合法、有效。</w:t>
      </w:r>
    </w:p>
    <w:p>
      <w:pPr>
        <w:pStyle w:val="Heading3"/>
        <w:spacing w:line="338" w:lineRule="auto" w:before="48"/>
        <w:ind w:right="225" w:firstLine="48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9</w:t>
      </w:r>
      <w:r>
        <w:rPr>
          <w:spacing w:val="-2"/>
        </w:rPr>
        <w:t>日，公司召开了</w:t>
      </w:r>
      <w:r>
        <w:rPr>
          <w:rFonts w:ascii="Times New Roman" w:hAnsi="Times New Roman" w:cs="Times New Roman" w:eastAsia="Times New Roman" w:hint="default"/>
          <w:spacing w:val="-2"/>
        </w:rPr>
        <w:t>2015</w:t>
      </w:r>
      <w:r>
        <w:rPr>
          <w:spacing w:val="-2"/>
        </w:rPr>
        <w:t>年第三次临时股东大会，审议通过了《</w:t>
      </w:r>
      <w:r>
        <w:rPr>
          <w:rFonts w:ascii="Times New Roman" w:hAnsi="Times New Roman" w:cs="Times New Roman" w:eastAsia="Times New Roman" w:hint="default"/>
          <w:spacing w:val="-2"/>
        </w:rPr>
        <w:t>2015</w:t>
      </w:r>
      <w:r>
        <w:rPr>
          <w:spacing w:val="-2"/>
        </w:rPr>
        <w:t>年股权激</w:t>
      </w:r>
      <w:r>
        <w:rPr/>
        <w:t> 励计划》及其摘要、《考核办法》及《授权议案》。</w:t>
      </w:r>
    </w:p>
    <w:p>
      <w:pPr>
        <w:pStyle w:val="Heading3"/>
        <w:spacing w:line="338" w:lineRule="auto" w:before="55"/>
        <w:ind w:right="95" w:firstLine="480"/>
        <w:jc w:val="left"/>
      </w:pP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21</w:t>
      </w:r>
      <w:r>
        <w:rPr>
          <w:spacing w:val="-5"/>
        </w:rPr>
        <w:t>日，公司召开了第二届董事会第三十六次（临时）会议，审议通过了《关</w:t>
      </w:r>
      <w:r>
        <w:rPr/>
        <w:t> </w:t>
      </w:r>
      <w:r>
        <w:rPr>
          <w:spacing w:val="-8"/>
        </w:rPr>
        <w:t>于调整公司</w:t>
      </w:r>
      <w:r>
        <w:rPr>
          <w:rFonts w:ascii="Times New Roman" w:hAnsi="Times New Roman" w:cs="Times New Roman" w:eastAsia="Times New Roman" w:hint="default"/>
          <w:spacing w:val="-8"/>
        </w:rPr>
        <w:t>2015</w:t>
      </w:r>
      <w:r>
        <w:rPr>
          <w:spacing w:val="-8"/>
        </w:rPr>
        <w:t>年限制性股票激励计划的议案》、《关于向激励对象授予限制性股票的议案》，</w:t>
      </w:r>
      <w:r>
        <w:rPr>
          <w:spacing w:val="-95"/>
        </w:rPr>
        <w:t> </w:t>
      </w:r>
      <w:r>
        <w:rPr>
          <w:spacing w:val="-95"/>
        </w:rPr>
      </w:r>
      <w:r>
        <w:rPr/>
        <w:t>确定公司本次限制性股票的授予日为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日。本次限制性股票激励计划授予激励对象 的限制性股票数量为</w:t>
      </w:r>
      <w:r>
        <w:rPr>
          <w:rFonts w:ascii="Times New Roman" w:hAnsi="Times New Roman" w:cs="Times New Roman" w:eastAsia="Times New Roman" w:hint="default"/>
        </w:rPr>
        <w:t>8,631,000</w:t>
      </w:r>
      <w:r>
        <w:rPr/>
        <w:t>股，占汉得信息已发行股本总额的</w:t>
      </w:r>
      <w:r>
        <w:rPr>
          <w:rFonts w:ascii="Times New Roman" w:hAnsi="Times New Roman" w:cs="Times New Roman" w:eastAsia="Times New Roman" w:hint="default"/>
        </w:rPr>
        <w:t>1.05%</w:t>
      </w:r>
      <w:r>
        <w:rPr/>
        <w:t>。授予价格为</w:t>
      </w:r>
      <w:r>
        <w:rPr>
          <w:rFonts w:ascii="Times New Roman" w:hAnsi="Times New Roman" w:cs="Times New Roman" w:eastAsia="Times New Roman" w:hint="default"/>
        </w:rPr>
        <w:t>11.01</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股。</w:t>
      </w:r>
    </w:p>
    <w:p>
      <w:pPr>
        <w:pStyle w:val="Heading3"/>
        <w:spacing w:line="345" w:lineRule="auto" w:before="55"/>
        <w:ind w:right="95" w:firstLine="480"/>
        <w:jc w:val="left"/>
      </w:pPr>
      <w:r>
        <w:rPr>
          <w:rFonts w:ascii="Times New Roman" w:hAnsi="Times New Roman" w:cs="Times New Roman" w:eastAsia="Times New Roman" w:hint="default"/>
          <w:spacing w:val="-5"/>
        </w:rPr>
        <w:t>5</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21</w:t>
      </w:r>
      <w:r>
        <w:rPr>
          <w:spacing w:val="-5"/>
        </w:rPr>
        <w:t>日，公司召开了第二届监事会第二十九次（临时）会议，审议通过了《关</w:t>
      </w:r>
      <w:r>
        <w:rPr/>
        <w:t> </w:t>
      </w:r>
      <w:r>
        <w:rPr>
          <w:spacing w:val="-8"/>
        </w:rPr>
        <w:t>于调整公司</w:t>
      </w:r>
      <w:r>
        <w:rPr>
          <w:rFonts w:ascii="Times New Roman" w:hAnsi="Times New Roman" w:cs="Times New Roman" w:eastAsia="Times New Roman" w:hint="default"/>
          <w:spacing w:val="-8"/>
        </w:rPr>
        <w:t>2015</w:t>
      </w:r>
      <w:r>
        <w:rPr>
          <w:spacing w:val="-8"/>
        </w:rPr>
        <w:t>年限制性股票激励计划的议案》、《关于向激励对象授予限制性股票的议案》，</w:t>
      </w:r>
      <w:r>
        <w:rPr>
          <w:spacing w:val="-95"/>
        </w:rPr>
        <w:t> </w:t>
      </w:r>
      <w:r>
        <w:rPr>
          <w:spacing w:val="-95"/>
        </w:rPr>
      </w:r>
      <w:r>
        <w:rPr/>
        <w:t>并对调整后的本次获授限制性股票的激励对象名单进行了核实，认为本次获授限制性股票的</w:t>
      </w:r>
      <w:r>
        <w:rPr>
          <w:spacing w:val="-91"/>
        </w:rPr>
        <w:t> </w:t>
      </w:r>
      <w:r>
        <w:rPr>
          <w:spacing w:val="-91"/>
        </w:rPr>
      </w:r>
      <w:r>
        <w:rPr/>
        <w:t>激励对象的主体资格合法、有效。</w:t>
      </w:r>
    </w:p>
    <w:p>
      <w:pPr>
        <w:pStyle w:val="Heading3"/>
        <w:spacing w:line="338" w:lineRule="auto" w:before="48"/>
        <w:ind w:right="228" w:firstLine="480"/>
        <w:jc w:val="both"/>
      </w:pP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3</w:t>
      </w:r>
      <w:r>
        <w:rPr>
          <w:spacing w:val="-5"/>
        </w:rPr>
        <w:t>日，公司召开了第二届董事会第三十九次（临时）会议，审议通过了《关</w:t>
      </w:r>
      <w:r>
        <w:rPr/>
        <w:t> </w:t>
      </w:r>
      <w:r>
        <w:rPr>
          <w:spacing w:val="-2"/>
        </w:rPr>
        <w:t>于调整公司</w:t>
      </w:r>
      <w:r>
        <w:rPr>
          <w:rFonts w:ascii="Times New Roman" w:hAnsi="Times New Roman" w:cs="Times New Roman" w:eastAsia="Times New Roman" w:hint="default"/>
          <w:spacing w:val="-2"/>
        </w:rPr>
        <w:t>2015</w:t>
      </w:r>
      <w:r>
        <w:rPr>
          <w:spacing w:val="-2"/>
        </w:rPr>
        <w:t>年限制性股票激励计划的议案》，截止本次董事会召开之日，共有</w:t>
      </w:r>
      <w:r>
        <w:rPr>
          <w:rFonts w:ascii="Times New Roman" w:hAnsi="Times New Roman" w:cs="Times New Roman" w:eastAsia="Times New Roman" w:hint="default"/>
          <w:spacing w:val="-2"/>
        </w:rPr>
        <w:t>163</w:t>
      </w:r>
      <w:r>
        <w:rPr>
          <w:spacing w:val="-2"/>
        </w:rPr>
        <w:t>名激励</w:t>
      </w:r>
      <w:r>
        <w:rPr>
          <w:spacing w:val="-116"/>
        </w:rPr>
        <w:t> </w:t>
      </w:r>
      <w:r>
        <w:rPr>
          <w:spacing w:val="-2"/>
        </w:rPr>
        <w:t>对象自愿放弃认购授予其的全部限制性股票，公司董事会同意取消上述</w:t>
      </w:r>
      <w:r>
        <w:rPr>
          <w:rFonts w:ascii="Times New Roman" w:hAnsi="Times New Roman" w:cs="Times New Roman" w:eastAsia="Times New Roman" w:hint="default"/>
          <w:spacing w:val="-2"/>
        </w:rPr>
        <w:t>163</w:t>
      </w:r>
      <w:r>
        <w:rPr>
          <w:spacing w:val="-2"/>
        </w:rPr>
        <w:t>人的激励对象资格</w:t>
      </w:r>
      <w:r>
        <w:rPr>
          <w:spacing w:val="-117"/>
        </w:rPr>
        <w:t> </w:t>
      </w:r>
      <w:r>
        <w:rPr>
          <w:spacing w:val="4"/>
        </w:rPr>
        <w:t>并取消授予其的全部限制性股票；</w:t>
      </w:r>
      <w:r>
        <w:rPr>
          <w:rFonts w:ascii="Times New Roman" w:hAnsi="Times New Roman" w:cs="Times New Roman" w:eastAsia="Times New Roman" w:hint="default"/>
          <w:spacing w:val="4"/>
        </w:rPr>
        <w:t>34</w:t>
      </w:r>
      <w:r>
        <w:rPr>
          <w:spacing w:val="4"/>
        </w:rPr>
        <w:t>人自愿放弃认购授予其的部分限制性股票共计</w:t>
      </w:r>
      <w:r>
        <w:rPr>
          <w:rFonts w:ascii="Times New Roman" w:hAnsi="Times New Roman" w:cs="Times New Roman" w:eastAsia="Times New Roman" w:hint="default"/>
          <w:spacing w:val="4"/>
        </w:rPr>
        <w:t>344,000</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股，公司董事会同意取消上述</w:t>
      </w:r>
      <w:r>
        <w:rPr>
          <w:rFonts w:ascii="Times New Roman" w:hAnsi="Times New Roman" w:cs="Times New Roman" w:eastAsia="Times New Roman" w:hint="default"/>
        </w:rPr>
        <w:t>34</w:t>
      </w:r>
      <w:r>
        <w:rPr/>
        <w:t>人被授予的部分限制性股票。因此，本次董事会将激励对象</w:t>
      </w:r>
      <w:r>
        <w:rPr>
          <w:spacing w:val="-90"/>
        </w:rPr>
        <w:t> </w:t>
      </w:r>
      <w:r>
        <w:rPr>
          <w:spacing w:val="-90"/>
        </w:rPr>
      </w:r>
      <w:r>
        <w:rPr>
          <w:spacing w:val="-2"/>
        </w:rPr>
        <w:t>人数调整为</w:t>
      </w:r>
      <w:r>
        <w:rPr>
          <w:rFonts w:ascii="Times New Roman" w:hAnsi="Times New Roman" w:cs="Times New Roman" w:eastAsia="Times New Roman" w:hint="default"/>
          <w:spacing w:val="-2"/>
        </w:rPr>
        <w:t>251</w:t>
      </w:r>
      <w:r>
        <w:rPr>
          <w:spacing w:val="-2"/>
        </w:rPr>
        <w:t>人，并将本次激励计划拟授予的股份数调整至</w:t>
      </w:r>
      <w:r>
        <w:rPr>
          <w:rFonts w:ascii="Times New Roman" w:hAnsi="Times New Roman" w:cs="Times New Roman" w:eastAsia="Times New Roman" w:hint="default"/>
          <w:spacing w:val="-2"/>
        </w:rPr>
        <w:t>5,026,000</w:t>
      </w:r>
      <w:r>
        <w:rPr>
          <w:spacing w:val="-2"/>
        </w:rPr>
        <w:t>股。同日，独立董事发</w:t>
      </w:r>
      <w:r>
        <w:rPr>
          <w:spacing w:val="-110"/>
        </w:rPr>
        <w:t> </w:t>
      </w:r>
      <w:r>
        <w:rPr>
          <w:spacing w:val="-110"/>
        </w:rPr>
      </w:r>
      <w:r>
        <w:rPr/>
        <w:t>表同意的独立意见。</w:t>
      </w:r>
    </w:p>
    <w:p>
      <w:pPr>
        <w:pStyle w:val="Heading3"/>
        <w:spacing w:line="338" w:lineRule="auto" w:before="56"/>
        <w:ind w:right="230" w:firstLine="480"/>
        <w:jc w:val="right"/>
      </w:pPr>
      <w:r>
        <w:rPr>
          <w:rFonts w:ascii="Times New Roman" w:hAnsi="Times New Roman" w:cs="Times New Roman" w:eastAsia="Times New Roman" w:hint="default"/>
          <w:spacing w:val="-5"/>
        </w:rPr>
        <w:t>7</w:t>
      </w:r>
      <w:r>
        <w:rPr>
          <w:spacing w:val="-5"/>
        </w:rPr>
        <w:t>、</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3</w:t>
      </w:r>
      <w:r>
        <w:rPr>
          <w:spacing w:val="-5"/>
        </w:rPr>
        <w:t>日，公司召开了第二届监事会第三十一次（临时）会议，审议通过了《关</w:t>
      </w:r>
      <w:r>
        <w:rPr/>
        <w:t> 于调整公司</w:t>
      </w:r>
      <w:r>
        <w:rPr>
          <w:rFonts w:ascii="Times New Roman" w:hAnsi="Times New Roman" w:cs="Times New Roman" w:eastAsia="Times New Roman" w:hint="default"/>
        </w:rPr>
        <w:t>2015</w:t>
      </w:r>
      <w:r>
        <w:rPr/>
        <w:t>年限制性股票激励计划的议案》，同意公司对</w:t>
      </w:r>
      <w:r>
        <w:rPr>
          <w:rFonts w:ascii="Times New Roman" w:hAnsi="Times New Roman" w:cs="Times New Roman" w:eastAsia="Times New Roman" w:hint="default"/>
        </w:rPr>
        <w:t>2015</w:t>
      </w:r>
      <w:r>
        <w:rPr/>
        <w:t>年股权激励计划的调整。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日，中国证券登记结算有限责任公司深圳分公司完成了对公司</w:t>
      </w:r>
      <w:r>
        <w:rPr>
          <w:rFonts w:ascii="Times New Roman" w:hAnsi="Times New Roman" w:cs="Times New Roman" w:eastAsia="Times New Roman" w:hint="default"/>
          <w:spacing w:val="-2"/>
        </w:rPr>
        <w:t>2015</w:t>
      </w:r>
      <w:r>
        <w:rPr>
          <w:spacing w:val="-2"/>
        </w:rPr>
        <w:t>年股</w:t>
      </w:r>
      <w:r>
        <w:rPr/>
        <w:t> 权激励计划的登记确认，公司向</w:t>
      </w:r>
      <w:r>
        <w:rPr>
          <w:rFonts w:ascii="Times New Roman" w:hAnsi="Times New Roman" w:cs="Times New Roman" w:eastAsia="Times New Roman" w:hint="default"/>
        </w:rPr>
        <w:t>251</w:t>
      </w:r>
      <w:r>
        <w:rPr/>
        <w:t>名激励对象定向发行</w:t>
      </w:r>
      <w:r>
        <w:rPr>
          <w:rFonts w:ascii="Times New Roman" w:hAnsi="Times New Roman" w:cs="Times New Roman" w:eastAsia="Times New Roman" w:hint="default"/>
        </w:rPr>
        <w:t>5,026,000</w:t>
      </w:r>
      <w:r>
        <w:rPr/>
        <w:t>股限制性股票，每股</w:t>
      </w:r>
      <w:r>
        <w:rPr>
          <w:rFonts w:ascii="Times New Roman" w:hAnsi="Times New Roman" w:cs="Times New Roman" w:eastAsia="Times New Roman" w:hint="default"/>
        </w:rPr>
        <w:t>11.01</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元，授予股份的上市日期为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2015</w:t>
      </w:r>
      <w:r>
        <w:rPr/>
        <w:t>年股权激励计划授予完成后，公司股份总</w:t>
      </w:r>
    </w:p>
    <w:p>
      <w:pPr>
        <w:pStyle w:val="Heading3"/>
        <w:spacing w:line="240" w:lineRule="auto" w:before="26"/>
        <w:ind w:right="95"/>
        <w:jc w:val="left"/>
      </w:pPr>
      <w:r>
        <w:rPr/>
        <w:t>数由原来的</w:t>
      </w:r>
      <w:r>
        <w:rPr>
          <w:rFonts w:ascii="Times New Roman" w:hAnsi="Times New Roman" w:cs="Times New Roman" w:eastAsia="Times New Roman" w:hint="default"/>
        </w:rPr>
        <w:t>823,598,634  </w:t>
      </w:r>
      <w:r>
        <w:rPr/>
        <w:t>股增加至 </w:t>
      </w:r>
      <w:r>
        <w:rPr>
          <w:rFonts w:ascii="Times New Roman" w:hAnsi="Times New Roman" w:cs="Times New Roman" w:eastAsia="Times New Roman" w:hint="default"/>
        </w:rPr>
        <w:t>828,624,634</w:t>
      </w:r>
      <w:r>
        <w:rPr>
          <w:rFonts w:ascii="Times New Roman" w:hAnsi="Times New Roman" w:cs="Times New Roman" w:eastAsia="Times New Roman" w:hint="default"/>
          <w:spacing w:val="-13"/>
        </w:rPr>
        <w:t> </w:t>
      </w:r>
      <w:r>
        <w:rPr/>
        <w:t>股。</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5" w:lineRule="auto" w:before="26"/>
        <w:ind w:right="153" w:firstLine="504"/>
        <w:jc w:val="both"/>
      </w:pPr>
      <w:r>
        <w:rPr/>
        <w:t>报告期内，公司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2013</w:t>
      </w:r>
      <w:r>
        <w:rPr/>
        <w:t>年及</w:t>
      </w:r>
      <w:r>
        <w:rPr>
          <w:rFonts w:ascii="Times New Roman" w:hAnsi="Times New Roman" w:cs="Times New Roman" w:eastAsia="Times New Roman" w:hint="default"/>
        </w:rPr>
        <w:t>2014</w:t>
      </w:r>
      <w:r>
        <w:rPr/>
        <w:t>年股权激励计划的持续解锁，以及</w:t>
      </w:r>
      <w:r>
        <w:rPr>
          <w:rFonts w:ascii="Times New Roman" w:hAnsi="Times New Roman" w:cs="Times New Roman" w:eastAsia="Times New Roman" w:hint="default"/>
        </w:rPr>
        <w:t>2015</w:t>
      </w:r>
      <w:r>
        <w:rPr/>
        <w:t>年股权激 励计划的顺利授予，基本建立了一套了公司核心技术（业务）人员的行之有效的长期激励、</w:t>
      </w:r>
      <w:r>
        <w:rPr>
          <w:spacing w:val="-91"/>
        </w:rPr>
        <w:t> </w:t>
      </w:r>
      <w:r>
        <w:rPr>
          <w:spacing w:val="-91"/>
        </w:rPr>
      </w:r>
      <w:r>
        <w:rPr/>
        <w:t>考核和约束机制，进充分调动了公司核心技术（业务）人员的积极性，有效地将股东利益、</w:t>
      </w:r>
      <w:r>
        <w:rPr>
          <w:spacing w:val="-88"/>
        </w:rPr>
        <w:t> </w:t>
      </w:r>
      <w:r>
        <w:rPr>
          <w:spacing w:val="-88"/>
        </w:rPr>
      </w:r>
      <w:r>
        <w:rPr/>
        <w:t>公司利益和个人利益结合在一起，能够极大地激发员工的潜力和创造力，加强凝聚力，提升</w:t>
      </w:r>
      <w:r>
        <w:rPr>
          <w:spacing w:val="-91"/>
        </w:rPr>
        <w:t> </w:t>
      </w:r>
      <w:r>
        <w:rPr>
          <w:spacing w:val="-91"/>
        </w:rPr>
      </w:r>
      <w:r>
        <w:rPr/>
        <w:t>竞争力，确保公司未来发展战略和经营目标的实现，并为稳定和吸引优秀的管理人才、业务</w:t>
      </w:r>
      <w:r>
        <w:rPr>
          <w:spacing w:val="-91"/>
        </w:rPr>
        <w:t> </w:t>
      </w:r>
      <w:r>
        <w:rPr>
          <w:spacing w:val="-91"/>
        </w:rPr>
      </w:r>
      <w:r>
        <w:rPr/>
        <w:t>和技术人才提供一个良好的激励平台，实现股东、公司和激励对象各方利益的一致，维护股</w:t>
      </w:r>
      <w:r>
        <w:rPr>
          <w:spacing w:val="-91"/>
        </w:rPr>
        <w:t> </w:t>
      </w:r>
      <w:r>
        <w:rPr>
          <w:spacing w:val="-91"/>
        </w:rPr>
      </w:r>
      <w:r>
        <w:rPr/>
        <w:t>东利益，为股东带来更为持久、丰厚的回报。</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9"/>
          <w:szCs w:val="19"/>
        </w:rPr>
      </w:pPr>
    </w:p>
    <w:p>
      <w:pPr>
        <w:pStyle w:val="Heading2"/>
        <w:spacing w:line="240" w:lineRule="auto"/>
        <w:ind w:right="498"/>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8"/>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after="0" w:line="3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498"/>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6"/>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3"/>
        <w:rPr>
          <w:rFonts w:ascii="宋体" w:hAnsi="宋体" w:cs="宋体" w:eastAsia="宋体" w:hint="default"/>
          <w:sz w:val="21"/>
          <w:szCs w:val="21"/>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498"/>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498"/>
        <w:jc w:val="left"/>
      </w:pPr>
      <w:r>
        <w:rPr/>
        <w:t>公司报告期不存在需要说明的其他重大事项。</w:t>
      </w:r>
    </w:p>
    <w:p>
      <w:pPr>
        <w:spacing w:line="240" w:lineRule="auto" w:before="4"/>
        <w:rPr>
          <w:rFonts w:ascii="宋体" w:hAnsi="宋体" w:cs="宋体" w:eastAsia="宋体" w:hint="default"/>
          <w:sz w:val="25"/>
          <w:szCs w:val="25"/>
        </w:rPr>
      </w:pPr>
    </w:p>
    <w:p>
      <w:pPr>
        <w:pStyle w:val="Heading2"/>
        <w:spacing w:line="240" w:lineRule="auto"/>
        <w:ind w:right="498"/>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98"/>
        <w:jc w:val="left"/>
        <w:rPr>
          <w:b w:val="0"/>
          <w:bCs w:val="0"/>
        </w:rPr>
      </w:pPr>
      <w:r>
        <w:rPr/>
        <w:t>十九、社会责任情况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二十、公司债券相关情况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13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95"/>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5"/>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0"/>
        <w:jc w:val="right"/>
      </w:pP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6"/>
        <w:gridCol w:w="1034"/>
        <w:gridCol w:w="708"/>
        <w:gridCol w:w="425"/>
        <w:gridCol w:w="425"/>
        <w:gridCol w:w="994"/>
        <w:gridCol w:w="992"/>
        <w:gridCol w:w="994"/>
        <w:gridCol w:w="1133"/>
        <w:gridCol w:w="641"/>
      </w:tblGrid>
      <w:tr>
        <w:trPr>
          <w:trHeight w:val="403" w:hRule="exact"/>
        </w:trPr>
        <w:tc>
          <w:tcPr>
            <w:tcW w:w="2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3" w:hRule="exact"/>
        </w:trPr>
        <w:tc>
          <w:tcPr>
            <w:tcW w:w="2226" w:type="dxa"/>
            <w:tcBorders>
              <w:top w:val="nil" w:sz="6" w:space="0" w:color="auto"/>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 w:right="24"/>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1" w:hRule="exact"/>
        </w:trPr>
        <w:tc>
          <w:tcPr>
            <w:tcW w:w="2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150,032,604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69,284,041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-13,920,413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55,363,628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205,396,232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24.79%</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150,032,604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69,284,041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-13,920,413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55,363,628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205,396,232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24.79%</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150,032,604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27.33%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69,284,041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-13,920,413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center"/>
              <w:rPr>
                <w:rFonts w:ascii="Times New Roman" w:hAnsi="Times New Roman" w:cs="Times New Roman" w:eastAsia="Times New Roman" w:hint="default"/>
                <w:sz w:val="18"/>
                <w:szCs w:val="18"/>
              </w:rPr>
            </w:pPr>
            <w:r>
              <w:rPr>
                <w:rFonts w:ascii="Times New Roman"/>
                <w:sz w:val="18"/>
              </w:rPr>
              <w:t>55,363,628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205,396,232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24.79%</w:t>
            </w:r>
          </w:p>
        </w:tc>
      </w:tr>
      <w:tr>
        <w:trPr>
          <w:trHeight w:val="401"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399,033,152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205,248,837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18,946,413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224,195,250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623,228,402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75.21%</w:t>
            </w:r>
          </w:p>
        </w:tc>
      </w:tr>
      <w:tr>
        <w:trPr>
          <w:trHeight w:val="403" w:hRule="exact"/>
        </w:trPr>
        <w:tc>
          <w:tcPr>
            <w:tcW w:w="2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399,033,152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72.67%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205,248,837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18,946,413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224,195,250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623,228,402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75.21%</w:t>
            </w:r>
          </w:p>
        </w:tc>
      </w:tr>
      <w:tr>
        <w:trPr>
          <w:trHeight w:val="161" w:hRule="exact"/>
        </w:trPr>
        <w:tc>
          <w:tcPr>
            <w:tcW w:w="22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549,065,756</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274,532,878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5,026,000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279,558,878</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828,624,634</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1" w:hRule="exact"/>
        </w:trPr>
        <w:tc>
          <w:tcPr>
            <w:tcW w:w="22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r>
      <w:tr>
        <w:trPr>
          <w:trHeight w:val="161" w:hRule="exact"/>
        </w:trPr>
        <w:tc>
          <w:tcPr>
            <w:tcW w:w="22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95"/>
        <w:jc w:val="left"/>
      </w:pPr>
      <w:r>
        <w:rPr/>
        <w:t>股份变动的原因</w:t>
      </w:r>
    </w:p>
    <w:p>
      <w:pPr>
        <w:pStyle w:val="BodyText"/>
        <w:spacing w:line="240" w:lineRule="auto" w:before="117"/>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38" w:lineRule="auto" w:before="132"/>
        <w:ind w:right="95"/>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2012</w:t>
      </w:r>
      <w:r>
        <w:rPr/>
        <w:t>年股权激励计划第二期</w:t>
      </w:r>
      <w:r>
        <w:rPr>
          <w:rFonts w:ascii="Times New Roman" w:hAnsi="Times New Roman" w:cs="Times New Roman" w:eastAsia="Times New Roman" w:hint="default"/>
        </w:rPr>
        <w:t>8,372,874</w:t>
      </w:r>
      <w:r>
        <w:rPr/>
        <w:t>股解锁手续办理完毕，实际上</w:t>
      </w:r>
      <w:r>
        <w:rPr>
          <w:spacing w:val="-91"/>
        </w:rPr>
        <w:t> </w:t>
      </w:r>
      <w:r>
        <w:rPr>
          <w:spacing w:val="-91"/>
        </w:rPr>
      </w:r>
      <w:r>
        <w:rPr/>
        <w:t>市流通数量为</w:t>
      </w:r>
      <w:r>
        <w:rPr>
          <w:rFonts w:ascii="Times New Roman" w:hAnsi="Times New Roman" w:cs="Times New Roman" w:eastAsia="Times New Roman" w:hint="default"/>
        </w:rPr>
        <w:t>8,310,343</w:t>
      </w:r>
      <w:r>
        <w:rPr/>
        <w:t>股。本次解锁完成后导致公司有限售条件股份减少</w:t>
      </w:r>
      <w:r>
        <w:rPr>
          <w:rFonts w:ascii="Times New Roman" w:hAnsi="Times New Roman" w:cs="Times New Roman" w:eastAsia="Times New Roman" w:hint="default"/>
        </w:rPr>
        <w:t>8,310,343</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2013</w:t>
      </w:r>
      <w:r>
        <w:rPr/>
        <w:t>年股权激励计划第一期</w:t>
      </w:r>
      <w:r>
        <w:rPr>
          <w:rFonts w:ascii="Times New Roman" w:hAnsi="Times New Roman" w:cs="Times New Roman" w:eastAsia="Times New Roman" w:hint="default"/>
        </w:rPr>
        <w:t>3,161,125</w:t>
      </w:r>
      <w:r>
        <w:rPr/>
        <w:t>股解锁手续办理完毕，实际上</w:t>
      </w:r>
      <w:r>
        <w:rPr>
          <w:spacing w:val="-90"/>
        </w:rPr>
        <w:t> </w:t>
      </w:r>
      <w:r>
        <w:rPr>
          <w:spacing w:val="-90"/>
        </w:rPr>
      </w:r>
      <w:r>
        <w:rPr/>
        <w:t>市流通数量为</w:t>
      </w:r>
      <w:r>
        <w:rPr>
          <w:rFonts w:ascii="Times New Roman" w:hAnsi="Times New Roman" w:cs="Times New Roman" w:eastAsia="Times New Roman" w:hint="default"/>
        </w:rPr>
        <w:t>3,154,177</w:t>
      </w:r>
      <w:r>
        <w:rPr/>
        <w:t>股，本次解锁完成后导致公司有限售条件股份减少</w:t>
      </w:r>
      <w:r>
        <w:rPr>
          <w:rFonts w:ascii="Times New Roman" w:hAnsi="Times New Roman" w:cs="Times New Roman" w:eastAsia="Times New Roman" w:hint="default"/>
        </w:rPr>
        <w:t>3,154,177</w:t>
      </w:r>
      <w:r>
        <w:rPr>
          <w:rFonts w:ascii="Times New Roman" w:hAnsi="Times New Roman" w:cs="Times New Roman" w:eastAsia="Times New Roman" w:hint="default"/>
          <w:spacing w:val="36"/>
        </w:rPr>
        <w:t> </w:t>
      </w:r>
      <w:r>
        <w:rPr/>
        <w:t>股。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日，公司</w:t>
      </w:r>
      <w:r>
        <w:rPr>
          <w:rFonts w:ascii="Times New Roman" w:hAnsi="Times New Roman" w:cs="Times New Roman" w:eastAsia="Times New Roman" w:hint="default"/>
        </w:rPr>
        <w:t>2014</w:t>
      </w:r>
      <w:r>
        <w:rPr/>
        <w:t>年度利润分配方案实施完毕，以当时总股本</w:t>
      </w:r>
      <w:r>
        <w:rPr>
          <w:rFonts w:ascii="Times New Roman" w:hAnsi="Times New Roman" w:cs="Times New Roman" w:eastAsia="Times New Roman" w:hint="default"/>
        </w:rPr>
        <w:t>549,065,756</w:t>
      </w:r>
      <w:r>
        <w:rPr/>
        <w:t>股为基</w:t>
      </w:r>
      <w:r>
        <w:rPr>
          <w:spacing w:val="-88"/>
        </w:rPr>
        <w:t> </w:t>
      </w:r>
      <w:r>
        <w:rPr>
          <w:spacing w:val="-5"/>
        </w:rPr>
        <w:t>数，以资本公积金向全体股东每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5</w:t>
      </w:r>
      <w:r>
        <w:rPr>
          <w:spacing w:val="-5"/>
        </w:rPr>
        <w:t>股，共计</w:t>
      </w:r>
      <w:r>
        <w:rPr>
          <w:rFonts w:ascii="Times New Roman" w:hAnsi="Times New Roman" w:cs="Times New Roman" w:eastAsia="Times New Roman" w:hint="default"/>
          <w:spacing w:val="-5"/>
        </w:rPr>
        <w:t>274,532,878</w:t>
      </w:r>
      <w:r>
        <w:rPr>
          <w:spacing w:val="-5"/>
        </w:rPr>
        <w:t>股。本次资本公积转增完成后，</w:t>
      </w:r>
      <w:r>
        <w:rPr>
          <w:spacing w:val="-79"/>
        </w:rPr>
        <w:t> </w:t>
      </w:r>
      <w:r>
        <w:rPr>
          <w:spacing w:val="-79"/>
        </w:rPr>
      </w:r>
      <w:r>
        <w:rPr/>
        <w:t>公司有限售条件股份增加</w:t>
      </w:r>
      <w:r>
        <w:rPr>
          <w:rFonts w:ascii="Times New Roman" w:hAnsi="Times New Roman" w:cs="Times New Roman" w:eastAsia="Times New Roman" w:hint="default"/>
        </w:rPr>
        <w:t>69,284,041</w:t>
      </w:r>
      <w:r>
        <w:rPr/>
        <w:t>股，无限售条件股份增加</w:t>
      </w:r>
      <w:r>
        <w:rPr>
          <w:rFonts w:ascii="Times New Roman" w:hAnsi="Times New Roman" w:cs="Times New Roman" w:eastAsia="Times New Roman" w:hint="default"/>
        </w:rPr>
        <w:t>205,248,837</w:t>
      </w:r>
      <w:r>
        <w:rPr/>
        <w:t>股。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日，公司控股股东、实际控制人之一范建震通过长江资管优选增持</w:t>
      </w:r>
      <w:r>
        <w:rPr>
          <w:rFonts w:ascii="Times New Roman" w:hAnsi="Times New Roman" w:cs="Times New Roman" w:eastAsia="Times New Roman" w:hint="default"/>
        </w:rPr>
        <w:t>3</w:t>
      </w:r>
      <w:r>
        <w:rPr/>
        <w:t>号资产管 理计划增持公司股份</w:t>
      </w:r>
      <w:r>
        <w:rPr>
          <w:rFonts w:ascii="Times New Roman" w:hAnsi="Times New Roman" w:cs="Times New Roman" w:eastAsia="Times New Roman" w:hint="default"/>
        </w:rPr>
        <w:t>260,600</w:t>
      </w:r>
      <w:r>
        <w:rPr/>
        <w:t>股，公司控股股东、实际控制人之一陈迪清通过长江资管优选增 持</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号资产管理计划增持公司股份</w:t>
      </w:r>
      <w:r>
        <w:rPr>
          <w:rFonts w:ascii="Times New Roman" w:hAnsi="Times New Roman" w:cs="Times New Roman" w:eastAsia="Times New Roman" w:hint="default"/>
        </w:rPr>
        <w:t>260,600</w:t>
      </w:r>
      <w:r>
        <w:rPr/>
        <w:t>股，合计增持公司股份</w:t>
      </w:r>
      <w:r>
        <w:rPr>
          <w:rFonts w:ascii="Times New Roman" w:hAnsi="Times New Roman" w:cs="Times New Roman" w:eastAsia="Times New Roman" w:hint="default"/>
        </w:rPr>
        <w:t>521,200</w:t>
      </w:r>
      <w:r>
        <w:rPr/>
        <w:t>股。根据董监高任职 相关规定，其合计增持股份总数的</w:t>
      </w:r>
      <w:r>
        <w:rPr>
          <w:rFonts w:ascii="Times New Roman" w:hAnsi="Times New Roman" w:cs="Times New Roman" w:eastAsia="Times New Roman" w:hint="default"/>
        </w:rPr>
        <w:t>75</w:t>
      </w:r>
      <w:r>
        <w:rPr/>
        <w:t>％共计</w:t>
      </w:r>
      <w:r>
        <w:rPr>
          <w:rFonts w:ascii="Times New Roman" w:hAnsi="Times New Roman" w:cs="Times New Roman" w:eastAsia="Times New Roman" w:hint="default"/>
        </w:rPr>
        <w:t>390,900</w:t>
      </w:r>
      <w:r>
        <w:rPr/>
        <w:t>股计入高管锁定股，本次增持完成后公司 有限售条件股份增加</w:t>
      </w:r>
      <w:r>
        <w:rPr>
          <w:rFonts w:ascii="Times New Roman" w:hAnsi="Times New Roman" w:cs="Times New Roman" w:eastAsia="Times New Roman" w:hint="default"/>
        </w:rPr>
        <w:t>390,900</w:t>
      </w:r>
      <w:r>
        <w:rPr/>
        <w:t>股。 </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日，公司董事会秘书、副总经理张伟锋增持公司股份</w:t>
      </w:r>
      <w:r>
        <w:rPr>
          <w:rFonts w:ascii="Times New Roman" w:hAnsi="Times New Roman" w:cs="Times New Roman" w:eastAsia="Times New Roman" w:hint="default"/>
        </w:rPr>
        <w:t>10,100</w:t>
      </w:r>
      <w:r>
        <w:rPr/>
        <w:t>股。根据董监高</w:t>
      </w:r>
    </w:p>
    <w:p>
      <w:pPr>
        <w:spacing w:after="0" w:line="338"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38" w:lineRule="auto" w:before="26"/>
        <w:ind w:right="227"/>
        <w:jc w:val="left"/>
      </w:pPr>
      <w:r>
        <w:rPr>
          <w:spacing w:val="-1"/>
        </w:rPr>
        <w:t>任职相关规定，其增持股份总数的</w:t>
      </w:r>
      <w:r>
        <w:rPr>
          <w:rFonts w:ascii="Times New Roman" w:hAnsi="Times New Roman" w:cs="Times New Roman" w:eastAsia="Times New Roman" w:hint="default"/>
          <w:spacing w:val="-1"/>
        </w:rPr>
        <w:t>75</w:t>
      </w:r>
      <w:r>
        <w:rPr>
          <w:spacing w:val="-1"/>
        </w:rPr>
        <w:t>％共计</w:t>
      </w:r>
      <w:r>
        <w:rPr>
          <w:rFonts w:ascii="Times New Roman" w:hAnsi="Times New Roman" w:cs="Times New Roman" w:eastAsia="Times New Roman" w:hint="default"/>
          <w:spacing w:val="-1"/>
        </w:rPr>
        <w:t>7,575</w:t>
      </w:r>
      <w:r>
        <w:rPr>
          <w:spacing w:val="-1"/>
        </w:rPr>
        <w:t>股计入高管锁定股，本次增持完成后公司有</w:t>
      </w:r>
      <w:r>
        <w:rPr>
          <w:spacing w:val="-100"/>
        </w:rPr>
        <w:t> </w:t>
      </w:r>
      <w:r>
        <w:rPr>
          <w:spacing w:val="-100"/>
        </w:rPr>
      </w:r>
      <w:r>
        <w:rPr/>
        <w:t>限售条件股份增加</w:t>
      </w:r>
      <w:r>
        <w:rPr>
          <w:rFonts w:ascii="Times New Roman" w:hAnsi="Times New Roman" w:cs="Times New Roman" w:eastAsia="Times New Roman" w:hint="default"/>
        </w:rPr>
        <w:t>7,575</w:t>
      </w:r>
      <w:r>
        <w:rPr/>
        <w:t>股。 </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日，公司控股股东、实际控制人之一范建震通过长江资管优选增持</w:t>
      </w:r>
      <w:r>
        <w:rPr>
          <w:rFonts w:ascii="Times New Roman" w:hAnsi="Times New Roman" w:cs="Times New Roman" w:eastAsia="Times New Roman" w:hint="default"/>
        </w:rPr>
        <w:t>3</w:t>
      </w:r>
      <w:r>
        <w:rPr/>
        <w:t>号资产</w:t>
      </w:r>
      <w:r>
        <w:rPr>
          <w:spacing w:val="-86"/>
        </w:rPr>
        <w:t> </w:t>
      </w:r>
      <w:r>
        <w:rPr>
          <w:spacing w:val="-86"/>
        </w:rPr>
      </w:r>
      <w:r>
        <w:rPr>
          <w:spacing w:val="-1"/>
        </w:rPr>
        <w:t>管理计划增持公司股份</w:t>
      </w:r>
      <w:r>
        <w:rPr>
          <w:rFonts w:ascii="Times New Roman" w:hAnsi="Times New Roman" w:cs="Times New Roman" w:eastAsia="Times New Roman" w:hint="default"/>
          <w:spacing w:val="-1"/>
        </w:rPr>
        <w:t>210,000</w:t>
      </w:r>
      <w:r>
        <w:rPr>
          <w:spacing w:val="-1"/>
        </w:rPr>
        <w:t>股，公司控股股东、实际控制人之一陈迪清通过长江资管优选</w:t>
      </w:r>
      <w:r>
        <w:rPr>
          <w:spacing w:val="-100"/>
        </w:rPr>
        <w:t> </w:t>
      </w:r>
      <w:r>
        <w:rPr>
          <w:spacing w:val="-100"/>
        </w:rPr>
      </w:r>
      <w:r>
        <w:rPr/>
        <w:t>增持</w:t>
      </w:r>
      <w:r>
        <w:rPr>
          <w:rFonts w:ascii="Times New Roman" w:hAnsi="Times New Roman" w:cs="Times New Roman" w:eastAsia="Times New Roman" w:hint="default"/>
        </w:rPr>
        <w:t>4</w:t>
      </w:r>
      <w:r>
        <w:rPr/>
        <w:t>号资产管理计划增持公司股份</w:t>
      </w:r>
      <w:r>
        <w:rPr>
          <w:rFonts w:ascii="Times New Roman" w:hAnsi="Times New Roman" w:cs="Times New Roman" w:eastAsia="Times New Roman" w:hint="default"/>
        </w:rPr>
        <w:t>210,400</w:t>
      </w:r>
      <w:r>
        <w:rPr/>
        <w:t>股，合计增持公司股份</w:t>
      </w:r>
      <w:r>
        <w:rPr>
          <w:rFonts w:ascii="Times New Roman" w:hAnsi="Times New Roman" w:cs="Times New Roman" w:eastAsia="Times New Roman" w:hint="default"/>
        </w:rPr>
        <w:t>420,400</w:t>
      </w:r>
      <w:r>
        <w:rPr/>
        <w:t>股。根据董监高任</w:t>
      </w:r>
      <w:r>
        <w:rPr>
          <w:spacing w:val="-87"/>
        </w:rPr>
        <w:t> </w:t>
      </w:r>
      <w:r>
        <w:rPr>
          <w:spacing w:val="-87"/>
        </w:rPr>
      </w:r>
      <w:r>
        <w:rPr>
          <w:spacing w:val="-1"/>
        </w:rPr>
        <w:t>职相关规定，其合计增持股份总数的</w:t>
      </w:r>
      <w:r>
        <w:rPr>
          <w:rFonts w:ascii="Times New Roman" w:hAnsi="Times New Roman" w:cs="Times New Roman" w:eastAsia="Times New Roman" w:hint="default"/>
          <w:spacing w:val="-1"/>
        </w:rPr>
        <w:t>75</w:t>
      </w:r>
      <w:r>
        <w:rPr>
          <w:spacing w:val="-1"/>
        </w:rPr>
        <w:t>％共计</w:t>
      </w:r>
      <w:r>
        <w:rPr>
          <w:rFonts w:ascii="Times New Roman" w:hAnsi="Times New Roman" w:cs="Times New Roman" w:eastAsia="Times New Roman" w:hint="default"/>
          <w:spacing w:val="-1"/>
        </w:rPr>
        <w:t>315,300</w:t>
      </w:r>
      <w:r>
        <w:rPr>
          <w:spacing w:val="-1"/>
        </w:rPr>
        <w:t>股计入高管锁定股，本次增持完成后公</w:t>
      </w:r>
      <w:r>
        <w:rPr>
          <w:spacing w:val="-99"/>
        </w:rPr>
        <w:t> </w:t>
      </w:r>
      <w:r>
        <w:rPr>
          <w:spacing w:val="-99"/>
        </w:rPr>
      </w:r>
      <w:r>
        <w:rPr/>
        <w:t>司有限售条件股份增加</w:t>
      </w:r>
      <w:r>
        <w:rPr>
          <w:rFonts w:ascii="Times New Roman" w:hAnsi="Times New Roman" w:cs="Times New Roman" w:eastAsia="Times New Roman" w:hint="default"/>
        </w:rPr>
        <w:t>315,300</w:t>
      </w:r>
      <w:r>
        <w:rPr/>
        <w:t>股。 </w:t>
      </w:r>
      <w:r>
        <w:rPr>
          <w:rFonts w:ascii="Times New Roman" w:hAnsi="Times New Roman" w:cs="Times New Roman" w:eastAsia="Times New Roman" w:hint="default"/>
          <w:spacing w:val="-2"/>
        </w:rPr>
        <w:t>7</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日，公司</w:t>
      </w:r>
      <w:r>
        <w:rPr>
          <w:rFonts w:ascii="Times New Roman" w:hAnsi="Times New Roman" w:cs="Times New Roman" w:eastAsia="Times New Roman" w:hint="default"/>
          <w:spacing w:val="-2"/>
        </w:rPr>
        <w:t>2014</w:t>
      </w:r>
      <w:r>
        <w:rPr>
          <w:spacing w:val="-2"/>
        </w:rPr>
        <w:t>年股权激励计划第一期</w:t>
      </w:r>
      <w:r>
        <w:rPr>
          <w:rFonts w:ascii="Times New Roman" w:hAnsi="Times New Roman" w:cs="Times New Roman" w:eastAsia="Times New Roman" w:hint="default"/>
          <w:spacing w:val="-2"/>
        </w:rPr>
        <w:t>5,537,700</w:t>
      </w:r>
      <w:r>
        <w:rPr>
          <w:spacing w:val="-2"/>
        </w:rPr>
        <w:t>股解锁手续办理完毕，实际上</w:t>
      </w:r>
      <w:r>
        <w:rPr>
          <w:spacing w:val="-100"/>
        </w:rPr>
        <w:t> </w:t>
      </w:r>
      <w:r>
        <w:rPr>
          <w:spacing w:val="-100"/>
        </w:rPr>
      </w:r>
      <w:r>
        <w:rPr/>
        <w:t>市流通数量为</w:t>
      </w:r>
      <w:r>
        <w:rPr>
          <w:rFonts w:ascii="Times New Roman" w:hAnsi="Times New Roman" w:cs="Times New Roman" w:eastAsia="Times New Roman" w:hint="default"/>
        </w:rPr>
        <w:t>5,537,700</w:t>
      </w:r>
      <w:r>
        <w:rPr/>
        <w:t>股，本次解锁完成后导致公司有限售条件股份减少</w:t>
      </w:r>
      <w:r>
        <w:rPr>
          <w:rFonts w:ascii="Times New Roman" w:hAnsi="Times New Roman" w:cs="Times New Roman" w:eastAsia="Times New Roman" w:hint="default"/>
        </w:rPr>
        <w:t>5,537,700</w:t>
      </w:r>
      <w:r>
        <w:rPr/>
        <w:t>股。 </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日，中国证券登记结算有限责任公司深圳分公司完成了公司</w:t>
      </w:r>
      <w:r>
        <w:rPr>
          <w:rFonts w:ascii="Times New Roman" w:hAnsi="Times New Roman" w:cs="Times New Roman" w:eastAsia="Times New Roman" w:hint="default"/>
          <w:spacing w:val="-2"/>
        </w:rPr>
        <w:t>2015</w:t>
      </w:r>
      <w:r>
        <w:rPr>
          <w:spacing w:val="-2"/>
        </w:rPr>
        <w:t>年限制性股</w:t>
      </w:r>
      <w:r>
        <w:rPr>
          <w:spacing w:val="-108"/>
        </w:rPr>
        <w:t> </w:t>
      </w:r>
      <w:r>
        <w:rPr>
          <w:spacing w:val="-2"/>
        </w:rPr>
        <w:t>票激励计划的登记确认，公司向</w:t>
      </w:r>
      <w:r>
        <w:rPr>
          <w:rFonts w:ascii="Times New Roman" w:hAnsi="Times New Roman" w:cs="Times New Roman" w:eastAsia="Times New Roman" w:hint="default"/>
          <w:spacing w:val="-2"/>
        </w:rPr>
        <w:t>251</w:t>
      </w:r>
      <w:r>
        <w:rPr>
          <w:spacing w:val="-2"/>
        </w:rPr>
        <w:t>名激励对象定向发行</w:t>
      </w:r>
      <w:r>
        <w:rPr>
          <w:rFonts w:ascii="Times New Roman" w:hAnsi="Times New Roman" w:cs="Times New Roman" w:eastAsia="Times New Roman" w:hint="default"/>
          <w:spacing w:val="-2"/>
        </w:rPr>
        <w:t>5,026,000</w:t>
      </w:r>
      <w:r>
        <w:rPr>
          <w:spacing w:val="-2"/>
        </w:rPr>
        <w:t>股限制性股票。本次股权激</w:t>
      </w:r>
      <w:r>
        <w:rPr>
          <w:spacing w:val="-108"/>
        </w:rPr>
        <w:t> </w:t>
      </w:r>
      <w:r>
        <w:rPr>
          <w:spacing w:val="-108"/>
        </w:rPr>
      </w:r>
      <w:r>
        <w:rPr>
          <w:spacing w:val="21"/>
        </w:rPr>
        <w:t>励计划授予登记的完成导致公司有限售条件的股份增加</w:t>
      </w:r>
      <w:r>
        <w:rPr>
          <w:spacing w:val="-87"/>
        </w:rPr>
        <w:t> </w:t>
      </w:r>
      <w:r>
        <w:rPr>
          <w:rFonts w:ascii="Times New Roman" w:hAnsi="Times New Roman" w:cs="Times New Roman" w:eastAsia="Times New Roman" w:hint="default"/>
        </w:rPr>
        <w:t>5,026,000</w:t>
      </w:r>
      <w:r>
        <w:rPr>
          <w:rFonts w:ascii="Times New Roman" w:hAnsi="Times New Roman" w:cs="Times New Roman" w:eastAsia="Times New Roman" w:hint="default"/>
          <w:spacing w:val="-34"/>
        </w:rPr>
        <w:t> </w:t>
      </w:r>
      <w:r>
        <w:rPr>
          <w:spacing w:val="11"/>
        </w:rPr>
        <w:t>股，</w:t>
      </w:r>
      <w:r>
        <w:rPr>
          <w:spacing w:val="-97"/>
        </w:rPr>
        <w:t> </w:t>
      </w:r>
      <w:r>
        <w:rPr>
          <w:spacing w:val="18"/>
        </w:rPr>
        <w:t>公司总股本增加</w:t>
      </w:r>
      <w:r>
        <w:rPr>
          <w:spacing w:val="-117"/>
        </w:rPr>
        <w:t> </w:t>
      </w:r>
      <w:r>
        <w:rPr>
          <w:spacing w:val="-117"/>
        </w:rPr>
      </w:r>
      <w:r>
        <w:rPr>
          <w:rFonts w:ascii="Times New Roman" w:hAnsi="Times New Roman" w:cs="Times New Roman" w:eastAsia="Times New Roman" w:hint="default"/>
        </w:rPr>
        <w:t>5,026,000</w:t>
      </w:r>
      <w:r>
        <w:rPr/>
        <w:t>股。</w:t>
      </w:r>
    </w:p>
    <w:p>
      <w:pPr>
        <w:pStyle w:val="Heading3"/>
        <w:spacing w:line="338" w:lineRule="auto" w:before="27"/>
        <w:ind w:right="95"/>
        <w:jc w:val="left"/>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w:t>
      </w:r>
      <w:r>
        <w:rPr>
          <w:spacing w:val="-59"/>
        </w:rPr>
        <w:t> </w:t>
      </w:r>
      <w:r>
        <w:rPr/>
        <w:t>股东黄火德追加限售股份解除锁定</w:t>
      </w:r>
      <w:r>
        <w:rPr>
          <w:rFonts w:ascii="Times New Roman" w:hAnsi="Times New Roman" w:cs="Times New Roman" w:eastAsia="Times New Roman" w:hint="default"/>
        </w:rPr>
        <w:t>2,662,017</w:t>
      </w:r>
      <w:r>
        <w:rPr/>
        <w:t>股，本次解除限售导致公司 有限售条件股份总数减少</w:t>
      </w:r>
      <w:r>
        <w:rPr>
          <w:rFonts w:ascii="Times New Roman" w:hAnsi="Times New Roman" w:cs="Times New Roman" w:eastAsia="Times New Roman" w:hint="default"/>
        </w:rPr>
        <w:t>2,662,017</w:t>
      </w:r>
      <w:r>
        <w:rPr/>
        <w:t>股。 </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9</w:t>
      </w:r>
      <w:r>
        <w:rPr>
          <w:spacing w:val="-1"/>
        </w:rPr>
        <w:t>日，公司财务总监王辛夷增持公司股份</w:t>
      </w:r>
      <w:r>
        <w:rPr>
          <w:rFonts w:ascii="Times New Roman" w:hAnsi="Times New Roman" w:cs="Times New Roman" w:eastAsia="Times New Roman" w:hint="default"/>
          <w:spacing w:val="-1"/>
        </w:rPr>
        <w:t>5,400</w:t>
      </w:r>
      <w:r>
        <w:rPr>
          <w:spacing w:val="-1"/>
        </w:rPr>
        <w:t>股。根据董监高任职相关规定，</w:t>
      </w:r>
      <w:r>
        <w:rPr>
          <w:spacing w:val="-96"/>
        </w:rPr>
        <w:t> </w:t>
      </w:r>
      <w:r>
        <w:rPr>
          <w:spacing w:val="-96"/>
        </w:rPr>
      </w:r>
      <w:r>
        <w:rPr/>
        <w:t>其增持股份总数的</w:t>
      </w:r>
      <w:r>
        <w:rPr>
          <w:rFonts w:ascii="Times New Roman" w:hAnsi="Times New Roman" w:cs="Times New Roman" w:eastAsia="Times New Roman" w:hint="default"/>
        </w:rPr>
        <w:t>75</w:t>
      </w:r>
      <w:r>
        <w:rPr/>
        <w:t>％共计</w:t>
      </w:r>
      <w:r>
        <w:rPr>
          <w:rFonts w:ascii="Times New Roman" w:hAnsi="Times New Roman" w:cs="Times New Roman" w:eastAsia="Times New Roman" w:hint="default"/>
        </w:rPr>
        <w:t>4,050</w:t>
      </w:r>
      <w:r>
        <w:rPr/>
        <w:t>股计入高管锁定股，本次增持完成后公司有限售条件股份增 加</w:t>
      </w:r>
      <w:r>
        <w:rPr>
          <w:rFonts w:ascii="Times New Roman" w:hAnsi="Times New Roman" w:cs="Times New Roman" w:eastAsia="Times New Roman" w:hint="default"/>
        </w:rPr>
        <w:t>4,050</w:t>
      </w:r>
      <w:r>
        <w:rPr/>
        <w:t>股。</w:t>
      </w:r>
    </w:p>
    <w:p>
      <w:pPr>
        <w:spacing w:line="240" w:lineRule="auto" w:before="9"/>
        <w:rPr>
          <w:rFonts w:ascii="宋体" w:hAnsi="宋体" w:cs="宋体" w:eastAsia="宋体" w:hint="default"/>
          <w:sz w:val="26"/>
          <w:szCs w:val="26"/>
        </w:rPr>
      </w:pPr>
    </w:p>
    <w:p>
      <w:pPr>
        <w:pStyle w:val="BodyText"/>
        <w:spacing w:line="240" w:lineRule="auto"/>
        <w:ind w:right="95"/>
        <w:jc w:val="left"/>
      </w:pPr>
      <w:r>
        <w:rPr/>
        <w:t>股份变动的批准情况</w:t>
      </w:r>
    </w:p>
    <w:p>
      <w:pPr>
        <w:pStyle w:val="BodyText"/>
        <w:spacing w:line="240" w:lineRule="auto" w:before="115"/>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95"/>
        <w:jc w:val="left"/>
      </w:pPr>
      <w:r>
        <w:rPr/>
        <w:t>股份变动的过户情况</w:t>
      </w:r>
    </w:p>
    <w:p>
      <w:pPr>
        <w:pStyle w:val="BodyText"/>
        <w:spacing w:line="240" w:lineRule="auto" w:before="115"/>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95"/>
        <w:jc w:val="left"/>
      </w:pPr>
      <w:r>
        <w:rPr/>
        <w:t>股份变动对最近一年和最近一期基本每股收益和稀释每股收益、归属于公司普通股股东的每股净资产等财务指标的影响</w:t>
      </w:r>
    </w:p>
    <w:p>
      <w:pPr>
        <w:pStyle w:val="BodyText"/>
        <w:spacing w:line="240" w:lineRule="auto" w:before="115"/>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348" w:lineRule="auto" w:before="134"/>
        <w:ind w:right="231" w:firstLine="480"/>
        <w:jc w:val="both"/>
        <w:rPr>
          <w:rFonts w:ascii="宋体" w:hAnsi="宋体" w:cs="宋体" w:eastAsia="宋体" w:hint="default"/>
        </w:rPr>
      </w:pPr>
      <w:r>
        <w:rPr>
          <w:spacing w:val="-2"/>
        </w:rPr>
        <w:t>本公司于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日总股本</w:t>
      </w:r>
      <w:r>
        <w:rPr>
          <w:rFonts w:ascii="Times New Roman" w:hAnsi="Times New Roman" w:cs="Times New Roman" w:eastAsia="Times New Roman" w:hint="default"/>
          <w:spacing w:val="-2"/>
        </w:rPr>
        <w:t>549,065,756</w:t>
      </w:r>
      <w:r>
        <w:rPr>
          <w:spacing w:val="-2"/>
        </w:rPr>
        <w:t>股为基数，以资本公积金向全体股</w:t>
      </w:r>
      <w:r>
        <w:rPr/>
        <w:t> </w:t>
      </w:r>
      <w:r>
        <w:rPr>
          <w:spacing w:val="-2"/>
        </w:rPr>
        <w:t>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股，转增后股份数由</w:t>
      </w:r>
      <w:r>
        <w:rPr>
          <w:rFonts w:ascii="Times New Roman" w:hAnsi="Times New Roman" w:cs="Times New Roman" w:eastAsia="Times New Roman" w:hint="default"/>
          <w:spacing w:val="-2"/>
        </w:rPr>
        <w:t>549,065,756</w:t>
      </w:r>
      <w:r>
        <w:rPr>
          <w:spacing w:val="-2"/>
        </w:rPr>
        <w:t>股增至</w:t>
      </w:r>
      <w:r>
        <w:rPr>
          <w:rFonts w:ascii="Times New Roman" w:hAnsi="Times New Roman" w:cs="Times New Roman" w:eastAsia="Times New Roman" w:hint="default"/>
          <w:spacing w:val="-2"/>
        </w:rPr>
        <w:t>823,598,634</w:t>
      </w:r>
      <w:r>
        <w:rPr>
          <w:spacing w:val="-2"/>
        </w:rPr>
        <w:t>股，因此本报告期末归属于</w:t>
      </w:r>
      <w:r>
        <w:rPr>
          <w:spacing w:val="-95"/>
        </w:rPr>
        <w:t> </w:t>
      </w:r>
      <w:r>
        <w:rPr>
          <w:spacing w:val="-95"/>
        </w:rPr>
      </w:r>
      <w:r>
        <w:rPr/>
        <w:t>上市公司股东的每股净资产较上年度末下降；计算基本每股收益和稀释每股收益时已按相关 规定对资本公积金转增股本数视同年初即已增加，同时对上年同期比较数据进行了相应的调</w:t>
      </w:r>
      <w:r>
        <w:rPr/>
        <w:t> 整。</w:t>
      </w:r>
      <w:r>
        <w:rPr>
          <w:rFonts w:ascii="宋体" w:hAnsi="宋体" w:cs="宋体" w:eastAsia="宋体" w:hint="default"/>
        </w:rPr>
        <w:t> </w:t>
      </w:r>
    </w:p>
    <w:p>
      <w:pPr>
        <w:spacing w:after="0" w:line="348" w:lineRule="auto"/>
        <w:jc w:val="both"/>
        <w:rPr>
          <w:rFonts w:ascii="宋体" w:hAnsi="宋体" w:cs="宋体" w:eastAsia="宋体" w:hint="default"/>
        </w:rPr>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right="498"/>
        <w:jc w:val="left"/>
      </w:pPr>
      <w:r>
        <w:rPr/>
        <w:t>公司认为必要或证券监管机构要求披露的其他内容</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50"/>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8"/>
        <w:gridCol w:w="1349"/>
        <w:gridCol w:w="1349"/>
        <w:gridCol w:w="1349"/>
        <w:gridCol w:w="1349"/>
        <w:gridCol w:w="1349"/>
        <w:gridCol w:w="1347"/>
      </w:tblGrid>
      <w:tr>
        <w:trPr>
          <w:trHeight w:val="715"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1" w:right="36"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52,131,082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26,418,491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78,549,573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52,129,684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26,418,090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78,547,774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284,774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243,759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528,533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黄火德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1,774,678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2,662,017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887,339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3"/>
              <w:jc w:val="left"/>
              <w:rPr>
                <w:rFonts w:ascii="宋体" w:hAnsi="宋体" w:cs="宋体" w:eastAsia="宋体" w:hint="default"/>
                <w:sz w:val="18"/>
                <w:szCs w:val="18"/>
              </w:rPr>
            </w:pPr>
            <w:r>
              <w:rPr>
                <w:rFonts w:ascii="宋体" w:hAnsi="宋体" w:cs="宋体" w:eastAsia="宋体" w:hint="default"/>
                <w:sz w:val="18"/>
                <w:szCs w:val="18"/>
              </w:rPr>
              <w:t>股东追加限售承 诺</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日已全部解禁</w:t>
            </w:r>
          </w:p>
        </w:tc>
      </w:tr>
      <w:tr>
        <w:trPr>
          <w:trHeight w:val="71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董监高任职锁定</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1"/>
              <w:jc w:val="left"/>
              <w:rPr>
                <w:rFonts w:ascii="宋体" w:hAnsi="宋体" w:cs="宋体" w:eastAsia="宋体" w:hint="default"/>
                <w:sz w:val="18"/>
                <w:szCs w:val="18"/>
              </w:rPr>
            </w:pPr>
            <w:r>
              <w:rPr>
                <w:rFonts w:ascii="宋体" w:hAnsi="宋体" w:cs="宋体" w:eastAsia="宋体" w:hint="default"/>
                <w:sz w:val="18"/>
                <w:szCs w:val="18"/>
              </w:rPr>
              <w:t>任职期内执行董 监高限售规定</w:t>
            </w:r>
          </w:p>
        </w:tc>
      </w:tr>
      <w:tr>
        <w:trPr>
          <w:trHeight w:val="40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43,712,386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4,043,494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47,755,880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股权激励</w:t>
            </w:r>
          </w:p>
        </w:tc>
      </w:tr>
      <w:tr>
        <w:trPr>
          <w:trHeight w:val="401"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150,032,604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2,662,017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58,025,645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205,396,232</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498"/>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1"/>
        <w:gridCol w:w="1294"/>
        <w:gridCol w:w="1296"/>
        <w:gridCol w:w="1294"/>
        <w:gridCol w:w="1296"/>
        <w:gridCol w:w="1296"/>
        <w:gridCol w:w="1683"/>
      </w:tblGrid>
      <w:tr>
        <w:trPr>
          <w:trHeight w:val="715" w:hRule="exact"/>
        </w:trPr>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6"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汉得信息</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5,026,000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5,026,000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报告期内证券发行（不含优先股）情况的说明</w:t>
      </w:r>
    </w:p>
    <w:p>
      <w:pPr>
        <w:pStyle w:val="Heading3"/>
        <w:spacing w:line="338" w:lineRule="auto" w:before="148"/>
        <w:ind w:right="147"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24</w:t>
      </w:r>
      <w:r>
        <w:rPr/>
        <w:t>日，中国证券登记结算有限责任公司深圳分公司完成了对公司</w:t>
      </w:r>
      <w:r>
        <w:rPr>
          <w:rFonts w:ascii="Times New Roman" w:hAnsi="Times New Roman" w:cs="Times New Roman" w:eastAsia="Times New Roman" w:hint="default"/>
        </w:rPr>
        <w:t>2015</w:t>
      </w:r>
      <w:r>
        <w:rPr/>
        <w:t>年限制 </w:t>
      </w:r>
      <w:r>
        <w:rPr>
          <w:spacing w:val="-2"/>
        </w:rPr>
        <w:t>性股票激励计划的登记确认，公司向</w:t>
      </w:r>
      <w:r>
        <w:rPr>
          <w:rFonts w:ascii="Times New Roman" w:hAnsi="Times New Roman" w:cs="Times New Roman" w:eastAsia="Times New Roman" w:hint="default"/>
          <w:spacing w:val="-2"/>
        </w:rPr>
        <w:t>251</w:t>
      </w:r>
      <w:r>
        <w:rPr>
          <w:spacing w:val="-2"/>
        </w:rPr>
        <w:t>名激励对象定向发行</w:t>
      </w:r>
      <w:r>
        <w:rPr>
          <w:rFonts w:ascii="Times New Roman" w:hAnsi="Times New Roman" w:cs="Times New Roman" w:eastAsia="Times New Roman" w:hint="default"/>
          <w:spacing w:val="-2"/>
        </w:rPr>
        <w:t>5,026,000</w:t>
      </w:r>
      <w:r>
        <w:rPr>
          <w:spacing w:val="-2"/>
        </w:rPr>
        <w:t>股限制性股票。具体内</w:t>
      </w:r>
    </w:p>
    <w:p>
      <w:pPr>
        <w:spacing w:after="0" w:line="338" w:lineRule="auto"/>
        <w:jc w:val="left"/>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240" w:lineRule="auto" w:before="26"/>
        <w:ind w:right="0"/>
        <w:jc w:val="left"/>
      </w:pPr>
      <w:r>
        <w:rPr/>
        <w:t>容详见</w:t>
      </w:r>
      <w:r>
        <w:rPr>
          <w:rFonts w:ascii="Times New Roman" w:hAnsi="Times New Roman" w:cs="Times New Roman" w:eastAsia="Times New Roman" w:hint="default"/>
        </w:rPr>
        <w:t>“</w:t>
      </w:r>
      <w:r>
        <w:rPr/>
        <w:t>第五节 十四</w:t>
      </w:r>
      <w:r>
        <w:rPr>
          <w:spacing w:val="-47"/>
        </w:rPr>
        <w:t> </w:t>
      </w:r>
      <w:r>
        <w:rPr/>
        <w:t>公司股权激励计划、员工持股计划或其他员工激励措施的实施情况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Heading4"/>
        <w:spacing w:line="240" w:lineRule="auto"/>
        <w:ind w:right="498"/>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3"/>
        <w:spacing w:line="240" w:lineRule="auto" w:before="132"/>
        <w:ind w:right="0"/>
        <w:jc w:val="left"/>
      </w:pP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2015</w:t>
      </w:r>
      <w:r>
        <w:rPr>
          <w:spacing w:val="11"/>
        </w:rPr>
        <w:t>年</w:t>
      </w:r>
      <w:r>
        <w:rPr>
          <w:rFonts w:ascii="Times New Roman" w:hAnsi="Times New Roman" w:cs="Times New Roman" w:eastAsia="Times New Roman" w:hint="default"/>
          <w:spacing w:val="11"/>
        </w:rPr>
        <w:t>5</w:t>
      </w:r>
      <w:r>
        <w:rPr>
          <w:spacing w:val="11"/>
        </w:rPr>
        <w:t>月</w:t>
      </w:r>
      <w:r>
        <w:rPr>
          <w:rFonts w:ascii="Times New Roman" w:hAnsi="Times New Roman" w:cs="Times New Roman" w:eastAsia="Times New Roman" w:hint="default"/>
          <w:spacing w:val="11"/>
        </w:rPr>
        <w:t>25</w:t>
      </w:r>
      <w:r>
        <w:rPr>
          <w:spacing w:val="11"/>
        </w:rPr>
        <w:t>日，公司完成了</w:t>
      </w:r>
      <w:r>
        <w:rPr>
          <w:rFonts w:ascii="Times New Roman" w:hAnsi="Times New Roman" w:cs="Times New Roman" w:eastAsia="Times New Roman" w:hint="default"/>
          <w:spacing w:val="11"/>
        </w:rPr>
        <w:t>2014</w:t>
      </w:r>
      <w:r>
        <w:rPr>
          <w:spacing w:val="11"/>
        </w:rPr>
        <w:t>年年度利润分配方案，公司以</w:t>
      </w:r>
      <w:r>
        <w:rPr>
          <w:rFonts w:ascii="Times New Roman" w:hAnsi="Times New Roman" w:cs="Times New Roman" w:eastAsia="Times New Roman" w:hint="default"/>
          <w:spacing w:val="11"/>
        </w:rPr>
        <w:t>2015</w:t>
      </w:r>
      <w:r>
        <w:rPr>
          <w:spacing w:val="11"/>
        </w:rPr>
        <w:t>年</w:t>
      </w:r>
      <w:r>
        <w:rPr>
          <w:rFonts w:ascii="Times New Roman" w:hAnsi="Times New Roman" w:cs="Times New Roman" w:eastAsia="Times New Roman" w:hint="default"/>
          <w:spacing w:val="11"/>
        </w:rPr>
        <w:t>4</w:t>
      </w:r>
      <w:r>
        <w:rPr>
          <w:spacing w:val="11"/>
        </w:rPr>
        <w:t>月</w:t>
      </w:r>
      <w:r>
        <w:rPr>
          <w:rFonts w:ascii="Times New Roman" w:hAnsi="Times New Roman" w:cs="Times New Roman" w:eastAsia="Times New Roman" w:hint="default"/>
          <w:spacing w:val="11"/>
        </w:rPr>
        <w:t>8</w:t>
      </w:r>
      <w:r>
        <w:rPr>
          <w:spacing w:val="11"/>
        </w:rPr>
        <w:t>日总股本</w:t>
      </w:r>
      <w:r>
        <w:rPr/>
      </w:r>
    </w:p>
    <w:p>
      <w:pPr>
        <w:pStyle w:val="Heading3"/>
        <w:spacing w:line="338" w:lineRule="auto" w:before="135"/>
        <w:ind w:right="114"/>
        <w:jc w:val="left"/>
      </w:pPr>
      <w:r>
        <w:rPr>
          <w:rFonts w:ascii="Times New Roman" w:hAnsi="Times New Roman" w:cs="Times New Roman" w:eastAsia="Times New Roman" w:hint="default"/>
        </w:rPr>
        <w:t>549,065,756 </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274,532,878</w:t>
      </w:r>
      <w:r>
        <w:rPr/>
        <w:t>股，</w:t>
      </w:r>
      <w:r>
        <w:rPr>
          <w:spacing w:val="-90"/>
        </w:rPr>
        <w:t> </w:t>
      </w:r>
      <w:r>
        <w:rPr/>
        <w:t>转增后公司总股本增加至</w:t>
      </w:r>
      <w:r>
        <w:rPr>
          <w:rFonts w:ascii="Times New Roman" w:hAnsi="Times New Roman" w:cs="Times New Roman" w:eastAsia="Times New Roman" w:hint="default"/>
        </w:rPr>
        <w:t>823,598,634</w:t>
      </w:r>
      <w:r>
        <w:rPr/>
        <w:t>股。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24</w:t>
      </w:r>
      <w:r>
        <w:rPr>
          <w:spacing w:val="-2"/>
        </w:rPr>
        <w:t>日，中国证券登记结算有限责任公司深圳分公司完成了对公司</w:t>
      </w:r>
      <w:r>
        <w:rPr>
          <w:rFonts w:ascii="Times New Roman" w:hAnsi="Times New Roman" w:cs="Times New Roman" w:eastAsia="Times New Roman" w:hint="default"/>
          <w:spacing w:val="-2"/>
        </w:rPr>
        <w:t>2015</w:t>
      </w:r>
      <w:r>
        <w:rPr>
          <w:spacing w:val="-2"/>
        </w:rPr>
        <w:t>年限制性</w:t>
      </w:r>
      <w:r>
        <w:rPr>
          <w:spacing w:val="-108"/>
        </w:rPr>
        <w:t> </w:t>
      </w:r>
      <w:r>
        <w:rPr>
          <w:spacing w:val="-2"/>
        </w:rPr>
        <w:t>股票激励计划的登记确认，公司向</w:t>
      </w:r>
      <w:r>
        <w:rPr>
          <w:rFonts w:ascii="Times New Roman" w:hAnsi="Times New Roman" w:cs="Times New Roman" w:eastAsia="Times New Roman" w:hint="default"/>
          <w:spacing w:val="-2"/>
        </w:rPr>
        <w:t>251</w:t>
      </w:r>
      <w:r>
        <w:rPr>
          <w:spacing w:val="-2"/>
        </w:rPr>
        <w:t>名激励对象定向发行</w:t>
      </w:r>
      <w:r>
        <w:rPr>
          <w:rFonts w:ascii="Times New Roman" w:hAnsi="Times New Roman" w:cs="Times New Roman" w:eastAsia="Times New Roman" w:hint="default"/>
          <w:spacing w:val="-2"/>
        </w:rPr>
        <w:t>5,026,000</w:t>
      </w:r>
      <w:r>
        <w:rPr>
          <w:spacing w:val="-2"/>
        </w:rPr>
        <w:t>股限制性股票，公司股本</w:t>
      </w:r>
      <w:r>
        <w:rPr>
          <w:spacing w:val="-108"/>
        </w:rPr>
        <w:t> </w:t>
      </w:r>
      <w:r>
        <w:rPr>
          <w:spacing w:val="-108"/>
        </w:rPr>
      </w:r>
      <w:r>
        <w:rPr/>
        <w:t>总数由</w:t>
      </w:r>
      <w:r>
        <w:rPr>
          <w:rFonts w:ascii="Times New Roman" w:hAnsi="Times New Roman" w:cs="Times New Roman" w:eastAsia="Times New Roman" w:hint="default"/>
        </w:rPr>
        <w:t>823,598,634</w:t>
      </w:r>
      <w:r>
        <w:rPr/>
        <w:t>股增加至</w:t>
      </w:r>
      <w:r>
        <w:rPr>
          <w:rFonts w:ascii="Times New Roman" w:hAnsi="Times New Roman" w:cs="Times New Roman" w:eastAsia="Times New Roman" w:hint="default"/>
        </w:rPr>
        <w:t>828,624,634</w:t>
      </w:r>
      <w:r>
        <w:rPr/>
        <w:t>股。具体内容详见</w:t>
      </w:r>
      <w:r>
        <w:rPr>
          <w:rFonts w:ascii="Times New Roman" w:hAnsi="Times New Roman" w:cs="Times New Roman" w:eastAsia="Times New Roman" w:hint="default"/>
        </w:rPr>
        <w:t>“</w:t>
      </w:r>
      <w:r>
        <w:rPr/>
        <w:t>第五节 十四</w:t>
      </w:r>
      <w:r>
        <w:rPr>
          <w:spacing w:val="-48"/>
        </w:rPr>
        <w:t> </w:t>
      </w:r>
      <w:r>
        <w:rPr/>
        <w:t>公司股权激励计划、</w:t>
      </w:r>
      <w:r>
        <w:rPr/>
        <w:t> 员工持股计划或其他员工激励措施的实施情况</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21"/>
          <w:szCs w:val="21"/>
        </w:rPr>
      </w:pPr>
    </w:p>
    <w:p>
      <w:pPr>
        <w:pStyle w:val="Heading4"/>
        <w:spacing w:line="240" w:lineRule="auto"/>
        <w:ind w:right="498"/>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98"/>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pict>
          <v:shape style="position:absolute;margin-left:449.256989pt;margin-top:17.71172pt;width:85.75pt;height:82pt;mso-position-horizontal-relative:page;mso-position-vertical-relative:paragraph;z-index:-829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7.71172pt;width:52.5pt;height:82pt;mso-position-horizontal-relative:page;mso-position-vertical-relative:paragraph;z-index:-829744" coordorigin="9650,354" coordsize="1050,1640">
            <v:group style="position:absolute;left:9650;top:354;width:1050;height:1640" coordorigin="9650,354" coordsize="1050,1640">
              <v:shape style="position:absolute;left:9650;top:354;width:1050;height:1640" coordorigin="9650,354" coordsize="1050,1640" path="m9650,1993l10699,1993,10699,354,9650,354,9650,1993xe" filled="true" fillcolor="#ffffff" stroked="false">
                <v:path arrowok="t"/>
                <v:fill type="solid"/>
              </v:shape>
            </v:group>
            <v:group style="position:absolute;left:9672;top:978;width:1004;height:392" coordorigin="9672,978" coordsize="1004,392">
              <v:shape style="position:absolute;left:9672;top:978;width:1004;height:392" coordorigin="9672,978" coordsize="1004,392" path="m9672,1369l10675,1369,10675,978,9672,978,9672,1369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4"/>
        <w:gridCol w:w="134"/>
        <w:gridCol w:w="662"/>
        <w:gridCol w:w="421"/>
        <w:gridCol w:w="852"/>
        <w:gridCol w:w="190"/>
        <w:gridCol w:w="862"/>
        <w:gridCol w:w="334"/>
        <w:gridCol w:w="742"/>
        <w:gridCol w:w="586"/>
        <w:gridCol w:w="406"/>
        <w:gridCol w:w="659"/>
        <w:gridCol w:w="332"/>
        <w:gridCol w:w="706"/>
        <w:gridCol w:w="290"/>
        <w:gridCol w:w="502"/>
        <w:gridCol w:w="557"/>
      </w:tblGrid>
      <w:tr>
        <w:trPr>
          <w:trHeight w:val="1656"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24" w:right="38"/>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59,502</w:t>
            </w:r>
          </w:p>
        </w:tc>
        <w:tc>
          <w:tcPr>
            <w:tcW w:w="14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6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60,246</w:t>
            </w:r>
          </w:p>
        </w:tc>
        <w:tc>
          <w:tcPr>
            <w:tcW w:w="13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31"/>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2"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68"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84" w:right="7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40" w:right="3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3"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gridSpan w:val="2"/>
            <w:vMerge/>
            <w:tcBorders>
              <w:left w:val="single" w:sz="4" w:space="0" w:color="000000"/>
              <w:bottom w:val="single" w:sz="4" w:space="0" w:color="000000"/>
              <w:right w:val="single" w:sz="4" w:space="0" w:color="000000"/>
            </w:tcBorders>
            <w:shd w:val="clear" w:color="auto" w:fill="D2D2D2"/>
          </w:tcPr>
          <w:p>
            <w:pPr/>
          </w:p>
        </w:tc>
        <w:tc>
          <w:tcPr>
            <w:tcW w:w="1075" w:type="dxa"/>
            <w:gridSpan w:val="2"/>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股份状 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12.64%</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left"/>
              <w:rPr>
                <w:rFonts w:ascii="Times New Roman" w:hAnsi="Times New Roman" w:cs="Times New Roman" w:eastAsia="Times New Roman" w:hint="default"/>
                <w:sz w:val="18"/>
                <w:szCs w:val="18"/>
              </w:rPr>
            </w:pPr>
            <w:r>
              <w:rPr>
                <w:rFonts w:ascii="Times New Roman"/>
                <w:sz w:val="18"/>
              </w:rPr>
              <w:t>104,732,764</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+35,224,655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8" w:right="0"/>
              <w:jc w:val="left"/>
              <w:rPr>
                <w:rFonts w:ascii="Times New Roman" w:hAnsi="Times New Roman" w:cs="Times New Roman" w:eastAsia="Times New Roman" w:hint="default"/>
                <w:sz w:val="18"/>
                <w:szCs w:val="18"/>
              </w:rPr>
            </w:pPr>
            <w:r>
              <w:rPr>
                <w:rFonts w:ascii="Times New Roman"/>
                <w:sz w:val="18"/>
              </w:rPr>
              <w:t>78,549,573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left"/>
              <w:rPr>
                <w:rFonts w:ascii="Times New Roman" w:hAnsi="Times New Roman" w:cs="Times New Roman" w:eastAsia="Times New Roman" w:hint="default"/>
                <w:sz w:val="18"/>
                <w:szCs w:val="18"/>
              </w:rPr>
            </w:pPr>
            <w:r>
              <w:rPr>
                <w:rFonts w:ascii="Times New Roman"/>
                <w:sz w:val="18"/>
              </w:rPr>
              <w:t>26,183,191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6" w:right="0"/>
              <w:jc w:val="left"/>
              <w:rPr>
                <w:rFonts w:ascii="Times New Roman" w:hAnsi="Times New Roman" w:cs="Times New Roman" w:eastAsia="Times New Roman" w:hint="default"/>
                <w:sz w:val="18"/>
                <w:szCs w:val="18"/>
              </w:rPr>
            </w:pPr>
            <w:r>
              <w:rPr>
                <w:rFonts w:ascii="Times New Roman"/>
                <w:sz w:val="18"/>
              </w:rPr>
              <w:t>80,159,002</w:t>
            </w: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12.64%</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104,730,366</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+35,224,122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78,547,774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26,182,592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Times New Roman" w:hAnsi="Times New Roman" w:cs="Times New Roman" w:eastAsia="Times New Roman" w:hint="default"/>
                <w:sz w:val="18"/>
                <w:szCs w:val="18"/>
              </w:rPr>
            </w:pPr>
            <w:r>
              <w:rPr>
                <w:rFonts w:ascii="Times New Roman"/>
                <w:sz w:val="18"/>
              </w:rPr>
              <w:t>81,351,002</w:t>
            </w:r>
          </w:p>
        </w:tc>
      </w:tr>
      <w:tr>
        <w:trPr>
          <w:trHeight w:val="133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3"/>
              <w:jc w:val="both"/>
              <w:rPr>
                <w:rFonts w:ascii="宋体" w:hAnsi="宋体" w:cs="宋体" w:eastAsia="宋体" w:hint="default"/>
                <w:sz w:val="18"/>
                <w:szCs w:val="18"/>
              </w:rPr>
            </w:pPr>
            <w:r>
              <w:rPr>
                <w:rFonts w:ascii="宋体" w:hAnsi="宋体" w:cs="宋体" w:eastAsia="宋体" w:hint="default"/>
                <w:sz w:val="18"/>
                <w:szCs w:val="18"/>
              </w:rPr>
              <w:t>中国建设银行－ 宝盈资源优选股 票型证券投资基 金</w:t>
            </w:r>
          </w:p>
        </w:tc>
        <w:tc>
          <w:tcPr>
            <w:tcW w:w="10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w:t>
            </w:r>
          </w:p>
        </w:tc>
        <w:tc>
          <w:tcPr>
            <w:tcW w:w="1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13,900,000</w:t>
            </w:r>
          </w:p>
        </w:tc>
        <w:tc>
          <w:tcPr>
            <w:tcW w:w="10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+13,900,000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13,900,000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083"/>
        <w:gridCol w:w="329"/>
        <w:gridCol w:w="523"/>
        <w:gridCol w:w="1052"/>
        <w:gridCol w:w="1075"/>
        <w:gridCol w:w="991"/>
        <w:gridCol w:w="349"/>
        <w:gridCol w:w="643"/>
        <w:gridCol w:w="706"/>
        <w:gridCol w:w="1349"/>
      </w:tblGrid>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中国农业银行股 份有限公司－宝 盈策略增长混合 型证券投资基金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52" w:right="0"/>
              <w:jc w:val="left"/>
              <w:rPr>
                <w:rFonts w:ascii="Times New Roman" w:hAnsi="Times New Roman" w:cs="Times New Roman" w:eastAsia="Times New Roman" w:hint="default"/>
                <w:sz w:val="18"/>
                <w:szCs w:val="18"/>
              </w:rPr>
            </w:pPr>
            <w:r>
              <w:rPr>
                <w:rFonts w:ascii="Times New Roman"/>
                <w:sz w:val="18"/>
              </w:rPr>
              <w:t>1.68%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13,900,000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+13,900,000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49" w:right="0"/>
              <w:jc w:val="left"/>
              <w:rPr>
                <w:rFonts w:ascii="Times New Roman" w:hAnsi="Times New Roman" w:cs="Times New Roman" w:eastAsia="Times New Roman" w:hint="default"/>
                <w:sz w:val="18"/>
                <w:szCs w:val="18"/>
              </w:rPr>
            </w:pPr>
            <w:r>
              <w:rPr>
                <w:rFonts w:ascii="Times New Roman"/>
                <w:sz w:val="18"/>
              </w:rPr>
              <w:t>13,900,000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上海东方证券资 管－光大银行－ 东证资管汉得信 息</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号集合资产管 理计划</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1.56%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12,890,839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+12,890,839</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12,890,839</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中国农业银行股 份有限公司－宝 盈科技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灵活配 置混合型证券投 资基金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1.21%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10,000,000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1.08%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+2,050,000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8,950,000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1.06%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8,758,436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+679,926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4" w:right="0"/>
              <w:jc w:val="left"/>
              <w:rPr>
                <w:rFonts w:ascii="Times New Roman" w:hAnsi="Times New Roman" w:cs="Times New Roman" w:eastAsia="Times New Roman" w:hint="default"/>
                <w:sz w:val="18"/>
                <w:szCs w:val="18"/>
              </w:rPr>
            </w:pPr>
            <w:r>
              <w:rPr>
                <w:rFonts w:ascii="Times New Roman"/>
                <w:sz w:val="18"/>
              </w:rPr>
              <w:t>208,436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8,550,000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0.70%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-312,215</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5,800,000</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tcBorders>
              <w:top w:val="single" w:sz="4" w:space="0" w:color="000000"/>
              <w:left w:val="single" w:sz="4" w:space="0" w:color="000000"/>
              <w:bottom w:val="single" w:sz="5" w:space="0" w:color="000000"/>
              <w:right w:val="single" w:sz="4" w:space="0" w:color="000000"/>
            </w:tcBorders>
          </w:tcPr>
          <w:p>
            <w:pPr>
              <w:pStyle w:val="TableParagraph"/>
              <w:spacing w:line="314"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中国工商银行股 份有限公司－富 国中证工业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指 数分级证券投资 基金</w:t>
            </w:r>
          </w:p>
        </w:tc>
        <w:tc>
          <w:tcPr>
            <w:tcW w:w="1083" w:type="dxa"/>
            <w:tcBorders>
              <w:top w:val="single" w:sz="4" w:space="0" w:color="000000"/>
              <w:left w:val="single" w:sz="4" w:space="0" w:color="000000"/>
              <w:bottom w:val="single" w:sz="5"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0.67%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5,510,996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+5,510996</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5,510,996</w:t>
            </w:r>
          </w:p>
        </w:tc>
        <w:tc>
          <w:tcPr>
            <w:tcW w:w="706"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017"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7" w:type="dxa"/>
            <w:gridSpan w:val="9"/>
            <w:tcBorders>
              <w:top w:val="single" w:sz="4" w:space="0" w:color="000000"/>
              <w:left w:val="single" w:sz="10" w:space="0" w:color="D2D2D2"/>
              <w:bottom w:val="single" w:sz="4" w:space="0" w:color="000000"/>
              <w:right w:val="single" w:sz="4" w:space="0" w:color="000000"/>
            </w:tcBorders>
          </w:tcPr>
          <w:p>
            <w:pPr>
              <w:pStyle w:val="TableParagraph"/>
              <w:spacing w:line="316" w:lineRule="auto" w:before="49"/>
              <w:ind w:left="16" w:right="18"/>
              <w:jc w:val="left"/>
              <w:rPr>
                <w:rFonts w:ascii="宋体" w:hAnsi="宋体" w:cs="宋体" w:eastAsia="宋体" w:hint="default"/>
                <w:sz w:val="18"/>
                <w:szCs w:val="18"/>
              </w:rPr>
            </w:pPr>
            <w:r>
              <w:rPr>
                <w:rFonts w:ascii="宋体" w:hAnsi="宋体" w:cs="宋体" w:eastAsia="宋体" w:hint="default"/>
                <w:spacing w:val="-2"/>
                <w:sz w:val="18"/>
                <w:szCs w:val="18"/>
              </w:rPr>
              <w:t>上述股东中范建震、陈迪清二者为一致行动人及公司控股股东、实际控制人，公司未知其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他股东的关联关系或一致行动关系。</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6" w:hRule="exact"/>
        </w:trPr>
        <w:tc>
          <w:tcPr>
            <w:tcW w:w="288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881" w:type="dxa"/>
            <w:gridSpan w:val="3"/>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26,183,191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26,183,191</w:t>
            </w:r>
          </w:p>
        </w:tc>
      </w:tr>
      <w:tr>
        <w:trPr>
          <w:trHeight w:val="40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26,182,592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26,182,592</w:t>
            </w:r>
          </w:p>
        </w:tc>
      </w:tr>
      <w:tr>
        <w:trPr>
          <w:trHeight w:val="713"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中国建设银行－宝盈资源优选股票 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13,900,000</w:t>
            </w:r>
          </w:p>
        </w:tc>
      </w:tr>
      <w:tr>
        <w:trPr>
          <w:trHeight w:val="715"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中国农业银行股份有限公司－宝盈 策略增长混合型证券投资基金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13,900,000</w:t>
            </w:r>
          </w:p>
        </w:tc>
      </w:tr>
      <w:tr>
        <w:trPr>
          <w:trHeight w:val="1027" w:hRule="exact"/>
        </w:trPr>
        <w:tc>
          <w:tcPr>
            <w:tcW w:w="2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上海东方证券资管－光大银行－东 证资管汉得信息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 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12,890,839</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12,890,839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0"/>
        <w:gridCol w:w="1349"/>
        <w:gridCol w:w="1349"/>
      </w:tblGrid>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中国农业银行股份有限公司－宝盈 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灵活配置混合型证券投资基 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邓辉</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8,950,000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石胜利</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石伟民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5,800,000</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中证工业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指数分级证券投资基金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5,510,996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5,510,996</w:t>
            </w:r>
          </w:p>
        </w:tc>
      </w:tr>
      <w:tr>
        <w:trPr>
          <w:trHeight w:val="1340"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0"/>
              <w:jc w:val="left"/>
              <w:rPr>
                <w:rFonts w:ascii="宋体" w:hAnsi="宋体" w:cs="宋体" w:eastAsia="宋体" w:hint="default"/>
                <w:sz w:val="18"/>
                <w:szCs w:val="18"/>
              </w:rPr>
            </w:pPr>
            <w:r>
              <w:rPr>
                <w:rFonts w:ascii="宋体" w:hAnsi="宋体" w:cs="宋体" w:eastAsia="宋体" w:hint="default"/>
                <w:spacing w:val="-1"/>
                <w:sz w:val="18"/>
                <w:szCs w:val="18"/>
              </w:rPr>
              <w:t>上述股东中范建震、陈迪清二者为一致行动人及公司控股股东、实际控制人，公司未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知其他股东的关联关系或一致行动关系。</w:t>
            </w:r>
          </w:p>
        </w:tc>
      </w:tr>
      <w:tr>
        <w:trPr>
          <w:trHeight w:val="102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股东石胜利除通过普通证券账户持有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股外，还通过招商证券股份有限公司</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股，实际合计持有无限售流通股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8,550,000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right="49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498"/>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613"/>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49"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5"/>
              <w:jc w:val="both"/>
              <w:rPr>
                <w:rFonts w:ascii="宋体" w:hAnsi="宋体" w:cs="宋体" w:eastAsia="宋体" w:hint="default"/>
                <w:sz w:val="18"/>
                <w:szCs w:val="18"/>
              </w:rPr>
            </w:pPr>
            <w:r>
              <w:rPr>
                <w:rFonts w:ascii="宋体" w:hAnsi="宋体" w:cs="宋体" w:eastAsia="宋体" w:hint="default"/>
                <w:sz w:val="18"/>
                <w:szCs w:val="18"/>
              </w:rPr>
              <w:t>报告期内，范建震担任公司董事长，陈迪清担任公司总经理。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日，范建震先生辞去公司董事长职务，仍继续担任公司董事；陈迪清先生辞去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总经理职务，被选举为公司董事长。具体内容详见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日公司披露 </w:t>
            </w:r>
            <w:r>
              <w:rPr>
                <w:rFonts w:ascii="宋体" w:hAnsi="宋体" w:cs="宋体" w:eastAsia="宋体" w:hint="default"/>
                <w:spacing w:val="-1"/>
                <w:sz w:val="18"/>
                <w:szCs w:val="18"/>
              </w:rPr>
              <w:t>于中国证监会指定创业板信息披露媒体的《关于董事长、总经理辞去职务并选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举新任董事长、聘任新任总经理的公告》（公告编号：</w:t>
            </w:r>
            <w:r>
              <w:rPr>
                <w:rFonts w:ascii="Times New Roman" w:hAnsi="Times New Roman" w:cs="Times New Roman" w:eastAsia="Times New Roman" w:hint="default"/>
                <w:spacing w:val="-3"/>
                <w:sz w:val="18"/>
                <w:szCs w:val="18"/>
              </w:rPr>
              <w:t>2016-004</w:t>
            </w:r>
            <w:r>
              <w:rPr>
                <w:rFonts w:ascii="宋体" w:hAnsi="宋体" w:cs="宋体" w:eastAsia="宋体" w:hint="default"/>
                <w:spacing w:val="-3"/>
                <w:sz w:val="18"/>
                <w:szCs w:val="18"/>
              </w:rPr>
              <w:t>）</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2"/>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5"/>
        <w:rPr>
          <w:rFonts w:ascii="宋体" w:hAnsi="宋体" w:cs="宋体" w:eastAsia="宋体" w:hint="default"/>
          <w:sz w:val="28"/>
          <w:szCs w:val="28"/>
        </w:rPr>
      </w:pPr>
    </w:p>
    <w:p>
      <w:pPr>
        <w:pStyle w:val="BodyText"/>
        <w:spacing w:line="240" w:lineRule="auto" w:before="44"/>
        <w:ind w:right="498"/>
        <w:jc w:val="left"/>
      </w:pPr>
      <w:r>
        <w:rPr/>
        <w:t>控股股东报告期内变更</w:t>
      </w:r>
    </w:p>
    <w:p>
      <w:pPr>
        <w:pStyle w:val="BodyText"/>
        <w:spacing w:line="338" w:lineRule="auto" w:before="117"/>
        <w:ind w:right="70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38"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743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6"/>
        <w:gridCol w:w="2122"/>
        <w:gridCol w:w="412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82"/>
              <w:jc w:val="left"/>
              <w:rPr>
                <w:rFonts w:ascii="宋体" w:hAnsi="宋体" w:cs="宋体" w:eastAsia="宋体" w:hint="default"/>
                <w:sz w:val="18"/>
                <w:szCs w:val="18"/>
              </w:rPr>
            </w:pPr>
            <w:r>
              <w:rPr>
                <w:rFonts w:ascii="宋体" w:hAnsi="宋体" w:cs="宋体" w:eastAsia="宋体" w:hint="default"/>
                <w:sz w:val="18"/>
                <w:szCs w:val="18"/>
              </w:rPr>
              <w:t>报告期内，范建震担任公司董事长，陈迪清担任公司总经理。</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日，范建震先生辞去公司董事长职务，仍继续担任公司董事；陈迪清先生辞去 总经理职务，被选举为公司董事长。具体内容详见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 于中国证监会指定创业板信息披露媒体的《关于董事长、总经理辞去职务并选 </w:t>
            </w:r>
            <w:r>
              <w:rPr>
                <w:rFonts w:ascii="宋体" w:hAnsi="宋体" w:cs="宋体" w:eastAsia="宋体" w:hint="default"/>
                <w:spacing w:val="-3"/>
                <w:sz w:val="18"/>
                <w:szCs w:val="18"/>
              </w:rPr>
              <w:t>举新任董事长、聘任新任总经理的公告》（公告编号：</w:t>
            </w:r>
            <w:r>
              <w:rPr>
                <w:rFonts w:ascii="Times New Roman" w:hAnsi="Times New Roman" w:cs="Times New Roman" w:eastAsia="Times New Roman" w:hint="default"/>
                <w:spacing w:val="-3"/>
                <w:sz w:val="18"/>
                <w:szCs w:val="18"/>
              </w:rPr>
              <w:t>2016-004</w:t>
            </w:r>
            <w:r>
              <w:rPr>
                <w:rFonts w:ascii="宋体" w:hAnsi="宋体" w:cs="宋体" w:eastAsia="宋体" w:hint="default"/>
                <w:spacing w:val="-3"/>
                <w:sz w:val="18"/>
                <w:szCs w:val="18"/>
              </w:rPr>
              <w:t>）</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28"/>
          <w:szCs w:val="28"/>
        </w:rPr>
      </w:pPr>
    </w:p>
    <w:p>
      <w:pPr>
        <w:pStyle w:val="BodyText"/>
        <w:spacing w:line="240" w:lineRule="auto" w:before="44"/>
        <w:ind w:right="498"/>
        <w:jc w:val="left"/>
      </w:pPr>
      <w:r>
        <w:rPr/>
        <w:t>实际控制人报告期内变更</w:t>
      </w:r>
    </w:p>
    <w:p>
      <w:pPr>
        <w:pStyle w:val="BodyText"/>
        <w:spacing w:line="338" w:lineRule="auto" w:before="117"/>
        <w:ind w:right="63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w:t>
      </w:r>
    </w:p>
    <w:p>
      <w:pPr>
        <w:spacing w:line="240" w:lineRule="auto" w:before="0"/>
        <w:rPr>
          <w:rFonts w:ascii="宋体" w:hAnsi="宋体" w:cs="宋体" w:eastAsia="宋体" w:hint="default"/>
          <w:sz w:val="18"/>
          <w:szCs w:val="18"/>
        </w:rPr>
      </w:pPr>
    </w:p>
    <w:p>
      <w:pPr>
        <w:pStyle w:val="BodyText"/>
        <w:spacing w:line="240" w:lineRule="auto" w:before="160"/>
        <w:ind w:right="498"/>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5340" w:lineRule="exact"/>
        <w:ind w:left="1355"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591010" cy="3390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591010" cy="3390900"/>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6"/>
        <w:rPr>
          <w:rFonts w:ascii="宋体" w:hAnsi="宋体" w:cs="宋体" w:eastAsia="宋体" w:hint="default"/>
          <w:sz w:val="23"/>
          <w:szCs w:val="23"/>
        </w:rPr>
      </w:pPr>
    </w:p>
    <w:p>
      <w:pPr>
        <w:pStyle w:val="BodyText"/>
        <w:spacing w:line="240" w:lineRule="auto" w:before="44"/>
        <w:ind w:right="498"/>
        <w:jc w:val="left"/>
      </w:pPr>
      <w:r>
        <w:rPr/>
        <w:t>实际控制人通过信托或其他资产管理方式控制公司</w:t>
      </w:r>
    </w:p>
    <w:p>
      <w:pPr>
        <w:spacing w:line="240" w:lineRule="auto" w:before="11"/>
        <w:rPr>
          <w:rFonts w:ascii="宋体" w:hAnsi="宋体" w:cs="宋体" w:eastAsia="宋体" w:hint="default"/>
          <w:sz w:val="20"/>
          <w:szCs w:val="20"/>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498"/>
        <w:jc w:val="left"/>
        <w:rPr>
          <w:b w:val="0"/>
          <w:bCs w:val="0"/>
        </w:rPr>
      </w:pPr>
      <w:bookmarkStart w:name="_TOC_250004" w:id="7"/>
      <w:r>
        <w:rPr/>
        <w:t>第七节</w:t>
      </w:r>
      <w:r>
        <w:rPr>
          <w:spacing w:val="-6"/>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498"/>
        <w:jc w:val="left"/>
        <w:rPr>
          <w:b w:val="0"/>
          <w:bCs w:val="0"/>
        </w:rPr>
      </w:pPr>
      <w:bookmarkStart w:name="_TOC_250003" w:id="8"/>
      <w:r>
        <w:rPr/>
        <w:t>第八节</w:t>
      </w:r>
      <w:r>
        <w:rPr>
          <w:spacing w:val="-8"/>
        </w:rPr>
        <w:t> </w:t>
      </w:r>
      <w:r>
        <w:rPr/>
        <w:t>董事、监事、高级管理人员和员工情况</w:t>
      </w:r>
      <w:bookmarkEnd w:id="8"/>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498"/>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9"/>
        <w:gridCol w:w="797"/>
        <w:gridCol w:w="530"/>
        <w:gridCol w:w="569"/>
        <w:gridCol w:w="708"/>
        <w:gridCol w:w="992"/>
        <w:gridCol w:w="850"/>
        <w:gridCol w:w="994"/>
        <w:gridCol w:w="709"/>
        <w:gridCol w:w="566"/>
        <w:gridCol w:w="994"/>
        <w:gridCol w:w="1066"/>
      </w:tblGrid>
      <w:tr>
        <w:trPr>
          <w:trHeight w:val="1651"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79" w:right="77"/>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79"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34" w:right="38"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69,508,109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470,600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34,754,055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104,732,764</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69,506,244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34,753,122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104,730,366</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574,239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871,459</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138,957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69,479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188,836</w:t>
            </w:r>
          </w:p>
        </w:tc>
      </w:tr>
      <w:tr>
        <w:trPr>
          <w:trHeight w:val="71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1,189,338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23,769</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1,213,107</w:t>
            </w: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140,916,887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980,869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69,863,775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211,736,532</w:t>
            </w:r>
          </w:p>
        </w:tc>
      </w:tr>
    </w:tbl>
    <w:p>
      <w:pPr>
        <w:spacing w:line="240" w:lineRule="auto" w:before="1"/>
        <w:rPr>
          <w:rFonts w:ascii="宋体" w:hAnsi="宋体" w:cs="宋体" w:eastAsia="宋体" w:hint="default"/>
          <w:b/>
          <w:bCs/>
          <w:sz w:val="18"/>
          <w:szCs w:val="18"/>
        </w:rPr>
      </w:pPr>
    </w:p>
    <w:p>
      <w:pPr>
        <w:pStyle w:val="Heading2"/>
        <w:spacing w:line="240" w:lineRule="auto" w:before="26"/>
        <w:ind w:right="498"/>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95"/>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5"/>
        <w:jc w:val="left"/>
      </w:pPr>
      <w:r>
        <w:rPr/>
        <w:t>公司现任董事、监事、高级管理人员专业背景、主要工作经历以及目前在公司的主要职责</w:t>
      </w:r>
    </w:p>
    <w:p>
      <w:pPr>
        <w:pStyle w:val="Heading3"/>
        <w:spacing w:line="340" w:lineRule="auto" w:before="145"/>
        <w:ind w:right="105"/>
        <w:jc w:val="left"/>
      </w:pPr>
      <w:r>
        <w:rPr>
          <w:rFonts w:ascii="Times New Roman" w:hAnsi="Times New Roman" w:cs="Times New Roman" w:eastAsia="Times New Roman" w:hint="default"/>
          <w:b/>
          <w:bCs/>
        </w:rPr>
        <w:t>1</w:t>
      </w:r>
      <w:r>
        <w:rPr>
          <w:rFonts w:ascii="宋体" w:hAnsi="宋体" w:cs="宋体" w:eastAsia="宋体" w:hint="default"/>
          <w:b/>
          <w:bCs/>
        </w:rPr>
        <w:t>、现任董事</w:t>
      </w:r>
      <w:r>
        <w:rPr>
          <w:rFonts w:ascii="宋体" w:hAnsi="宋体" w:cs="宋体" w:eastAsia="宋体" w:hint="default"/>
          <w:b/>
          <w:bCs/>
          <w:w w:val="99"/>
        </w:rPr>
        <w:t> </w:t>
      </w:r>
      <w:r>
        <w:rPr>
          <w:rFonts w:ascii="宋体" w:hAnsi="宋体" w:cs="宋体" w:eastAsia="宋体" w:hint="default"/>
          <w:b/>
          <w:bCs/>
        </w:rPr>
        <w:t>陈迪清：</w:t>
      </w:r>
      <w:r>
        <w:rPr/>
        <w:t>男，董事长，中国国籍，拥有新加坡永久居留权。复旦大学电子工程系理学学士、</w:t>
      </w:r>
      <w:r>
        <w:rPr>
          <w:spacing w:val="-94"/>
        </w:rPr>
        <w:t> </w:t>
      </w:r>
      <w:r>
        <w:rPr>
          <w:spacing w:val="-94"/>
        </w:rPr>
      </w:r>
      <w:r>
        <w:rPr/>
        <w:t>美国</w:t>
      </w:r>
      <w:r>
        <w:rPr>
          <w:rFonts w:ascii="Times New Roman" w:hAnsi="Times New Roman" w:cs="Times New Roman" w:eastAsia="Times New Roman" w:hint="default"/>
        </w:rPr>
        <w:t>Louisiana Tech University</w:t>
      </w:r>
      <w:r>
        <w:rPr>
          <w:rFonts w:ascii="Times New Roman" w:hAnsi="Times New Roman" w:cs="Times New Roman" w:eastAsia="Times New Roman" w:hint="default"/>
          <w:spacing w:val="54"/>
        </w:rPr>
        <w:t> </w:t>
      </w:r>
      <w:r>
        <w:rPr/>
        <w:t>理学硕士学位。曾任中国惠普有限公司上海分公司地区销售经 </w:t>
      </w:r>
      <w:r>
        <w:rPr>
          <w:spacing w:val="-6"/>
        </w:rPr>
        <w:t>理，美国</w:t>
      </w:r>
      <w:r>
        <w:rPr>
          <w:rFonts w:ascii="Times New Roman" w:hAnsi="Times New Roman" w:cs="Times New Roman" w:eastAsia="Times New Roman" w:hint="default"/>
          <w:spacing w:val="-6"/>
        </w:rPr>
        <w:t>Skywell </w:t>
      </w:r>
      <w:r>
        <w:rPr>
          <w:rFonts w:ascii="Times New Roman" w:hAnsi="Times New Roman" w:cs="Times New Roman" w:eastAsia="Times New Roman" w:hint="default"/>
          <w:spacing w:val="-4"/>
        </w:rPr>
        <w:t>Technology</w:t>
      </w:r>
      <w:r>
        <w:rPr>
          <w:spacing w:val="-4"/>
        </w:rPr>
        <w:t>公司工程师，西门子</w:t>
      </w:r>
      <w:r>
        <w:rPr>
          <w:rFonts w:ascii="Times New Roman" w:hAnsi="Times New Roman" w:cs="Times New Roman" w:eastAsia="Times New Roman" w:hint="default"/>
          <w:spacing w:val="-4"/>
        </w:rPr>
        <w:t>—</w:t>
      </w:r>
      <w:r>
        <w:rPr>
          <w:spacing w:val="-4"/>
        </w:rPr>
        <w:t>利多富华东</w:t>
      </w:r>
      <w:r>
        <w:rPr>
          <w:rFonts w:ascii="Times New Roman" w:hAnsi="Times New Roman" w:cs="Times New Roman" w:eastAsia="Times New Roman" w:hint="default"/>
          <w:spacing w:val="-4"/>
        </w:rPr>
        <w:t>/</w:t>
      </w:r>
      <w:r>
        <w:rPr>
          <w:spacing w:val="-4"/>
        </w:rPr>
        <w:t>华中区总经理，思爱普（北京）</w:t>
      </w:r>
      <w:r>
        <w:rPr>
          <w:spacing w:val="-117"/>
        </w:rPr>
        <w:t> </w:t>
      </w:r>
      <w:r>
        <w:rPr>
          <w:spacing w:val="-117"/>
        </w:rPr>
      </w:r>
      <w:r>
        <w:rPr/>
        <w:t>软件技术有限公司（</w:t>
      </w:r>
      <w:r>
        <w:rPr>
          <w:rFonts w:ascii="Times New Roman" w:hAnsi="Times New Roman" w:cs="Times New Roman" w:eastAsia="Times New Roman" w:hint="default"/>
        </w:rPr>
        <w:t>SAP</w:t>
      </w:r>
      <w:r>
        <w:rPr/>
        <w:t>中国）市场及销售总监，上海汉得信息技术有限公司总裁。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 </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月，担任公司总经理、董事，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月辞去公司总经理职务并被选举为公司董</w:t>
      </w:r>
      <w:r>
        <w:rPr>
          <w:spacing w:val="-87"/>
        </w:rPr>
        <w:t> </w:t>
      </w:r>
      <w:r>
        <w:rPr>
          <w:spacing w:val="-87"/>
        </w:rPr>
      </w:r>
      <w:r>
        <w:rPr/>
        <w:t>事长。 </w:t>
      </w:r>
      <w:r>
        <w:rPr>
          <w:rFonts w:ascii="宋体" w:hAnsi="宋体" w:cs="宋体" w:eastAsia="宋体" w:hint="default"/>
          <w:b/>
          <w:bCs/>
        </w:rPr>
        <w:t>范建震：</w:t>
      </w:r>
      <w:r>
        <w:rPr/>
        <w:t>男，董事，中国国籍，</w:t>
      </w:r>
      <w:r>
        <w:rPr>
          <w:rFonts w:ascii="Times New Roman" w:hAnsi="Times New Roman" w:cs="Times New Roman" w:eastAsia="Times New Roman" w:hint="default"/>
        </w:rPr>
        <w:t>1964</w:t>
      </w:r>
      <w:r>
        <w:rPr/>
        <w:t>年出生，复旦大学电子工程系理学学士、中欧国际工商</w:t>
      </w:r>
      <w:r>
        <w:rPr>
          <w:spacing w:val="-95"/>
        </w:rPr>
        <w:t> </w:t>
      </w:r>
      <w:r>
        <w:rPr>
          <w:spacing w:val="-95"/>
        </w:rPr>
      </w:r>
      <w:r>
        <w:rPr/>
        <w:t>学院工商管理硕士。有近</w:t>
      </w:r>
      <w:r>
        <w:rPr>
          <w:rFonts w:ascii="Times New Roman" w:hAnsi="Times New Roman" w:cs="Times New Roman" w:eastAsia="Times New Roman" w:hint="default"/>
        </w:rPr>
        <w:t>20</w:t>
      </w:r>
      <w:r>
        <w:rPr/>
        <w:t>年的</w:t>
      </w:r>
      <w:r>
        <w:rPr>
          <w:rFonts w:ascii="Times New Roman" w:hAnsi="Times New Roman" w:cs="Times New Roman" w:eastAsia="Times New Roman" w:hint="default"/>
        </w:rPr>
        <w:t>ERP</w:t>
      </w:r>
      <w:r>
        <w:rPr/>
        <w:t>行业从业经验，于</w:t>
      </w:r>
      <w:r>
        <w:rPr>
          <w:rFonts w:ascii="Times New Roman" w:hAnsi="Times New Roman" w:cs="Times New Roman" w:eastAsia="Times New Roman" w:hint="default"/>
        </w:rPr>
        <w:t>1996</w:t>
      </w:r>
      <w:r>
        <w:rPr/>
        <w:t>年创办中国第一家专业从事高端</w:t>
      </w:r>
      <w:r>
        <w:rPr>
          <w:spacing w:val="-52"/>
        </w:rPr>
        <w:t> </w:t>
      </w:r>
      <w:r>
        <w:rPr>
          <w:spacing w:val="-52"/>
        </w:rPr>
      </w:r>
      <w:r>
        <w:rPr>
          <w:rFonts w:ascii="Times New Roman" w:hAnsi="Times New Roman" w:cs="Times New Roman" w:eastAsia="Times New Roman" w:hint="default"/>
        </w:rPr>
        <w:t>ERP</w:t>
      </w:r>
      <w:r>
        <w:rPr/>
        <w:t>产品实施服务的咨询公司</w:t>
      </w:r>
      <w:r>
        <w:rPr>
          <w:rFonts w:ascii="Times New Roman" w:hAnsi="Times New Roman" w:cs="Times New Roman" w:eastAsia="Times New Roman" w:hint="default"/>
        </w:rPr>
        <w:t>——</w:t>
      </w:r>
      <w:r>
        <w:rPr/>
        <w:t>上海汉得计算机服务有限公司，</w:t>
      </w:r>
      <w:r>
        <w:rPr>
          <w:rFonts w:ascii="Times New Roman" w:hAnsi="Times New Roman" w:cs="Times New Roman" w:eastAsia="Times New Roman" w:hint="default"/>
        </w:rPr>
        <w:t>2002</w:t>
      </w:r>
      <w:r>
        <w:rPr/>
        <w:t>年起任上海汉得信息</w:t>
      </w:r>
      <w:r>
        <w:rPr>
          <w:spacing w:val="-49"/>
        </w:rPr>
        <w:t> </w:t>
      </w:r>
      <w:r>
        <w:rPr/>
        <w:t>技术有限公司首席执行官，</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月起任公司董事长，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月辞去公司董事长职务，现</w:t>
      </w:r>
      <w:r>
        <w:rPr>
          <w:spacing w:val="-87"/>
        </w:rPr>
        <w:t> </w:t>
      </w:r>
      <w:r>
        <w:rPr>
          <w:spacing w:val="-87"/>
        </w:rPr>
      </w:r>
      <w:r>
        <w:rPr/>
        <w:t>仍担任本公司董事。</w:t>
      </w:r>
    </w:p>
    <w:p>
      <w:pPr>
        <w:pStyle w:val="Heading3"/>
        <w:spacing w:line="350" w:lineRule="auto" w:before="53"/>
        <w:ind w:right="95"/>
        <w:jc w:val="left"/>
      </w:pPr>
      <w:r>
        <w:rPr>
          <w:rFonts w:ascii="宋体" w:hAnsi="宋体" w:cs="宋体" w:eastAsia="宋体" w:hint="default"/>
          <w:b/>
          <w:bCs/>
        </w:rPr>
        <w:t>刘</w:t>
      </w:r>
      <w:r>
        <w:rPr>
          <w:rFonts w:ascii="宋体" w:hAnsi="宋体" w:cs="宋体" w:eastAsia="宋体" w:hint="default"/>
          <w:b/>
          <w:bCs/>
          <w:spacing w:val="3"/>
        </w:rPr>
        <w:t> </w:t>
      </w:r>
      <w:r>
        <w:rPr>
          <w:rFonts w:ascii="宋体" w:hAnsi="宋体" w:cs="宋体" w:eastAsia="宋体" w:hint="default"/>
          <w:b/>
          <w:bCs/>
          <w:spacing w:val="3"/>
        </w:rPr>
      </w:r>
      <w:r>
        <w:rPr>
          <w:rFonts w:ascii="宋体" w:hAnsi="宋体" w:cs="宋体" w:eastAsia="宋体" w:hint="default"/>
          <w:b/>
          <w:bCs/>
          <w:spacing w:val="-5"/>
        </w:rPr>
        <w:t>维：</w:t>
      </w:r>
      <w:r>
        <w:rPr>
          <w:spacing w:val="-5"/>
        </w:rPr>
        <w:t>男，独立董事，中国国籍，无永久境外居留权，</w:t>
      </w:r>
      <w:r>
        <w:rPr>
          <w:rFonts w:ascii="Times New Roman" w:hAnsi="Times New Roman" w:cs="Times New Roman" w:eastAsia="Times New Roman" w:hint="default"/>
          <w:spacing w:val="-5"/>
        </w:rPr>
        <w:t>1970</w:t>
      </w:r>
      <w:r>
        <w:rPr>
          <w:spacing w:val="-5"/>
        </w:rPr>
        <w:t>年出生，法律硕士，律师。</w:t>
      </w:r>
      <w:r>
        <w:rPr>
          <w:rFonts w:ascii="Times New Roman" w:hAnsi="Times New Roman" w:cs="Times New Roman" w:eastAsia="Times New Roman" w:hint="default"/>
          <w:spacing w:val="-5"/>
        </w:rPr>
        <w:t>1993</w:t>
      </w:r>
      <w:r>
        <w:rPr>
          <w:rFonts w:ascii="Times New Roman" w:hAnsi="Times New Roman" w:cs="Times New Roman" w:eastAsia="Times New Roman" w:hint="default"/>
        </w:rPr>
        <w:t> </w:t>
      </w:r>
      <w:r>
        <w:rPr>
          <w:spacing w:val="2"/>
        </w:rPr>
        <w:t>年起在上海市万国律师事务所</w:t>
      </w:r>
      <w:r>
        <w:rPr>
          <w:rFonts w:ascii="Times New Roman" w:hAnsi="Times New Roman" w:cs="Times New Roman" w:eastAsia="Times New Roman" w:hint="default"/>
          <w:spacing w:val="2"/>
        </w:rPr>
        <w:t>[</w:t>
      </w:r>
      <w:r>
        <w:rPr>
          <w:spacing w:val="2"/>
        </w:rPr>
        <w:t>后更名为国浩律师（上海）事务所</w:t>
      </w:r>
      <w:r>
        <w:rPr>
          <w:rFonts w:ascii="Times New Roman" w:hAnsi="Times New Roman" w:cs="Times New Roman" w:eastAsia="Times New Roman" w:hint="default"/>
          <w:spacing w:val="2"/>
        </w:rPr>
        <w:t>]</w:t>
      </w:r>
      <w:r>
        <w:rPr>
          <w:spacing w:val="2"/>
        </w:rPr>
        <w:t>执业。刘维律师执业</w:t>
      </w:r>
      <w:r>
        <w:rPr>
          <w:rFonts w:ascii="Times New Roman" w:hAnsi="Times New Roman" w:cs="Times New Roman" w:eastAsia="Times New Roman" w:hint="default"/>
          <w:spacing w:val="2"/>
        </w:rPr>
        <w:t>20</w:t>
      </w:r>
      <w:r>
        <w:rPr>
          <w:spacing w:val="2"/>
        </w:rPr>
        <w:t>余</w:t>
      </w:r>
      <w:r>
        <w:rPr>
          <w:spacing w:val="-96"/>
        </w:rPr>
        <w:t> </w:t>
      </w:r>
      <w:r>
        <w:rPr/>
        <w:t>年，擅长公司、股票、金融律师业务。曾为两百多家上市公司提供过发行上市、再融资、资</w:t>
      </w:r>
      <w:r>
        <w:rPr>
          <w:spacing w:val="-91"/>
        </w:rPr>
        <w:t> </w:t>
      </w:r>
      <w:r>
        <w:rPr>
          <w:spacing w:val="-91"/>
        </w:rPr>
      </w:r>
      <w:r>
        <w:rPr/>
        <w:t>产重组法律服务，为数十家大型企业提供常年法律顾问服务。刘维律师曾任中国证券监督管</w:t>
      </w:r>
      <w:r>
        <w:rPr>
          <w:spacing w:val="-91"/>
        </w:rPr>
        <w:t> </w:t>
      </w:r>
      <w:r>
        <w:rPr>
          <w:spacing w:val="-91"/>
        </w:rPr>
      </w:r>
      <w:r>
        <w:rPr/>
        <w:t>理委员会第一、第二、第三届并购重组委委员。现任国浩律师（上海）事务所管理合伙人。 </w:t>
      </w:r>
      <w:r>
        <w:rPr>
          <w:rFonts w:ascii="宋体" w:hAnsi="宋体" w:cs="宋体" w:eastAsia="宋体" w:hint="default"/>
          <w:b/>
          <w:bCs/>
        </w:rPr>
        <w:t>陈靖丰：</w:t>
      </w:r>
      <w:r>
        <w:rPr/>
        <w:t>男，独立董事，中国国籍，无永久境外居留权，</w:t>
      </w:r>
      <w:r>
        <w:rPr>
          <w:rFonts w:ascii="Times New Roman" w:hAnsi="Times New Roman" w:cs="Times New Roman" w:eastAsia="Times New Roman" w:hint="default"/>
        </w:rPr>
        <w:t>1968</w:t>
      </w:r>
      <w:r>
        <w:rPr/>
        <w:t>年出生。现任华人文化控股集</w:t>
      </w:r>
      <w:r>
        <w:rPr>
          <w:spacing w:val="-94"/>
        </w:rPr>
        <w:t> </w:t>
      </w:r>
      <w:r>
        <w:rPr>
          <w:spacing w:val="-94"/>
        </w:rPr>
      </w:r>
      <w:r>
        <w:rPr/>
        <w:t>团总裁。 </w:t>
      </w:r>
      <w:r>
        <w:rPr>
          <w:rFonts w:ascii="宋体" w:hAnsi="宋体" w:cs="宋体" w:eastAsia="宋体" w:hint="default"/>
          <w:b/>
          <w:bCs/>
        </w:rPr>
        <w:t>曹惠民：</w:t>
      </w:r>
      <w:r>
        <w:rPr/>
        <w:t>男，独立董事，中国国籍，无永久境外居留权，</w:t>
      </w:r>
      <w:r>
        <w:rPr>
          <w:rFonts w:ascii="Times New Roman" w:hAnsi="Times New Roman" w:cs="Times New Roman" w:eastAsia="Times New Roman" w:hint="default"/>
        </w:rPr>
        <w:t>1954</w:t>
      </w:r>
      <w:r>
        <w:rPr/>
        <w:t>年出生，经济学硕士，教授。</w:t>
      </w:r>
      <w:r>
        <w:rPr>
          <w:spacing w:val="-94"/>
        </w:rPr>
        <w:t> </w:t>
      </w:r>
      <w:r>
        <w:rPr>
          <w:spacing w:val="-94"/>
        </w:rPr>
      </w:r>
      <w:r>
        <w:rPr/>
        <w:t>曾任上海立信会计学院副系主任、系主任、院长助理。现任上海立信会计学院教授，上海百</w:t>
      </w:r>
      <w:r>
        <w:rPr>
          <w:spacing w:val="-91"/>
        </w:rPr>
        <w:t> </w:t>
      </w:r>
      <w:r>
        <w:rPr>
          <w:spacing w:val="-91"/>
        </w:rPr>
      </w:r>
      <w:r>
        <w:rPr/>
        <w:t>联集团股份有限公司独立董事，上海实业发展股份有限公司独立董事，上海飞科电器股份有</w:t>
      </w:r>
      <w:r>
        <w:rPr>
          <w:spacing w:val="-91"/>
        </w:rPr>
        <w:t> </w:t>
      </w:r>
      <w:r>
        <w:rPr>
          <w:spacing w:val="-91"/>
        </w:rPr>
      </w:r>
      <w:r>
        <w:rPr/>
        <w:t>限公司独立董事，上海复星医药（集团）股份有限公司独立董事。</w:t>
      </w:r>
    </w:p>
    <w:p>
      <w:pPr>
        <w:pStyle w:val="Heading2"/>
        <w:spacing w:line="240" w:lineRule="auto" w:before="43"/>
        <w:ind w:right="95"/>
        <w:jc w:val="left"/>
        <w:rPr>
          <w:b w:val="0"/>
          <w:bCs w:val="0"/>
        </w:rPr>
      </w:pPr>
      <w:r>
        <w:rPr>
          <w:rFonts w:ascii="Times New Roman" w:hAnsi="Times New Roman" w:cs="Times New Roman" w:eastAsia="Times New Roman" w:hint="default"/>
        </w:rPr>
        <w:t>2</w:t>
      </w:r>
      <w:r>
        <w:rPr/>
        <w:t>、现任监事</w:t>
      </w:r>
      <w:r>
        <w:rPr>
          <w:b w:val="0"/>
          <w:bCs w:val="0"/>
        </w:rPr>
      </w:r>
    </w:p>
    <w:p>
      <w:pPr>
        <w:pStyle w:val="Heading3"/>
        <w:spacing w:line="338" w:lineRule="auto" w:before="135"/>
        <w:ind w:right="226"/>
        <w:jc w:val="both"/>
      </w:pPr>
      <w:r>
        <w:rPr>
          <w:rFonts w:ascii="宋体" w:hAnsi="宋体" w:cs="宋体" w:eastAsia="宋体" w:hint="default"/>
          <w:b/>
          <w:bCs/>
        </w:rPr>
        <w:t>吴</w:t>
      </w:r>
      <w:r>
        <w:rPr>
          <w:rFonts w:ascii="宋体" w:hAnsi="宋体" w:cs="宋体" w:eastAsia="宋体" w:hint="default"/>
          <w:b/>
          <w:bCs/>
          <w:spacing w:val="40"/>
        </w:rPr>
        <w:t> </w:t>
      </w:r>
      <w:r>
        <w:rPr>
          <w:rFonts w:ascii="宋体" w:hAnsi="宋体" w:cs="宋体" w:eastAsia="宋体" w:hint="default"/>
          <w:b/>
          <w:bCs/>
          <w:spacing w:val="40"/>
        </w:rPr>
      </w:r>
      <w:r>
        <w:rPr>
          <w:rFonts w:ascii="宋体" w:hAnsi="宋体" w:cs="宋体" w:eastAsia="宋体" w:hint="default"/>
          <w:b/>
          <w:bCs/>
        </w:rPr>
        <w:t>滨：</w:t>
      </w:r>
      <w:r>
        <w:rPr/>
        <w:t>男，中国国籍，无永久境外居留权，</w:t>
      </w:r>
      <w:r>
        <w:rPr>
          <w:rFonts w:ascii="Times New Roman" w:hAnsi="Times New Roman" w:cs="Times New Roman" w:eastAsia="Times New Roman" w:hint="default"/>
        </w:rPr>
        <w:t>1972</w:t>
      </w:r>
      <w:r>
        <w:rPr>
          <w:rFonts w:ascii="Times New Roman" w:hAnsi="Times New Roman" w:cs="Times New Roman" w:eastAsia="Times New Roman" w:hint="default"/>
          <w:spacing w:val="52"/>
        </w:rPr>
        <w:t> </w:t>
      </w:r>
      <w:r>
        <w:rPr/>
        <w:t>年出生，研究生学历。</w:t>
      </w:r>
      <w:r>
        <w:rPr>
          <w:rFonts w:ascii="Times New Roman" w:hAnsi="Times New Roman" w:cs="Times New Roman" w:eastAsia="Times New Roman" w:hint="default"/>
        </w:rPr>
        <w:t>1993</w:t>
      </w:r>
      <w:r>
        <w:rPr>
          <w:rFonts w:ascii="Times New Roman" w:hAnsi="Times New Roman" w:cs="Times New Roman" w:eastAsia="Times New Roman" w:hint="default"/>
          <w:spacing w:val="52"/>
        </w:rPr>
        <w:t> </w:t>
      </w:r>
      <w:r>
        <w:rPr/>
        <w:t>年毕业于华</w:t>
      </w:r>
      <w:r>
        <w:rPr>
          <w:spacing w:val="-118"/>
        </w:rPr>
        <w:t> </w:t>
      </w:r>
      <w:r>
        <w:rPr/>
        <w:t>中理工大学固体电子学系，获工学学士学位；</w:t>
      </w:r>
      <w:r>
        <w:rPr>
          <w:rFonts w:ascii="Times New Roman" w:hAnsi="Times New Roman" w:cs="Times New Roman" w:eastAsia="Times New Roman" w:hint="default"/>
        </w:rPr>
        <w:t>1996</w:t>
      </w:r>
      <w:r>
        <w:rPr>
          <w:rFonts w:ascii="Times New Roman" w:hAnsi="Times New Roman" w:cs="Times New Roman" w:eastAsia="Times New Roman" w:hint="default"/>
          <w:spacing w:val="-16"/>
        </w:rPr>
        <w:t> </w:t>
      </w:r>
      <w:r>
        <w:rPr/>
        <w:t>年毕业于复旦大学物理系，获理学硕士学 位。曾任洛克机电系统工程有限公司程序员，</w:t>
      </w:r>
      <w:r>
        <w:rPr>
          <w:rFonts w:ascii="Times New Roman" w:hAnsi="Times New Roman" w:cs="Times New Roman" w:eastAsia="Times New Roman" w:hint="default"/>
        </w:rPr>
        <w:t>1998 </w:t>
      </w:r>
      <w:r>
        <w:rPr/>
        <w:t>年加入公司。历任</w:t>
      </w:r>
      <w:r>
        <w:rPr>
          <w:rFonts w:ascii="Times New Roman" w:hAnsi="Times New Roman" w:cs="Times New Roman" w:eastAsia="Times New Roman" w:hint="default"/>
        </w:rPr>
        <w:t>Oracle</w:t>
      </w:r>
      <w:r>
        <w:rPr>
          <w:rFonts w:ascii="Times New Roman" w:hAnsi="Times New Roman" w:cs="Times New Roman" w:eastAsia="Times New Roman" w:hint="default"/>
          <w:spacing w:val="-1"/>
        </w:rPr>
        <w:t> </w:t>
      </w:r>
      <w:r>
        <w:rPr/>
        <w:t>部门资深技术顾</w:t>
      </w:r>
    </w:p>
    <w:p>
      <w:pPr>
        <w:spacing w:after="0" w:line="338" w:lineRule="auto"/>
        <w:jc w:val="both"/>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240" w:lineRule="auto" w:before="26"/>
        <w:ind w:right="498"/>
        <w:jc w:val="left"/>
      </w:pPr>
      <w:r>
        <w:rPr/>
        <w:t>问，</w:t>
      </w:r>
      <w:r>
        <w:rPr>
          <w:rFonts w:ascii="Times New Roman" w:hAnsi="Times New Roman" w:cs="Times New Roman" w:eastAsia="Times New Roman" w:hint="default"/>
        </w:rPr>
        <w:t>MAS  </w:t>
      </w:r>
      <w:r>
        <w:rPr/>
        <w:t>产品部门技术总监，及</w:t>
      </w:r>
      <w:r>
        <w:rPr>
          <w:rFonts w:ascii="Times New Roman" w:hAnsi="Times New Roman" w:cs="Times New Roman" w:eastAsia="Times New Roman" w:hint="default"/>
        </w:rPr>
        <w:t>Advanced Development</w:t>
      </w:r>
      <w:r>
        <w:rPr>
          <w:rFonts w:ascii="Times New Roman" w:hAnsi="Times New Roman" w:cs="Times New Roman" w:eastAsia="Times New Roman" w:hint="default"/>
          <w:spacing w:val="-30"/>
        </w:rPr>
        <w:t> </w:t>
      </w:r>
      <w:r>
        <w:rPr>
          <w:rFonts w:ascii="Times New Roman" w:hAnsi="Times New Roman" w:cs="Times New Roman" w:eastAsia="Times New Roman" w:hint="default"/>
        </w:rPr>
        <w:t>Center(ADC)</w:t>
      </w:r>
      <w:r>
        <w:rPr/>
        <w:t>总监，公司</w:t>
      </w:r>
      <w:r>
        <w:rPr>
          <w:rFonts w:ascii="Times New Roman" w:hAnsi="Times New Roman" w:cs="Times New Roman" w:eastAsia="Times New Roman" w:hint="default"/>
        </w:rPr>
        <w:t>CTO</w:t>
      </w:r>
      <w:r>
        <w:rPr/>
        <w:t>。</w:t>
      </w:r>
    </w:p>
    <w:p>
      <w:pPr>
        <w:pStyle w:val="Heading3"/>
        <w:spacing w:line="340" w:lineRule="auto" w:before="135"/>
        <w:ind w:right="129"/>
        <w:jc w:val="left"/>
      </w:pPr>
      <w:r>
        <w:rPr>
          <w:rFonts w:ascii="宋体" w:hAnsi="宋体" w:cs="宋体" w:eastAsia="宋体" w:hint="default"/>
          <w:b/>
          <w:bCs/>
        </w:rPr>
        <w:t>黄</w:t>
      </w:r>
      <w:r>
        <w:rPr>
          <w:rFonts w:ascii="宋体" w:hAnsi="宋体" w:cs="宋体" w:eastAsia="宋体" w:hint="default"/>
          <w:b/>
          <w:bCs/>
          <w:spacing w:val="40"/>
        </w:rPr>
        <w:t> </w:t>
      </w:r>
      <w:r>
        <w:rPr>
          <w:rFonts w:ascii="宋体" w:hAnsi="宋体" w:cs="宋体" w:eastAsia="宋体" w:hint="default"/>
          <w:b/>
          <w:bCs/>
          <w:spacing w:val="40"/>
        </w:rPr>
      </w:r>
      <w:r>
        <w:rPr>
          <w:rFonts w:ascii="宋体" w:hAnsi="宋体" w:cs="宋体" w:eastAsia="宋体" w:hint="default"/>
          <w:b/>
          <w:bCs/>
        </w:rPr>
        <w:t>青</w:t>
      </w:r>
      <w:r>
        <w:rPr/>
        <w:t>：男，中国国籍，无永久境外居留权，</w:t>
      </w:r>
      <w:r>
        <w:rPr>
          <w:rFonts w:ascii="Times New Roman" w:hAnsi="Times New Roman" w:cs="Times New Roman" w:eastAsia="Times New Roman" w:hint="default"/>
        </w:rPr>
        <w:t>1963</w:t>
      </w:r>
      <w:r>
        <w:rPr>
          <w:rFonts w:ascii="Times New Roman" w:hAnsi="Times New Roman" w:cs="Times New Roman" w:eastAsia="Times New Roman" w:hint="default"/>
          <w:spacing w:val="52"/>
        </w:rPr>
        <w:t> </w:t>
      </w:r>
      <w:r>
        <w:rPr/>
        <w:t>年出生，研究生学历。</w:t>
      </w:r>
      <w:r>
        <w:rPr>
          <w:rFonts w:ascii="Times New Roman" w:hAnsi="Times New Roman" w:cs="Times New Roman" w:eastAsia="Times New Roman" w:hint="default"/>
        </w:rPr>
        <w:t>1985</w:t>
      </w:r>
      <w:r>
        <w:rPr>
          <w:rFonts w:ascii="Times New Roman" w:hAnsi="Times New Roman" w:cs="Times New Roman" w:eastAsia="Times New Roman" w:hint="default"/>
          <w:spacing w:val="52"/>
        </w:rPr>
        <w:t> </w:t>
      </w:r>
      <w:r>
        <w:rPr/>
        <w:t>年毕业于同</w:t>
      </w:r>
      <w:r>
        <w:rPr>
          <w:spacing w:val="-118"/>
        </w:rPr>
        <w:t> </w:t>
      </w:r>
      <w:r>
        <w:rPr/>
        <w:t>济大学建筑材料系，获工程学学士学位；</w:t>
      </w:r>
      <w:r>
        <w:rPr>
          <w:rFonts w:ascii="Times New Roman" w:hAnsi="Times New Roman" w:cs="Times New Roman" w:eastAsia="Times New Roman" w:hint="default"/>
        </w:rPr>
        <w:t>1993</w:t>
      </w:r>
      <w:r>
        <w:rPr>
          <w:rFonts w:ascii="Times New Roman" w:hAnsi="Times New Roman" w:cs="Times New Roman" w:eastAsia="Times New Roman" w:hint="default"/>
          <w:spacing w:val="-16"/>
        </w:rPr>
        <w:t> </w:t>
      </w:r>
      <w:r>
        <w:rPr/>
        <w:t>年毕业于东京大学大学院，获合成化学硕士学 位，</w:t>
      </w:r>
      <w:r>
        <w:rPr>
          <w:rFonts w:ascii="Times New Roman" w:hAnsi="Times New Roman" w:cs="Times New Roman" w:eastAsia="Times New Roman" w:hint="default"/>
        </w:rPr>
        <w:t>2008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年，逸和农业科技有限公司董事长。 </w:t>
      </w:r>
      <w:r>
        <w:rPr>
          <w:rFonts w:ascii="宋体" w:hAnsi="宋体" w:cs="宋体" w:eastAsia="宋体" w:hint="default"/>
          <w:b/>
          <w:bCs/>
          <w:spacing w:val="2"/>
        </w:rPr>
        <w:t>刘静波</w:t>
      </w:r>
      <w:r>
        <w:rPr>
          <w:spacing w:val="2"/>
        </w:rPr>
        <w:t>：男，中国国籍，无永久境外居留权，</w:t>
      </w:r>
      <w:r>
        <w:rPr>
          <w:rFonts w:ascii="Times New Roman" w:hAnsi="Times New Roman" w:cs="Times New Roman" w:eastAsia="Times New Roman" w:hint="default"/>
          <w:spacing w:val="2"/>
        </w:rPr>
        <w:t>1962 </w:t>
      </w:r>
      <w:r>
        <w:rPr/>
        <w:t>年出生，研究生学历。</w:t>
      </w:r>
      <w:r>
        <w:rPr>
          <w:rFonts w:ascii="Times New Roman" w:hAnsi="Times New Roman" w:cs="Times New Roman" w:eastAsia="Times New Roman" w:hint="default"/>
        </w:rPr>
        <w:t>1980-1988</w:t>
      </w:r>
      <w:r>
        <w:rPr/>
        <w:t>年毕业</w:t>
      </w:r>
      <w:r>
        <w:rPr>
          <w:spacing w:val="-107"/>
        </w:rPr>
        <w:t> </w:t>
      </w:r>
      <w:r>
        <w:rPr/>
        <w:t>于同济大学电气工程系，获工业自动化硕士学位；</w:t>
      </w:r>
      <w:r>
        <w:rPr>
          <w:rFonts w:ascii="Times New Roman" w:hAnsi="Times New Roman" w:cs="Times New Roman" w:eastAsia="Times New Roman" w:hint="default"/>
        </w:rPr>
        <w:t>2004</w:t>
      </w:r>
      <w:r>
        <w:rPr>
          <w:rFonts w:ascii="Times New Roman" w:hAnsi="Times New Roman" w:cs="Times New Roman" w:eastAsia="Times New Roman" w:hint="default"/>
          <w:spacing w:val="-16"/>
        </w:rPr>
        <w:t> </w:t>
      </w:r>
      <w:r>
        <w:rPr/>
        <w:t>年毕业于中欧国际工商管理学院，获 工商管理硕士学位。曾任中国纺织大学教师，上海华霆自动化设备公司总经理，现为上海东</w:t>
      </w:r>
      <w:r>
        <w:rPr>
          <w:spacing w:val="-91"/>
        </w:rPr>
        <w:t> </w:t>
      </w:r>
      <w:r>
        <w:rPr>
          <w:spacing w:val="-91"/>
        </w:rPr>
      </w:r>
      <w:r>
        <w:rPr/>
        <w:t>电自动控制有限公司董事长、总经理。</w:t>
      </w:r>
    </w:p>
    <w:p>
      <w:pPr>
        <w:pStyle w:val="Heading3"/>
        <w:spacing w:line="340" w:lineRule="auto" w:before="53"/>
        <w:ind w:right="0"/>
        <w:jc w:val="left"/>
      </w:pPr>
      <w:r>
        <w:rPr>
          <w:rFonts w:ascii="Times New Roman" w:hAnsi="Times New Roman" w:cs="Times New Roman" w:eastAsia="Times New Roman" w:hint="default"/>
          <w:b/>
          <w:bCs/>
        </w:rPr>
        <w:t>3</w:t>
      </w:r>
      <w:r>
        <w:rPr>
          <w:rFonts w:ascii="宋体" w:hAnsi="宋体" w:cs="宋体" w:eastAsia="宋体" w:hint="default"/>
          <w:b/>
          <w:bCs/>
        </w:rPr>
        <w:t>、现任高管</w:t>
      </w:r>
      <w:r>
        <w:rPr>
          <w:rFonts w:ascii="宋体" w:hAnsi="宋体" w:cs="宋体" w:eastAsia="宋体" w:hint="default"/>
          <w:b/>
          <w:bCs/>
          <w:w w:val="99"/>
        </w:rPr>
        <w:t> </w:t>
      </w:r>
      <w:r>
        <w:rPr>
          <w:rFonts w:ascii="宋体" w:hAnsi="宋体" w:cs="宋体" w:eastAsia="宋体" w:hint="default"/>
          <w:b/>
          <w:bCs/>
        </w:rPr>
        <w:t>黄益全</w:t>
      </w:r>
      <w:r>
        <w:rPr/>
        <w:t>：男，</w:t>
      </w:r>
      <w:r>
        <w:rPr>
          <w:rFonts w:ascii="Times New Roman" w:hAnsi="Times New Roman" w:cs="Times New Roman" w:eastAsia="Times New Roman" w:hint="default"/>
        </w:rPr>
        <w:t>1978</w:t>
      </w:r>
      <w:r>
        <w:rPr/>
        <w:t>年出生，中国国籍，无永久境外居留权。</w:t>
      </w:r>
      <w:r>
        <w:rPr>
          <w:rFonts w:ascii="Times New Roman" w:hAnsi="Times New Roman" w:cs="Times New Roman" w:eastAsia="Times New Roman" w:hint="default"/>
        </w:rPr>
        <w:t>2000</w:t>
      </w:r>
      <w:r>
        <w:rPr/>
        <w:t>年毕业于复旦大学管理学院</w:t>
      </w:r>
      <w:r>
        <w:rPr>
          <w:spacing w:val="-90"/>
        </w:rPr>
        <w:t> </w:t>
      </w:r>
      <w:r>
        <w:rPr>
          <w:spacing w:val="-90"/>
        </w:rPr>
      </w:r>
      <w:r>
        <w:rPr/>
        <w:t>管理信息系统专业，并于同年加入公司任职</w:t>
      </w:r>
      <w:r>
        <w:rPr>
          <w:rFonts w:ascii="Times New Roman" w:hAnsi="Times New Roman" w:cs="Times New Roman" w:eastAsia="Times New Roman" w:hint="default"/>
        </w:rPr>
        <w:t>ERP</w:t>
      </w:r>
      <w:r>
        <w:rPr/>
        <w:t>咨询顾问，</w:t>
      </w:r>
      <w:r>
        <w:rPr>
          <w:rFonts w:ascii="Times New Roman" w:hAnsi="Times New Roman" w:cs="Times New Roman" w:eastAsia="Times New Roman" w:hint="default"/>
        </w:rPr>
        <w:t>2006</w:t>
      </w:r>
      <w:r>
        <w:rPr/>
        <w:t>年担任公司北方区总经理，</w:t>
      </w:r>
      <w:r>
        <w:rPr>
          <w:spacing w:val="-56"/>
        </w:rPr>
        <w:t> </w:t>
      </w:r>
      <w:r>
        <w:rPr>
          <w:spacing w:val="-56"/>
        </w:rPr>
      </w:r>
      <w:r>
        <w:rPr>
          <w:rFonts w:ascii="Times New Roman" w:hAnsi="Times New Roman" w:cs="Times New Roman" w:eastAsia="Times New Roman" w:hint="default"/>
          <w:spacing w:val="-2"/>
        </w:rPr>
        <w:t>2007</w:t>
      </w:r>
      <w:r>
        <w:rPr>
          <w:spacing w:val="-2"/>
        </w:rPr>
        <w:t>年至</w:t>
      </w:r>
      <w:r>
        <w:rPr>
          <w:rFonts w:ascii="Times New Roman" w:hAnsi="Times New Roman" w:cs="Times New Roman" w:eastAsia="Times New Roman" w:hint="default"/>
          <w:spacing w:val="-2"/>
        </w:rPr>
        <w:t>2014</w:t>
      </w:r>
      <w:r>
        <w:rPr>
          <w:spacing w:val="-2"/>
        </w:rPr>
        <w:t>年担任公司华东区总经理，</w:t>
      </w:r>
      <w:r>
        <w:rPr>
          <w:rFonts w:ascii="Times New Roman" w:hAnsi="Times New Roman" w:cs="Times New Roman" w:eastAsia="Times New Roman" w:hint="default"/>
          <w:spacing w:val="-2"/>
        </w:rPr>
        <w:t>2015</w:t>
      </w:r>
      <w:r>
        <w:rPr>
          <w:spacing w:val="-2"/>
        </w:rPr>
        <w:t>年起担任公司运营总监，</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月起任本公司</w:t>
      </w:r>
      <w:r>
        <w:rPr>
          <w:spacing w:val="-105"/>
        </w:rPr>
        <w:t> </w:t>
      </w:r>
      <w:r>
        <w:rPr/>
        <w:t>总经理。 </w:t>
      </w:r>
      <w:r>
        <w:rPr>
          <w:rFonts w:ascii="宋体" w:hAnsi="宋体" w:cs="宋体" w:eastAsia="宋体" w:hint="default"/>
          <w:b/>
          <w:bCs/>
        </w:rPr>
        <w:t>张伟锋</w:t>
      </w:r>
      <w:r>
        <w:rPr/>
        <w:t>：男，中国国籍，无永久境外居留权，</w:t>
      </w:r>
      <w:r>
        <w:rPr>
          <w:rFonts w:ascii="Times New Roman" w:hAnsi="Times New Roman" w:cs="Times New Roman" w:eastAsia="Times New Roman" w:hint="default"/>
        </w:rPr>
        <w:t>1978</w:t>
      </w:r>
      <w:r>
        <w:rPr/>
        <w:t>年出生，硕士研究生学历。复旦大学企业</w:t>
      </w:r>
      <w:r>
        <w:rPr>
          <w:spacing w:val="-89"/>
        </w:rPr>
        <w:t> </w:t>
      </w:r>
      <w:r>
        <w:rPr>
          <w:spacing w:val="-89"/>
        </w:rPr>
      </w:r>
      <w:r>
        <w:rPr/>
        <w:t>管理专业本科、上海交通大学高级金融学院</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月加入汉得公司，历任</w:t>
      </w:r>
      <w:r>
        <w:rPr>
          <w:rFonts w:ascii="Times New Roman" w:hAnsi="Times New Roman" w:cs="Times New Roman" w:eastAsia="Times New Roman" w:hint="default"/>
        </w:rPr>
        <w:t>Oracle</w:t>
      </w:r>
      <w:r>
        <w:rPr/>
        <w:t>咨</w:t>
      </w:r>
      <w:r>
        <w:rPr>
          <w:spacing w:val="-100"/>
        </w:rPr>
        <w:t> </w:t>
      </w:r>
      <w:r>
        <w:rPr>
          <w:spacing w:val="-3"/>
        </w:rPr>
        <w:t>询顾问、</w:t>
      </w:r>
      <w:r>
        <w:rPr>
          <w:rFonts w:ascii="Times New Roman" w:hAnsi="Times New Roman" w:cs="Times New Roman" w:eastAsia="Times New Roman" w:hint="default"/>
          <w:spacing w:val="-3"/>
        </w:rPr>
        <w:t>MAS</w:t>
      </w:r>
      <w:r>
        <w:rPr>
          <w:spacing w:val="-3"/>
        </w:rPr>
        <w:t>咨询顾问、</w:t>
      </w:r>
      <w:r>
        <w:rPr>
          <w:rFonts w:ascii="Times New Roman" w:hAnsi="Times New Roman" w:cs="Times New Roman" w:eastAsia="Times New Roman" w:hint="default"/>
          <w:spacing w:val="-3"/>
        </w:rPr>
        <w:t>MAS</w:t>
      </w:r>
      <w:r>
        <w:rPr>
          <w:spacing w:val="-3"/>
        </w:rPr>
        <w:t>咨询部经理，自</w:t>
      </w:r>
      <w:r>
        <w:rPr>
          <w:rFonts w:ascii="Times New Roman" w:hAnsi="Times New Roman" w:cs="Times New Roman" w:eastAsia="Times New Roman" w:hint="default"/>
          <w:spacing w:val="-3"/>
        </w:rPr>
        <w:t>2011</w:t>
      </w:r>
      <w:r>
        <w:rPr>
          <w:spacing w:val="-3"/>
        </w:rPr>
        <w:t>年起担任汉得信息总经理助理</w:t>
      </w:r>
      <w:r>
        <w:rPr>
          <w:rFonts w:ascii="Times New Roman" w:hAnsi="Times New Roman" w:cs="Times New Roman" w:eastAsia="Times New Roman" w:hint="default"/>
          <w:spacing w:val="-3"/>
        </w:rPr>
        <w:t>/</w:t>
      </w:r>
      <w:r>
        <w:rPr>
          <w:spacing w:val="-3"/>
        </w:rPr>
        <w:t>证券事务代</w:t>
      </w:r>
      <w:r>
        <w:rPr>
          <w:spacing w:val="-95"/>
        </w:rPr>
        <w:t> </w:t>
      </w:r>
      <w:r>
        <w:rPr/>
        <w:t>表，</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日起担任公司董事会秘书、副总经理至今。 </w:t>
      </w:r>
      <w:r>
        <w:rPr>
          <w:rFonts w:ascii="宋体" w:hAnsi="宋体" w:cs="宋体" w:eastAsia="宋体" w:hint="default"/>
          <w:b/>
          <w:bCs/>
        </w:rPr>
        <w:t>王辛夷</w:t>
      </w:r>
      <w:r>
        <w:rPr/>
        <w:t>：女，中国国籍，</w:t>
      </w:r>
      <w:r>
        <w:rPr>
          <w:rFonts w:ascii="Times New Roman" w:hAnsi="Times New Roman" w:cs="Times New Roman" w:eastAsia="Times New Roman" w:hint="default"/>
        </w:rPr>
        <w:t>1976</w:t>
      </w:r>
      <w:r>
        <w:rPr/>
        <w:t>年出生，中国注册会计师。</w:t>
      </w:r>
      <w:r>
        <w:rPr>
          <w:rFonts w:ascii="Times New Roman" w:hAnsi="Times New Roman" w:cs="Times New Roman" w:eastAsia="Times New Roman" w:hint="default"/>
        </w:rPr>
        <w:t>1998</w:t>
      </w:r>
      <w:r>
        <w:rPr/>
        <w:t>年毕业于上海交通大学国际金</w:t>
      </w:r>
      <w:r>
        <w:rPr>
          <w:spacing w:val="-89"/>
        </w:rPr>
        <w:t> </w:t>
      </w:r>
      <w:r>
        <w:rPr>
          <w:spacing w:val="-89"/>
        </w:rPr>
      </w:r>
      <w:r>
        <w:rPr/>
        <w:t>融专业，获经济学学士。</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月，就职于普华永道中天会计师事务所，任审</w:t>
      </w:r>
      <w:r>
        <w:rPr>
          <w:spacing w:val="-88"/>
        </w:rPr>
        <w:t> </w:t>
      </w:r>
      <w:r>
        <w:rPr>
          <w:spacing w:val="-88"/>
        </w:rPr>
      </w:r>
      <w:r>
        <w:rPr>
          <w:spacing w:val="2"/>
        </w:rPr>
        <w:t>计部经理；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月，就职于毕马威企业咨询</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spacing w:val="2"/>
        </w:rPr>
        <w:t>有限公司，任财务咨询服</w:t>
      </w:r>
      <w:r>
        <w:rPr>
          <w:spacing w:val="-108"/>
        </w:rPr>
        <w:t> </w:t>
      </w:r>
      <w:r>
        <w:rPr>
          <w:spacing w:val="-108"/>
        </w:rPr>
      </w:r>
      <w:r>
        <w:rPr/>
        <w:t>务部高级经理。现任公司财务总监。</w:t>
      </w:r>
    </w:p>
    <w:p>
      <w:pPr>
        <w:spacing w:line="240" w:lineRule="auto" w:before="9"/>
        <w:rPr>
          <w:rFonts w:ascii="宋体" w:hAnsi="宋体" w:cs="宋体" w:eastAsia="宋体" w:hint="default"/>
          <w:sz w:val="28"/>
          <w:szCs w:val="28"/>
        </w:rPr>
      </w:pPr>
    </w:p>
    <w:p>
      <w:pPr>
        <w:pStyle w:val="BodyText"/>
        <w:spacing w:line="240" w:lineRule="auto"/>
        <w:ind w:right="498"/>
        <w:jc w:val="left"/>
      </w:pPr>
      <w:r>
        <w:rPr/>
        <w:t>在股东单位任职情况</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498"/>
        <w:jc w:val="left"/>
      </w:pPr>
      <w:r>
        <w:rPr/>
        <w:t>在其他单位任职情况</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1"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曲水迪宣创业投资管理合伙企业（有限合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6"/>
      </w:tblGrid>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华人文化控股集团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上海实业发展股份有限公司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上海友谊集团股份有限公司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上海飞科电器股份有限公司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上海复星医药（集团）股份有限公司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上海立信会计学院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国浩律师集团（上海）事务所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上海达美信息技术有限公司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扬州达美投资管理有限公司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上海禹哲投资管理合伙企业（有限合伙）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公司现任及报告期内离任董事、监事和高级管理人员近三年证券监管机构处罚的情况</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4261"/>
        <w:gridCol w:w="5310"/>
      </w:tblGrid>
      <w:tr>
        <w:trPr>
          <w:trHeight w:val="1363"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70"/>
              <w:jc w:val="both"/>
              <w:rPr>
                <w:rFonts w:ascii="宋体" w:hAnsi="宋体" w:cs="宋体" w:eastAsia="宋体" w:hint="default"/>
                <w:sz w:val="18"/>
                <w:szCs w:val="18"/>
              </w:rPr>
            </w:pPr>
            <w:r>
              <w:rPr>
                <w:rFonts w:ascii="宋体" w:hAnsi="宋体" w:cs="宋体" w:eastAsia="宋体" w:hint="default"/>
                <w:sz w:val="18"/>
                <w:szCs w:val="18"/>
              </w:rPr>
              <w:t>公司董事、监事报酬由股东大会决定，高级管理人员报酬由董事会 决定；在公司承担职务的董事、监事、高级管理人员报酬由公司支 付，董事、监事不另外支付津贴。独立董事津贴依据股东大会决议 支付。</w:t>
            </w:r>
          </w:p>
        </w:tc>
      </w:tr>
      <w:tr>
        <w:trPr>
          <w:trHeight w:val="428"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依据董事、监事、高级管理人员的分工及履行情况确定。</w:t>
            </w:r>
          </w:p>
        </w:tc>
      </w:tr>
      <w:tr>
        <w:trPr>
          <w:trHeight w:val="739"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67"/>
              <w:jc w:val="left"/>
              <w:rPr>
                <w:rFonts w:ascii="宋体" w:hAnsi="宋体" w:cs="宋体" w:eastAsia="宋体" w:hint="default"/>
                <w:sz w:val="18"/>
                <w:szCs w:val="18"/>
              </w:rPr>
            </w:pPr>
            <w:r>
              <w:rPr>
                <w:rFonts w:ascii="宋体" w:hAnsi="宋体" w:cs="宋体" w:eastAsia="宋体" w:hint="default"/>
                <w:sz w:val="18"/>
                <w:szCs w:val="18"/>
              </w:rPr>
              <w:t>公司现有董事、监事、高级管理人员共</w:t>
            </w:r>
            <w:r>
              <w:rPr>
                <w:rFonts w:ascii="Times New Roman" w:hAnsi="Times New Roman" w:cs="Times New Roman" w:eastAsia="Times New Roman" w:hint="default"/>
                <w:sz w:val="18"/>
                <w:szCs w:val="18"/>
              </w:rPr>
              <w:t>11</w:t>
            </w:r>
            <w:r>
              <w:rPr>
                <w:rFonts w:ascii="宋体" w:hAnsi="宋体" w:cs="宋体" w:eastAsia="宋体" w:hint="default"/>
                <w:sz w:val="18"/>
                <w:szCs w:val="18"/>
              </w:rPr>
              <w:t>人，</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年实际支付薪酬 如下表，董事、监事和高级管理人员的薪酬均已按规定支付。</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BodyText"/>
        <w:spacing w:line="240" w:lineRule="auto" w:before="44"/>
        <w:ind w:right="498"/>
        <w:jc w:val="left"/>
      </w:pPr>
      <w:r>
        <w:rPr/>
        <w:t>公司报告期内董事、监事和高级管理人员报酬情况</w:t>
      </w:r>
    </w:p>
    <w:p>
      <w:pPr>
        <w:pStyle w:val="BodyText"/>
        <w:spacing w:line="240" w:lineRule="auto" w:before="117"/>
        <w:ind w:left="0" w:right="150"/>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范建震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陈迪清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刘静波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张伟锋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王辛夷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351.72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公司董事、监事、高级管理人员报告期内被授予的股权激励情况</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4,103</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2,843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4,103</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4,103</w:t>
            </w:r>
          </w:p>
        </w:tc>
      </w:tr>
    </w:tbl>
    <w:p>
      <w:pPr>
        <w:spacing w:line="240" w:lineRule="auto" w:before="3"/>
        <w:rPr>
          <w:rFonts w:ascii="宋体" w:hAnsi="宋体" w:cs="宋体" w:eastAsia="宋体" w:hint="default"/>
          <w:b/>
          <w:bCs/>
          <w:sz w:val="19"/>
          <w:szCs w:val="19"/>
        </w:rPr>
      </w:pPr>
    </w:p>
    <w:p>
      <w:pPr>
        <w:pStyle w:val="Heading4"/>
        <w:spacing w:line="240" w:lineRule="auto" w:before="36"/>
        <w:ind w:right="95"/>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28"/>
          <w:szCs w:val="28"/>
        </w:rPr>
      </w:pPr>
    </w:p>
    <w:p>
      <w:pPr>
        <w:pStyle w:val="Heading3"/>
        <w:spacing w:line="357" w:lineRule="auto" w:before="0"/>
        <w:ind w:right="95" w:firstLine="480"/>
        <w:jc w:val="left"/>
      </w:pPr>
      <w:r>
        <w:rPr>
          <w:spacing w:val="-3"/>
        </w:rPr>
        <w:t>公司建立了较完善的薪酬体系，根据有关法律法规并结合公司实际情况制定了员工薪酬、</w:t>
      </w:r>
      <w:r>
        <w:rPr/>
        <w:t> 绩效考核、员工福利等制度。并在报告期内向公司核心技术（业务）人员授予限制性股票，</w:t>
      </w:r>
      <w:r>
        <w:rPr>
          <w:spacing w:val="-91"/>
        </w:rPr>
        <w:t> </w:t>
      </w:r>
      <w:r>
        <w:rPr>
          <w:spacing w:val="-91"/>
        </w:rPr>
      </w:r>
      <w:r>
        <w:rPr/>
        <w:t>充分调动员工的积极性和创造性。</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pStyle w:val="Heading4"/>
        <w:spacing w:line="240" w:lineRule="auto"/>
        <w:ind w:right="95"/>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28"/>
          <w:szCs w:val="28"/>
        </w:rPr>
      </w:pPr>
    </w:p>
    <w:p>
      <w:pPr>
        <w:pStyle w:val="Heading3"/>
        <w:spacing w:line="357" w:lineRule="auto" w:before="0"/>
        <w:ind w:right="238" w:firstLine="480"/>
        <w:jc w:val="both"/>
      </w:pPr>
      <w:r>
        <w:rPr/>
        <w:t>公司非常注重员工的培训工作，积极寻求各种培训资源和渠道，建立了较为完善的培训 体系。公司每年根据发展需求制定详细的培训计划，有针对性地开展如项目经理培训、新员</w:t>
      </w:r>
      <w:r>
        <w:rPr>
          <w:spacing w:val="-91"/>
        </w:rPr>
        <w:t> </w:t>
      </w:r>
      <w:r>
        <w:rPr>
          <w:spacing w:val="-91"/>
        </w:rPr>
      </w:r>
      <w:r>
        <w:rPr/>
        <w:t>工培训、高级管理人员培训、业务培训等。从而切实有效地加强企业文化建设和提高各类人</w:t>
      </w:r>
      <w:r>
        <w:rPr>
          <w:spacing w:val="-91"/>
        </w:rPr>
        <w:t> </w:t>
      </w:r>
      <w:r>
        <w:rPr>
          <w:spacing w:val="-91"/>
        </w:rPr>
      </w:r>
      <w:r>
        <w:rPr/>
        <w:t>员的专业水平。</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3"/>
          <w:szCs w:val="33"/>
        </w:rPr>
      </w:pPr>
    </w:p>
    <w:p>
      <w:pPr>
        <w:pStyle w:val="Heading4"/>
        <w:spacing w:line="240" w:lineRule="auto"/>
        <w:ind w:right="95"/>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26"/>
        <w:jc w:val="center"/>
        <w:rPr>
          <w:b w:val="0"/>
          <w:bCs w:val="0"/>
        </w:rPr>
      </w:pPr>
      <w:bookmarkStart w:name="_TOC_250002" w:id="9"/>
      <w:r>
        <w:rPr/>
        <w:t>第九节</w:t>
      </w:r>
      <w:r>
        <w:rPr>
          <w:spacing w:val="-1"/>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5"/>
        <w:jc w:val="left"/>
        <w:rPr>
          <w:b w:val="0"/>
          <w:bCs w:val="0"/>
        </w:rPr>
      </w:pPr>
      <w:r>
        <w:rPr/>
        <w:t>一、公司治理的基本状况</w:t>
      </w:r>
      <w:r>
        <w:rPr>
          <w:b w:val="0"/>
          <w:bCs w:val="0"/>
        </w:rPr>
      </w:r>
    </w:p>
    <w:p>
      <w:pPr>
        <w:spacing w:line="240" w:lineRule="auto" w:before="8"/>
        <w:rPr>
          <w:rFonts w:ascii="宋体" w:hAnsi="宋体" w:cs="宋体" w:eastAsia="宋体" w:hint="default"/>
          <w:b/>
          <w:bCs/>
          <w:sz w:val="28"/>
          <w:szCs w:val="28"/>
        </w:rPr>
      </w:pPr>
    </w:p>
    <w:p>
      <w:pPr>
        <w:pStyle w:val="Heading3"/>
        <w:spacing w:line="357" w:lineRule="auto" w:before="0"/>
        <w:ind w:right="95" w:firstLine="480"/>
        <w:jc w:val="left"/>
      </w:pPr>
      <w:r>
        <w:rPr/>
        <w:t>公司按照《公司法》、《证券法》、《深圳证券交易所创业板股票上市规则》、《深圳 证券交易所创业板上市公司规范运作指引》等相关法律、法规和规范性文件的要求，完善了</w:t>
      </w:r>
      <w:r>
        <w:rPr>
          <w:spacing w:val="-91"/>
        </w:rPr>
        <w:t> </w:t>
      </w:r>
      <w:r>
        <w:rPr>
          <w:spacing w:val="-91"/>
        </w:rPr>
      </w:r>
      <w:r>
        <w:rPr/>
        <w:t>由公司股东大会、董事会、监事会和管理层组成的治理架构，形成了权力机构、决策机构、</w:t>
      </w:r>
      <w:r>
        <w:rPr>
          <w:spacing w:val="-91"/>
        </w:rPr>
        <w:t> </w:t>
      </w:r>
      <w:r>
        <w:rPr>
          <w:spacing w:val="-91"/>
        </w:rPr>
      </w:r>
      <w:r>
        <w:rPr>
          <w:spacing w:val="-2"/>
        </w:rPr>
        <w:t>监督机构和管理层之间的相互协调和相互制衡机制，逐步建立了科学和规范的法人治理结构，</w:t>
      </w:r>
      <w:r>
        <w:rPr/>
        <w:t> 为公司高效经营提供了制度保证。</w:t>
      </w:r>
    </w:p>
    <w:p>
      <w:pPr>
        <w:pStyle w:val="Heading3"/>
        <w:spacing w:line="357" w:lineRule="auto"/>
        <w:ind w:right="109" w:firstLine="480"/>
        <w:jc w:val="both"/>
      </w:pPr>
      <w:r>
        <w:rPr/>
        <w:t>目前，公司在治理方面的各项规章制度配套齐全，主要有《公司章程》、《股东大会议 事规则》、《董事会议事规则》、《监事会议事规则》、《总经理工作细则》、《关联交易</w:t>
      </w:r>
      <w:r>
        <w:rPr>
          <w:spacing w:val="-91"/>
        </w:rPr>
        <w:t> </w:t>
      </w:r>
      <w:r>
        <w:rPr>
          <w:spacing w:val="-91"/>
        </w:rPr>
      </w:r>
      <w:r>
        <w:rPr>
          <w:spacing w:val="-8"/>
        </w:rPr>
        <w:t>决策制度》、《募集资金使用管理办法》、《董事会秘书工作细则》、《独立董事议事规则》、</w:t>
      </w:r>
    </w:p>
    <w:p>
      <w:pPr>
        <w:pStyle w:val="Heading3"/>
        <w:spacing w:line="357" w:lineRule="auto"/>
        <w:ind w:right="95"/>
        <w:jc w:val="left"/>
      </w:pPr>
      <w:r>
        <w:rPr>
          <w:spacing w:val="-3"/>
        </w:rPr>
        <w:t>《信息披露管理制度》、《董事会专门委员会议事规则》等。报告期内，股东大会、董事会、</w:t>
      </w:r>
      <w:r>
        <w:rPr>
          <w:spacing w:val="-81"/>
        </w:rPr>
        <w:t> </w:t>
      </w:r>
      <w:r>
        <w:rPr>
          <w:spacing w:val="-81"/>
        </w:rPr>
      </w:r>
      <w:r>
        <w:rPr/>
        <w:t>监事会依法运作，不断地完善公司治理架构，建立健全公司内部控制制度，进一步提高公司</w:t>
      </w:r>
      <w:r>
        <w:rPr>
          <w:spacing w:val="-91"/>
        </w:rPr>
        <w:t> </w:t>
      </w:r>
      <w:r>
        <w:rPr>
          <w:spacing w:val="-91"/>
        </w:rPr>
      </w:r>
      <w:r>
        <w:rPr/>
        <w:t>治理水平，公司治理的实际情况符合中国证监会、深圳证券交易所等发布的法律、法规和规</w:t>
      </w:r>
      <w:r>
        <w:rPr>
          <w:spacing w:val="-91"/>
        </w:rPr>
        <w:t> </w:t>
      </w:r>
      <w:r>
        <w:rPr>
          <w:spacing w:val="-91"/>
        </w:rPr>
      </w:r>
      <w:r>
        <w:rPr/>
        <w:t>范性文件的要求。</w:t>
      </w:r>
    </w:p>
    <w:p>
      <w:pPr>
        <w:pStyle w:val="Heading3"/>
        <w:spacing w:line="357" w:lineRule="auto"/>
        <w:ind w:left="657" w:right="229" w:hanging="504"/>
        <w:jc w:val="left"/>
      </w:pPr>
      <w:r>
        <w:rPr/>
        <w:t>（一）关于股东与股东大会 公司严格按照《公司法》、《深圳证券交易所创业板上市公司规范运作指引》、《公司</w:t>
      </w:r>
    </w:p>
    <w:p>
      <w:pPr>
        <w:pStyle w:val="Heading3"/>
        <w:spacing w:line="357" w:lineRule="auto"/>
        <w:ind w:right="237"/>
        <w:jc w:val="both"/>
      </w:pPr>
      <w:r>
        <w:rPr/>
        <w:t>章程》、《股东大会议事规则》等法律、法规和规定性文件的规定和要求，规范股东大会的</w:t>
      </w:r>
      <w:r>
        <w:rPr>
          <w:spacing w:val="-91"/>
        </w:rPr>
        <w:t> </w:t>
      </w:r>
      <w:r>
        <w:rPr>
          <w:spacing w:val="-91"/>
        </w:rPr>
      </w:r>
      <w:r>
        <w:rPr/>
        <w:t>召集、召开和表决程序，在股东大会上能够保证各位股东有充分的发言权，确保全体股东特</w:t>
      </w:r>
      <w:r>
        <w:rPr>
          <w:spacing w:val="-90"/>
        </w:rPr>
        <w:t> </w:t>
      </w:r>
      <w:r>
        <w:rPr>
          <w:spacing w:val="-90"/>
        </w:rPr>
      </w:r>
      <w:r>
        <w:rPr/>
        <w:t>别是中小股东享有平等地位，充分行使自己的权力。</w:t>
      </w:r>
    </w:p>
    <w:p>
      <w:pPr>
        <w:pStyle w:val="Heading3"/>
        <w:spacing w:line="352" w:lineRule="auto"/>
        <w:ind w:right="224" w:firstLine="480"/>
        <w:jc w:val="both"/>
      </w:pPr>
      <w:r>
        <w:rPr/>
        <w:t>报告期内，本公司召开的股东大会不存在违反《股东大会议事规则》的情形，公司未发 生单独或合并持有本公司有表决权股份总数</w:t>
      </w:r>
      <w:r>
        <w:rPr>
          <w:rFonts w:ascii="Times New Roman" w:hAnsi="Times New Roman" w:cs="Times New Roman" w:eastAsia="Times New Roman" w:hint="default"/>
        </w:rPr>
        <w:t>10%</w:t>
      </w:r>
      <w:r>
        <w:rPr/>
        <w:t>以上的股东请求召开临时股东大会的情形，</w:t>
      </w:r>
      <w:r>
        <w:rPr>
          <w:spacing w:val="-50"/>
        </w:rPr>
        <w:t> </w:t>
      </w:r>
      <w:r>
        <w:rPr>
          <w:spacing w:val="-50"/>
        </w:rPr>
      </w:r>
      <w:r>
        <w:rPr/>
        <w:t>也无应监事会提议召开的股东大会。按照《公司法》、《公司章程》的规定应由股东大会审</w:t>
      </w:r>
      <w:r>
        <w:rPr>
          <w:spacing w:val="-91"/>
        </w:rPr>
        <w:t> </w:t>
      </w:r>
      <w:r>
        <w:rPr>
          <w:spacing w:val="-91"/>
        </w:rPr>
      </w:r>
      <w:r>
        <w:rPr/>
        <w:t>议的重大事项，本公司均通过股东大会审议，不存在绕过股东大会的情况，也不存在先实施</w:t>
      </w:r>
      <w:r>
        <w:rPr>
          <w:spacing w:val="-91"/>
        </w:rPr>
        <w:t> </w:t>
      </w:r>
      <w:r>
        <w:rPr>
          <w:spacing w:val="-91"/>
        </w:rPr>
      </w:r>
      <w:r>
        <w:rPr/>
        <w:t>后审议的情况。</w:t>
      </w:r>
    </w:p>
    <w:p>
      <w:pPr>
        <w:pStyle w:val="Heading3"/>
        <w:spacing w:line="357" w:lineRule="auto" w:before="41"/>
        <w:ind w:left="657" w:right="229" w:hanging="504"/>
        <w:jc w:val="left"/>
      </w:pPr>
      <w:r>
        <w:rPr/>
        <w:t>（二）关于公司与实际控制人 公司实际控制人严格按照《上市公司治理准则》、《深圳证券交易所创业板股票上市规</w:t>
      </w:r>
    </w:p>
    <w:p>
      <w:pPr>
        <w:pStyle w:val="Heading3"/>
        <w:spacing w:line="240" w:lineRule="auto"/>
        <w:ind w:right="95"/>
        <w:jc w:val="left"/>
      </w:pPr>
      <w:r>
        <w:rPr/>
        <w:t>则》、《公司章程》等规定的要求，依法行使其权力并承担相应义务，没有超越股东大会、</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before="26"/>
        <w:ind w:right="238"/>
        <w:jc w:val="both"/>
      </w:pPr>
      <w:r>
        <w:rPr/>
        <w:t>董事会直接或间接干预公司的决策和经营活动。同时，公司具有独立的业务和经营系统，拥</w:t>
      </w:r>
      <w:r>
        <w:rPr>
          <w:spacing w:val="-91"/>
        </w:rPr>
        <w:t> </w:t>
      </w:r>
      <w:r>
        <w:rPr>
          <w:spacing w:val="-91"/>
        </w:rPr>
      </w:r>
      <w:r>
        <w:rPr/>
        <w:t>有自主决策能力，在业务、人员、资产、机构、财务上独立于实际控制人。公司不存在向实</w:t>
      </w:r>
      <w:r>
        <w:rPr>
          <w:spacing w:val="-91"/>
        </w:rPr>
        <w:t> </w:t>
      </w:r>
      <w:r>
        <w:rPr>
          <w:spacing w:val="-91"/>
        </w:rPr>
      </w:r>
      <w:r>
        <w:rPr/>
        <w:t>际控制人提供未公开信息等公司治理不规范的情况。</w:t>
      </w:r>
    </w:p>
    <w:p>
      <w:pPr>
        <w:pStyle w:val="Heading3"/>
        <w:spacing w:line="357" w:lineRule="auto"/>
        <w:ind w:left="657" w:right="226" w:hanging="504"/>
        <w:jc w:val="left"/>
      </w:pPr>
      <w:r>
        <w:rPr/>
        <w:t>（三）关于董事与董事会 </w:t>
      </w:r>
      <w:r>
        <w:rPr>
          <w:spacing w:val="-3"/>
        </w:rPr>
        <w:t>公司董事会由</w:t>
      </w:r>
      <w:r>
        <w:rPr>
          <w:rFonts w:ascii="Times New Roman" w:hAnsi="Times New Roman" w:cs="Times New Roman" w:eastAsia="Times New Roman" w:hint="default"/>
          <w:spacing w:val="-3"/>
        </w:rPr>
        <w:t>5</w:t>
      </w:r>
      <w:r>
        <w:rPr>
          <w:spacing w:val="-3"/>
        </w:rPr>
        <w:t>名董事组成，选聘程序规范，人数和人员构成均符合相关法律法规和《公</w:t>
      </w:r>
    </w:p>
    <w:p>
      <w:pPr>
        <w:pStyle w:val="Heading3"/>
        <w:spacing w:line="355" w:lineRule="auto" w:before="5"/>
        <w:ind w:right="95"/>
        <w:jc w:val="left"/>
      </w:pPr>
      <w:r>
        <w:rPr>
          <w:spacing w:val="-5"/>
        </w:rPr>
        <w:t>司章程》的规定。公司依法选聘</w:t>
      </w:r>
      <w:r>
        <w:rPr>
          <w:rFonts w:ascii="Times New Roman" w:hAnsi="Times New Roman" w:cs="Times New Roman" w:eastAsia="Times New Roman" w:hint="default"/>
          <w:spacing w:val="-5"/>
        </w:rPr>
        <w:t>3</w:t>
      </w:r>
      <w:r>
        <w:rPr>
          <w:spacing w:val="-5"/>
        </w:rPr>
        <w:t>名独立董事，其中</w:t>
      </w:r>
      <w:r>
        <w:rPr>
          <w:rFonts w:ascii="Times New Roman" w:hAnsi="Times New Roman" w:cs="Times New Roman" w:eastAsia="Times New Roman" w:hint="default"/>
          <w:spacing w:val="-5"/>
        </w:rPr>
        <w:t>1</w:t>
      </w:r>
      <w:r>
        <w:rPr>
          <w:spacing w:val="-5"/>
        </w:rPr>
        <w:t>名为会计专业人士，符合中国证监会《关</w:t>
      </w:r>
      <w:r>
        <w:rPr>
          <w:spacing w:val="-115"/>
        </w:rPr>
        <w:t> </w:t>
      </w:r>
      <w:r>
        <w:rPr>
          <w:spacing w:val="-115"/>
        </w:rPr>
      </w:r>
      <w:r>
        <w:rPr/>
        <w:t>于在上市公司建立独立董事制度的指导意见》的要求。各位董事均能按照《公司法》、《证</w:t>
      </w:r>
      <w:r>
        <w:rPr>
          <w:spacing w:val="-91"/>
        </w:rPr>
        <w:t> </w:t>
      </w:r>
      <w:r>
        <w:rPr>
          <w:spacing w:val="-91"/>
        </w:rPr>
      </w:r>
      <w:r>
        <w:rPr/>
        <w:t>券法》、《深圳证券交易所创业板股票上市规则》等法律法规及规范性文件的要求，认真勤</w:t>
      </w:r>
      <w:r>
        <w:rPr>
          <w:spacing w:val="-91"/>
        </w:rPr>
        <w:t> </w:t>
      </w:r>
      <w:r>
        <w:rPr>
          <w:spacing w:val="-91"/>
        </w:rPr>
      </w:r>
      <w:r>
        <w:rPr/>
        <w:t>勉的履行职责和义务，为公司发展献言献策；独立董事能够独立地作出判断并发表意见。公</w:t>
      </w:r>
      <w:r>
        <w:rPr>
          <w:spacing w:val="-91"/>
        </w:rPr>
        <w:t> </w:t>
      </w:r>
      <w:r>
        <w:rPr>
          <w:spacing w:val="-91"/>
        </w:rPr>
      </w:r>
      <w:r>
        <w:rPr>
          <w:spacing w:val="-3"/>
        </w:rPr>
        <w:t>司按照《深圳证券交易所创业板上市公司规范运作指引》的要求，董事会下设有战略委员会、</w:t>
      </w:r>
      <w:r>
        <w:rPr>
          <w:spacing w:val="-81"/>
        </w:rPr>
        <w:t> </w:t>
      </w:r>
      <w:r>
        <w:rPr>
          <w:spacing w:val="-81"/>
        </w:rPr>
      </w:r>
      <w:r>
        <w:rPr/>
        <w:t>审计委员会、提名委员会和薪酬与考核委员会。专门委员会严格按照有关法律法规及《公司</w:t>
      </w:r>
      <w:r>
        <w:rPr>
          <w:spacing w:val="-91"/>
        </w:rPr>
        <w:t> </w:t>
      </w:r>
      <w:r>
        <w:rPr>
          <w:spacing w:val="-91"/>
        </w:rPr>
      </w:r>
      <w:r>
        <w:rPr/>
        <w:t>章程》、《董事会专门委员会议事规则》等制度履行各其职责，运行情况良好。</w:t>
      </w:r>
    </w:p>
    <w:p>
      <w:pPr>
        <w:pStyle w:val="Heading3"/>
        <w:spacing w:line="357" w:lineRule="auto" w:before="38"/>
        <w:ind w:left="657" w:right="229" w:hanging="504"/>
        <w:jc w:val="left"/>
      </w:pPr>
      <w:r>
        <w:rPr/>
        <w:t>（四）关于监事和监事会 公司监事会由</w:t>
      </w:r>
      <w:r>
        <w:rPr>
          <w:rFonts w:ascii="Times New Roman" w:hAnsi="Times New Roman" w:cs="Times New Roman" w:eastAsia="Times New Roman" w:hint="default"/>
        </w:rPr>
        <w:t>3</w:t>
      </w:r>
      <w:r>
        <w:rPr/>
        <w:t>名监事组成，其中</w:t>
      </w:r>
      <w:r>
        <w:rPr>
          <w:rFonts w:ascii="Times New Roman" w:hAnsi="Times New Roman" w:cs="Times New Roman" w:eastAsia="Times New Roman" w:hint="default"/>
        </w:rPr>
        <w:t>1</w:t>
      </w:r>
      <w:r>
        <w:rPr/>
        <w:t>名监事由非股东职工担任，其人数和人员构成均符合</w:t>
      </w:r>
    </w:p>
    <w:p>
      <w:pPr>
        <w:pStyle w:val="Heading3"/>
        <w:spacing w:line="357" w:lineRule="auto" w:before="5"/>
        <w:ind w:right="95"/>
        <w:jc w:val="left"/>
      </w:pPr>
      <w:r>
        <w:rPr>
          <w:spacing w:val="-3"/>
        </w:rPr>
        <w:t>相关法律法规的要求；所有监事均能按照《公司章程》、《监事会议事规则》等规定的要求，</w:t>
      </w:r>
      <w:r>
        <w:rPr>
          <w:spacing w:val="-84"/>
        </w:rPr>
        <w:t> </w:t>
      </w:r>
      <w:r>
        <w:rPr>
          <w:spacing w:val="-84"/>
        </w:rPr>
      </w:r>
      <w:r>
        <w:rPr/>
        <w:t>认真履行自己的职责，对公司重大事项、财务状况以及董事、高管人员履行职责的合法合规</w:t>
      </w:r>
      <w:r>
        <w:rPr>
          <w:spacing w:val="-91"/>
        </w:rPr>
        <w:t> </w:t>
      </w:r>
      <w:r>
        <w:rPr>
          <w:spacing w:val="-91"/>
        </w:rPr>
      </w:r>
      <w:r>
        <w:rPr/>
        <w:t>性进行有效监督。报告期内，公司监事参加了相关培训，通过进一步学习、熟悉有关法律法</w:t>
      </w:r>
      <w:r>
        <w:rPr>
          <w:spacing w:val="-91"/>
        </w:rPr>
        <w:t> </w:t>
      </w:r>
      <w:r>
        <w:rPr>
          <w:spacing w:val="-91"/>
        </w:rPr>
      </w:r>
      <w:r>
        <w:rPr/>
        <w:t>规，切实提高了履行监事职责的能力。</w:t>
      </w:r>
    </w:p>
    <w:p>
      <w:pPr>
        <w:pStyle w:val="Heading3"/>
        <w:spacing w:line="357" w:lineRule="auto"/>
        <w:ind w:left="657" w:right="229" w:hanging="504"/>
        <w:jc w:val="left"/>
      </w:pPr>
      <w:r>
        <w:rPr/>
        <w:t>（五）关于相关利益者 公司充分尊重和维护相关利益者的合法权益，重视公司的社会责任，积极与相关利益者</w:t>
      </w:r>
    </w:p>
    <w:p>
      <w:pPr>
        <w:pStyle w:val="Heading3"/>
        <w:spacing w:line="357" w:lineRule="auto"/>
        <w:ind w:right="95"/>
        <w:jc w:val="left"/>
      </w:pPr>
      <w:r>
        <w:rPr/>
        <w:t>合作，加强与各方的沟通和交流，实现股东、员工、社会等各方利益的协调平衡，共同推动</w:t>
      </w:r>
      <w:r>
        <w:rPr>
          <w:spacing w:val="-90"/>
        </w:rPr>
        <w:t> </w:t>
      </w:r>
      <w:r>
        <w:rPr>
          <w:spacing w:val="-90"/>
        </w:rPr>
      </w:r>
      <w:r>
        <w:rPr/>
        <w:t>公司持续、健康的发展。</w:t>
      </w:r>
    </w:p>
    <w:p>
      <w:pPr>
        <w:pStyle w:val="Heading3"/>
        <w:spacing w:line="357" w:lineRule="auto"/>
        <w:ind w:left="657" w:right="106" w:hanging="504"/>
        <w:jc w:val="left"/>
      </w:pPr>
      <w:r>
        <w:rPr/>
        <w:t>（六）关于信息披露与透明度 </w:t>
      </w:r>
      <w:r>
        <w:rPr>
          <w:spacing w:val="-3"/>
        </w:rPr>
        <w:t>公司严格按照有关法律法规以及《公司章程》、《深圳证券交易所创业板股票上市规则》</w:t>
      </w:r>
    </w:p>
    <w:p>
      <w:pPr>
        <w:pStyle w:val="Heading3"/>
        <w:spacing w:line="357" w:lineRule="auto"/>
        <w:ind w:right="231"/>
        <w:jc w:val="both"/>
      </w:pPr>
      <w:r>
        <w:rPr/>
        <w:t>等的要求，真实、准确、及时、公平、完整地披露有关信息，指定公司董事会秘书负责信息</w:t>
      </w:r>
      <w:r>
        <w:rPr>
          <w:spacing w:val="-91"/>
        </w:rPr>
        <w:t> </w:t>
      </w:r>
      <w:r>
        <w:rPr>
          <w:spacing w:val="-91"/>
        </w:rPr>
      </w:r>
      <w:r>
        <w:rPr/>
        <w:t>披露工作，协调公司与投资者的关系，接待股东来访，回答投资者咨询，向投资者提供公司</w:t>
      </w:r>
      <w:r>
        <w:rPr>
          <w:spacing w:val="-91"/>
        </w:rPr>
        <w:t> </w:t>
      </w:r>
      <w:r>
        <w:rPr>
          <w:spacing w:val="-91"/>
        </w:rPr>
      </w:r>
      <w:r>
        <w:rPr>
          <w:spacing w:val="6"/>
        </w:rPr>
        <w:t>已披露的资料，并指定《证券时报》、《中国证券报》、《上海证券报》、和巨潮资讯网</w:t>
      </w:r>
    </w:p>
    <w:p>
      <w:pPr>
        <w:pStyle w:val="Heading3"/>
        <w:spacing w:line="338" w:lineRule="auto"/>
        <w:ind w:right="220"/>
        <w:jc w:val="left"/>
      </w:pPr>
      <w:r>
        <w:rPr/>
        <w:t>（</w:t>
      </w:r>
      <w:hyperlink r:id="rId12">
        <w:r>
          <w:rPr>
            <w:rFonts w:ascii="Times New Roman" w:hAnsi="Times New Roman" w:cs="Times New Roman" w:eastAsia="Times New Roman" w:hint="default"/>
          </w:rPr>
          <w:t>www.cninfo.com.cn</w:t>
        </w:r>
      </w:hyperlink>
      <w:r>
        <w:rPr/>
        <w:t>）为公司信息披露的指定报纸和网站，确保公司所有股东能够以平等的</w:t>
      </w:r>
      <w:r>
        <w:rPr>
          <w:spacing w:val="-117"/>
        </w:rPr>
        <w:t> </w:t>
      </w:r>
      <w:r>
        <w:rPr>
          <w:spacing w:val="-117"/>
        </w:rPr>
      </w:r>
      <w:r>
        <w:rPr/>
        <w:t>机会获得信息。</w:t>
      </w:r>
    </w:p>
    <w:p>
      <w:pPr>
        <w:spacing w:after="0" w:line="338" w:lineRule="auto"/>
        <w:jc w:val="left"/>
        <w:sectPr>
          <w:pgSz w:w="11910" w:h="16840"/>
          <w:pgMar w:header="745" w:footer="979" w:top="1060" w:bottom="1160" w:left="980" w:right="900"/>
        </w:sectPr>
      </w:pPr>
    </w:p>
    <w:p>
      <w:pPr>
        <w:spacing w:line="240" w:lineRule="auto" w:before="9"/>
        <w:rPr>
          <w:rFonts w:ascii="宋体" w:hAnsi="宋体" w:cs="宋体" w:eastAsia="宋体" w:hint="default"/>
          <w:sz w:val="25"/>
          <w:szCs w:val="25"/>
        </w:rPr>
      </w:pPr>
    </w:p>
    <w:p>
      <w:pPr>
        <w:pStyle w:val="BodyText"/>
        <w:spacing w:line="240" w:lineRule="auto" w:before="44"/>
        <w:ind w:right="498"/>
        <w:jc w:val="left"/>
      </w:pPr>
      <w:r>
        <w:rPr/>
        <w:t>公司治理的实际状况与中国证监会发布的有关上市公司治理的规范性文件是否存在重大差异</w:t>
      </w:r>
    </w:p>
    <w:p>
      <w:pPr>
        <w:pStyle w:val="BodyText"/>
        <w:spacing w:line="338" w:lineRule="auto" w:before="117"/>
        <w:ind w:right="25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498"/>
        <w:jc w:val="left"/>
        <w:rPr>
          <w:b w:val="0"/>
          <w:bCs w:val="0"/>
        </w:rPr>
      </w:pPr>
      <w:r>
        <w:rPr/>
        <w:t>二、公司相对于控股股东在业务、人员、资产、机构、财务等方面的独立情况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158" w:firstLine="480"/>
        <w:jc w:val="both"/>
      </w:pPr>
      <w:r>
        <w:rPr/>
        <w:t>公司严格按照《公司法》、《证券法》等有关法律、法规和《公司章程》的要求规范运 作，与控股股东在业务、人员、资产、机构、财务等方面完全独立，具有独立完整的业务及</w:t>
      </w:r>
      <w:r>
        <w:rPr>
          <w:spacing w:val="-91"/>
        </w:rPr>
        <w:t> </w:t>
      </w:r>
      <w:r>
        <w:rPr>
          <w:spacing w:val="-91"/>
        </w:rPr>
      </w:r>
      <w:r>
        <w:rPr/>
        <w:t>自主经营能力。</w:t>
      </w:r>
    </w:p>
    <w:p>
      <w:pPr>
        <w:spacing w:line="240" w:lineRule="auto" w:before="12"/>
        <w:rPr>
          <w:rFonts w:ascii="宋体" w:hAnsi="宋体" w:cs="宋体" w:eastAsia="宋体" w:hint="default"/>
          <w:sz w:val="19"/>
          <w:szCs w:val="19"/>
        </w:rPr>
      </w:pPr>
    </w:p>
    <w:p>
      <w:pPr>
        <w:pStyle w:val="Heading2"/>
        <w:spacing w:line="240" w:lineRule="auto"/>
        <w:ind w:right="498"/>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4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2015-047</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2015-019</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2015-058</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1"/>
              <w:ind w:left="24"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公告编号：</w:t>
            </w:r>
            <w:r>
              <w:rPr>
                <w:rFonts w:ascii="Times New Roman" w:hAnsi="Times New Roman" w:cs="Times New Roman" w:eastAsia="Times New Roman" w:hint="default"/>
                <w:spacing w:val="-5"/>
                <w:sz w:val="18"/>
                <w:szCs w:val="18"/>
              </w:rPr>
              <w:t>2015-079</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498"/>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
        <w:rPr>
          <w:rFonts w:ascii="宋体" w:hAnsi="宋体" w:cs="宋体" w:eastAsia="宋体" w:hint="default"/>
          <w:b/>
          <w:bCs/>
          <w:sz w:val="26"/>
          <w:szCs w:val="26"/>
        </w:rPr>
      </w:pPr>
    </w:p>
    <w:p>
      <w:pPr>
        <w:spacing w:line="400"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5pt;height:20.05pt;mso-position-horizontal-relative:char;mso-position-vertical-relative:line" type="#_x0000_t202" filled="true" fillcolor="#d2d2d2" stroked="true" strokeweight=".47998pt" strokecolor="#000000">
            <w10:anchorlock/>
            <v:textbox inset="0,0,0,0">
              <w:txbxContent>
                <w:p>
                  <w:pPr>
                    <w:pStyle w:val="BodyText"/>
                    <w:spacing w:line="240" w:lineRule="auto" w:before="49"/>
                    <w:ind w:left="-1" w:right="0"/>
                    <w:jc w:val="center"/>
                  </w:pPr>
                  <w:r>
                    <w:rPr/>
                    <w:t>独立董事出席董事会情况</w:t>
                  </w:r>
                </w:p>
              </w:txbxContent>
            </v:textbox>
            <v:fill type="solid"/>
          </v:shape>
        </w:pict>
      </w:r>
      <w:r>
        <w:rPr>
          <w:rFonts w:ascii="宋体" w:hAnsi="宋体" w:cs="宋体" w:eastAsia="宋体" w:hint="default"/>
          <w:position w:val="-7"/>
          <w:sz w:val="20"/>
          <w:szCs w:val="20"/>
        </w:rPr>
      </w:r>
    </w:p>
    <w:p>
      <w:pPr>
        <w:spacing w:after="0" w:line="400" w:lineRule="exact"/>
        <w:rPr>
          <w:rFonts w:ascii="宋体" w:hAnsi="宋体" w:cs="宋体" w:eastAsia="宋体" w:hint="default"/>
          <w:sz w:val="20"/>
          <w:szCs w:val="20"/>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3"/>
        <w:gridCol w:w="1325"/>
        <w:gridCol w:w="1325"/>
      </w:tblGrid>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7" w:right="27"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陈靖丰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曹惠民</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7" w:lineRule="auto" w:before="49"/>
        <w:ind w:right="7073"/>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5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58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独立董事对公司有关建议被采纳或未被采纳的说明</w:t>
      </w:r>
    </w:p>
    <w:p>
      <w:pPr>
        <w:pStyle w:val="Heading3"/>
        <w:spacing w:line="357" w:lineRule="auto" w:before="70"/>
        <w:ind w:right="154" w:firstLine="480"/>
        <w:jc w:val="both"/>
        <w:rPr>
          <w:rFonts w:ascii="宋体" w:hAnsi="宋体" w:cs="宋体" w:eastAsia="宋体" w:hint="default"/>
        </w:rPr>
      </w:pPr>
      <w:r>
        <w:rPr/>
        <w:t>公司独立董事勤勉尽责，积极出席相关会议，认真审阅各项议案，客观地发表自己的看 法和观点，了解公司运营、经营状况、内部控制建设以及董事会决议和股东大会决议的执行</w:t>
      </w:r>
      <w:r>
        <w:rPr>
          <w:spacing w:val="-91"/>
        </w:rPr>
        <w:t> </w:t>
      </w:r>
      <w:r>
        <w:rPr>
          <w:spacing w:val="-91"/>
        </w:rPr>
      </w:r>
      <w:r>
        <w:rPr/>
        <w:t>情况。严格按照中国证监会的相关规定及《公司章程》、《董事会议事规则》和《独立董事</w:t>
      </w:r>
      <w:r>
        <w:rPr>
          <w:spacing w:val="-91"/>
        </w:rPr>
        <w:t> </w:t>
      </w:r>
      <w:r>
        <w:rPr>
          <w:spacing w:val="-91"/>
        </w:rPr>
      </w:r>
      <w:r>
        <w:rPr/>
        <w:t>制度》开展工作，关注公司运作，独立履行职责，对公司内部控制建设、管理体系建设、人</w:t>
      </w:r>
      <w:r>
        <w:rPr>
          <w:spacing w:val="-91"/>
        </w:rPr>
        <w:t> </w:t>
      </w:r>
      <w:r>
        <w:rPr>
          <w:spacing w:val="-91"/>
        </w:rPr>
      </w:r>
      <w:r>
        <w:rPr/>
        <w:t>才梯队建设和重大决策等方面提出了很多宝贵的专业性建议，对公司财务及生产经营活动进</w:t>
      </w:r>
      <w:r>
        <w:rPr>
          <w:spacing w:val="-91"/>
        </w:rPr>
        <w:t> </w:t>
      </w:r>
      <w:r>
        <w:rPr>
          <w:spacing w:val="-91"/>
        </w:rPr>
      </w:r>
      <w:r>
        <w:rPr/>
        <w:t>行了有效监督，提高了公司决策的科学性，为完善公司监督机制，维护公司和全体股东的合</w:t>
      </w:r>
      <w:r>
        <w:rPr>
          <w:spacing w:val="-87"/>
        </w:rPr>
        <w:t> </w:t>
      </w:r>
      <w:r>
        <w:rPr>
          <w:spacing w:val="-87"/>
        </w:rPr>
      </w:r>
      <w:r>
        <w:rPr/>
        <w:t>法权益发挥了应有的作用。</w:t>
      </w:r>
      <w:r>
        <w:rPr>
          <w:rFonts w:ascii="宋体" w:hAnsi="宋体" w:cs="宋体" w:eastAsia="宋体" w:hint="default"/>
        </w:rPr>
        <w:t> </w:t>
      </w:r>
    </w:p>
    <w:p>
      <w:pPr>
        <w:spacing w:line="690" w:lineRule="atLeast" w:before="196"/>
        <w:ind w:left="633" w:right="0" w:hanging="480"/>
        <w:jc w:val="left"/>
        <w:rPr>
          <w:rFonts w:ascii="宋体" w:hAnsi="宋体" w:cs="宋体" w:eastAsia="宋体" w:hint="default"/>
          <w:sz w:val="24"/>
          <w:szCs w:val="24"/>
        </w:rPr>
      </w:pPr>
      <w:r>
        <w:rPr>
          <w:rFonts w:ascii="宋体" w:hAnsi="宋体" w:cs="宋体" w:eastAsia="宋体" w:hint="default"/>
          <w:b/>
          <w:bCs/>
          <w:sz w:val="24"/>
          <w:szCs w:val="24"/>
        </w:rPr>
        <w:t>六、董事会下设专门委员会在报告期内履行职责情况</w:t>
      </w:r>
      <w:r>
        <w:rPr>
          <w:rFonts w:ascii="宋体" w:hAnsi="宋体" w:cs="宋体" w:eastAsia="宋体" w:hint="default"/>
          <w:b/>
          <w:bCs/>
          <w:w w:val="99"/>
          <w:sz w:val="24"/>
          <w:szCs w:val="24"/>
        </w:rPr>
        <w:t> </w:t>
      </w:r>
      <w:r>
        <w:rPr>
          <w:rFonts w:ascii="宋体" w:hAnsi="宋体" w:cs="宋体" w:eastAsia="宋体" w:hint="default"/>
          <w:sz w:val="24"/>
          <w:szCs w:val="24"/>
        </w:rPr>
        <w:t>为进一步完善公司法人治理结构，促进公司董事会科学、高效决策以及建立对公司管理</w:t>
      </w:r>
    </w:p>
    <w:p>
      <w:pPr>
        <w:pStyle w:val="Heading3"/>
        <w:spacing w:line="357" w:lineRule="auto" w:before="154"/>
        <w:ind w:right="158"/>
        <w:jc w:val="both"/>
        <w:rPr>
          <w:rFonts w:ascii="宋体" w:hAnsi="宋体" w:cs="宋体" w:eastAsia="宋体" w:hint="default"/>
        </w:rPr>
      </w:pPr>
      <w:r>
        <w:rPr/>
        <w:t>层绩效评价机制和激励机制，参照《上市公司治理准则》及《公司章程》等有关规定，公司</w:t>
      </w:r>
      <w:r>
        <w:rPr>
          <w:spacing w:val="-91"/>
        </w:rPr>
        <w:t> </w:t>
      </w:r>
      <w:r>
        <w:rPr>
          <w:spacing w:val="-91"/>
        </w:rPr>
      </w:r>
      <w:r>
        <w:rPr/>
        <w:t>董事会设立战略委员会、审计委员会、提名委员会、薪酬与考核委员会四个专门设委员会，</w:t>
      </w:r>
      <w:r>
        <w:rPr>
          <w:spacing w:val="-91"/>
        </w:rPr>
        <w:t> </w:t>
      </w:r>
      <w:r>
        <w:rPr>
          <w:spacing w:val="-91"/>
        </w:rPr>
      </w:r>
      <w:r>
        <w:rPr/>
        <w:t>报告期内，各委员会履职情况如下：</w:t>
      </w:r>
      <w:r>
        <w:rPr>
          <w:rFonts w:ascii="宋体" w:hAnsi="宋体" w:cs="宋体" w:eastAsia="宋体" w:hint="default"/>
        </w:rPr>
        <w:t> </w:t>
      </w:r>
    </w:p>
    <w:p>
      <w:pPr>
        <w:pStyle w:val="Heading3"/>
        <w:spacing w:line="240" w:lineRule="auto"/>
        <w:ind w:left="674" w:right="6351"/>
        <w:jc w:val="center"/>
        <w:rPr>
          <w:rFonts w:ascii="宋体" w:hAnsi="宋体" w:cs="宋体" w:eastAsia="宋体" w:hint="default"/>
        </w:rPr>
      </w:pPr>
      <w:r>
        <w:rPr/>
        <w:t>（一）审计委员会履职情况</w:t>
      </w:r>
      <w:r>
        <w:rPr>
          <w:rFonts w:ascii="宋体" w:hAnsi="宋体" w:cs="宋体" w:eastAsia="宋体" w:hint="default"/>
        </w:rPr>
        <w:t> </w:t>
      </w:r>
    </w:p>
    <w:p>
      <w:pPr>
        <w:spacing w:after="0" w:line="240" w:lineRule="auto"/>
        <w:jc w:val="center"/>
        <w:rPr>
          <w:rFonts w:ascii="宋体" w:hAnsi="宋体" w:cs="宋体" w:eastAsia="宋体" w:hint="default"/>
        </w:rPr>
        <w:sectPr>
          <w:pgSz w:w="11910" w:h="16840"/>
          <w:pgMar w:header="745" w:footer="979" w:top="1060" w:bottom="1160" w:left="980" w:right="980"/>
        </w:sectPr>
      </w:pPr>
    </w:p>
    <w:p>
      <w:pPr>
        <w:spacing w:line="240" w:lineRule="auto" w:before="7"/>
        <w:rPr>
          <w:rFonts w:ascii="宋体" w:hAnsi="宋体" w:cs="宋体" w:eastAsia="宋体" w:hint="default"/>
          <w:sz w:val="29"/>
          <w:szCs w:val="29"/>
        </w:rPr>
      </w:pPr>
    </w:p>
    <w:p>
      <w:pPr>
        <w:pStyle w:val="Heading3"/>
        <w:spacing w:line="357" w:lineRule="auto" w:before="26"/>
        <w:ind w:right="95" w:firstLine="480"/>
        <w:jc w:val="left"/>
        <w:rPr>
          <w:rFonts w:ascii="宋体" w:hAnsi="宋体" w:cs="宋体" w:eastAsia="宋体" w:hint="default"/>
        </w:rPr>
      </w:pPr>
      <w:r>
        <w:rPr>
          <w:spacing w:val="-3"/>
        </w:rPr>
        <w:t>报告期内，审计委员会对内部控制评价报告、财务报表、审计报告、续聘年度审计机构、</w:t>
      </w:r>
      <w:r>
        <w:rPr/>
        <w:t> 定期报告等进行了审议。审计委员会在年报编制及财务报表审计过程中，按照《审计委员会</w:t>
      </w:r>
      <w:r>
        <w:rPr>
          <w:spacing w:val="-88"/>
        </w:rPr>
        <w:t> </w:t>
      </w:r>
      <w:r>
        <w:rPr>
          <w:spacing w:val="-88"/>
        </w:rPr>
      </w:r>
      <w:r>
        <w:rPr/>
        <w:t>年度报告工作制度》的要求，认真听取经营层对公司经营情况及重大事项进展情况的汇报，</w:t>
      </w:r>
      <w:r>
        <w:rPr>
          <w:spacing w:val="-91"/>
        </w:rPr>
        <w:t> </w:t>
      </w:r>
      <w:r>
        <w:rPr>
          <w:spacing w:val="-91"/>
        </w:rPr>
      </w:r>
      <w:r>
        <w:rPr>
          <w:spacing w:val="-5"/>
        </w:rPr>
        <w:t>并与年审注册会计师进行了审计事前、事中、事后沟通，督促年审会计师按时完成审计工作。</w:t>
      </w:r>
      <w:r>
        <w:rPr>
          <w:rFonts w:ascii="宋体" w:hAnsi="宋体" w:cs="宋体" w:eastAsia="宋体" w:hint="default"/>
        </w:rPr>
        <w:t> </w:t>
      </w:r>
    </w:p>
    <w:p>
      <w:pPr>
        <w:pStyle w:val="Heading3"/>
        <w:spacing w:line="357" w:lineRule="auto"/>
        <w:ind w:left="633" w:right="95"/>
        <w:jc w:val="left"/>
      </w:pPr>
      <w:r>
        <w:rPr/>
        <w:t>（二）薪酬与考核委员会履职情况</w:t>
      </w:r>
      <w:r>
        <w:rPr>
          <w:rFonts w:ascii="宋体" w:hAnsi="宋体" w:cs="宋体" w:eastAsia="宋体" w:hint="default"/>
        </w:rPr>
        <w:t> </w:t>
      </w:r>
      <w:r>
        <w:rPr/>
        <w:t>报告期内，薪酬与考核委员会对公司薪酬及绩效考核情况进行监督，审查董事、监事及</w:t>
      </w:r>
    </w:p>
    <w:p>
      <w:pPr>
        <w:pStyle w:val="Heading3"/>
        <w:spacing w:line="240" w:lineRule="auto"/>
        <w:ind w:right="0"/>
        <w:jc w:val="both"/>
      </w:pPr>
      <w:r>
        <w:rPr>
          <w:spacing w:val="-2"/>
        </w:rPr>
        <w:t>高级管理人员的薪酬情况，对考核和评价标准提出建议，并对公司《</w:t>
      </w:r>
      <w:r>
        <w:rPr>
          <w:rFonts w:ascii="宋体" w:hAnsi="宋体" w:cs="宋体" w:eastAsia="宋体" w:hint="default"/>
          <w:spacing w:val="-2"/>
        </w:rPr>
        <w:t>2015</w:t>
      </w:r>
      <w:r>
        <w:rPr>
          <w:spacing w:val="-2"/>
        </w:rPr>
        <w:t>年股权激励计划》、</w:t>
      </w:r>
    </w:p>
    <w:p>
      <w:pPr>
        <w:pStyle w:val="Heading3"/>
        <w:spacing w:line="357" w:lineRule="auto" w:before="154"/>
        <w:ind w:right="95"/>
        <w:jc w:val="left"/>
        <w:rPr>
          <w:rFonts w:ascii="宋体" w:hAnsi="宋体" w:cs="宋体" w:eastAsia="宋体" w:hint="default"/>
        </w:rPr>
      </w:pPr>
      <w:r>
        <w:rPr/>
        <w:t>《考核办法》和限制性股票激励计划名单等事项进行认真审核，为公司董事会作出正确决策</w:t>
      </w:r>
      <w:r>
        <w:rPr>
          <w:spacing w:val="-91"/>
        </w:rPr>
        <w:t> </w:t>
      </w:r>
      <w:r>
        <w:rPr>
          <w:spacing w:val="-91"/>
        </w:rPr>
      </w:r>
      <w:r>
        <w:rPr/>
        <w:t>起到了积极作用。</w:t>
      </w:r>
      <w:r>
        <w:rPr>
          <w:rFonts w:ascii="宋体" w:hAnsi="宋体" w:cs="宋体" w:eastAsia="宋体" w:hint="default"/>
        </w:rPr>
        <w:t> </w:t>
      </w:r>
    </w:p>
    <w:p>
      <w:pPr>
        <w:pStyle w:val="Heading3"/>
        <w:spacing w:line="357" w:lineRule="auto"/>
        <w:ind w:left="633" w:right="95"/>
        <w:jc w:val="left"/>
        <w:rPr>
          <w:rFonts w:ascii="宋体" w:hAnsi="宋体" w:cs="宋体" w:eastAsia="宋体" w:hint="default"/>
        </w:rPr>
      </w:pPr>
      <w:r>
        <w:rPr/>
        <w:t>（三）提名委员会履职情况</w:t>
      </w:r>
      <w:r>
        <w:rPr>
          <w:rFonts w:ascii="宋体" w:hAnsi="宋体" w:cs="宋体" w:eastAsia="宋体" w:hint="default"/>
        </w:rPr>
        <w:t> </w:t>
      </w:r>
      <w:r>
        <w:rPr/>
        <w:t>报告期内，提名委员会积极履行其职责，对保证公司管理层稳定方面发挥了重要作用。</w:t>
      </w:r>
      <w:r>
        <w:rPr>
          <w:rFonts w:ascii="宋体" w:hAnsi="宋体" w:cs="宋体" w:eastAsia="宋体" w:hint="default"/>
        </w:rPr>
        <w:t> </w:t>
      </w:r>
    </w:p>
    <w:p>
      <w:pPr>
        <w:pStyle w:val="Heading3"/>
        <w:spacing w:line="357" w:lineRule="auto"/>
        <w:ind w:left="633" w:right="95"/>
        <w:jc w:val="left"/>
      </w:pPr>
      <w:r>
        <w:rPr/>
        <w:t>（四）战略委员会履职情况</w:t>
      </w:r>
      <w:r>
        <w:rPr>
          <w:rFonts w:ascii="宋体" w:hAnsi="宋体" w:cs="宋体" w:eastAsia="宋体" w:hint="default"/>
        </w:rPr>
        <w:t> </w:t>
      </w:r>
      <w:r>
        <w:rPr>
          <w:spacing w:val="-3"/>
        </w:rPr>
        <w:t>报告期内，战略委员会主要对公司长期发展战略及对外投资情况进行审议，日常工作中，</w:t>
      </w:r>
    </w:p>
    <w:p>
      <w:pPr>
        <w:pStyle w:val="Heading3"/>
        <w:spacing w:line="357" w:lineRule="auto"/>
        <w:ind w:right="238"/>
        <w:jc w:val="both"/>
        <w:rPr>
          <w:rFonts w:ascii="宋体" w:hAnsi="宋体" w:cs="宋体" w:eastAsia="宋体" w:hint="default"/>
        </w:rPr>
      </w:pPr>
      <w:r>
        <w:rPr/>
        <w:t>董事会战略委员会委员对公司重大投资决策及其他影响公司发展的重大事项进行研究，提出</w:t>
      </w:r>
      <w:r>
        <w:rPr>
          <w:spacing w:val="-91"/>
        </w:rPr>
        <w:t> </w:t>
      </w:r>
      <w:r>
        <w:rPr>
          <w:spacing w:val="-91"/>
        </w:rPr>
      </w:r>
      <w:r>
        <w:rPr/>
        <w:t>相关建议，并与公司管理层保持密切沟通，对促进公司持续、健康发展，提高公司战略决策</w:t>
      </w:r>
      <w:r>
        <w:rPr>
          <w:spacing w:val="-91"/>
        </w:rPr>
        <w:t> </w:t>
      </w:r>
      <w:r>
        <w:rPr>
          <w:spacing w:val="-91"/>
        </w:rPr>
      </w:r>
      <w:r>
        <w:rPr/>
        <w:t>的合理性和科学性起到积极良好的作用。</w:t>
      </w:r>
      <w:r>
        <w:rPr>
          <w:rFonts w:ascii="宋体" w:hAnsi="宋体" w:cs="宋体" w:eastAsia="宋体" w:hint="default"/>
        </w:rPr>
        <w:t> </w:t>
      </w:r>
    </w:p>
    <w:p>
      <w:pPr>
        <w:spacing w:line="240" w:lineRule="auto" w:before="11"/>
        <w:rPr>
          <w:rFonts w:ascii="宋体" w:hAnsi="宋体" w:cs="宋体" w:eastAsia="宋体" w:hint="default"/>
          <w:sz w:val="19"/>
          <w:szCs w:val="19"/>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监事会在报告期内的监督活动是否发现公司存在风险</w:t>
      </w:r>
    </w:p>
    <w:p>
      <w:pPr>
        <w:pStyle w:val="BodyText"/>
        <w:spacing w:line="340" w:lineRule="auto" w:before="117"/>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right="95" w:firstLine="480"/>
        <w:jc w:val="left"/>
      </w:pPr>
      <w:r>
        <w:rPr/>
        <w:t>公司建立了高级管理人员的选择、考评、激励与约束机制，最大限度地调动公司高级管 </w:t>
      </w:r>
      <w:r>
        <w:rPr>
          <w:spacing w:val="-2"/>
        </w:rPr>
        <w:t>理人员的积极性及创造性。董事会下设的薪酬与考核委员会负责对高级管理人员的工作能力、</w:t>
      </w:r>
      <w:r>
        <w:rPr/>
        <w:t> 履职情况进行年终考评，制定薪酬方案并报董事会审批。报告期内，高级管理人员能够严格</w:t>
      </w:r>
      <w:r>
        <w:rPr>
          <w:spacing w:val="-91"/>
        </w:rPr>
        <w:t> </w:t>
      </w:r>
      <w:r>
        <w:rPr>
          <w:spacing w:val="-91"/>
        </w:rPr>
      </w:r>
      <w:r>
        <w:rPr/>
        <w:t>按照《公司法》、《公司章程》及国家有关法律法规认真履行职责，积极落实公司股东大会</w:t>
      </w:r>
      <w:r>
        <w:rPr>
          <w:spacing w:val="-91"/>
        </w:rPr>
        <w:t> </w:t>
      </w:r>
      <w:r>
        <w:rPr>
          <w:spacing w:val="-91"/>
        </w:rPr>
      </w:r>
      <w:r>
        <w:rPr/>
        <w:t>和董事会相关决议，有效的提升了公司治理水平确保公司各项业务的顺利开展，促进了公司</w:t>
      </w:r>
      <w:r>
        <w:rPr>
          <w:spacing w:val="-91"/>
        </w:rPr>
        <w:t> </w:t>
      </w:r>
      <w:r>
        <w:rPr>
          <w:spacing w:val="-91"/>
        </w:rPr>
      </w:r>
      <w:r>
        <w:rPr/>
        <w:t>业绩稳定持续发展。</w:t>
      </w:r>
    </w:p>
    <w:p>
      <w:pPr>
        <w:spacing w:after="0" w:line="357" w:lineRule="auto"/>
        <w:jc w:val="left"/>
        <w:sectPr>
          <w:pgSz w:w="11910" w:h="16840"/>
          <w:pgMar w:header="745" w:footer="979" w:top="1060" w:bottom="1160" w:left="980" w:right="900"/>
        </w:sectPr>
      </w:pPr>
    </w:p>
    <w:p>
      <w:pPr>
        <w:spacing w:line="240" w:lineRule="auto" w:before="8"/>
        <w:rPr>
          <w:rFonts w:ascii="宋体" w:hAnsi="宋体" w:cs="宋体" w:eastAsia="宋体" w:hint="default"/>
          <w:sz w:val="23"/>
          <w:szCs w:val="23"/>
        </w:rPr>
      </w:pPr>
    </w:p>
    <w:p>
      <w:pPr>
        <w:pStyle w:val="Heading2"/>
        <w:spacing w:line="240" w:lineRule="auto" w:before="26"/>
        <w:ind w:right="498"/>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9"/>
        <w:gridCol w:w="3327"/>
        <w:gridCol w:w="3054"/>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12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2" w:lineRule="auto"/>
              <w:ind w:left="29" w:right="17"/>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）公司确定的财务报告内部控制缺陷评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价的定性标准如下：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）重大缺陷的评价标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准①董事、监事和高级管理人员在经营管 理活动中舞弊；②对已经公告的财务报表 进行重大差错更正；③外部审计机构发现 当期财务报表存在重大错报，而内部控制 </w:t>
            </w:r>
            <w:r>
              <w:rPr>
                <w:rFonts w:ascii="宋体" w:hAnsi="宋体" w:cs="宋体" w:eastAsia="宋体" w:hint="default"/>
                <w:spacing w:val="-4"/>
                <w:sz w:val="18"/>
                <w:szCs w:val="18"/>
              </w:rPr>
              <w:t>在运行过程中未能发现该错报。</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陷的评价标准①未依照公认的会计准则选 择和应用会计政策；②未建立经营管理活 动相关的反舞弊程序和控制措施；③对于 非常规或特殊交易的账务处理没有建立相 应的控制机制或没有实施且没有相应的补 </w:t>
            </w:r>
            <w:r>
              <w:rPr>
                <w:rFonts w:ascii="宋体" w:hAnsi="宋体" w:cs="宋体" w:eastAsia="宋体" w:hint="default"/>
                <w:spacing w:val="-4"/>
                <w:sz w:val="18"/>
                <w:szCs w:val="18"/>
              </w:rPr>
              <w:t>偿性机制。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）一般缺陷的评价标准不构成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重大缺陷和重要缺陷的内部控制缺陷，认 定为一般缺陷。</w:t>
            </w:r>
          </w:p>
        </w:tc>
        <w:tc>
          <w:tcPr>
            <w:tcW w:w="3054" w:type="dxa"/>
            <w:vMerge w:val="restart"/>
            <w:tcBorders>
              <w:top w:val="single" w:sz="4" w:space="0" w:color="000000"/>
              <w:left w:val="single" w:sz="4" w:space="0" w:color="000000"/>
              <w:right w:val="single" w:sz="4" w:space="0" w:color="000000"/>
            </w:tcBorders>
          </w:tcPr>
          <w:p>
            <w:pPr>
              <w:pStyle w:val="TableParagraph"/>
              <w:spacing w:line="314" w:lineRule="auto" w:before="49"/>
              <w:ind w:left="26"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）重大缺陷的评价标准①公司重要业 </w:t>
            </w:r>
            <w:r>
              <w:rPr>
                <w:rFonts w:ascii="宋体" w:hAnsi="宋体" w:cs="宋体" w:eastAsia="宋体" w:hint="default"/>
                <w:spacing w:val="-4"/>
                <w:sz w:val="18"/>
                <w:szCs w:val="18"/>
              </w:rPr>
              <w:t>务事项、环节和高风险领域缺乏制度控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制或制度体系失效，对公司经营造成重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大影响；②公司经营活动严重违反国家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法律法规；③媒体出现负面新闻，涉及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面广且负面影响一直未能消除；④公司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核心管理人员和高级技术人员流失严 </w:t>
            </w:r>
            <w:r>
              <w:rPr>
                <w:rFonts w:ascii="宋体" w:hAnsi="宋体" w:cs="宋体" w:eastAsia="宋体" w:hint="default"/>
                <w:spacing w:val="-2"/>
                <w:sz w:val="18"/>
                <w:szCs w:val="18"/>
              </w:rPr>
              <w:t>重，造成经营活动难以正常进行</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）重</w:t>
            </w:r>
            <w:r>
              <w:rPr>
                <w:rFonts w:ascii="宋体" w:hAnsi="宋体" w:cs="宋体" w:eastAsia="宋体" w:hint="default"/>
                <w:spacing w:val="-83"/>
                <w:sz w:val="18"/>
                <w:szCs w:val="18"/>
              </w:rPr>
              <w:t> </w:t>
            </w:r>
            <w:r>
              <w:rPr>
                <w:rFonts w:ascii="宋体" w:hAnsi="宋体" w:cs="宋体" w:eastAsia="宋体" w:hint="default"/>
                <w:sz w:val="18"/>
                <w:szCs w:val="18"/>
              </w:rPr>
              <w:t>要缺陷的评价标准①公司重要业务事</w:t>
            </w:r>
            <w:r>
              <w:rPr>
                <w:rFonts w:ascii="宋体" w:hAnsi="宋体" w:cs="宋体" w:eastAsia="宋体" w:hint="default"/>
                <w:sz w:val="18"/>
                <w:szCs w:val="18"/>
              </w:rPr>
              <w:t> </w:t>
            </w:r>
            <w:r>
              <w:rPr>
                <w:rFonts w:ascii="宋体" w:hAnsi="宋体" w:cs="宋体" w:eastAsia="宋体" w:hint="default"/>
                <w:spacing w:val="-4"/>
                <w:sz w:val="18"/>
                <w:szCs w:val="18"/>
              </w:rPr>
              <w:t>项、环节和高风险领域相关的制度控制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或系统存在缺陷，对公司经营造成重要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影响；②公司重大决策、重大事项、重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要人事任免事项及大额资金支付业务 </w:t>
            </w:r>
            <w:r>
              <w:rPr>
                <w:rFonts w:ascii="宋体" w:hAnsi="宋体" w:cs="宋体" w:eastAsia="宋体" w:hint="default"/>
                <w:spacing w:val="-4"/>
                <w:sz w:val="18"/>
                <w:szCs w:val="18"/>
              </w:rPr>
              <w:t>决策程序不完善或不规范，导致公司出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现重要损失；③公司违犯国家法律、法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规或规范性文件，受到除责令停产停 </w:t>
            </w:r>
            <w:r>
              <w:rPr>
                <w:rFonts w:ascii="宋体" w:hAnsi="宋体" w:cs="宋体" w:eastAsia="宋体" w:hint="default"/>
                <w:spacing w:val="-4"/>
                <w:sz w:val="18"/>
                <w:szCs w:val="18"/>
              </w:rPr>
              <w:t>业、暂扣或吊销许可证及执照以外的行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政处罚；④公司关键岗位业务人员流失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严重</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）一般缺陷的评价标准不构成重 </w:t>
            </w:r>
            <w:r>
              <w:rPr>
                <w:rFonts w:ascii="宋体" w:hAnsi="宋体" w:cs="宋体" w:eastAsia="宋体" w:hint="default"/>
                <w:spacing w:val="-4"/>
                <w:sz w:val="18"/>
                <w:szCs w:val="18"/>
              </w:rPr>
              <w:t>大缺陷和重要缺陷的内部控制缺陷，认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定为一般缺陷。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312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r>
        <w:trPr>
          <w:trHeight w:val="629"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4" w:space="0" w:color="000000"/>
            </w:tcBorders>
          </w:tcPr>
          <w:p>
            <w:pPr>
              <w:pStyle w:val="TableParagraph"/>
              <w:spacing w:line="309" w:lineRule="auto" w:before="49"/>
              <w:ind w:left="29"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以本年度财务报表数据为基准，确定公司 财务报表错报（包括漏报）重要程度的定 </w:t>
            </w:r>
            <w:r>
              <w:rPr>
                <w:rFonts w:ascii="宋体" w:hAnsi="宋体" w:cs="宋体" w:eastAsia="宋体" w:hint="default"/>
                <w:spacing w:val="-6"/>
                <w:sz w:val="18"/>
                <w:szCs w:val="18"/>
              </w:rPr>
              <w:t>量标准：重大缺陷：错报</w:t>
            </w:r>
            <w:r>
              <w:rPr>
                <w:rFonts w:ascii="Times New Roman" w:hAnsi="Times New Roman" w:cs="Times New Roman" w:eastAsia="Times New Roman" w:hint="default"/>
                <w:spacing w:val="-6"/>
                <w:sz w:val="18"/>
                <w:szCs w:val="18"/>
              </w:rPr>
              <w:t>&gt;=</w:t>
            </w:r>
            <w:r>
              <w:rPr>
                <w:rFonts w:ascii="宋体" w:hAnsi="宋体" w:cs="宋体" w:eastAsia="宋体" w:hint="default"/>
                <w:spacing w:val="-6"/>
                <w:sz w:val="18"/>
                <w:szCs w:val="18"/>
              </w:rPr>
              <w:t>营业利润的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pacing w:val="-3"/>
                <w:sz w:val="18"/>
                <w:szCs w:val="18"/>
              </w:rPr>
              <w:t>重要缺陷：营业利润的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2%&lt;=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营业利 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一般缺陷：错报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054" w:type="dxa"/>
            <w:vMerge w:val="restart"/>
            <w:tcBorders>
              <w:top w:val="single" w:sz="4" w:space="0" w:color="000000"/>
              <w:left w:val="single" w:sz="4" w:space="0" w:color="000000"/>
              <w:right w:val="single" w:sz="4" w:space="0" w:color="000000"/>
            </w:tcBorders>
          </w:tcPr>
          <w:p>
            <w:pPr>
              <w:pStyle w:val="TableParagraph"/>
              <w:spacing w:line="304" w:lineRule="auto" w:before="49"/>
              <w:ind w:left="26" w:right="18"/>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5"/>
                <w:sz w:val="18"/>
                <w:szCs w:val="18"/>
              </w:rPr>
              <w:t>评价的定量标准如下：损失金额达</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6"/>
                <w:sz w:val="18"/>
                <w:szCs w:val="18"/>
              </w:rPr>
              <w:t>万或以上的，为重大缺陷；</w:t>
            </w:r>
            <w:r>
              <w:rPr>
                <w:rFonts w:ascii="Times New Roman" w:hAnsi="Times New Roman" w:cs="Times New Roman" w:eastAsia="Times New Roman" w:hint="default"/>
                <w:spacing w:val="-6"/>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万≦损失 金额</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万的，为重要缺陷；损失金 额</w:t>
            </w:r>
            <w:r>
              <w:rPr>
                <w:rFonts w:ascii="Times New Roman" w:hAnsi="Times New Roman" w:cs="Times New Roman" w:eastAsia="Times New Roman" w:hint="default"/>
                <w:sz w:val="18"/>
                <w:szCs w:val="18"/>
              </w:rPr>
              <w:t>&lt;5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万的，为一般缺陷。</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vMerge/>
            <w:tcBorders>
              <w:left w:val="single" w:sz="4" w:space="0" w:color="000000"/>
              <w:right w:val="single" w:sz="4" w:space="0" w:color="000000"/>
            </w:tcBorders>
          </w:tcPr>
          <w:p>
            <w:pPr/>
          </w:p>
        </w:tc>
        <w:tc>
          <w:tcPr>
            <w:tcW w:w="3054" w:type="dxa"/>
            <w:vMerge/>
            <w:tcBorders>
              <w:left w:val="single" w:sz="4" w:space="0" w:color="000000"/>
              <w:right w:val="single" w:sz="4" w:space="0" w:color="000000"/>
            </w:tcBorders>
          </w:tcPr>
          <w:p>
            <w:pPr/>
          </w:p>
        </w:tc>
      </w:tr>
      <w:tr>
        <w:trPr>
          <w:trHeight w:val="629"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4" w:space="0" w:color="000000"/>
            </w:tcBorders>
          </w:tcPr>
          <w:p>
            <w:pPr/>
          </w:p>
        </w:tc>
        <w:tc>
          <w:tcPr>
            <w:tcW w:w="305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6"/>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498"/>
        <w:jc w:val="left"/>
      </w:pPr>
      <w:r>
        <w:rPr/>
        <w:t>内部控制鉴证报告</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 面保持了与财务报表相关的有效的内部控制。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会计师事务所是否出具非标准意见的内部控制鉴证报告</w:t>
      </w:r>
    </w:p>
    <w:p>
      <w:pPr>
        <w:pStyle w:val="BodyText"/>
        <w:spacing w:line="240" w:lineRule="auto" w:before="117"/>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498"/>
        <w:jc w:val="left"/>
      </w:pPr>
      <w:r>
        <w:rPr/>
        <w:t>会计师事务所出具的内部控制鉴证报告与董事会的自我评价报告意见是否一致</w:t>
      </w:r>
    </w:p>
    <w:p>
      <w:pPr>
        <w:pStyle w:val="BodyText"/>
        <w:spacing w:line="240" w:lineRule="auto" w:before="117"/>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51" w:right="3826"/>
        <w:jc w:val="center"/>
        <w:rPr>
          <w:b w:val="0"/>
          <w:bCs w:val="0"/>
        </w:rPr>
      </w:pPr>
      <w:bookmarkStart w:name="_TOC_250001" w:id="10"/>
      <w:r>
        <w:rPr/>
        <w:t>第十节</w:t>
      </w:r>
      <w:r>
        <w:rPr>
          <w:spacing w:val="-1"/>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林伟，何剑</w:t>
            </w:r>
          </w:p>
        </w:tc>
      </w:tr>
    </w:tbl>
    <w:p>
      <w:pPr>
        <w:spacing w:line="240" w:lineRule="auto" w:before="1"/>
        <w:rPr>
          <w:rFonts w:ascii="宋体" w:hAnsi="宋体" w:cs="宋体" w:eastAsia="宋体" w:hint="default"/>
          <w:b/>
          <w:bCs/>
          <w:sz w:val="25"/>
          <w:szCs w:val="25"/>
        </w:rPr>
      </w:pPr>
    </w:p>
    <w:p>
      <w:pPr>
        <w:pStyle w:val="Heading2"/>
        <w:spacing w:line="240" w:lineRule="auto" w:before="26"/>
        <w:ind w:left="4250" w:right="95"/>
        <w:jc w:val="left"/>
        <w:rPr>
          <w:b w:val="0"/>
          <w:bCs w:val="0"/>
        </w:rPr>
      </w:pPr>
      <w:r>
        <w:rPr/>
        <w:t>审计报告正文</w:t>
      </w:r>
      <w:r>
        <w:rPr>
          <w:b w:val="0"/>
          <w:bCs w:val="0"/>
        </w:rPr>
      </w:r>
    </w:p>
    <w:p>
      <w:pPr>
        <w:spacing w:line="240" w:lineRule="auto" w:before="10"/>
        <w:rPr>
          <w:rFonts w:ascii="宋体" w:hAnsi="宋体" w:cs="宋体" w:eastAsia="宋体" w:hint="default"/>
          <w:b/>
          <w:bCs/>
          <w:sz w:val="35"/>
          <w:szCs w:val="35"/>
        </w:rPr>
      </w:pPr>
    </w:p>
    <w:p>
      <w:pPr>
        <w:spacing w:line="357" w:lineRule="auto" w:before="0"/>
        <w:ind w:left="719" w:right="95" w:hanging="567"/>
        <w:jc w:val="left"/>
        <w:rPr>
          <w:rFonts w:ascii="宋体" w:hAnsi="宋体" w:cs="宋体" w:eastAsia="宋体" w:hint="default"/>
          <w:sz w:val="24"/>
          <w:szCs w:val="24"/>
        </w:rPr>
      </w:pPr>
      <w:r>
        <w:rPr>
          <w:rFonts w:ascii="宋体" w:hAnsi="宋体" w:cs="宋体" w:eastAsia="宋体" w:hint="default"/>
          <w:b/>
          <w:bCs/>
          <w:sz w:val="24"/>
          <w:szCs w:val="24"/>
        </w:rPr>
        <w:t>上海汉得信息技术股份有限公司全体股东：</w:t>
      </w:r>
      <w:r>
        <w:rPr>
          <w:rFonts w:ascii="宋体" w:hAnsi="宋体" w:cs="宋体" w:eastAsia="宋体" w:hint="default"/>
          <w:b/>
          <w:bCs/>
          <w:w w:val="99"/>
          <w:sz w:val="24"/>
          <w:szCs w:val="24"/>
        </w:rPr>
        <w:t> </w:t>
      </w:r>
      <w:r>
        <w:rPr>
          <w:rFonts w:ascii="宋体" w:hAnsi="宋体" w:cs="宋体" w:eastAsia="宋体" w:hint="default"/>
          <w:spacing w:val="-2"/>
          <w:sz w:val="24"/>
          <w:szCs w:val="24"/>
        </w:rPr>
        <w:t>我们审计了后附的上海汉得信息技术股份有限公司（以下简称汉得信息）财务报表，包</w:t>
      </w:r>
    </w:p>
    <w:p>
      <w:pPr>
        <w:pStyle w:val="Heading3"/>
        <w:spacing w:line="338" w:lineRule="auto"/>
        <w:ind w:right="253"/>
        <w:jc w:val="left"/>
      </w:pPr>
      <w:r>
        <w:rPr/>
        <w:t>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日的合并及公司资产负债表、</w:t>
      </w:r>
      <w:r>
        <w:rPr>
          <w:rFonts w:ascii="Times New Roman" w:hAnsi="Times New Roman" w:cs="Times New Roman" w:eastAsia="Times New Roman" w:hint="default"/>
        </w:rPr>
        <w:t>2015</w:t>
      </w:r>
      <w:r>
        <w:rPr/>
        <w:t>年度的合并及公司利润表、合并及公司现 金流量表、合并及公司所有者权益变动表以及财务报表附注。</w:t>
      </w:r>
    </w:p>
    <w:p>
      <w:pPr>
        <w:spacing w:line="357" w:lineRule="auto" w:before="55"/>
        <w:ind w:left="719" w:right="287" w:firstLine="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编制和公允列报财务报表是汉得信息管理层的责任。这种责任包括：（</w:t>
      </w:r>
      <w:r>
        <w:rPr>
          <w:rFonts w:ascii="Times New Roman" w:hAnsi="Times New Roman" w:cs="Times New Roman" w:eastAsia="Times New Roman" w:hint="default"/>
          <w:sz w:val="24"/>
          <w:szCs w:val="24"/>
        </w:rPr>
        <w:t>1</w:t>
      </w:r>
      <w:r>
        <w:rPr>
          <w:rFonts w:ascii="宋体" w:hAnsi="宋体" w:cs="宋体" w:eastAsia="宋体" w:hint="default"/>
          <w:sz w:val="24"/>
          <w:szCs w:val="24"/>
        </w:rPr>
        <w:t>）按照企业会</w:t>
      </w:r>
    </w:p>
    <w:p>
      <w:pPr>
        <w:pStyle w:val="Heading3"/>
        <w:spacing w:line="338" w:lineRule="auto" w:before="5"/>
        <w:ind w:right="103"/>
        <w:jc w:val="left"/>
      </w:pPr>
      <w:r>
        <w:rPr>
          <w:spacing w:val="-5"/>
        </w:rPr>
        <w:t>计准则的规定编制财务报表，并使其实现公允反映；（</w:t>
      </w:r>
      <w:r>
        <w:rPr>
          <w:rFonts w:ascii="Times New Roman" w:hAnsi="Times New Roman" w:cs="Times New Roman" w:eastAsia="Times New Roman" w:hint="default"/>
          <w:spacing w:val="-5"/>
        </w:rPr>
        <w:t>2</w:t>
      </w:r>
      <w:r>
        <w:rPr>
          <w:spacing w:val="-5"/>
        </w:rPr>
        <w:t>）设计、执行和维护必要的内部控制，</w:t>
      </w:r>
      <w:r>
        <w:rPr>
          <w:spacing w:val="-113"/>
        </w:rPr>
        <w:t> </w:t>
      </w:r>
      <w:r>
        <w:rPr>
          <w:spacing w:val="-113"/>
        </w:rPr>
      </w:r>
      <w:r>
        <w:rPr/>
        <w:t>以使财务报表不存在由于舞弊或错误导致的重大错报。</w:t>
      </w:r>
    </w:p>
    <w:p>
      <w:pPr>
        <w:spacing w:line="357" w:lineRule="auto" w:before="55"/>
        <w:ind w:left="719" w:right="95" w:firstLine="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Heading3"/>
        <w:spacing w:line="357" w:lineRule="auto"/>
        <w:ind w:right="253"/>
        <w:jc w:val="left"/>
      </w:pPr>
      <w:r>
        <w:rPr/>
        <w:t>计师审计准则的规定执行了审计工作。中国注册会计师审计准则要求我们遵守中国注册会计 师职业道德守则，计划和执行审计工作以对财务报表是否不存在重大错报获取合理保证。</w:t>
      </w:r>
    </w:p>
    <w:p>
      <w:pPr>
        <w:pStyle w:val="Heading3"/>
        <w:spacing w:line="357" w:lineRule="auto"/>
        <w:ind w:right="95" w:firstLine="566"/>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当的审计程序，但目的并非对内部控制的有效性发表意见。审计工作还包括评价管理层选用 会计政策的恰当性和作出会计估计的合理性，以及评价财务报表的总体列报。</w:t>
      </w:r>
    </w:p>
    <w:p>
      <w:pPr>
        <w:pStyle w:val="Heading3"/>
        <w:spacing w:line="240" w:lineRule="auto"/>
        <w:ind w:left="719" w:right="95"/>
        <w:jc w:val="left"/>
      </w:pPr>
      <w:r>
        <w:rPr/>
        <w:t>我们相信，我们获取的审计证据是充分、适当的，为发表审计意见提供了基础。</w:t>
      </w:r>
    </w:p>
    <w:p>
      <w:pPr>
        <w:spacing w:after="0" w:line="240" w:lineRule="auto"/>
        <w:jc w:val="left"/>
        <w:sectPr>
          <w:pgSz w:w="11910" w:h="16840"/>
          <w:pgMar w:header="745" w:footer="979" w:top="1060" w:bottom="1160" w:left="980" w:right="900"/>
        </w:sectPr>
      </w:pPr>
    </w:p>
    <w:p>
      <w:pPr>
        <w:spacing w:line="240" w:lineRule="auto" w:before="7"/>
        <w:rPr>
          <w:rFonts w:ascii="宋体" w:hAnsi="宋体" w:cs="宋体" w:eastAsia="宋体" w:hint="default"/>
          <w:sz w:val="29"/>
          <w:szCs w:val="29"/>
        </w:rPr>
      </w:pPr>
    </w:p>
    <w:p>
      <w:pPr>
        <w:pStyle w:val="Heading3"/>
        <w:spacing w:line="357" w:lineRule="auto" w:before="26"/>
        <w:ind w:left="719" w:right="0"/>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我们认为，汉得信息财务报表在所有重大方面按照企业会计准则的规定编制，公允反映</w:t>
      </w:r>
    </w:p>
    <w:p>
      <w:pPr>
        <w:pStyle w:val="Heading3"/>
        <w:spacing w:line="338" w:lineRule="auto"/>
        <w:ind w:right="173"/>
        <w:jc w:val="left"/>
      </w:pPr>
      <w:r>
        <w:rPr/>
        <w:t>了汉得信息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年度的合并及公司经营成果和现 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Heading2"/>
        <w:tabs>
          <w:tab w:pos="6653" w:val="left" w:leader="none"/>
          <w:tab w:pos="9236" w:val="left" w:leader="none"/>
        </w:tabs>
        <w:spacing w:line="240" w:lineRule="auto"/>
        <w:ind w:right="0"/>
        <w:jc w:val="left"/>
        <w:rPr>
          <w:b w:val="0"/>
          <w:bCs w:val="0"/>
        </w:rPr>
      </w:pPr>
      <w:r>
        <w:rPr>
          <w:w w:val="95"/>
        </w:rPr>
        <w:t>立信会计师事务所</w:t>
        <w:tab/>
      </w:r>
      <w:r>
        <w:rPr/>
        <w:t>中国注册会计师：</w:t>
      </w:r>
      <w:r>
        <w:rPr>
          <w:spacing w:val="-17"/>
        </w:rPr>
        <w:t> </w:t>
      </w:r>
      <w:r>
        <w:rPr/>
        <w:t>林</w:t>
        <w:tab/>
        <w:t>伟</w:t>
      </w:r>
      <w:r>
        <w:rPr>
          <w:b w:val="0"/>
          <w:bCs w:val="0"/>
        </w:rPr>
      </w:r>
    </w:p>
    <w:p>
      <w:pPr>
        <w:pStyle w:val="Heading2"/>
        <w:tabs>
          <w:tab w:pos="4774" w:val="left" w:leader="none"/>
          <w:tab w:pos="9241" w:val="left" w:leader="none"/>
        </w:tabs>
        <w:spacing w:line="715" w:lineRule="auto" w:before="154"/>
        <w:ind w:left="1600" w:right="462" w:hanging="1448"/>
        <w:jc w:val="left"/>
        <w:rPr>
          <w:b w:val="0"/>
          <w:bCs w:val="0"/>
        </w:rPr>
      </w:pPr>
      <w:r>
        <w:rPr/>
        <w:t>（特殊普通合伙）                                      </w:t>
      </w:r>
      <w:r>
        <w:rPr>
          <w:rFonts w:ascii="宋体" w:hAnsi="宋体" w:cs="宋体" w:eastAsia="宋体" w:hint="default"/>
        </w:rPr>
      </w:r>
      <w:r>
        <w:rPr/>
        <w:t>中国注册会计师：</w:t>
      </w:r>
      <w:r>
        <w:rPr>
          <w:spacing w:val="-39"/>
        </w:rPr>
        <w:t> </w:t>
      </w:r>
      <w:r>
        <w:rPr/>
        <w:t>何</w:t>
        <w:tab/>
        <w:t>剑</w:t>
      </w:r>
      <w:r>
        <w:rPr>
          <w:w w:val="99"/>
        </w:rPr>
        <w:t> </w:t>
      </w: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一六年四月二十二日</w:t>
      </w:r>
      <w:r>
        <w:rPr>
          <w:b w:val="0"/>
          <w:bCs w:val="0"/>
        </w:rPr>
      </w:r>
    </w:p>
    <w:p>
      <w:pPr>
        <w:pStyle w:val="Heading2"/>
        <w:spacing w:line="240" w:lineRule="auto" w:before="144"/>
        <w:ind w:right="498"/>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498"/>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980"/>
        </w:sectPr>
      </w:pPr>
    </w:p>
    <w:p>
      <w:pPr>
        <w:pStyle w:val="BodyText"/>
        <w:spacing w:line="240" w:lineRule="auto" w:before="44"/>
        <w:ind w:right="-20"/>
        <w:jc w:val="left"/>
      </w:pPr>
      <w:r>
        <w:rPr/>
        <w:t>编制单位：上海汉得信息技术股份有限公司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w:t>
      </w:r>
    </w:p>
    <w:p>
      <w:pPr>
        <w:pStyle w:val="BodyText"/>
        <w:spacing w:line="240" w:lineRule="auto" w:before="101"/>
        <w:ind w:left="919" w:right="0"/>
        <w:jc w:val="left"/>
      </w:pPr>
      <w:r>
        <w:rPr/>
        <w:t>单位：元</w:t>
      </w:r>
    </w:p>
    <w:p>
      <w:pPr>
        <w:spacing w:after="0" w:line="240" w:lineRule="auto"/>
        <w:jc w:val="left"/>
        <w:sectPr>
          <w:type w:val="continuous"/>
          <w:pgSz w:w="11910" w:h="16840"/>
          <w:pgMar w:top="1060" w:bottom="1160" w:left="980" w:right="980"/>
          <w:cols w:num="2" w:equalWidth="0">
            <w:col w:w="3574" w:space="4581"/>
            <w:col w:w="1795"/>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944,594,525.37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35,672,795.69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18,904,795.00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512,239,606.37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459,581,915.45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40,528,120.00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25,967,140.82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1,787,466.96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1,967,671.74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20,573,112.34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15,628,073.46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1,055,840.80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1,046,199.79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16,313,711.60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24,321,623.98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1,580,179,679.13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1,357,951,972.08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299,871,683.76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265,463,285.27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59,843,826.02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42,409,818.80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14,659,092.10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10,283,982.78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45,026,716.36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45,026,716.36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764,798.37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1,217,111.27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29,029,211.57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8,900,982.42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43,005,157.40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14,181,224.00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528,200,485.58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400,983,120.90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2,108,380,164.71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1,758,935,092.98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11,688,333.61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14,022,431.89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43,041,370.46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12,482,912.37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100,433,060.22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73,797,679.55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23,607,972.72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19,940,896.67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180,542,179.15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188,416,503.28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359,317,644.63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308,665,152.23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6,819,166.67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407,505.00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7,226,671.67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365,909,244.63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315,891,823.90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828,624,634.00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549,065,756.00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395,187,864.71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597,110,387.64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177,735,274.12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182,469,080.49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-216,928.88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-426,288.49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80,104,990.51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59,176,446.43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605,943,744.54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412,632,266.97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1,731,909,030.76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1,435,089,488.06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10,561,889.32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7,953,781.02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1,742,470,920.08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1,443,043,269.08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2,108,380,164.71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1,758,935,092.98</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before="44"/>
        <w:ind w:left="0" w:right="242"/>
        <w:jc w:val="right"/>
      </w:pPr>
      <w:r>
        <w:rPr/>
        <w:t>法定代表人：陈迪清</w:t>
        <w:tab/>
      </w:r>
      <w:r>
        <w:rPr>
          <w:spacing w:val="-1"/>
        </w:rPr>
        <w:t>主管会计工作负责人：王辛夷</w:t>
        <w:tab/>
      </w:r>
      <w:r>
        <w:rPr/>
        <w:t>会计机构负责人：王辛夷</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779,399,456.85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769,650,160.50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34,944,595.69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18,904,795.00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505,859,827.75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456,843,541.60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40,238,315.80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25,747,433.48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1,779,731.38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1,967,671.74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50,118,570.81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47,902,840.46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15,713,711.60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8,321,623.98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1,435,468,709.88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1,341,251,116.76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201,545,056.89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93,082,131.89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296,812,986.38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262,910,295.81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42,881,966.03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34,179,928.64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8,730,234.23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10,283,982.78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748,523.38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1,191,625.27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29,750,032.40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9,251,233.95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42,784,089.44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6,481,224.00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659,252,888.75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430,880,422.34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2,094,721,598.63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1,772,131,539.10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39,024,951.83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55,285,973.50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42,893,792.49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9,831,660.94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89,482,747.99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69,043,526.47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13,078,740.16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12,174,506.25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179,933,134.85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186,508,171.20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364,418,095.79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332,848,566.83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6,531,250.00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6,819,166.67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407,505.00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6,591,600.00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7,226,671.67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371,009,695.79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340,075,238.50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828,624,634.00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549,065,756.00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396,895,442.73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598,817,965.66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177,735,274.12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182,469,080.49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80,104,990.51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59,176,446.43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595,822,109.72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407,465,213.00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1,723,711,902.84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1,432,056,300.60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665.619995pt;width:160pt;height:19.6pt;mso-position-horizontal-relative:page;mso-position-vertical-relative:page;z-index:-829696" coordorigin="4220,13312" coordsize="3200,392">
            <v:group style="position:absolute;left:7398;top:13312;width:22;height:392" coordorigin="7398,13312" coordsize="22,392">
              <v:shape style="position:absolute;left:7398;top:13312;width:22;height:392" coordorigin="7398,13312" coordsize="22,392" path="m7398,13704l7420,13704,7420,13312,7398,13312,7398,13704xe" filled="true" fillcolor="#ffffff" stroked="false">
                <v:path arrowok="t"/>
                <v:fill type="solid"/>
              </v:shape>
            </v:group>
            <v:group style="position:absolute;left:4220;top:13312;width:22;height:392" coordorigin="4220,13312" coordsize="22,392">
              <v:shape style="position:absolute;left:4220;top:13312;width:22;height:392" coordorigin="4220,13312" coordsize="22,392" path="m4220,13704l4242,13704,4242,13312,4220,13312,4220,13704xe" filled="true" fillcolor="#ffffff" stroked="false">
                <v:path arrowok="t"/>
                <v:fill type="solid"/>
              </v:shape>
            </v:group>
            <v:group style="position:absolute;left:4242;top:13312;width:3157;height:392" coordorigin="4242,13312" coordsize="3157,392">
              <v:shape style="position:absolute;left:4242;top:13312;width:3157;height:392" coordorigin="4242,13312" coordsize="3157,392" path="m4242,13704l7398,13704,7398,13312,4242,13312,4242,137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2,094,721,598.63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1,772,131,539.10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1,218,798,082.68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1,009,023,906.20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1,218,798,082.68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1,009,023,906.20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1,049,616,058.61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849,373,643.65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729,908,149.03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609,531,028.32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提取保险合同准备金净额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营业税金及附加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5,710,837.12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2,492,217.25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70,376,754.09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54,648,291.49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219,298,412.41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161,564,978.87</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-24,395,361.80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-19,728,636.69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资产减值损失</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48,717,267.76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40,865,764.41</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1,627,250.00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-1,546,489.00</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171,412,774.07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162,178,823.55</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27,835,200.15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17,274,478.14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14,075.67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130,646.53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178,674.23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89999pt;margin-top:92.659981pt;width:193.1pt;height:19.6pt;mso-position-horizontal-relative:page;mso-position-vertical-relative:page;z-index:-829672" type="#_x0000_t202" filled="false" stroked="false">
            <v:textbox inset="0,0,0,0">
              <w:txbxContent>
                <w:p>
                  <w:pPr>
                    <w:pStyle w:val="BodyText"/>
                    <w:spacing w:line="240" w:lineRule="auto" w:before="49"/>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065"/>
        <w:gridCol w:w="2147"/>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97,623.72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152,855.81</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5" w:type="dxa"/>
            <w:tcBorders>
              <w:top w:val="single" w:sz="4" w:space="0" w:color="000000"/>
              <w:left w:val="single" w:sz="13" w:space="0" w:color="FFFFFF"/>
              <w:bottom w:val="single" w:sz="4" w:space="0" w:color="000000"/>
              <w:right w:val="nil" w:sz="6" w:space="0" w:color="auto"/>
            </w:tcBorders>
          </w:tcPr>
          <w:p>
            <w:pPr/>
          </w:p>
        </w:tc>
        <w:tc>
          <w:tcPr>
            <w:tcW w:w="2147"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99" w:right="0"/>
              <w:jc w:val="left"/>
              <w:rPr>
                <w:rFonts w:ascii="Times New Roman" w:hAnsi="Times New Roman" w:cs="Times New Roman" w:eastAsia="Times New Roman" w:hint="default"/>
                <w:sz w:val="18"/>
                <w:szCs w:val="18"/>
              </w:rPr>
            </w:pPr>
            <w:r>
              <w:rPr>
                <w:rFonts w:ascii="Times New Roman"/>
                <w:sz w:val="18"/>
              </w:rPr>
              <w:t>199,117,327.69</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179,274,627.46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-15,730,802.26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2,554,165.93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214,848,129.95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176,720,461.53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214,240,021.65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177,302,356.33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608,108.30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-581,894.80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209,359.61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-101,140.87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209,359.61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-101,140.87</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0"/>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209,359.61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-101,140.87</w:t>
            </w:r>
          </w:p>
        </w:tc>
      </w:tr>
      <w:tr>
        <w:trPr>
          <w:trHeight w:val="102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209,359.61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-101,140.87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215,057,489.56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176,619,320.66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45" w:right="0"/>
              <w:jc w:val="left"/>
              <w:rPr>
                <w:rFonts w:ascii="Times New Roman" w:hAnsi="Times New Roman" w:cs="Times New Roman" w:eastAsia="Times New Roman" w:hint="default"/>
                <w:sz w:val="18"/>
                <w:szCs w:val="18"/>
              </w:rPr>
            </w:pPr>
            <w:r>
              <w:rPr>
                <w:rFonts w:ascii="Times New Roman"/>
                <w:sz w:val="18"/>
              </w:rPr>
              <w:t>214,449,381.26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177,201,215.46</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608,108.30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-581,894.80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pStyle w:val="BodyText"/>
        <w:tabs>
          <w:tab w:pos="3578" w:val="left" w:leader="none"/>
          <w:tab w:pos="7721" w:val="left" w:leader="none"/>
        </w:tabs>
        <w:spacing w:line="621" w:lineRule="auto" w:before="49"/>
        <w:ind w:right="242"/>
        <w:jc w:val="left"/>
      </w:pPr>
      <w:r>
        <w:rPr/>
        <w:t>本期发生同一控制下企业合并的，被合并方在合并前实现的净利润为：元，上期被合并方实现的净利润为：元。 法定代表人：陈迪清</w:t>
        <w:tab/>
      </w:r>
      <w:r>
        <w:rPr>
          <w:spacing w:val="-1"/>
        </w:rPr>
        <w:t>主管会计工作负责人：王辛夷</w:t>
        <w:tab/>
      </w:r>
      <w:r>
        <w:rPr/>
        <w:t>会计机构负责人：王辛夷</w:t>
      </w:r>
    </w:p>
    <w:p>
      <w:pPr>
        <w:pStyle w:val="Heading4"/>
        <w:spacing w:line="240" w:lineRule="auto" w:before="69"/>
        <w:ind w:right="498"/>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1,130,996,590.83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954,827,949.43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691,354,090.07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578,468,201.58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5,102,306.70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2,261,996.34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62,969,164.14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51,741,807.64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179,247,835.89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137,925,560.16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-22,407,519.90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-18,866,461.59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54,563,332.83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46,007,867.28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1,627,250.00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-1,546,489.00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162,398,131.10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159,817,539.02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26,035,730.65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15,762,687.71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28,313.96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28,313.96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188,433,861.75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175,551,912.77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-20,851,579.05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653,932.20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209,285,440.80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174,897,980.57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1"/>
        <w:gridCol w:w="3303"/>
      </w:tblGrid>
      <w:tr>
        <w:trPr>
          <w:trHeight w:val="675"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 w:right="40"/>
              <w:jc w:val="left"/>
              <w:rPr>
                <w:rFonts w:ascii="宋体" w:hAnsi="宋体" w:cs="宋体" w:eastAsia="宋体" w:hint="default"/>
                <w:sz w:val="18"/>
                <w:szCs w:val="18"/>
              </w:rPr>
            </w:pPr>
            <w:r>
              <w:rPr>
                <w:rFonts w:ascii="宋体" w:hAnsi="宋体" w:cs="宋体" w:eastAsia="宋体" w:hint="default"/>
                <w:sz w:val="18"/>
                <w:szCs w:val="18"/>
              </w:rPr>
              <w:t>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4" w:right="0"/>
              <w:jc w:val="left"/>
              <w:rPr>
                <w:rFonts w:ascii="Times New Roman" w:hAnsi="Times New Roman" w:cs="Times New Roman" w:eastAsia="Times New Roman" w:hint="default"/>
                <w:sz w:val="18"/>
                <w:szCs w:val="18"/>
              </w:rPr>
            </w:pPr>
            <w:r>
              <w:rPr>
                <w:rFonts w:ascii="Times New Roman"/>
                <w:sz w:val="18"/>
              </w:rPr>
              <w:t>209,285,440.80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174,897,980.57</w:t>
            </w: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1,182,904,625.62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894,797,596.61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173,034.50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1,083,405.87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107,503,526.36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80,982,294.11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1,290,581,186.48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976,863,296.59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409,979,187.97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341,278,451.70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501,736,801.28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402,526,245.66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77,845,936.11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64,660,916.38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94,891,107.43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107,862,088.58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1,084,453,032.79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916,327,702.32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206,128,153.69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60,535,594.27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100,949.80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4,040,949.80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73,307,927.80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124,470,276.97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60,367,089.44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1,822,216.09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133,675,017.24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138,792,493.06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-133,675,017.24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-134,751,543.26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57,336,260.00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125,737,320.00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57,336,260.00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125,737,320.00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39,921,015.98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4,891,573.88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1,821,420.52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4,938,908.41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41,742,436.50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52,397,351.59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83,994,883.50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15,786,945.09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2,702,669.77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140,637,433.13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12,481,604.28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798,621,501.84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786,139,897.56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939,258,934.97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498"/>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1,109,155,644.64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824,372,067.77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104,099.34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80,935.31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55,845,715.56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57,385,413.53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1,165,105,459.54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881,838,416.61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439,732,813.27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327,840,737.36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417,920,045.34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348,674,834.44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66,298,716.71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52,925,706.11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71,862,743.20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83,326,354.33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995,814,318.52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812,767,632.24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169,291,141.02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69,070,784.37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39,330.00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3,979,330.00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61,732,634.06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113,841,384.82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168,830,014.44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230,562,648.50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134,341,384.82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-230,562,648.50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-130,362,054.82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55,336,260.00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125,737,320.00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55,336,260.00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125,737,320.00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47,334.53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39,921,015.98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4,891,573.88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1,821,420.52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4,938,908.41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41,742,436.50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50,397,351.59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83,994,883.50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15,287,861.84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2,729,291.46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4,413,705.95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25,432,904.51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769,650,160.50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744,217,255.99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774,063,866.45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769,650,160.50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6"/>
        <w:ind w:right="498"/>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80"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595,046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-426,28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412,632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,266.97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7,953,7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81.02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2,063,8</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33.52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182,469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,080.49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5,246.9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5" w:right="0"/>
              <w:jc w:val="left"/>
              <w:rPr>
                <w:rFonts w:ascii="Times New Roman" w:hAnsi="Times New Roman" w:cs="Times New Roman" w:eastAsia="Times New Roman" w:hint="default"/>
                <w:sz w:val="18"/>
                <w:szCs w:val="18"/>
              </w:rPr>
            </w:pPr>
            <w:r>
              <w:rPr>
                <w:rFonts w:ascii="Times New Roman"/>
                <w:sz w:val="18"/>
              </w:rPr>
              <w:t>549,06</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597,110</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,387.64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182,469</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,080.49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-426,28</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59,176,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446.43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412,632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,266.97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7,953,7</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81.02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1,443,0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43,269.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279,55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8,878.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2,522.9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-4,733,8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06.37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209,359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193,311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,477.57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2,608,1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08.30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299,427</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,651.00</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209,359</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.61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214,240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,021.65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608,108</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215,057</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,489.56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5,026,</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72,610,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355.07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-4,733,8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84,370,</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161.44</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9" w:right="0"/>
              <w:jc w:val="left"/>
              <w:rPr>
                <w:rFonts w:ascii="Times New Roman" w:hAnsi="Times New Roman" w:cs="Times New Roman" w:eastAsia="Times New Roman" w:hint="default"/>
                <w:sz w:val="18"/>
                <w:szCs w:val="18"/>
              </w:rPr>
            </w:pPr>
            <w:r>
              <w:rPr>
                <w:rFonts w:ascii="Times New Roman"/>
                <w:sz w:val="18"/>
              </w:rPr>
              <w:t>5,026,</w:t>
            </w:r>
          </w:p>
          <w:p>
            <w:pPr>
              <w:pStyle w:val="TableParagraph"/>
              <w:spacing w:line="240" w:lineRule="auto" w:before="102"/>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1" w:right="0"/>
              <w:jc w:val="left"/>
              <w:rPr>
                <w:rFonts w:ascii="Times New Roman" w:hAnsi="Times New Roman" w:cs="Times New Roman" w:eastAsia="Times New Roman" w:hint="default"/>
                <w:sz w:val="18"/>
                <w:szCs w:val="18"/>
              </w:rPr>
            </w:pPr>
            <w:r>
              <w:rPr>
                <w:rFonts w:ascii="Times New Roman"/>
                <w:sz w:val="18"/>
              </w:rPr>
              <w:t>64,046,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872.01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71,072,</w:t>
            </w:r>
          </w:p>
          <w:p>
            <w:pPr>
              <w:pStyle w:val="TableParagraph"/>
              <w:spacing w:line="240" w:lineRule="auto" w:before="102"/>
              <w:ind w:left="132" w:right="0"/>
              <w:jc w:val="left"/>
              <w:rPr>
                <w:rFonts w:ascii="Times New Roman" w:hAnsi="Times New Roman" w:cs="Times New Roman" w:eastAsia="Times New Roman" w:hint="default"/>
                <w:sz w:val="18"/>
                <w:szCs w:val="18"/>
              </w:rPr>
            </w:pPr>
            <w:r>
              <w:rPr>
                <w:rFonts w:ascii="Times New Roman"/>
                <w:sz w:val="18"/>
              </w:rPr>
              <w:t>872.01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8,563,4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83.06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-4,733,8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06.37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13,297,</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289.43</w:t>
            </w: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91" w:right="0"/>
              <w:jc w:val="left"/>
              <w:rPr>
                <w:rFonts w:ascii="Times New Roman" w:hAnsi="Times New Roman" w:cs="Times New Roman" w:eastAsia="Times New Roman" w:hint="default"/>
                <w:sz w:val="18"/>
                <w:szCs w:val="18"/>
              </w:rPr>
            </w:pPr>
            <w:r>
              <w:rPr>
                <w:rFonts w:ascii="Times New Roman"/>
                <w:sz w:val="18"/>
              </w:rPr>
              <w:t>20,928,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3" w:right="0"/>
              <w:jc w:val="left"/>
              <w:rPr>
                <w:rFonts w:ascii="Times New Roman" w:hAnsi="Times New Roman" w:cs="Times New Roman" w:eastAsia="Times New Roman" w:hint="default"/>
                <w:sz w:val="18"/>
                <w:szCs w:val="18"/>
              </w:rPr>
            </w:pPr>
            <w:r>
              <w:rPr>
                <w:rFonts w:ascii="Times New Roman"/>
                <w:sz w:val="18"/>
              </w:rPr>
              <w:t>-20,928,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6" w:right="0"/>
              <w:jc w:val="left"/>
              <w:rPr>
                <w:rFonts w:ascii="Times New Roman" w:hAnsi="Times New Roman" w:cs="Times New Roman" w:eastAsia="Times New Roman" w:hint="default"/>
                <w:sz w:val="18"/>
                <w:szCs w:val="18"/>
              </w:rPr>
            </w:pPr>
            <w:r>
              <w:rPr>
                <w:rFonts w:ascii="Times New Roman"/>
                <w:sz w:val="18"/>
              </w:rPr>
              <w:t>544.08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9" w:right="0"/>
              <w:jc w:val="left"/>
              <w:rPr>
                <w:rFonts w:ascii="Times New Roman" w:hAnsi="Times New Roman" w:cs="Times New Roman" w:eastAsia="Times New Roman" w:hint="default"/>
                <w:sz w:val="18"/>
                <w:szCs w:val="18"/>
              </w:rPr>
            </w:pPr>
            <w:r>
              <w:rPr>
                <w:rFonts w:ascii="Times New Roman"/>
                <w:sz w:val="18"/>
              </w:rPr>
              <w:t>544.08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20,928,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544.08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-20,928,</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544.08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274,53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274,53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2,878.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2,878.0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828,62</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4,634.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395,187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,864.71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177,735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,274.12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-216,92</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8.88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80,104,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605,943</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,744.54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10,561,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889.32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70,920.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bl>
    <w:p>
      <w:pPr>
        <w:pStyle w:val="BodyText"/>
        <w:spacing w:line="240" w:lineRule="auto" w:before="49"/>
        <w:ind w:right="498"/>
        <w:jc w:val="left"/>
      </w:pPr>
      <w:r>
        <w:rPr/>
        <w:t>上期金额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1"/>
        <w:gridCol w:w="530"/>
        <w:gridCol w:w="533"/>
        <w:gridCol w:w="662"/>
        <w:gridCol w:w="665"/>
        <w:gridCol w:w="667"/>
        <w:gridCol w:w="665"/>
        <w:gridCol w:w="663"/>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50" w:right="5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9" w:right="57"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60" w:right="5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3"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0" w:right="7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9"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742,183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,935.97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-325,14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648.37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292,745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,453.15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8,535,6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75.82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7,654,2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85.00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107,624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,985.49</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-99,970,</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700.49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1,661.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749,838</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,220.97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107,624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,985.49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-325,14</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7.62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41,686,</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648.37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292,745</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,453.15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8,535,6</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75.82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27,526.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282,89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4,095.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7,833.3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74,844,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095.00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-101,14</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119,886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,813.82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-581,89</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192,015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,742.88</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-101,14</w:t>
            </w:r>
          </w:p>
          <w:p>
            <w:pPr>
              <w:pStyle w:val="TableParagraph"/>
              <w:spacing w:line="240" w:lineRule="auto" w:before="102"/>
              <w:ind w:left="321" w:right="0"/>
              <w:jc w:val="left"/>
              <w:rPr>
                <w:rFonts w:ascii="Times New Roman" w:hAnsi="Times New Roman" w:cs="Times New Roman" w:eastAsia="Times New Roman" w:hint="default"/>
                <w:sz w:val="18"/>
                <w:szCs w:val="18"/>
              </w:rPr>
            </w:pPr>
            <w:r>
              <w:rPr>
                <w:rFonts w:ascii="Times New Roman"/>
                <w:sz w:val="18"/>
              </w:rPr>
              <w:t>0.87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177,302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,356.33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-581,89</w:t>
            </w:r>
          </w:p>
          <w:p>
            <w:pPr>
              <w:pStyle w:val="TableParagraph"/>
              <w:spacing w:line="240" w:lineRule="auto" w:before="102"/>
              <w:ind w:left="304" w:right="0"/>
              <w:jc w:val="left"/>
              <w:rPr>
                <w:rFonts w:ascii="Times New Roman" w:hAnsi="Times New Roman" w:cs="Times New Roman" w:eastAsia="Times New Roman" w:hint="default"/>
                <w:sz w:val="18"/>
                <w:szCs w:val="18"/>
              </w:rPr>
            </w:pPr>
            <w:r>
              <w:rPr>
                <w:rFonts w:ascii="Times New Roman"/>
                <w:sz w:val="18"/>
              </w:rPr>
              <w:t>4.80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176,619</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,320.66</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113,443</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,811.67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74,844,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55,322,</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166.67</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16,722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99,556,</w:t>
            </w:r>
          </w:p>
          <w:p>
            <w:pPr>
              <w:pStyle w:val="TableParagraph"/>
              <w:spacing w:line="240" w:lineRule="auto" w:before="102"/>
              <w:ind w:left="143" w:right="0"/>
              <w:jc w:val="left"/>
              <w:rPr>
                <w:rFonts w:ascii="Times New Roman" w:hAnsi="Times New Roman" w:cs="Times New Roman" w:eastAsia="Times New Roman" w:hint="default"/>
                <w:sz w:val="18"/>
                <w:szCs w:val="18"/>
              </w:rPr>
            </w:pPr>
            <w:r>
              <w:rPr>
                <w:rFonts w:ascii="Times New Roman"/>
                <w:sz w:val="18"/>
              </w:rPr>
              <w:t>115.00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116,278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,565.00</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13,887,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696.67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74,844,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095.00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-60,956,</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398.33</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 w:right="0"/>
              <w:jc w:val="center"/>
              <w:rPr>
                <w:rFonts w:ascii="Times New Roman" w:hAnsi="Times New Roman" w:cs="Times New Roman" w:eastAsia="Times New Roman" w:hint="default"/>
                <w:sz w:val="18"/>
                <w:szCs w:val="18"/>
              </w:rPr>
            </w:pPr>
            <w:r>
              <w:rPr>
                <w:rFonts w:ascii="Times New Roman"/>
                <w:sz w:val="18"/>
              </w:rPr>
              <w:t>-57,415,</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542.51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2"/>
              <w:ind w:left="111" w:right="0"/>
              <w:jc w:val="center"/>
              <w:rPr>
                <w:rFonts w:ascii="Times New Roman" w:hAnsi="Times New Roman" w:cs="Times New Roman" w:eastAsia="Times New Roman" w:hint="default"/>
                <w:sz w:val="18"/>
                <w:szCs w:val="18"/>
              </w:rPr>
            </w:pPr>
            <w:r>
              <w:rPr>
                <w:rFonts w:ascii="Times New Roman"/>
                <w:sz w:val="18"/>
              </w:rPr>
              <w:t>744.45</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798.06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798.06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744.45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11" w:right="0"/>
              <w:jc w:val="center"/>
              <w:rPr>
                <w:rFonts w:ascii="Times New Roman" w:hAnsi="Times New Roman" w:cs="Times New Roman" w:eastAsia="Times New Roman" w:hint="default"/>
                <w:sz w:val="18"/>
                <w:szCs w:val="18"/>
              </w:rPr>
            </w:pPr>
            <w:r>
              <w:rPr>
                <w:rFonts w:ascii="Times New Roman"/>
                <w:sz w:val="18"/>
              </w:rPr>
              <w:t>744.45</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1,645.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1,645.0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1,645.</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-266,17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1,645.0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1"/>
        <w:gridCol w:w="530"/>
        <w:gridCol w:w="533"/>
        <w:gridCol w:w="662"/>
        <w:gridCol w:w="665"/>
        <w:gridCol w:w="667"/>
        <w:gridCol w:w="665"/>
        <w:gridCol w:w="663"/>
        <w:gridCol w:w="665"/>
        <w:gridCol w:w="679"/>
        <w:gridCol w:w="653"/>
        <w:gridCol w:w="658"/>
      </w:tblGrid>
      <w:tr>
        <w:trPr>
          <w:trHeight w:val="36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5,756.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597,110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,387.64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182,469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,080.49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-426,28</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8.49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59,176,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446.43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412,632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,266.97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7,953,7</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81.02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43,269.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498"/>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t>本期金额</w:t>
      </w:r>
    </w:p>
    <w:p>
      <w:pPr>
        <w:pStyle w:val="BodyText"/>
        <w:spacing w:line="240" w:lineRule="auto" w:before="115"/>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549,065,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596,754,1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59,176,44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407,465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1,612,461</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,547.57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2,063,833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182,469,0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-180,405,</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246.97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549,065,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598,817,9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65.66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182,469,0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59,176,44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407,465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1,432,056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,300.60</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279,558,</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-201,922,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522.93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-4,733,80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20,928,54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188,356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291,655,6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02.24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209,285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,440.80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209,285,4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40.80</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5,026,00</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72,610,35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-4,733,80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82,370,16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 w:right="0"/>
              <w:jc w:val="left"/>
              <w:rPr>
                <w:rFonts w:ascii="Times New Roman" w:hAnsi="Times New Roman" w:cs="Times New Roman" w:eastAsia="Times New Roman" w:hint="default"/>
                <w:sz w:val="18"/>
                <w:szCs w:val="18"/>
              </w:rPr>
            </w:pPr>
            <w:r>
              <w:rPr>
                <w:rFonts w:ascii="Times New Roman"/>
                <w:sz w:val="18"/>
              </w:rPr>
              <w:t>5,026,00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64,046,87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Times New Roman" w:hAnsi="Times New Roman" w:cs="Times New Roman" w:eastAsia="Times New Roman" w:hint="default"/>
                <w:sz w:val="18"/>
                <w:szCs w:val="18"/>
              </w:rPr>
            </w:pPr>
            <w:r>
              <w:rPr>
                <w:rFonts w:ascii="Times New Roman"/>
                <w:sz w:val="18"/>
              </w:rPr>
              <w:t>69,072,87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2.01</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8,563,483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-4,733,80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6.37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13,297,28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9.43</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20,928,54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-20,928,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544.08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20,928,54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-20,928,</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544.08</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274,532,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-274,532,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274,532,</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878.00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-274,532,</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878.00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828,624,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396,895,4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177,735,2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74.12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80,104,99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595,822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,109.72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1,723,711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,902.84</w:t>
            </w:r>
          </w:p>
        </w:tc>
      </w:tr>
    </w:tbl>
    <w:p>
      <w:pPr>
        <w:pStyle w:val="BodyText"/>
        <w:spacing w:line="240" w:lineRule="auto" w:before="49"/>
        <w:ind w:right="498"/>
        <w:jc w:val="left"/>
      </w:pPr>
      <w:r>
        <w:rPr/>
        <w:t>上期金额</w:t>
      </w:r>
    </w:p>
    <w:p>
      <w:pPr>
        <w:pStyle w:val="BodyText"/>
        <w:spacing w:line="240" w:lineRule="auto" w:before="117"/>
        <w:ind w:left="0" w:right="150"/>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800"/>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4" w:right="31"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743,891,5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13.99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41,686,64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289,982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1,341,732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,598.30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9"/>
              <w:jc w:val="righ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7,654,285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107,624,9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-99,970,7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85.49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00.49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751,545,7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107,624,9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41,686,64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289,982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,774.94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1,241,761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,897.81</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8"/>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282,894,</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-152,727,</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833.33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74,844,09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117,482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,438.06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190,294,4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02.79</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174,897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,980.57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80.57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16,722,4</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113,443,8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11.67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74,844,09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55,322,16</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6.67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16,722,4</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99,556,11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116,278,5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65.00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13,887,69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74,844,09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-60,956,3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98.33</w:t>
            </w: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-57,415,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542.51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-39,925,7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17,489,79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8.06</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-17,489,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798.06</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-39,925,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744.45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-39,925,7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44.45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645.00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-266,171,</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645.00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800"/>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549,065,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598,817,9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65.66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182,469,0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80.49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59,176,44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407,465</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,213.00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1,432,056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,300.60</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223" w:hanging="12"/>
        <w:jc w:val="left"/>
        <w:rPr>
          <w:rFonts w:ascii="Times New Roman" w:hAnsi="Times New Roman" w:cs="Times New Roman" w:eastAsia="Times New Roman" w:hint="default"/>
        </w:rPr>
      </w:pPr>
      <w:r>
        <w:rPr>
          <w:rFonts w:ascii="宋体" w:hAnsi="宋体" w:cs="宋体" w:eastAsia="宋体" w:hint="default"/>
          <w:b/>
          <w:bCs/>
        </w:rPr>
        <w:t>1.</w:t>
      </w:r>
      <w:r>
        <w:rPr>
          <w:rFonts w:ascii="宋体" w:hAnsi="宋体" w:cs="宋体" w:eastAsia="宋体" w:hint="default"/>
          <w:b/>
          <w:bCs/>
          <w:spacing w:val="87"/>
        </w:rPr>
        <w:t> </w:t>
      </w:r>
      <w:r>
        <w:rPr>
          <w:rFonts w:ascii="宋体" w:hAnsi="宋体" w:cs="宋体" w:eastAsia="宋体" w:hint="default"/>
          <w:b/>
          <w:bCs/>
        </w:rPr>
        <w:t>公司概况</w:t>
      </w:r>
      <w:r>
        <w:rPr>
          <w:rFonts w:ascii="宋体" w:hAnsi="宋体" w:cs="宋体" w:eastAsia="宋体" w:hint="default"/>
          <w:b/>
          <w:bCs/>
          <w:w w:val="99"/>
        </w:rPr>
        <w:t> </w:t>
      </w:r>
      <w:r>
        <w:rPr/>
        <w:t>上海汉得信息技术股份有限公司（以下简称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）前身是上海全富汉得软件技术有限公司，系于</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p>
    <w:p>
      <w:pPr>
        <w:pStyle w:val="BodyText"/>
        <w:spacing w:line="300" w:lineRule="auto"/>
        <w:ind w:right="220"/>
        <w:jc w:val="both"/>
      </w:pPr>
      <w:r>
        <w:rPr/>
        <w:t>月经上海市人民政府批准，由</w:t>
      </w:r>
      <w:r>
        <w:rPr>
          <w:rFonts w:ascii="Times New Roman" w:hAnsi="Times New Roman" w:cs="Times New Roman" w:eastAsia="Times New Roman" w:hint="default"/>
        </w:rPr>
        <w:t>SINO-TWINWOOD</w:t>
      </w:r>
      <w:r>
        <w:rPr>
          <w:rFonts w:ascii="Times New Roman" w:hAnsi="Times New Roman" w:cs="Times New Roman" w:eastAsia="Times New Roman" w:hint="default"/>
          <w:spacing w:val="-1"/>
        </w:rPr>
        <w:t> </w:t>
      </w:r>
      <w:r>
        <w:rPr>
          <w:rFonts w:ascii="Times New Roman" w:hAnsi="Times New Roman" w:cs="Times New Roman" w:eastAsia="Times New Roman" w:hint="default"/>
        </w:rPr>
        <w:t>PTE.,LTD</w:t>
      </w:r>
      <w:r>
        <w:rPr/>
        <w:t>投资设立的有限公司，注册资本为</w:t>
      </w:r>
      <w:r>
        <w:rPr>
          <w:rFonts w:ascii="Times New Roman" w:hAnsi="Times New Roman" w:cs="Times New Roman" w:eastAsia="Times New Roman" w:hint="default"/>
        </w:rPr>
        <w:t>215</w:t>
      </w:r>
      <w:r>
        <w:rPr/>
        <w:t>万美元。中华人民共和国 外商投资企业批准证书的批准号为商外资沪青独资字</w:t>
      </w:r>
      <w:r>
        <w:rPr>
          <w:rFonts w:ascii="Times New Roman" w:hAnsi="Times New Roman" w:cs="Times New Roman" w:eastAsia="Times New Roman" w:hint="default"/>
        </w:rPr>
        <w:t>[2002]1793</w:t>
      </w:r>
      <w:r>
        <w:rPr/>
        <w:t>。公司的企业法人营业执照注册号：</w:t>
      </w:r>
      <w:r>
        <w:rPr>
          <w:rFonts w:ascii="Times New Roman" w:hAnsi="Times New Roman" w:cs="Times New Roman" w:eastAsia="Times New Roman" w:hint="default"/>
        </w:rPr>
        <w:t>310000400308460</w:t>
      </w:r>
      <w:r>
        <w:rPr/>
        <w:t>（青 浦）。</w:t>
      </w:r>
    </w:p>
    <w:p>
      <w:pPr>
        <w:pStyle w:val="BodyText"/>
        <w:spacing w:line="300" w:lineRule="auto" w:before="31"/>
        <w:ind w:left="513" w:right="2343"/>
        <w:jc w:val="left"/>
      </w:pPr>
      <w:r>
        <w:rPr>
          <w:rFonts w:ascii="Times New Roman" w:hAnsi="Times New Roman" w:cs="Times New Roman" w:eastAsia="Times New Roman" w:hint="default"/>
        </w:rPr>
        <w:t>2007</w:t>
      </w:r>
      <w:r>
        <w:rPr/>
        <w:t>年投资方</w:t>
      </w:r>
      <w:r>
        <w:rPr>
          <w:rFonts w:ascii="Times New Roman" w:hAnsi="Times New Roman" w:cs="Times New Roman" w:eastAsia="Times New Roman" w:hint="default"/>
        </w:rPr>
        <w:t>SINO-TWINWOOD PTE. LTD</w:t>
      </w:r>
      <w:r>
        <w:rPr/>
        <w:t>更名为</w:t>
      </w:r>
      <w:r>
        <w:rPr>
          <w:rFonts w:ascii="Times New Roman" w:hAnsi="Times New Roman" w:cs="Times New Roman" w:eastAsia="Times New Roman" w:hint="default"/>
        </w:rPr>
        <w:t>Hand Enterprise Solutions</w:t>
      </w:r>
      <w:r>
        <w:rPr>
          <w:rFonts w:ascii="Times New Roman" w:hAnsi="Times New Roman" w:cs="Times New Roman" w:eastAsia="Times New Roman" w:hint="default"/>
          <w:spacing w:val="-7"/>
        </w:rPr>
        <w:t> </w:t>
      </w:r>
      <w:r>
        <w:rPr>
          <w:rFonts w:ascii="Times New Roman" w:hAnsi="Times New Roman" w:cs="Times New Roman" w:eastAsia="Times New Roman" w:hint="default"/>
        </w:rPr>
        <w:t>Pte.</w:t>
      </w:r>
      <w:r>
        <w:rPr/>
        <w:t>，</w:t>
      </w:r>
      <w:r>
        <w:rPr>
          <w:rFonts w:ascii="Times New Roman" w:hAnsi="Times New Roman" w:cs="Times New Roman" w:eastAsia="Times New Roman" w:hint="default"/>
        </w:rPr>
        <w:t>Ltd</w:t>
      </w:r>
      <w:r>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月，本公司由上海全富汉得软件技术有限公司更名为上海汉得信息技术有限公司。</w:t>
      </w:r>
    </w:p>
    <w:p>
      <w:pPr>
        <w:pStyle w:val="BodyText"/>
        <w:spacing w:line="300" w:lineRule="auto" w:before="13"/>
        <w:ind w:right="93" w:firstLine="36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Hand Enterprise Solutions Pte.</w:t>
      </w:r>
      <w:r>
        <w:rPr>
          <w:rFonts w:ascii="Times New Roman" w:hAnsi="Times New Roman" w:cs="Times New Roman" w:eastAsia="Times New Roman" w:hint="default"/>
          <w:spacing w:val="-13"/>
        </w:rPr>
        <w:t> </w:t>
      </w:r>
      <w:r>
        <w:rPr>
          <w:rFonts w:ascii="Times New Roman" w:hAnsi="Times New Roman" w:cs="Times New Roman" w:eastAsia="Times New Roman" w:hint="default"/>
        </w:rPr>
        <w:t>Ltd</w:t>
      </w:r>
      <w:r>
        <w:rPr/>
        <w:t>将其持有的本公司</w:t>
      </w:r>
      <w:r>
        <w:rPr>
          <w:rFonts w:ascii="Times New Roman" w:hAnsi="Times New Roman" w:cs="Times New Roman" w:eastAsia="Times New Roman" w:hint="default"/>
        </w:rPr>
        <w:t>100%</w:t>
      </w:r>
      <w:r>
        <w:rPr/>
        <w:t>股权分别转让给上海迪宣投资管理有限公司、 </w:t>
      </w:r>
      <w:r>
        <w:rPr>
          <w:rFonts w:ascii="Times New Roman" w:hAnsi="Times New Roman" w:cs="Times New Roman" w:eastAsia="Times New Roman" w:hint="default"/>
        </w:rPr>
        <w:t>Inspire East Investments Limited</w:t>
      </w:r>
      <w:r>
        <w:rPr/>
        <w:t>、</w:t>
      </w:r>
      <w:r>
        <w:rPr>
          <w:rFonts w:ascii="Times New Roman" w:hAnsi="Times New Roman" w:cs="Times New Roman" w:eastAsia="Times New Roman" w:hint="default"/>
        </w:rPr>
        <w:t>The China</w:t>
      </w:r>
      <w:r>
        <w:rPr>
          <w:rFonts w:ascii="Times New Roman" w:hAnsi="Times New Roman" w:cs="Times New Roman" w:eastAsia="Times New Roman" w:hint="default"/>
          <w:spacing w:val="-12"/>
        </w:rPr>
        <w:t> </w:t>
      </w:r>
      <w:r>
        <w:rPr>
          <w:rFonts w:ascii="Times New Roman" w:hAnsi="Times New Roman" w:cs="Times New Roman" w:eastAsia="Times New Roman" w:hint="default"/>
        </w:rPr>
        <w:t>Fund,Inc.</w:t>
      </w:r>
      <w:r>
        <w:rPr/>
        <w:t>、上海得帆投资管理有限公司、上海得竞投资管理有限公司、上海得拓 </w:t>
      </w:r>
      <w:r>
        <w:rPr>
          <w:spacing w:val="-1"/>
        </w:rPr>
        <w:t>投资管理有限公司和上海得逸投资管理有限公司。转让完成后，上海迪宣投资管理有限公司持有本公司</w:t>
      </w:r>
      <w:r>
        <w:rPr>
          <w:rFonts w:ascii="Times New Roman" w:hAnsi="Times New Roman" w:cs="Times New Roman" w:eastAsia="Times New Roman" w:hint="default"/>
          <w:spacing w:val="-1"/>
        </w:rPr>
        <w:t>50.569%</w:t>
      </w:r>
      <w:r>
        <w:rPr>
          <w:spacing w:val="-1"/>
        </w:rPr>
        <w:t>的股权，计</w:t>
      </w:r>
      <w:r>
        <w:rPr>
          <w:spacing w:val="-42"/>
        </w:rPr>
        <w:t> </w:t>
      </w:r>
      <w:r>
        <w:rPr>
          <w:spacing w:val="-42"/>
        </w:rPr>
      </w:r>
      <w:r>
        <w:rPr>
          <w:rFonts w:ascii="Times New Roman" w:hAnsi="Times New Roman" w:cs="Times New Roman" w:eastAsia="Times New Roman" w:hint="default"/>
        </w:rPr>
        <w:t>108.72</w:t>
      </w:r>
      <w:r>
        <w:rPr/>
        <w:t>万美元；</w:t>
      </w:r>
      <w:r>
        <w:rPr>
          <w:spacing w:val="-23"/>
        </w:rPr>
        <w:t> </w:t>
      </w:r>
      <w:r>
        <w:rPr>
          <w:rFonts w:ascii="Times New Roman" w:hAnsi="Times New Roman" w:cs="Times New Roman" w:eastAsia="Times New Roman" w:hint="default"/>
        </w:rPr>
        <w:t>Inspire</w:t>
      </w:r>
      <w:r>
        <w:rPr>
          <w:rFonts w:ascii="Times New Roman" w:hAnsi="Times New Roman" w:cs="Times New Roman" w:eastAsia="Times New Roman" w:hint="default"/>
          <w:spacing w:val="-2"/>
        </w:rPr>
        <w:t> </w:t>
      </w:r>
      <w:r>
        <w:rPr>
          <w:rFonts w:ascii="Times New Roman" w:hAnsi="Times New Roman" w:cs="Times New Roman" w:eastAsia="Times New Roman" w:hint="default"/>
        </w:rPr>
        <w:t>East</w:t>
      </w:r>
      <w:r>
        <w:rPr>
          <w:rFonts w:ascii="Times New Roman" w:hAnsi="Times New Roman" w:cs="Times New Roman" w:eastAsia="Times New Roman" w:hint="default"/>
          <w:spacing w:val="-2"/>
        </w:rPr>
        <w:t> </w:t>
      </w:r>
      <w:r>
        <w:rPr>
          <w:rFonts w:ascii="Times New Roman" w:hAnsi="Times New Roman" w:cs="Times New Roman" w:eastAsia="Times New Roman" w:hint="default"/>
        </w:rPr>
        <w:t>Investments</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t>持有本公司</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w:t>
      </w:r>
      <w:r>
        <w:rPr>
          <w:rFonts w:ascii="Times New Roman" w:hAnsi="Times New Roman" w:cs="Times New Roman" w:eastAsia="Times New Roman" w:hint="default"/>
        </w:rPr>
        <w:t>The</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Fund,Inc.</w:t>
      </w:r>
      <w:r>
        <w:rPr/>
        <w:t>持有本公司 </w:t>
      </w:r>
      <w:r>
        <w:rPr>
          <w:rFonts w:ascii="Times New Roman" w:hAnsi="Times New Roman" w:cs="Times New Roman" w:eastAsia="Times New Roman" w:hint="default"/>
        </w:rPr>
        <w:t>9.364%</w:t>
      </w:r>
      <w:r>
        <w:rPr/>
        <w:t>的股权，计</w:t>
      </w:r>
      <w:r>
        <w:rPr>
          <w:rFonts w:ascii="Times New Roman" w:hAnsi="Times New Roman" w:cs="Times New Roman" w:eastAsia="Times New Roman" w:hint="default"/>
        </w:rPr>
        <w:t>20.135</w:t>
      </w:r>
      <w:r>
        <w:rPr/>
        <w:t>万美元；上海得帆投资管理有限公司持有本公司</w:t>
      </w:r>
      <w:r>
        <w:rPr>
          <w:rFonts w:ascii="Times New Roman" w:hAnsi="Times New Roman" w:cs="Times New Roman" w:eastAsia="Times New Roman" w:hint="default"/>
        </w:rPr>
        <w:t>7.594%</w:t>
      </w:r>
      <w:r>
        <w:rPr/>
        <w:t>的股权，计</w:t>
      </w:r>
      <w:r>
        <w:rPr>
          <w:rFonts w:ascii="Times New Roman" w:hAnsi="Times New Roman" w:cs="Times New Roman" w:eastAsia="Times New Roman" w:hint="default"/>
        </w:rPr>
        <w:t>16.33</w:t>
      </w:r>
      <w:r>
        <w:rPr/>
        <w:t>万美元；上海得竞投资管 </w:t>
      </w:r>
      <w:r>
        <w:rPr>
          <w:spacing w:val="-1"/>
        </w:rPr>
        <w:t>理有限公司持有本公司</w:t>
      </w:r>
      <w:r>
        <w:rPr>
          <w:rFonts w:ascii="Times New Roman" w:hAnsi="Times New Roman" w:cs="Times New Roman" w:eastAsia="Times New Roman" w:hint="default"/>
          <w:spacing w:val="-1"/>
        </w:rPr>
        <w:t>5.232%</w:t>
      </w:r>
      <w:r>
        <w:rPr>
          <w:spacing w:val="-1"/>
        </w:rPr>
        <w:t>的股权，计</w:t>
      </w:r>
      <w:r>
        <w:rPr>
          <w:rFonts w:ascii="Times New Roman" w:hAnsi="Times New Roman" w:cs="Times New Roman" w:eastAsia="Times New Roman" w:hint="default"/>
          <w:spacing w:val="-1"/>
        </w:rPr>
        <w:t>11.25</w:t>
      </w:r>
      <w:r>
        <w:rPr>
          <w:spacing w:val="-1"/>
        </w:rPr>
        <w:t>万美元；上海得拓投资管理有限公司持有本公司</w:t>
      </w:r>
      <w:r>
        <w:rPr>
          <w:rFonts w:ascii="Times New Roman" w:hAnsi="Times New Roman" w:cs="Times New Roman" w:eastAsia="Times New Roman" w:hint="default"/>
          <w:spacing w:val="-1"/>
        </w:rPr>
        <w:t>5.745%</w:t>
      </w:r>
      <w:r>
        <w:rPr>
          <w:spacing w:val="-1"/>
        </w:rPr>
        <w:t>的股权，计</w:t>
      </w:r>
      <w:r>
        <w:rPr>
          <w:rFonts w:ascii="Times New Roman" w:hAnsi="Times New Roman" w:cs="Times New Roman" w:eastAsia="Times New Roman" w:hint="default"/>
          <w:spacing w:val="-1"/>
        </w:rPr>
        <w:t>12.35</w:t>
      </w:r>
      <w:r>
        <w:rPr>
          <w:spacing w:val="-1"/>
        </w:rPr>
        <w:t>万美</w:t>
      </w:r>
      <w:r>
        <w:rPr>
          <w:spacing w:val="-61"/>
        </w:rPr>
        <w:t> </w:t>
      </w:r>
      <w:r>
        <w:rPr/>
        <w:t>元；上海得逸投资管理有限公司持有本公司</w:t>
      </w:r>
      <w:r>
        <w:rPr>
          <w:rFonts w:ascii="Times New Roman" w:hAnsi="Times New Roman" w:cs="Times New Roman" w:eastAsia="Times New Roman" w:hint="default"/>
        </w:rPr>
        <w:t>12.132%</w:t>
      </w:r>
      <w:r>
        <w:rPr/>
        <w:t>的股权，计</w:t>
      </w:r>
      <w:r>
        <w:rPr>
          <w:rFonts w:ascii="Times New Roman" w:hAnsi="Times New Roman" w:cs="Times New Roman" w:eastAsia="Times New Roman" w:hint="default"/>
        </w:rPr>
        <w:t>26.08</w:t>
      </w:r>
      <w:r>
        <w:rPr/>
        <w:t>万美元。</w:t>
      </w:r>
    </w:p>
    <w:p>
      <w:pPr>
        <w:pStyle w:val="BodyText"/>
        <w:spacing w:line="302" w:lineRule="auto" w:before="13"/>
        <w:ind w:right="93" w:firstLine="360"/>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日，本公司董事会作出决议，同意本公司整体变更为股份有限公司，同日，本公司的全体股东签订了《发</w:t>
      </w:r>
      <w:r>
        <w:rPr/>
        <w:t> 起人协议》。上海商务委于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日以沪商外资批</w:t>
      </w:r>
      <w:r>
        <w:rPr>
          <w:rFonts w:ascii="Times New Roman" w:hAnsi="Times New Roman" w:cs="Times New Roman" w:eastAsia="Times New Roman" w:hint="default"/>
        </w:rPr>
        <w:t>[2010]28</w:t>
      </w:r>
      <w:r>
        <w:rPr/>
        <w:t>号《市商务委关于同意上海汉得信息技术有限公司变更为外 商投资股份有限公司的批复》批准本公司整体变更为股份有限公司，上海市人民政府同意本公司整体变更为股份有限公司， 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日颁发商外资沪股份字</w:t>
      </w:r>
      <w:r>
        <w:rPr>
          <w:rFonts w:ascii="Times New Roman" w:hAnsi="Times New Roman" w:cs="Times New Roman" w:eastAsia="Times New Roman" w:hint="default"/>
        </w:rPr>
        <w:t>[2002]1793</w:t>
      </w:r>
      <w:r>
        <w:rPr/>
        <w:t>号《中华人民共和国外商投资企业批准证书》。根据董事会决议及发起 </w:t>
      </w:r>
      <w:r>
        <w:rPr>
          <w:spacing w:val="-2"/>
        </w:rPr>
        <w:t>人协议，本公司各股东以其所拥有的截止</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日上海汉得信息技术有限公司的净资产</w:t>
      </w:r>
      <w:r>
        <w:rPr>
          <w:rFonts w:ascii="Times New Roman" w:hAnsi="Times New Roman" w:cs="Times New Roman" w:eastAsia="Times New Roman" w:hint="default"/>
          <w:spacing w:val="-2"/>
        </w:rPr>
        <w:t>14,035.68</w:t>
      </w:r>
      <w:r>
        <w:rPr>
          <w:spacing w:val="-2"/>
        </w:rPr>
        <w:t>万元按原出资比例认</w:t>
      </w:r>
      <w:r>
        <w:rPr>
          <w:spacing w:val="-53"/>
        </w:rPr>
        <w:t> </w:t>
      </w:r>
      <w:r>
        <w:rPr>
          <w:spacing w:val="-53"/>
        </w:rPr>
      </w:r>
      <w:r>
        <w:rPr/>
        <w:t>购公司股份，按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0.6108</w:t>
      </w:r>
      <w:r>
        <w:rPr/>
        <w:t>的比例折合股份总额，共计</w:t>
      </w:r>
      <w:r>
        <w:rPr>
          <w:rFonts w:ascii="Times New Roman" w:hAnsi="Times New Roman" w:cs="Times New Roman" w:eastAsia="Times New Roman" w:hint="default"/>
        </w:rPr>
        <w:t>8,572.45</w:t>
      </w:r>
      <w:r>
        <w:rPr/>
        <w:t>万股，净资产大于股本部分</w:t>
      </w:r>
      <w:r>
        <w:rPr>
          <w:rFonts w:ascii="Times New Roman" w:hAnsi="Times New Roman" w:cs="Times New Roman" w:eastAsia="Times New Roman" w:hint="default"/>
        </w:rPr>
        <w:t>5,463.23</w:t>
      </w:r>
      <w:r>
        <w:rPr/>
        <w:t>万元计入资本公积。立信 会计师事务所有限公司就此次整体变更出具了信会师报字（</w:t>
      </w:r>
      <w:r>
        <w:rPr>
          <w:rFonts w:ascii="Times New Roman" w:hAnsi="Times New Roman" w:cs="Times New Roman" w:eastAsia="Times New Roman" w:hint="default"/>
        </w:rPr>
        <w:t>2010</w:t>
      </w:r>
      <w:r>
        <w:rPr/>
        <w:t>）第</w:t>
      </w:r>
      <w:r>
        <w:rPr>
          <w:rFonts w:ascii="Times New Roman" w:hAnsi="Times New Roman" w:cs="Times New Roman" w:eastAsia="Times New Roman" w:hint="default"/>
        </w:rPr>
        <w:t>10274</w:t>
      </w:r>
      <w:r>
        <w:rPr/>
        <w:t>号《验资报告》。上海市工商行政管理局于</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日换发了《企业法人营业执照》，注册号</w:t>
      </w:r>
      <w:r>
        <w:rPr>
          <w:rFonts w:ascii="Times New Roman" w:hAnsi="Times New Roman" w:cs="Times New Roman" w:eastAsia="Times New Roman" w:hint="default"/>
        </w:rPr>
        <w:t>/</w:t>
      </w:r>
      <w:r>
        <w:rPr/>
        <w:t>统一社会信用代码：</w:t>
      </w:r>
      <w:r>
        <w:rPr>
          <w:rFonts w:ascii="Times New Roman" w:hAnsi="Times New Roman" w:cs="Times New Roman" w:eastAsia="Times New Roman" w:hint="default"/>
        </w:rPr>
        <w:t>310000400308460</w:t>
      </w:r>
      <w:r>
        <w:rPr/>
        <w:t>（市局）。</w:t>
      </w:r>
    </w:p>
    <w:p>
      <w:pPr>
        <w:pStyle w:val="BodyText"/>
        <w:spacing w:line="300" w:lineRule="auto" w:before="11"/>
        <w:ind w:right="183" w:firstLine="360"/>
        <w:jc w:val="left"/>
      </w:pPr>
      <w:r>
        <w:rPr/>
        <w:t>经中国证券监督管理委员会证监发行字</w:t>
      </w:r>
      <w:r>
        <w:rPr>
          <w:rFonts w:ascii="Times New Roman" w:hAnsi="Times New Roman" w:cs="Times New Roman" w:eastAsia="Times New Roman" w:hint="default"/>
        </w:rPr>
        <w:t>[2010]1835</w:t>
      </w:r>
      <w:r>
        <w:rPr/>
        <w:t>号文核准，公司于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月向社会公开发行人民币普通股（</w:t>
      </w:r>
      <w:r>
        <w:rPr>
          <w:rFonts w:ascii="Times New Roman" w:hAnsi="Times New Roman" w:cs="Times New Roman" w:eastAsia="Times New Roman" w:hint="default"/>
        </w:rPr>
        <w:t>A</w:t>
      </w:r>
      <w:r>
        <w:rPr/>
        <w:t>股） </w:t>
      </w:r>
      <w:r>
        <w:rPr>
          <w:rFonts w:ascii="Times New Roman" w:hAnsi="Times New Roman" w:cs="Times New Roman" w:eastAsia="Times New Roman" w:hint="default"/>
        </w:rPr>
        <w:t>3,000</w:t>
      </w:r>
      <w:r>
        <w:rPr/>
        <w:t>万股，增加注册资本</w:t>
      </w:r>
      <w:r>
        <w:rPr>
          <w:rFonts w:ascii="Times New Roman" w:hAnsi="Times New Roman" w:cs="Times New Roman" w:eastAsia="Times New Roman" w:hint="default"/>
        </w:rPr>
        <w:t>3,000</w:t>
      </w:r>
      <w:r>
        <w:rPr/>
        <w:t>万元，增加后的注册资本为人民币</w:t>
      </w:r>
      <w:r>
        <w:rPr>
          <w:rFonts w:ascii="Times New Roman" w:hAnsi="Times New Roman" w:cs="Times New Roman" w:eastAsia="Times New Roman" w:hint="default"/>
        </w:rPr>
        <w:t>11,572.45</w:t>
      </w:r>
      <w:r>
        <w:rPr/>
        <w:t>万元。公司于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日在深圳证券交易所挂 牌上市，深圳证券交易所创业板</w:t>
      </w:r>
      <w:r>
        <w:rPr>
          <w:rFonts w:ascii="Times New Roman" w:hAnsi="Times New Roman" w:cs="Times New Roman" w:eastAsia="Times New Roman" w:hint="default"/>
        </w:rPr>
        <w:t>A</w:t>
      </w:r>
      <w:r>
        <w:rPr/>
        <w:t>股交易代码：</w:t>
      </w:r>
      <w:r>
        <w:rPr>
          <w:rFonts w:ascii="Times New Roman" w:hAnsi="Times New Roman" w:cs="Times New Roman" w:eastAsia="Times New Roman" w:hint="default"/>
        </w:rPr>
        <w:t>300170</w:t>
      </w:r>
      <w:r>
        <w:rPr/>
        <w:t>，</w:t>
      </w:r>
      <w:r>
        <w:rPr>
          <w:rFonts w:ascii="Times New Roman" w:hAnsi="Times New Roman" w:cs="Times New Roman" w:eastAsia="Times New Roman" w:hint="default"/>
        </w:rPr>
        <w:t>A</w:t>
      </w:r>
      <w:r>
        <w:rPr/>
        <w:t>股简称：汉得信息。所属行业为软件服务类。</w:t>
      </w:r>
    </w:p>
    <w:p>
      <w:pPr>
        <w:pStyle w:val="BodyText"/>
        <w:spacing w:line="300" w:lineRule="auto" w:before="13"/>
        <w:ind w:right="273" w:firstLine="360"/>
        <w:jc w:val="left"/>
      </w:pPr>
      <w:r>
        <w:rPr/>
        <w:t>根据本公司</w:t>
      </w:r>
      <w:r>
        <w:rPr>
          <w:rFonts w:ascii="Times New Roman" w:hAnsi="Times New Roman" w:cs="Times New Roman" w:eastAsia="Times New Roman" w:hint="default"/>
        </w:rPr>
        <w:t>2010</w:t>
      </w:r>
      <w:r>
        <w:rPr/>
        <w:t>年度股东大会决议，本公司以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日股本</w:t>
      </w:r>
      <w:r>
        <w:rPr>
          <w:rFonts w:ascii="Times New Roman" w:hAnsi="Times New Roman" w:cs="Times New Roman" w:eastAsia="Times New Roman" w:hint="default"/>
        </w:rPr>
        <w:t>11,572.45</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4 </w:t>
      </w:r>
      <w:r>
        <w:rPr/>
        <w:t>股，共计转增</w:t>
      </w:r>
      <w:r>
        <w:rPr>
          <w:rFonts w:ascii="Times New Roman" w:hAnsi="Times New Roman" w:cs="Times New Roman" w:eastAsia="Times New Roman" w:hint="default"/>
        </w:rPr>
        <w:t>4,628.98</w:t>
      </w:r>
      <w:r>
        <w:rPr/>
        <w:t>万股，转增后股本为</w:t>
      </w:r>
      <w:r>
        <w:rPr>
          <w:rFonts w:ascii="Times New Roman" w:hAnsi="Times New Roman" w:cs="Times New Roman" w:eastAsia="Times New Roman" w:hint="default"/>
        </w:rPr>
        <w:t>16,201.43</w:t>
      </w:r>
      <w:r>
        <w:rPr/>
        <w:t>万元。</w:t>
      </w:r>
    </w:p>
    <w:p>
      <w:pPr>
        <w:pStyle w:val="BodyText"/>
        <w:spacing w:line="300" w:lineRule="auto" w:before="13"/>
        <w:ind w:right="192" w:firstLine="360"/>
        <w:jc w:val="both"/>
      </w:pPr>
      <w:r>
        <w:rPr>
          <w:spacing w:val="-2"/>
        </w:rPr>
        <w:t>经公司</w:t>
      </w:r>
      <w:r>
        <w:rPr>
          <w:rFonts w:ascii="Times New Roman" w:hAnsi="Times New Roman" w:cs="Times New Roman" w:eastAsia="Times New Roman" w:hint="default"/>
          <w:spacing w:val="-2"/>
        </w:rPr>
        <w:t>2011</w:t>
      </w:r>
      <w:r>
        <w:rPr>
          <w:spacing w:val="-2"/>
        </w:rPr>
        <w:t>年度第一次临时股东大会及</w:t>
      </w:r>
      <w:r>
        <w:rPr>
          <w:rFonts w:ascii="Times New Roman" w:hAnsi="Times New Roman" w:cs="Times New Roman" w:eastAsia="Times New Roman" w:hint="default"/>
          <w:spacing w:val="-2"/>
        </w:rPr>
        <w:t>2011</w:t>
      </w:r>
      <w:r>
        <w:rPr>
          <w:spacing w:val="-2"/>
        </w:rPr>
        <w:t>年度第一届董事会第十七次（临时）会议决议通过，并经中国证券监督委员</w:t>
      </w:r>
      <w:r>
        <w:rPr/>
        <w:t> 会审核通过，向本公司</w:t>
      </w:r>
      <w:r>
        <w:rPr>
          <w:rFonts w:ascii="Times New Roman" w:hAnsi="Times New Roman" w:cs="Times New Roman" w:eastAsia="Times New Roman" w:hint="default"/>
        </w:rPr>
        <w:t>314</w:t>
      </w:r>
      <w:r>
        <w:rPr/>
        <w:t>名激励对象授予</w:t>
      </w:r>
      <w:r>
        <w:rPr>
          <w:rFonts w:ascii="Times New Roman" w:hAnsi="Times New Roman" w:cs="Times New Roman" w:eastAsia="Times New Roman" w:hint="default"/>
        </w:rPr>
        <w:t>599.35</w:t>
      </w:r>
      <w:r>
        <w:rPr/>
        <w:t>万股制性股票，并确定授予日为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日。授予股票来源为向激励对 象定向发行人民币</w:t>
      </w:r>
      <w:r>
        <w:rPr>
          <w:rFonts w:ascii="Times New Roman" w:hAnsi="Times New Roman" w:cs="Times New Roman" w:eastAsia="Times New Roman" w:hint="default"/>
        </w:rPr>
        <w:t>A</w:t>
      </w:r>
      <w:r>
        <w:rPr/>
        <w:t>股普通股限制性股票。本次定向发行完成后本公司股本总额为</w:t>
      </w:r>
      <w:r>
        <w:rPr>
          <w:rFonts w:ascii="Times New Roman" w:hAnsi="Times New Roman" w:cs="Times New Roman" w:eastAsia="Times New Roman" w:hint="default"/>
        </w:rPr>
        <w:t>16,800.78</w:t>
      </w:r>
      <w:r>
        <w:rPr/>
        <w:t>万元。</w:t>
      </w:r>
    </w:p>
    <w:p>
      <w:pPr>
        <w:pStyle w:val="BodyText"/>
        <w:spacing w:line="240" w:lineRule="auto" w:before="13"/>
        <w:ind w:left="513" w:right="223"/>
        <w:jc w:val="left"/>
      </w:pPr>
      <w:r>
        <w:rPr>
          <w:rFonts w:ascii="Times New Roman" w:hAnsi="Times New Roman" w:cs="Times New Roman" w:eastAsia="Times New Roman" w:hint="default"/>
        </w:rPr>
        <w:t>2012</w:t>
      </w:r>
      <w:r>
        <w:rPr/>
        <w:t>年，公司回购并注销</w:t>
      </w:r>
      <w:r>
        <w:rPr>
          <w:rFonts w:ascii="Times New Roman" w:hAnsi="Times New Roman" w:cs="Times New Roman" w:eastAsia="Times New Roman" w:hint="default"/>
        </w:rPr>
        <w:t>19.50</w:t>
      </w:r>
      <w:r>
        <w:rPr/>
        <w:t>万股限制性股票。</w:t>
      </w:r>
    </w:p>
    <w:p>
      <w:pPr>
        <w:pStyle w:val="BodyText"/>
        <w:spacing w:line="300" w:lineRule="auto" w:before="63"/>
        <w:ind w:right="93" w:firstLine="36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日，根据公司第一届董事会第三十八次（临时）会议关于授予限制性股票的决议、第一届董事会第三十九 </w:t>
      </w:r>
      <w:r>
        <w:rPr>
          <w:spacing w:val="-4"/>
        </w:rPr>
        <w:t>次（临时）会议对授予股数和人数的调整以及《上海汉得信息技术股份有限公司</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
        </w:rPr>
        <w:t> </w:t>
      </w:r>
      <w:r>
        <w:rPr>
          <w:spacing w:val="-6"/>
        </w:rPr>
        <w:t>年限制性股票激励计划（草案修订稿）》</w:t>
      </w:r>
      <w:r>
        <w:rPr/>
        <w:t> 相关要求，公司董事会实施并完成了限制性股票的授予工作，向激励对象定向发行</w:t>
      </w:r>
      <w:r>
        <w:rPr>
          <w:rFonts w:ascii="Times New Roman" w:hAnsi="Times New Roman" w:cs="Times New Roman" w:eastAsia="Times New Roman" w:hint="default"/>
        </w:rPr>
        <w:t>963.50</w:t>
      </w:r>
      <w:r>
        <w:rPr/>
        <w:t>万股限制性股票。</w:t>
      </w:r>
    </w:p>
    <w:p>
      <w:pPr>
        <w:pStyle w:val="BodyText"/>
        <w:spacing w:line="240" w:lineRule="auto" w:before="13"/>
        <w:ind w:left="513" w:right="223"/>
        <w:jc w:val="left"/>
        <w:rPr>
          <w:rFonts w:ascii="Times New Roman" w:hAnsi="Times New Roman" w:cs="Times New Roman" w:eastAsia="Times New Roman" w:hint="default"/>
        </w:rPr>
      </w:pPr>
      <w:r>
        <w:rPr/>
        <w:t>根据本公司</w:t>
      </w:r>
      <w:r>
        <w:rPr>
          <w:rFonts w:ascii="Times New Roman" w:hAnsi="Times New Roman" w:cs="Times New Roman" w:eastAsia="Times New Roman" w:hint="default"/>
        </w:rPr>
        <w:t>2012</w:t>
      </w:r>
      <w:r>
        <w:rPr/>
        <w:t>年度股东大会决议，本公司以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日股本</w:t>
      </w:r>
      <w:r>
        <w:rPr>
          <w:rFonts w:ascii="Times New Roman" w:hAnsi="Times New Roman" w:cs="Times New Roman" w:eastAsia="Times New Roman" w:hint="default"/>
        </w:rPr>
        <w:t>17,744.78</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5</w:t>
      </w:r>
    </w:p>
    <w:p>
      <w:pPr>
        <w:spacing w:after="0" w:line="240" w:lineRule="auto"/>
        <w:jc w:val="left"/>
        <w:rPr>
          <w:rFonts w:ascii="Times New Roman" w:hAnsi="Times New Roman" w:cs="Times New Roman" w:eastAsia="Times New Roman" w:hint="default"/>
        </w:rPr>
        <w:sectPr>
          <w:pgSz w:w="11910" w:h="16840"/>
          <w:pgMar w:header="745" w:footer="979"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both"/>
      </w:pPr>
      <w:r>
        <w:rPr/>
        <w:t>股，共计转增</w:t>
      </w:r>
      <w:r>
        <w:rPr>
          <w:rFonts w:ascii="Times New Roman" w:hAnsi="Times New Roman" w:cs="Times New Roman" w:eastAsia="Times New Roman" w:hint="default"/>
        </w:rPr>
        <w:t>8,872.39</w:t>
      </w:r>
      <w:r>
        <w:rPr/>
        <w:t>万股，转增后股本为</w:t>
      </w:r>
      <w:r>
        <w:rPr>
          <w:rFonts w:ascii="Times New Roman" w:hAnsi="Times New Roman" w:cs="Times New Roman" w:eastAsia="Times New Roman" w:hint="default"/>
        </w:rPr>
        <w:t>26,617.17</w:t>
      </w:r>
      <w:r>
        <w:rPr/>
        <w:t>万元。</w:t>
      </w:r>
    </w:p>
    <w:p>
      <w:pPr>
        <w:pStyle w:val="BodyText"/>
        <w:spacing w:line="240" w:lineRule="auto" w:before="63"/>
        <w:ind w:left="513" w:right="498"/>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月，公司回购并注销</w:t>
      </w:r>
      <w:r>
        <w:rPr>
          <w:rFonts w:ascii="Times New Roman" w:hAnsi="Times New Roman" w:cs="Times New Roman" w:eastAsia="Times New Roman" w:hint="default"/>
        </w:rPr>
        <w:t>149.96</w:t>
      </w:r>
      <w:r>
        <w:rPr/>
        <w:t>万股限制性股票。</w:t>
      </w:r>
    </w:p>
    <w:p>
      <w:pPr>
        <w:pStyle w:val="BodyText"/>
        <w:spacing w:line="300" w:lineRule="auto" w:before="63"/>
        <w:ind w:right="149"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spacing w:val="-2"/>
        </w:rPr>
        <w:t>年</w:t>
      </w:r>
      <w:r>
        <w:rPr>
          <w:rFonts w:ascii="Times New Roman" w:hAnsi="Times New Roman" w:cs="Times New Roman" w:eastAsia="Times New Roman" w:hint="default"/>
          <w:spacing w:val="-2"/>
        </w:rPr>
        <w:t>6</w:t>
      </w:r>
      <w:r>
        <w:rPr>
          <w:spacing w:val="-2"/>
        </w:rPr>
        <w:t>月，根据公司第二届董事会第八次（临时）会议关于授予限制性股票的决议、第二届董事会第十次（临时）会</w:t>
      </w:r>
      <w:r>
        <w:rPr/>
        <w:t> 议通过《关于调整公司</w:t>
      </w:r>
      <w:r>
        <w:rPr>
          <w:rFonts w:ascii="Times New Roman" w:hAnsi="Times New Roman" w:cs="Times New Roman" w:eastAsia="Times New Roman" w:hint="default"/>
        </w:rPr>
        <w:t>2013</w:t>
      </w:r>
      <w:r>
        <w:rPr>
          <w:rFonts w:ascii="Times New Roman" w:hAnsi="Times New Roman" w:cs="Times New Roman" w:eastAsia="Times New Roman" w:hint="default"/>
          <w:spacing w:val="26"/>
        </w:rPr>
        <w:t> </w:t>
      </w:r>
      <w:r>
        <w:rPr/>
        <w:t>年限制性股票激励计划的议案》对授予股数和人数的调整及《上海汉得信息技术股份有限公司 </w:t>
      </w:r>
      <w:r>
        <w:rPr>
          <w:rFonts w:ascii="Times New Roman" w:hAnsi="Times New Roman" w:cs="Times New Roman" w:eastAsia="Times New Roman" w:hint="default"/>
        </w:rPr>
        <w:t>2013</w:t>
      </w:r>
      <w:r>
        <w:rPr>
          <w:rFonts w:ascii="Times New Roman" w:hAnsi="Times New Roman" w:cs="Times New Roman" w:eastAsia="Times New Roman" w:hint="default"/>
          <w:spacing w:val="26"/>
        </w:rPr>
        <w:t> </w:t>
      </w:r>
      <w:r>
        <w:rPr/>
        <w:t>年限制性股票激励计划（草案修订稿）》相关要求，公司董事会实施并完成了限制性股票的授予工作，向激励对象定 向发行</w:t>
      </w:r>
      <w:r>
        <w:rPr>
          <w:rFonts w:ascii="Times New Roman" w:hAnsi="Times New Roman" w:cs="Times New Roman" w:eastAsia="Times New Roman" w:hint="default"/>
        </w:rPr>
        <w:t>552.60</w:t>
      </w:r>
      <w:r>
        <w:rPr/>
        <w:t>万股限制性股票。</w:t>
      </w:r>
    </w:p>
    <w:p>
      <w:pPr>
        <w:pStyle w:val="BodyText"/>
        <w:spacing w:line="240" w:lineRule="auto" w:before="13"/>
        <w:ind w:left="513" w:right="0"/>
        <w:jc w:val="left"/>
      </w:pPr>
      <w:r>
        <w:rPr/>
        <w:t>根据本公司</w:t>
      </w:r>
      <w:r>
        <w:rPr>
          <w:rFonts w:ascii="Times New Roman" w:hAnsi="Times New Roman" w:cs="Times New Roman" w:eastAsia="Times New Roman" w:hint="default"/>
        </w:rPr>
        <w:t>2013</w:t>
      </w:r>
      <w:r>
        <w:rPr/>
        <w:t>年度股东大会决议，本公司以</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6 </w:t>
      </w:r>
      <w:r>
        <w:rPr/>
        <w:t>月</w:t>
      </w:r>
      <w:r>
        <w:rPr>
          <w:rFonts w:ascii="Times New Roman" w:hAnsi="Times New Roman" w:cs="Times New Roman" w:eastAsia="Times New Roman" w:hint="default"/>
        </w:rPr>
        <w:t>27 </w:t>
      </w:r>
      <w:r>
        <w:rPr>
          <w:rFonts w:ascii="Times New Roman" w:hAnsi="Times New Roman" w:cs="Times New Roman" w:eastAsia="Times New Roman" w:hint="default"/>
          <w:spacing w:val="1"/>
        </w:rPr>
        <w:t> </w:t>
      </w:r>
      <w:r>
        <w:rPr/>
        <w:t>日股本</w:t>
      </w:r>
      <w:r>
        <w:rPr>
          <w:rFonts w:ascii="Times New Roman" w:hAnsi="Times New Roman" w:cs="Times New Roman" w:eastAsia="Times New Roman" w:hint="default"/>
        </w:rPr>
        <w:t>27,019.81</w:t>
      </w:r>
      <w:r>
        <w:rPr/>
        <w:t>万股为基数，按每</w:t>
      </w:r>
      <w:r>
        <w:rPr>
          <w:rFonts w:ascii="Times New Roman" w:hAnsi="Times New Roman" w:cs="Times New Roman" w:eastAsia="Times New Roman" w:hint="default"/>
        </w:rPr>
        <w:t>10</w:t>
      </w:r>
      <w:r>
        <w:rPr/>
        <w:t>股由资本公积金转增</w:t>
      </w:r>
    </w:p>
    <w:p>
      <w:pPr>
        <w:pStyle w:val="BodyText"/>
        <w:spacing w:line="240" w:lineRule="auto" w:before="63"/>
        <w:ind w:right="0"/>
        <w:jc w:val="both"/>
      </w:pPr>
      <w:r>
        <w:rPr>
          <w:rFonts w:ascii="Times New Roman" w:hAnsi="Times New Roman" w:cs="Times New Roman" w:eastAsia="Times New Roman" w:hint="default"/>
        </w:rPr>
        <w:t>9.850981</w:t>
      </w:r>
      <w:r>
        <w:rPr/>
        <w:t>股，共计转增</w:t>
      </w:r>
      <w:r>
        <w:rPr>
          <w:rFonts w:ascii="Times New Roman" w:hAnsi="Times New Roman" w:cs="Times New Roman" w:eastAsia="Times New Roman" w:hint="default"/>
        </w:rPr>
        <w:t>26,617.16</w:t>
      </w:r>
      <w:r>
        <w:rPr/>
        <w:t>万股，转增后股本为</w:t>
      </w:r>
      <w:r>
        <w:rPr>
          <w:rFonts w:ascii="Times New Roman" w:hAnsi="Times New Roman" w:cs="Times New Roman" w:eastAsia="Times New Roman" w:hint="default"/>
        </w:rPr>
        <w:t>53,636.98</w:t>
      </w:r>
      <w:r>
        <w:rPr/>
        <w:t>万元。</w:t>
      </w:r>
    </w:p>
    <w:p>
      <w:pPr>
        <w:pStyle w:val="BodyText"/>
        <w:spacing w:line="240" w:lineRule="auto" w:before="63"/>
        <w:ind w:left="513" w:right="0"/>
        <w:jc w:val="left"/>
      </w:pP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月，根据公司第二届董事会第二十二次（临时）会议关于授予限制性股票的决议、第二届董事会第二十三次</w:t>
      </w:r>
    </w:p>
    <w:p>
      <w:pPr>
        <w:pStyle w:val="BodyText"/>
        <w:spacing w:line="300" w:lineRule="auto" w:before="63"/>
        <w:ind w:right="178"/>
        <w:jc w:val="both"/>
      </w:pPr>
      <w:r>
        <w:rPr/>
        <w:t>（临时）会议通过的《关于调整公司</w:t>
      </w:r>
      <w:r>
        <w:rPr>
          <w:rFonts w:ascii="Times New Roman" w:hAnsi="Times New Roman" w:cs="Times New Roman" w:eastAsia="Times New Roman" w:hint="default"/>
        </w:rPr>
        <w:t>2014</w:t>
      </w:r>
      <w:r>
        <w:rPr>
          <w:rFonts w:ascii="Times New Roman" w:hAnsi="Times New Roman" w:cs="Times New Roman" w:eastAsia="Times New Roman" w:hint="default"/>
          <w:spacing w:val="25"/>
        </w:rPr>
        <w:t> </w:t>
      </w:r>
      <w:r>
        <w:rPr/>
        <w:t>年限制性股票激励计划的议案》对授予股数和人数的调整及《上海汉得信息技术 股份有限公司</w:t>
      </w:r>
      <w:r>
        <w:rPr>
          <w:rFonts w:ascii="Times New Roman" w:hAnsi="Times New Roman" w:cs="Times New Roman" w:eastAsia="Times New Roman" w:hint="default"/>
        </w:rPr>
        <w:t>2014</w:t>
      </w:r>
      <w:r>
        <w:rPr>
          <w:rFonts w:ascii="Times New Roman" w:hAnsi="Times New Roman" w:cs="Times New Roman" w:eastAsia="Times New Roman" w:hint="default"/>
          <w:spacing w:val="24"/>
        </w:rPr>
        <w:t> </w:t>
      </w:r>
      <w:r>
        <w:rPr/>
        <w:t>年限制性股票激励计划（草案）》相关要求，公司董事会实施并完成了限制性股票的授予工作，向激励 对象定向发行</w:t>
      </w:r>
      <w:r>
        <w:rPr>
          <w:rFonts w:ascii="Times New Roman" w:hAnsi="Times New Roman" w:cs="Times New Roman" w:eastAsia="Times New Roman" w:hint="default"/>
        </w:rPr>
        <w:t>12,696,000</w:t>
      </w:r>
      <w:r>
        <w:rPr/>
        <w:t>股限制性股票。</w:t>
      </w:r>
    </w:p>
    <w:p>
      <w:pPr>
        <w:pStyle w:val="BodyText"/>
        <w:spacing w:line="300" w:lineRule="auto" w:before="13"/>
        <w:ind w:right="151" w:firstLine="360"/>
        <w:jc w:val="both"/>
      </w:pP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日召开的</w:t>
      </w:r>
      <w:r>
        <w:rPr>
          <w:rFonts w:ascii="Times New Roman" w:hAnsi="Times New Roman" w:cs="Times New Roman" w:eastAsia="Times New Roman" w:hint="default"/>
          <w:spacing w:val="-2"/>
        </w:rPr>
        <w:t>2014</w:t>
      </w:r>
      <w:r>
        <w:rPr>
          <w:spacing w:val="-2"/>
        </w:rPr>
        <w:t>年年度股东大会决议，以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日总股本</w:t>
      </w:r>
      <w:r>
        <w:rPr>
          <w:rFonts w:ascii="Times New Roman" w:hAnsi="Times New Roman" w:cs="Times New Roman" w:eastAsia="Times New Roman" w:hint="default"/>
          <w:spacing w:val="-2"/>
        </w:rPr>
        <w:t>549,065,756</w:t>
      </w:r>
      <w:r>
        <w:rPr>
          <w:spacing w:val="-2"/>
        </w:rPr>
        <w:t>股为基数，以资本公积金向</w:t>
      </w:r>
      <w:r>
        <w:rPr/>
        <w:t> 全体股东每</w:t>
      </w:r>
      <w:r>
        <w:rPr>
          <w:spacing w:val="-24"/>
        </w:rPr>
        <w:t> </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股，共计转增</w:t>
      </w:r>
      <w:r>
        <w:rPr>
          <w:rFonts w:ascii="Times New Roman" w:hAnsi="Times New Roman" w:cs="Times New Roman" w:eastAsia="Times New Roman" w:hint="default"/>
        </w:rPr>
        <w:t>274,532,878</w:t>
      </w:r>
      <w:r>
        <w:rPr/>
        <w:t>股，转增后总股本增至</w:t>
      </w:r>
      <w:r>
        <w:rPr>
          <w:rFonts w:ascii="Times New Roman" w:hAnsi="Times New Roman" w:cs="Times New Roman" w:eastAsia="Times New Roman" w:hint="default"/>
        </w:rPr>
        <w:t>823,598,634</w:t>
      </w:r>
      <w:r>
        <w:rPr/>
        <w:t>股。</w:t>
      </w:r>
    </w:p>
    <w:p>
      <w:pPr>
        <w:pStyle w:val="BodyText"/>
        <w:spacing w:line="300" w:lineRule="auto" w:before="13"/>
        <w:ind w:right="150" w:firstLine="360"/>
        <w:jc w:val="both"/>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11</w:t>
      </w:r>
      <w:r>
        <w:rPr>
          <w:spacing w:val="-5"/>
        </w:rPr>
        <w:t>月，根据公司第二届董事会第三十六次（临时）会议关于授予限制性股票的决议、第二届董事会第三十九次（临</w:t>
      </w:r>
      <w:r>
        <w:rPr/>
        <w:t> </w:t>
      </w:r>
      <w:r>
        <w:rPr>
          <w:spacing w:val="-2"/>
        </w:rPr>
        <w:t>时）会议通过《关于调整公司</w:t>
      </w:r>
      <w:r>
        <w:rPr>
          <w:rFonts w:ascii="Times New Roman" w:hAnsi="Times New Roman" w:cs="Times New Roman" w:eastAsia="Times New Roman" w:hint="default"/>
          <w:spacing w:val="-2"/>
        </w:rPr>
        <w:t>2015</w:t>
      </w:r>
      <w:r>
        <w:rPr>
          <w:spacing w:val="-2"/>
        </w:rPr>
        <w:t>年限制性股票激励计划的议案》对授予股数和人数的调整及《上海汉得信息技术股份有限</w:t>
      </w:r>
      <w:r>
        <w:rPr>
          <w:spacing w:val="-61"/>
        </w:rPr>
        <w:t> </w:t>
      </w:r>
      <w:r>
        <w:rPr>
          <w:spacing w:val="-61"/>
        </w:rPr>
      </w:r>
      <w:r>
        <w:rPr>
          <w:spacing w:val="-2"/>
        </w:rPr>
        <w:t>公司</w:t>
      </w:r>
      <w:r>
        <w:rPr>
          <w:rFonts w:ascii="Times New Roman" w:hAnsi="Times New Roman" w:cs="Times New Roman" w:eastAsia="Times New Roman" w:hint="default"/>
          <w:spacing w:val="-2"/>
        </w:rPr>
        <w:t>2015</w:t>
      </w:r>
      <w:r>
        <w:rPr>
          <w:spacing w:val="-2"/>
        </w:rPr>
        <w:t>年限制性股票激励计划（草案）》相关要求，公司董事会实施并完成了限制性股票的授予工作，向激励对象定向发</w:t>
      </w:r>
      <w:r>
        <w:rPr>
          <w:spacing w:val="-63"/>
        </w:rPr>
        <w:t> </w:t>
      </w:r>
      <w:r>
        <w:rPr>
          <w:spacing w:val="-63"/>
        </w:rPr>
      </w:r>
      <w:r>
        <w:rPr/>
        <w:t>行</w:t>
      </w:r>
      <w:r>
        <w:rPr>
          <w:rFonts w:ascii="Times New Roman" w:hAnsi="Times New Roman" w:cs="Times New Roman" w:eastAsia="Times New Roman" w:hint="default"/>
        </w:rPr>
        <w:t>5,026,000</w:t>
      </w:r>
      <w:r>
        <w:rPr/>
        <w:t>股限制性股票，增发后股本增至</w:t>
      </w:r>
      <w:r>
        <w:rPr>
          <w:rFonts w:ascii="Times New Roman" w:hAnsi="Times New Roman" w:cs="Times New Roman" w:eastAsia="Times New Roman" w:hint="default"/>
        </w:rPr>
        <w:t>82,862.46</w:t>
      </w:r>
      <w:r>
        <w:rPr/>
        <w:t>万股。</w:t>
      </w:r>
    </w:p>
    <w:p>
      <w:pPr>
        <w:pStyle w:val="BodyText"/>
        <w:spacing w:line="309" w:lineRule="auto" w:before="13"/>
        <w:ind w:right="151" w:firstLine="360"/>
        <w:jc w:val="both"/>
      </w:pP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日止，本公司累计发行股本总数</w:t>
      </w:r>
      <w:r>
        <w:rPr>
          <w:rFonts w:ascii="Times New Roman" w:hAnsi="Times New Roman" w:cs="Times New Roman" w:eastAsia="Times New Roman" w:hint="default"/>
          <w:spacing w:val="-2"/>
        </w:rPr>
        <w:t>82,862.46</w:t>
      </w:r>
      <w:r>
        <w:rPr>
          <w:spacing w:val="-2"/>
        </w:rPr>
        <w:t>万股，注册资本为</w:t>
      </w:r>
      <w:r>
        <w:rPr>
          <w:rFonts w:ascii="Times New Roman" w:hAnsi="Times New Roman" w:cs="Times New Roman" w:eastAsia="Times New Roman" w:hint="default"/>
          <w:spacing w:val="-2"/>
        </w:rPr>
        <w:t>82,862.46</w:t>
      </w:r>
      <w:r>
        <w:rPr>
          <w:spacing w:val="-2"/>
        </w:rPr>
        <w:t>万元，注册地：上海市青浦工业</w:t>
      </w:r>
      <w:r>
        <w:rPr/>
        <w:t> 园区外青松公路</w:t>
      </w:r>
      <w:r>
        <w:rPr>
          <w:rFonts w:ascii="Times New Roman" w:hAnsi="Times New Roman" w:cs="Times New Roman" w:eastAsia="Times New Roman" w:hint="default"/>
        </w:rPr>
        <w:t>5500</w:t>
      </w:r>
      <w:r>
        <w:rPr/>
        <w:t>号</w:t>
      </w:r>
      <w:r>
        <w:rPr>
          <w:rFonts w:ascii="Times New Roman" w:hAnsi="Times New Roman" w:cs="Times New Roman" w:eastAsia="Times New Roman" w:hint="default"/>
        </w:rPr>
        <w:t>303</w:t>
      </w:r>
      <w:r>
        <w:rPr/>
        <w:t>室，总部地址：上海市青浦区汇联路</w:t>
      </w:r>
      <w:r>
        <w:rPr>
          <w:rFonts w:ascii="Times New Roman" w:hAnsi="Times New Roman" w:cs="Times New Roman" w:eastAsia="Times New Roman" w:hint="default"/>
        </w:rPr>
        <w:t>33</w:t>
      </w:r>
      <w:r>
        <w:rPr/>
        <w:t>号。本公司主要经营活动为：研究、开发和生产计算机软 </w:t>
      </w:r>
      <w:r>
        <w:rPr>
          <w:spacing w:val="-2"/>
        </w:rPr>
        <w:t>件、信息系统和网络产品，从事信息系统和网络产品，从事信息系统和数据管理系统的安装以及信息系统的集成，提供技术</w:t>
      </w:r>
      <w:r>
        <w:rPr>
          <w:spacing w:val="-64"/>
        </w:rPr>
        <w:t> </w:t>
      </w:r>
      <w:r>
        <w:rPr>
          <w:spacing w:val="-64"/>
        </w:rPr>
      </w:r>
      <w:r>
        <w:rPr>
          <w:spacing w:val="-2"/>
        </w:rPr>
        <w:t>开发、咨询服务以及与该服务相关的客户支持服务，提供整体企业信息系统解决方案，销售公司自产产品。（涉及许可经营</w:t>
      </w:r>
      <w:r>
        <w:rPr>
          <w:spacing w:val="-67"/>
        </w:rPr>
        <w:t> </w:t>
      </w:r>
      <w:r>
        <w:rPr>
          <w:spacing w:val="-67"/>
        </w:rPr>
      </w:r>
      <w:r>
        <w:rPr/>
        <w:t>的凭许可证经营），主要产品为自产的</w:t>
      </w:r>
      <w:r>
        <w:rPr>
          <w:rFonts w:ascii="Times New Roman" w:hAnsi="Times New Roman" w:cs="Times New Roman" w:eastAsia="Times New Roman" w:hint="default"/>
        </w:rPr>
        <w:t>MAS</w:t>
      </w:r>
      <w:r>
        <w:rPr/>
        <w:t>软件、外购软件，提供主要劳务内容为技术开发、咨询服务、客户支持服务。</w:t>
      </w:r>
    </w:p>
    <w:p>
      <w:pPr>
        <w:pStyle w:val="BodyText"/>
        <w:spacing w:line="600" w:lineRule="auto" w:before="5"/>
        <w:ind w:left="513" w:right="498"/>
        <w:jc w:val="left"/>
        <w:rPr>
          <w:rFonts w:ascii="宋体" w:hAnsi="宋体" w:cs="宋体" w:eastAsia="宋体" w:hint="default"/>
        </w:rPr>
      </w:pPr>
      <w:r>
        <w:rPr/>
        <w:pict>
          <v:shape style="position:absolute;margin-left:55.824001pt;margin-top:46.886723pt;width:484.1pt;height:191.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438"/>
                    <w:gridCol w:w="3222"/>
                  </w:tblGrid>
                  <w:tr>
                    <w:trPr>
                      <w:trHeight w:val="342"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322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简称</w:t>
                        </w:r>
                      </w:p>
                    </w:tc>
                  </w:tr>
                  <w:tr>
                    <w:trPr>
                      <w:trHeight w:val="348"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汉得日本株式会社</w:t>
                        </w:r>
                      </w:p>
                    </w:tc>
                    <w:tc>
                      <w:tcPr>
                        <w:tcW w:w="3222"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汉得日本</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夏尔软件</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上海汉得欧俊信息技术有限公司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汉得欧俊</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HAND ENTERPRISE SOLUTIONS(SINGAPORE)</w:t>
                        </w:r>
                        <w:r>
                          <w:rPr>
                            <w:rFonts w:ascii="Times New Roman"/>
                            <w:spacing w:val="-15"/>
                            <w:sz w:val="18"/>
                          </w:rPr>
                          <w:t> </w:t>
                        </w:r>
                        <w:r>
                          <w:rPr>
                            <w:rFonts w:ascii="Times New Roman"/>
                            <w:sz w:val="18"/>
                          </w:rPr>
                          <w:t>PTE.LTD</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汉得新加坡</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随身科技</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汉得融晶</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汉得保理</w:t>
                        </w:r>
                      </w:p>
                    </w:tc>
                  </w:tr>
                  <w:tr>
                    <w:trPr>
                      <w:trHeight w:val="348"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HAND ENTERPRISE SOLUTIONS</w:t>
                        </w:r>
                        <w:r>
                          <w:rPr>
                            <w:rFonts w:ascii="Times New Roman"/>
                            <w:spacing w:val="-12"/>
                            <w:sz w:val="18"/>
                          </w:rPr>
                          <w:t> </w:t>
                        </w:r>
                        <w:r>
                          <w:rPr>
                            <w:rFonts w:ascii="Times New Roman"/>
                            <w:sz w:val="18"/>
                          </w:rPr>
                          <w:t>USA.LTD.</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汉得美国</w:t>
                        </w:r>
                      </w:p>
                    </w:tc>
                  </w:tr>
                  <w:tr>
                    <w:trPr>
                      <w:trHeight w:val="347"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汉得微扬</w:t>
                        </w:r>
                      </w:p>
                    </w:tc>
                  </w:tr>
                  <w:tr>
                    <w:trPr>
                      <w:trHeight w:val="342" w:hRule="exact"/>
                    </w:trPr>
                    <w:tc>
                      <w:tcPr>
                        <w:tcW w:w="64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w:t>
                        </w:r>
                      </w:p>
                    </w:tc>
                    <w:tc>
                      <w:tcPr>
                        <w:tcW w:w="3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汉得知云</w:t>
                        </w:r>
                      </w:p>
                    </w:tc>
                  </w:tr>
                </w:tbl>
                <w:p>
                  <w:pPr/>
                </w:p>
              </w:txbxContent>
            </v:textbox>
            <w10:wrap type="none"/>
          </v:shape>
        </w:pict>
      </w: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日批准报出。</w:t>
      </w:r>
      <w:r>
        <w:rPr>
          <w:rFonts w:ascii="宋体" w:hAnsi="宋体" w:cs="宋体" w:eastAsia="宋体" w:hint="default"/>
        </w:rPr>
        <w:t> </w:t>
      </w: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日止，本公司合并财务报表范围内子公司如下：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513" w:right="498"/>
        <w:jc w:val="left"/>
      </w:pPr>
      <w:r>
        <w:rPr/>
        <w:t>本期合并财务报表范围及其变化情况详见本附注</w:t>
      </w:r>
      <w:r>
        <w:rPr>
          <w:rFonts w:ascii="Times New Roman" w:hAnsi="Times New Roman" w:cs="Times New Roman" w:eastAsia="Times New Roman" w:hint="default"/>
        </w:rPr>
        <w:t>“</w:t>
      </w:r>
      <w:r>
        <w:rPr/>
        <w:t>六、合并范围的变更</w:t>
      </w:r>
      <w:r>
        <w:rPr>
          <w:rFonts w:ascii="Times New Roman" w:hAnsi="Times New Roman" w:cs="Times New Roman" w:eastAsia="Times New Roman" w:hint="default"/>
        </w:rPr>
        <w:t>”  </w:t>
      </w:r>
      <w:r>
        <w:rPr/>
        <w:t>和</w:t>
      </w:r>
      <w:r>
        <w:rPr>
          <w:spacing w:val="-38"/>
        </w:rPr>
        <w:t> </w:t>
      </w:r>
      <w:r>
        <w:rPr>
          <w:rFonts w:ascii="Times New Roman" w:hAnsi="Times New Roman" w:cs="Times New Roman" w:eastAsia="Times New Roman" w:hint="default"/>
        </w:rPr>
        <w:t>“</w:t>
      </w:r>
      <w:r>
        <w:rPr/>
        <w:t>七、在其他主体中的权益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223"/>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0"/>
        <w:jc w:val="both"/>
      </w:pPr>
      <w:r>
        <w:rPr>
          <w:spacing w:val="-2"/>
        </w:rPr>
        <w:t>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基本准则》和各项具体会计准</w:t>
      </w:r>
      <w:r>
        <w:rPr>
          <w:spacing w:val="-63"/>
        </w:rPr>
        <w:t> </w:t>
      </w:r>
      <w:r>
        <w:rPr>
          <w:spacing w:val="-63"/>
        </w:rPr>
      </w:r>
      <w:r>
        <w:rPr>
          <w:spacing w:val="-2"/>
        </w:rPr>
        <w:t>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w:t>
      </w:r>
      <w:r>
        <w:rPr>
          <w:spacing w:val="-46"/>
        </w:rPr>
        <w:t> </w:t>
      </w:r>
      <w:r>
        <w:rPr>
          <w:spacing w:val="-46"/>
        </w:rPr>
      </w:r>
      <w:r>
        <w:rPr/>
        <w:t>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3"/>
        <w:jc w:val="left"/>
        <w:rPr>
          <w:rFonts w:ascii="宋体" w:hAnsi="宋体" w:cs="宋体" w:eastAsia="宋体" w:hint="default"/>
        </w:rPr>
      </w:pPr>
      <w:r>
        <w:rPr/>
        <w:t>公司自本报告期末至少</w:t>
      </w:r>
      <w:r>
        <w:rPr>
          <w:rFonts w:ascii="宋体" w:hAnsi="宋体" w:cs="宋体" w:eastAsia="宋体" w:hint="default"/>
        </w:rPr>
        <w:t>12</w:t>
      </w:r>
      <w:r>
        <w:rPr/>
        <w:t>个月内具备持续经营能力，无影响持续经营能力的重大事项。</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22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rPr>
          <w:rFonts w:ascii="宋体" w:hAnsi="宋体" w:cs="宋体" w:eastAsia="宋体" w:hint="default"/>
        </w:rPr>
      </w:pPr>
      <w:r>
        <w:rPr/>
        <w:t>具体会计政策和会计估计提示：</w:t>
      </w:r>
      <w:r>
        <w:rPr>
          <w:rFonts w:ascii="宋体" w:hAnsi="宋体" w:cs="宋体" w:eastAsia="宋体" w:hint="default"/>
        </w:rPr>
        <w:t> </w:t>
      </w:r>
      <w:r>
        <w:rPr>
          <w:spacing w:val="-2"/>
        </w:rPr>
        <w:t>以下披露内容已涵盖了本公司根据实际生产经营特点制定的具体会计政策和会计估计。详见本附注“二十二”、“五、（三</w:t>
      </w:r>
      <w:r>
        <w:rPr>
          <w:spacing w:val="-64"/>
        </w:rPr>
        <w:t> </w:t>
      </w:r>
      <w:r>
        <w:rPr>
          <w:spacing w:val="-64"/>
        </w:rPr>
      </w:r>
      <w:r>
        <w:rPr/>
        <w:t>十二）收入”。</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rPr>
          <w:rFonts w:ascii="宋体" w:hAnsi="宋体" w:cs="宋体" w:eastAsia="宋体" w:hint="default"/>
        </w:rPr>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3"/>
        <w:jc w:val="left"/>
        <w:rPr>
          <w:rFonts w:ascii="宋体" w:hAnsi="宋体" w:cs="宋体" w:eastAsia="宋体" w:hint="default"/>
        </w:rPr>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22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3"/>
        <w:jc w:val="left"/>
        <w:rPr>
          <w:rFonts w:ascii="宋体" w:hAnsi="宋体" w:cs="宋体" w:eastAsia="宋体" w:hint="default"/>
        </w:rPr>
      </w:pPr>
      <w:r>
        <w:rPr/>
        <w:t>本公司营业周期为</w:t>
      </w:r>
      <w:r>
        <w:rPr>
          <w:rFonts w:ascii="宋体" w:hAnsi="宋体" w:cs="宋体" w:eastAsia="宋体" w:hint="default"/>
        </w:rPr>
        <w:t>12</w:t>
      </w:r>
      <w:r>
        <w:rPr/>
        <w:t>个月。</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22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3"/>
        <w:jc w:val="left"/>
        <w:rPr>
          <w:rFonts w:ascii="宋体" w:hAnsi="宋体" w:cs="宋体" w:eastAsia="宋体" w:hint="default"/>
        </w:rPr>
      </w:pPr>
      <w:r>
        <w:rPr/>
        <w:t>本公司采用人民币为记账本位币。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1"/>
        <w:ind w:right="2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3"/>
        <w:jc w:val="left"/>
        <w:rPr>
          <w:rFonts w:ascii="宋体" w:hAnsi="宋体" w:cs="宋体" w:eastAsia="宋体" w:hint="default"/>
        </w:rPr>
      </w:pPr>
      <w:r>
        <w:rPr>
          <w:spacing w:val="-2"/>
        </w:rPr>
        <w:t>同一控制下企业合并：本公司在企业合并中取得的资产和负债，按照合并日在被合并方资产、负债（包括最终控制方收购被</w:t>
      </w:r>
      <w:r>
        <w:rPr>
          <w:spacing w:val="-65"/>
        </w:rPr>
        <w:t> </w:t>
      </w:r>
      <w:r>
        <w:rPr>
          <w:spacing w:val="-65"/>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spacing w:val="-2"/>
        </w:rPr>
        <w:t>面价值（或发行股份面值总额）的差额，调整资本公积中的股本溢价，资本公积中的股本溢价不足冲减的，调整留存收益。</w:t>
      </w:r>
      <w:r>
        <w:rPr>
          <w:spacing w:val="-72"/>
        </w:rPr>
        <w:t> </w:t>
      </w:r>
      <w:r>
        <w:rPr>
          <w:rFonts w:ascii="宋体" w:hAnsi="宋体" w:cs="宋体" w:eastAsia="宋体" w:hint="default"/>
          <w:spacing w:val="-72"/>
        </w:rPr>
      </w:r>
      <w:r>
        <w:rPr>
          <w:spacing w:val="-2"/>
        </w:rPr>
        <w:t>非同一控制下企业合并：本公司在购买日对作为企业合并对价付出的资产、发生或承担的负债按照公允价值计量，公允价值</w:t>
      </w:r>
      <w:r>
        <w:rPr>
          <w:spacing w:val="-63"/>
        </w:rPr>
        <w:t> </w:t>
      </w:r>
      <w:r>
        <w:rPr>
          <w:spacing w:val="-63"/>
        </w:rPr>
      </w:r>
      <w:r>
        <w:rPr>
          <w:spacing w:val="-2"/>
        </w:rPr>
        <w:t>与其账面价值的差额，计入当期损益。本公司对合并成本大于合并中取得的被购买方可辨认净资产公允价值份额的差额，确</w:t>
      </w:r>
      <w:r>
        <w:rPr>
          <w:spacing w:val="-62"/>
        </w:rPr>
        <w:t> </w:t>
      </w:r>
      <w:r>
        <w:rPr>
          <w:spacing w:val="-62"/>
        </w:rPr>
      </w:r>
      <w:r>
        <w:rPr/>
        <w:t>认为商誉；合并成本小于合并中取得的被购买方可辨认净资产公允价值份额的差额，经复核后，计入当期损益。</w:t>
      </w:r>
      <w:r>
        <w:rPr>
          <w:rFonts w:ascii="宋体" w:hAnsi="宋体" w:cs="宋体" w:eastAsia="宋体" w:hint="default"/>
        </w:rPr>
        <w:t>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行权益性证券的交易费用，冲减权益。</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22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tabs>
          <w:tab w:pos="573" w:val="left" w:leader="none"/>
        </w:tabs>
        <w:spacing w:line="309" w:lineRule="auto"/>
        <w:ind w:right="190"/>
        <w:jc w:val="left"/>
      </w:pPr>
      <w:r>
        <w:rPr>
          <w:rFonts w:ascii="Times New Roman" w:hAnsi="Times New Roman" w:cs="Times New Roman" w:eastAsia="Times New Roman" w:hint="default"/>
          <w:b/>
          <w:bCs/>
        </w:rPr>
        <w:t>1</w:t>
        <w:tab/>
      </w:r>
      <w:r>
        <w:rPr>
          <w:rFonts w:ascii="宋体" w:hAnsi="宋体" w:cs="宋体" w:eastAsia="宋体" w:hint="default"/>
          <w:b/>
          <w:bCs/>
        </w:rPr>
        <w:t>合并范围</w:t>
      </w:r>
      <w:r>
        <w:rPr>
          <w:rFonts w:ascii="宋体" w:hAnsi="宋体" w:cs="宋体" w:eastAsia="宋体" w:hint="default"/>
          <w:b/>
          <w:bCs/>
          <w:w w:val="99"/>
        </w:rPr>
        <w:t> </w:t>
      </w:r>
      <w:r>
        <w:rPr>
          <w:spacing w:val="-2"/>
        </w:rPr>
        <w:t>本公司合并财务报表的合并范围以控制为基础确定，所有子公司（包括本公司所控制的被投资方可分割的部分）均纳入合并</w:t>
      </w:r>
      <w:r>
        <w:rPr>
          <w:spacing w:val="-63"/>
        </w:rPr>
        <w:t> </w:t>
      </w:r>
      <w:r>
        <w:rPr>
          <w:spacing w:val="-63"/>
        </w:rPr>
      </w:r>
      <w:r>
        <w:rPr/>
        <w:t>财务报表。</w:t>
      </w:r>
    </w:p>
    <w:p>
      <w:pPr>
        <w:spacing w:line="240" w:lineRule="auto" w:before="9"/>
        <w:rPr>
          <w:rFonts w:ascii="宋体" w:hAnsi="宋体" w:cs="宋体" w:eastAsia="宋体" w:hint="default"/>
          <w:sz w:val="25"/>
          <w:szCs w:val="25"/>
        </w:rPr>
      </w:pPr>
    </w:p>
    <w:p>
      <w:pPr>
        <w:pStyle w:val="BodyText"/>
        <w:tabs>
          <w:tab w:pos="573" w:val="left" w:leader="none"/>
        </w:tabs>
        <w:spacing w:line="316" w:lineRule="auto"/>
        <w:ind w:right="189"/>
        <w:jc w:val="left"/>
      </w:pPr>
      <w:r>
        <w:rPr>
          <w:rFonts w:ascii="Times New Roman" w:hAnsi="Times New Roman" w:cs="Times New Roman" w:eastAsia="Times New Roman" w:hint="default"/>
          <w:b/>
          <w:bCs/>
        </w:rPr>
        <w:t>2</w:t>
        <w:tab/>
      </w:r>
      <w:r>
        <w:rPr>
          <w:rFonts w:ascii="宋体" w:hAnsi="宋体" w:cs="宋体" w:eastAsia="宋体" w:hint="default"/>
          <w:b/>
          <w:bCs/>
        </w:rPr>
        <w:t>合并程序</w:t>
      </w:r>
      <w:r>
        <w:rPr>
          <w:rFonts w:ascii="宋体" w:hAnsi="宋体" w:cs="宋体" w:eastAsia="宋体" w:hint="default"/>
          <w:b/>
          <w:bCs/>
          <w:w w:val="99"/>
        </w:rPr>
        <w:t> </w:t>
      </w:r>
      <w:r>
        <w:rPr>
          <w:spacing w:val="-2"/>
        </w:rPr>
        <w:t>本公司以自身和各子公司的财务报表为基础，根据其他有关资料，编制合并财务报表。本公司编制合并财务报表，将整个企</w:t>
      </w:r>
      <w:r>
        <w:rPr>
          <w:spacing w:val="-63"/>
        </w:rPr>
        <w:t> </w:t>
      </w:r>
      <w:r>
        <w:rPr>
          <w:spacing w:val="-63"/>
        </w:rPr>
      </w:r>
      <w:r>
        <w:rPr>
          <w:spacing w:val="-2"/>
        </w:rPr>
        <w:t>业集团视为一个会计主体，依据相关企业会计准则的确认、计量和列报要求，按照统一的会计政策，反映本企业集团整体财</w:t>
      </w:r>
      <w:r>
        <w:rPr>
          <w:spacing w:val="-65"/>
        </w:rPr>
        <w:t> </w:t>
      </w:r>
      <w:r>
        <w:rPr>
          <w:spacing w:val="-65"/>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spacing w:val="-2"/>
        </w:rPr>
        <w:t>与本公司不一致的，在编制合并财务报表时，按本公司的会计政策、会计期间进行必要的调整。对于非同一控制下企业合并</w:t>
      </w:r>
      <w:r>
        <w:rPr>
          <w:spacing w:val="-65"/>
        </w:rPr>
        <w:t> </w:t>
      </w:r>
      <w:r>
        <w:rPr>
          <w:spacing w:val="-65"/>
        </w:rPr>
      </w:r>
      <w:r>
        <w:rPr>
          <w:spacing w:val="-2"/>
        </w:rPr>
        <w:t>取得的子公司，以购买日可辨认净资产公允价值为基础对其财务报表进行调整。对于同一控制下企业合并取得的子公司，以</w:t>
      </w:r>
      <w:r>
        <w:rPr>
          <w:spacing w:val="-63"/>
        </w:rPr>
        <w:t> </w:t>
      </w:r>
      <w:r>
        <w:rPr>
          <w:spacing w:val="-63"/>
        </w:rPr>
      </w:r>
      <w:r>
        <w:rPr>
          <w:spacing w:val="-2"/>
        </w:rPr>
        <w:t>其资产、负债（包括最终控制方收购该子公司而形成的商誉）在最终控制方财务报表中的账面价值为基础对其财务报表进行</w:t>
      </w:r>
      <w:r>
        <w:rPr>
          <w:spacing w:val="-66"/>
        </w:rPr>
        <w:t> </w:t>
      </w:r>
      <w:r>
        <w:rPr>
          <w:spacing w:val="-66"/>
        </w:rPr>
      </w:r>
      <w:r>
        <w:rPr/>
        <w:t>调整。 </w:t>
      </w:r>
      <w:r>
        <w:rPr>
          <w:spacing w:val="-2"/>
        </w:rPr>
        <w:t>子公司所有者权益、当期净损益和当期综合收益中属于少数股东的份额分别在合并资产负债表中所有者权益项目下、合并利</w:t>
      </w:r>
      <w:r>
        <w:rPr>
          <w:spacing w:val="-64"/>
        </w:rPr>
        <w:t> </w:t>
      </w:r>
      <w:r>
        <w:rPr>
          <w:spacing w:val="-64"/>
        </w:rPr>
      </w:r>
      <w:r>
        <w:rPr>
          <w:spacing w:val="-2"/>
        </w:rPr>
        <w:t>润表中净利润项目下和综合收益总额项目下单独列示。子公司少数股东分担的当期亏损超过了少数股东在该子公司期初所有</w:t>
      </w:r>
      <w:r>
        <w:rPr>
          <w:spacing w:val="-64"/>
        </w:rPr>
        <w:t> </w:t>
      </w:r>
      <w:r>
        <w:rPr>
          <w:spacing w:val="-64"/>
        </w:rPr>
      </w:r>
      <w:r>
        <w:rPr/>
        <w:t>者权益中所享有份额而形成的余额，冲减少数股东权益。</w:t>
      </w:r>
    </w:p>
    <w:p>
      <w:pPr>
        <w:pStyle w:val="BodyText"/>
        <w:spacing w:line="316" w:lineRule="auto" w:before="19"/>
        <w:ind w:right="93"/>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在报告期内，若因同一控制下企业合并增加子公司或业务的，则调整合并资产负债表的期初数；将子公司或业务合并当期期</w:t>
      </w:r>
      <w:r>
        <w:rPr>
          <w:spacing w:val="-63"/>
        </w:rPr>
        <w:t> </w:t>
      </w:r>
      <w:r>
        <w:rPr>
          <w:spacing w:val="-63"/>
        </w:rPr>
      </w:r>
      <w:r>
        <w:rPr>
          <w:spacing w:val="-2"/>
        </w:rPr>
        <w:t>初至报告期末的收入、费用、利润纳入合并利润表；将子公司或业务合并当期期初至报告期末的现金流量纳入合并现金流量</w:t>
      </w:r>
      <w:r>
        <w:rPr>
          <w:spacing w:val="-65"/>
        </w:rPr>
        <w:t> </w:t>
      </w:r>
      <w:r>
        <w:rPr>
          <w:spacing w:val="-65"/>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2"/>
        </w:rPr>
        <w:t> </w:t>
      </w:r>
      <w:r>
        <w:rPr>
          <w:spacing w:val="-62"/>
        </w:rPr>
      </w:r>
      <w:r>
        <w:rPr/>
        <w:t>益。 </w:t>
      </w:r>
      <w:r>
        <w:rPr>
          <w:spacing w:val="-2"/>
        </w:rPr>
        <w:t>在报告期内，若因非同一控制下企业合并增加子公司或业务的，则不调整合并资产负债表期初数；将该子公司或业务自购买</w:t>
      </w:r>
      <w:r>
        <w:rPr>
          <w:spacing w:val="-63"/>
        </w:rPr>
        <w:t> </w:t>
      </w:r>
      <w:r>
        <w:rPr>
          <w:spacing w:val="-63"/>
        </w:rPr>
      </w:r>
      <w:r>
        <w:rPr/>
        <w:t>日至报告期末的收入、费用、利润纳入合并利润表；该子公司或业务自购买日至报告期末的现金流量纳入合并现金流量表。 </w:t>
      </w:r>
      <w:r>
        <w:rPr>
          <w:spacing w:val="-2"/>
        </w:rPr>
        <w:t>因追加投资等原因能够对非同一控制下的被投资方实施控制的，对于购买日之前持有的被购买方的股权，本公司按照该股权</w:t>
      </w:r>
      <w:r>
        <w:rPr>
          <w:spacing w:val="-64"/>
        </w:rPr>
        <w:t> </w:t>
      </w:r>
      <w:r>
        <w:rPr>
          <w:spacing w:val="-64"/>
        </w:rPr>
      </w:r>
      <w:r>
        <w:rPr>
          <w:spacing w:val="-2"/>
        </w:rPr>
        <w:t>在购买日的公允价值进行重新计量，公允价值与其账面价值的差额计入当期投资收益。购买日之前持有的被购买方的股权涉</w:t>
      </w:r>
      <w:r>
        <w:rPr>
          <w:spacing w:val="-64"/>
        </w:rPr>
        <w:t> </w:t>
      </w:r>
      <w:r>
        <w:rPr>
          <w:spacing w:val="-64"/>
        </w:rPr>
      </w:r>
      <w:r>
        <w:rPr>
          <w:spacing w:val="-2"/>
        </w:rPr>
        <w:t>及权益法核算下的其他综合收益以及除净损益、其他综合收益和利润分配之外的其他所有者权益变动的，与其相关的其他综</w:t>
      </w:r>
      <w:r>
        <w:rPr>
          <w:spacing w:val="-64"/>
        </w:rPr>
        <w:t> </w:t>
      </w:r>
      <w:r>
        <w:rPr>
          <w:spacing w:val="-64"/>
        </w:rPr>
      </w:r>
      <w:r>
        <w:rPr>
          <w:spacing w:val="-2"/>
        </w:rPr>
        <w:t>合收益、其他所有者权益变动转为购买日所属当期投资收益，由于被投资方重新计量设定受益计划净负债或净资产变动而产</w:t>
      </w:r>
      <w:r>
        <w:rPr>
          <w:spacing w:val="-64"/>
        </w:rPr>
        <w:t> </w:t>
      </w:r>
      <w:r>
        <w:rPr>
          <w:spacing w:val="-64"/>
        </w:rPr>
      </w:r>
      <w:r>
        <w:rPr/>
        <w:t>生的其他综合收益除外。</w:t>
      </w:r>
    </w:p>
    <w:p>
      <w:pPr>
        <w:pStyle w:val="BodyText"/>
        <w:spacing w:line="240" w:lineRule="auto" w:before="19"/>
        <w:ind w:right="223"/>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right="93"/>
        <w:jc w:val="left"/>
      </w:pPr>
      <w:r>
        <w:rPr/>
        <w:t>①一般处理方法 </w:t>
      </w:r>
      <w:r>
        <w:rPr>
          <w:spacing w:val="-2"/>
        </w:rPr>
        <w:t>在报告期内，本公司处置子公司或业务，则该子公司或业务期初至处置日的收入、费用、利润纳入合并利润表；该子公司或</w:t>
      </w:r>
      <w:r>
        <w:rPr>
          <w:spacing w:val="-67"/>
        </w:rPr>
        <w:t> </w:t>
      </w:r>
      <w:r>
        <w:rPr>
          <w:spacing w:val="-67"/>
        </w:rPr>
      </w:r>
      <w:r>
        <w:rPr/>
        <w:t>业务期初至处置日的现金流量纳入合并现金流量表。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3"/>
        </w:rPr>
        <w:t> </w:t>
      </w:r>
      <w:r>
        <w:rPr>
          <w:spacing w:val="-63"/>
        </w:rPr>
      </w:r>
      <w:r>
        <w:rPr/>
        <w:t>被投资方重新计量设定受益计划净负债或净资产变动而产生的其他综合收益除外。 因其他投资方对子公司增资而导致本公司持股比例下降从而丧失控制权的，按照上述原则进行会计处理。</w:t>
      </w:r>
    </w:p>
    <w:p>
      <w:pPr>
        <w:pStyle w:val="BodyText"/>
        <w:spacing w:line="240" w:lineRule="auto" w:before="18"/>
        <w:ind w:right="223"/>
        <w:jc w:val="left"/>
      </w:pPr>
      <w:r>
        <w:rPr/>
        <w:t>②分步处置子公司</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通过多次交易分步处置对子公司股权投资直至丧失控制权的，处置对子公司股权投资的各项交易的条款、条件以及经济影响</w:t>
      </w:r>
      <w:r>
        <w:rPr>
          <w:spacing w:val="-64"/>
        </w:rPr>
        <w:t> </w:t>
      </w:r>
      <w:r>
        <w:rPr>
          <w:spacing w:val="-64"/>
        </w:rPr>
      </w:r>
      <w:r>
        <w:rPr/>
        <w:t>符合以下一种或多种情况，通常表明应将多次交易事项作为一揽子交易进行会计处理： ⅰ．这些交易是同时或者在考虑了彼此影响的情况下订立的；</w:t>
      </w:r>
    </w:p>
    <w:p>
      <w:pPr>
        <w:pStyle w:val="BodyText"/>
        <w:spacing w:line="316" w:lineRule="auto" w:before="17"/>
        <w:ind w:right="4013"/>
        <w:jc w:val="left"/>
      </w:pPr>
      <w:r>
        <w:rPr/>
        <w:t>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0"/>
        <w:jc w:val="left"/>
      </w:pPr>
      <w:r>
        <w:rPr>
          <w:spacing w:val="-2"/>
        </w:rPr>
        <w:t>处置对子公司股权投资直至丧失控制权的各项交易属于一揽子交易的，本公司将各项交易作为一项处置子公司并丧失控制权</w:t>
      </w:r>
      <w:r>
        <w:rPr>
          <w:spacing w:val="-64"/>
        </w:rPr>
        <w:t> </w:t>
      </w:r>
      <w:r>
        <w:rPr>
          <w:spacing w:val="-64"/>
        </w:rPr>
      </w:r>
      <w:r>
        <w:rPr>
          <w:spacing w:val="-2"/>
        </w:rPr>
        <w:t>的交易进行会计处理；但是，在丧失控制权之前每一次处置价款与处置投资对应的享有该子公司净资产份额的差额，在合并</w:t>
      </w:r>
      <w:r>
        <w:rPr>
          <w:spacing w:val="-65"/>
        </w:rPr>
        <w:t> </w:t>
      </w:r>
      <w:r>
        <w:rPr>
          <w:spacing w:val="-65"/>
        </w:rPr>
      </w:r>
      <w:r>
        <w:rPr/>
        <w:t>财务报表中确认为其他综合收益，在丧失控制权时一并转入丧失控制权当期的损益。 </w:t>
      </w:r>
      <w:r>
        <w:rPr>
          <w:spacing w:val="-2"/>
        </w:rPr>
        <w:t>处置对子公司股权投资直至丧失控制权的各项交易不属于一揽子交易的，在丧失控制权之前，按不丧失控制权的情况下部分</w:t>
      </w:r>
      <w:r>
        <w:rPr>
          <w:spacing w:val="-64"/>
        </w:rPr>
        <w:t> </w:t>
      </w:r>
      <w:r>
        <w:rPr>
          <w:spacing w:val="-64"/>
        </w:rPr>
      </w:r>
      <w:r>
        <w:rPr/>
        <w:t>处置对子公司的股权投资的相关政策进行会计处理；在丧失控制权时，按处置子公司一般处理方法进行会计处理。</w:t>
      </w:r>
    </w:p>
    <w:p>
      <w:pPr>
        <w:pStyle w:val="BodyText"/>
        <w:spacing w:line="312" w:lineRule="auto" w:before="19"/>
        <w:ind w:right="0"/>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本公司因购买少数股权新取得的长期股权投资与按照新增持股比例计算应享有子公司自购买日（或合并日）开始持续计算的</w:t>
      </w:r>
      <w:r>
        <w:rPr>
          <w:spacing w:val="-64"/>
        </w:rPr>
        <w:t> </w:t>
      </w:r>
      <w:r>
        <w:rPr>
          <w:spacing w:val="-64"/>
        </w:rPr>
      </w:r>
      <w:r>
        <w:rPr>
          <w:spacing w:val="-2"/>
        </w:rPr>
        <w:t>净资产份额之间的差额，调整合并资产负债表中的资本公积中的股本溢价，资本公积中的股本溢价不足冲减的，调整留存收</w:t>
      </w:r>
      <w:r>
        <w:rPr>
          <w:spacing w:val="-64"/>
        </w:rPr>
        <w:t> </w:t>
      </w:r>
      <w:r>
        <w:rPr>
          <w:spacing w:val="-64"/>
        </w:rPr>
      </w:r>
      <w:r>
        <w:rPr/>
        <w:t>益。</w:t>
      </w:r>
    </w:p>
    <w:p>
      <w:pPr>
        <w:pStyle w:val="BodyText"/>
        <w:spacing w:line="312" w:lineRule="auto" w:before="22"/>
        <w:ind w:right="0"/>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在不丧失控制权的情况下因部分处置对子公司的长期股权投资而取得的处置价款与处置长期股权投资相对应享有子公司自 </w:t>
      </w:r>
      <w:r>
        <w:rPr>
          <w:spacing w:val="-2"/>
        </w:rPr>
        <w:t>购买日或合并日开始持续计算的净资产份额之间的差额，调整合并资产负债表中的资本公积中的股本溢价，资本公积中的股</w:t>
      </w:r>
      <w:r>
        <w:rPr>
          <w:spacing w:val="-64"/>
        </w:rPr>
        <w:t> </w:t>
      </w:r>
      <w:r>
        <w:rPr>
          <w:spacing w:val="-64"/>
        </w:rPr>
      </w:r>
      <w:r>
        <w:rPr/>
        <w:t>本溢价不足冲减的，调整留存收益。</w:t>
      </w:r>
    </w:p>
    <w:p>
      <w:pPr>
        <w:spacing w:line="240" w:lineRule="auto" w:before="1"/>
        <w:rPr>
          <w:rFonts w:ascii="宋体" w:hAnsi="宋体" w:cs="宋体" w:eastAsia="宋体" w:hint="default"/>
          <w:sz w:val="23"/>
          <w:szCs w:val="23"/>
        </w:rPr>
      </w:pPr>
    </w:p>
    <w:p>
      <w:pPr>
        <w:pStyle w:val="Heading4"/>
        <w:spacing w:line="240" w:lineRule="auto"/>
        <w:ind w:right="498"/>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在编制现金流量表时，将本公司库存现金以及可以随时用于支付的存款确认为现金。将同时具备期限短（从购买日起三个月</w:t>
      </w:r>
      <w:r>
        <w:rPr>
          <w:spacing w:val="-63"/>
        </w:rPr>
        <w:t> </w:t>
      </w:r>
      <w:r>
        <w:rPr>
          <w:spacing w:val="-63"/>
        </w:rPr>
      </w:r>
      <w:r>
        <w:rPr/>
        <w:t>内到期）、流动性强、易于转换为已知现金、价值变动风险很小四个条件的投资，确定为现金等价物。</w:t>
      </w:r>
    </w:p>
    <w:p>
      <w:pPr>
        <w:spacing w:line="240" w:lineRule="auto" w:before="10"/>
        <w:rPr>
          <w:rFonts w:ascii="宋体" w:hAnsi="宋体" w:cs="宋体" w:eastAsia="宋体" w:hint="default"/>
          <w:sz w:val="22"/>
          <w:szCs w:val="22"/>
        </w:rPr>
      </w:pPr>
    </w:p>
    <w:p>
      <w:pPr>
        <w:pStyle w:val="Heading4"/>
        <w:spacing w:line="240" w:lineRule="auto"/>
        <w:ind w:right="498"/>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2573"/>
        <w:jc w:val="left"/>
        <w:rPr>
          <w:rFonts w:ascii="宋体" w:hAnsi="宋体" w:cs="宋体" w:eastAsia="宋体" w:hint="default"/>
        </w:rPr>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r>
        <w:rPr>
          <w:rFonts w:ascii="宋体" w:hAnsi="宋体" w:cs="宋体" w:eastAsia="宋体" w:hint="default"/>
        </w:rPr>
        <w:t> </w:t>
      </w:r>
    </w:p>
    <w:p>
      <w:pPr>
        <w:pStyle w:val="BodyText"/>
        <w:spacing w:line="316" w:lineRule="auto" w:before="31"/>
        <w:ind w:right="0"/>
        <w:jc w:val="left"/>
        <w:rPr>
          <w:rFonts w:ascii="宋体" w:hAnsi="宋体" w:cs="宋体" w:eastAsia="宋体" w:hint="default"/>
        </w:rPr>
      </w:pP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r>
        <w:rPr>
          <w:rFonts w:ascii="宋体" w:hAnsi="宋体" w:cs="宋体" w:eastAsia="宋体" w:hint="default"/>
        </w:rPr>
        <w:t> </w:t>
      </w:r>
    </w:p>
    <w:p>
      <w:pPr>
        <w:pStyle w:val="BodyText"/>
        <w:spacing w:line="307" w:lineRule="auto" w:before="19"/>
        <w:ind w:right="0"/>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w:t>
      </w:r>
      <w:r>
        <w:rPr>
          <w:spacing w:val="-44"/>
        </w:rPr>
        <w:t> </w:t>
      </w:r>
      <w:r>
        <w:rPr>
          <w:spacing w:val="-44"/>
        </w:rPr>
      </w:r>
      <w:r>
        <w:rPr/>
        <w:t>用发生时的即期汇率折算。利润表中的收入和费用项目，采用期初期末平均汇率折算。 处置境外经营时，将与该境外经营相关的外币财务报表折算差额，自所有者权益项目转入处置当期损益。</w:t>
      </w:r>
    </w:p>
    <w:p>
      <w:pPr>
        <w:spacing w:line="240" w:lineRule="auto" w:before="4"/>
        <w:rPr>
          <w:rFonts w:ascii="宋体" w:hAnsi="宋体" w:cs="宋体" w:eastAsia="宋体" w:hint="default"/>
          <w:sz w:val="24"/>
          <w:szCs w:val="24"/>
        </w:rPr>
      </w:pPr>
    </w:p>
    <w:p>
      <w:pPr>
        <w:spacing w:line="590" w:lineRule="atLeast" w:before="0"/>
        <w:ind w:left="153" w:right="41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Heading5"/>
        <w:spacing w:line="276" w:lineRule="auto" w:before="58"/>
        <w:ind w:right="0"/>
        <w:jc w:val="left"/>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金融工具的分类</w:t>
      </w:r>
      <w:r>
        <w:rPr>
          <w:rFonts w:ascii="宋体" w:hAnsi="宋体" w:cs="宋体" w:eastAsia="宋体" w:hint="default"/>
          <w:b/>
          <w:bCs/>
          <w:w w:val="99"/>
          <w:sz w:val="18"/>
          <w:szCs w:val="18"/>
        </w:rPr>
        <w:t> </w:t>
      </w:r>
      <w:r>
        <w:rPr>
          <w:spacing w:val="2"/>
        </w:rPr>
        <w:t>金融资产和金融负债于初始确认时分类为：以公允价值计量且其变动计入当期损益的金融资产或金融负</w:t>
      </w:r>
      <w:r>
        <w:rPr>
          <w:spacing w:val="-30"/>
        </w:rPr>
        <w:t> </w:t>
      </w:r>
      <w:r>
        <w:rPr>
          <w:spacing w:val="-30"/>
        </w:rPr>
      </w:r>
      <w:r>
        <w:rPr>
          <w:spacing w:val="-2"/>
        </w:rPr>
        <w:t>债，包括交易性金融资产或金融负债和直接指定为以公允价值计量且其变动计入当期损益的金融资产或金</w:t>
      </w:r>
    </w:p>
    <w:p>
      <w:pPr>
        <w:spacing w:after="0" w:line="27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ind w:right="223"/>
        <w:jc w:val="left"/>
      </w:pPr>
      <w:r>
        <w:rPr/>
        <w:t>融负债；持有至到期投资；应收款项；可供出售金融资产；其他金融负债等。</w:t>
      </w:r>
    </w:p>
    <w:p>
      <w:pPr>
        <w:pStyle w:val="Heading6"/>
        <w:spacing w:line="240" w:lineRule="auto" w:before="58"/>
        <w:ind w:right="223"/>
        <w:jc w:val="left"/>
        <w:rPr>
          <w:b w:val="0"/>
          <w:bCs w:val="0"/>
        </w:rPr>
      </w:pPr>
      <w:r>
        <w:rPr>
          <w:rFonts w:ascii="Times New Roman" w:hAnsi="Times New Roman" w:cs="Times New Roman" w:eastAsia="Times New Roman" w:hint="default"/>
        </w:rPr>
        <w:t>2</w:t>
      </w:r>
      <w:r>
        <w:rPr/>
        <w:t>、</w:t>
      </w:r>
      <w:r>
        <w:rPr>
          <w:spacing w:val="56"/>
        </w:rPr>
        <w:t> </w:t>
      </w:r>
      <w:r>
        <w:rPr/>
        <w:t>金融工具的确认依据和计量方法</w:t>
      </w:r>
      <w:r>
        <w:rPr>
          <w:b w:val="0"/>
          <w:bCs w:val="0"/>
        </w:rPr>
      </w:r>
    </w:p>
    <w:p>
      <w:pPr>
        <w:pStyle w:val="BodyText"/>
        <w:spacing w:line="309" w:lineRule="auto" w:before="63"/>
        <w:ind w:right="93"/>
        <w:jc w:val="left"/>
      </w:pPr>
      <w:r>
        <w:rPr/>
        <w:t>（</w:t>
      </w:r>
      <w:r>
        <w:rPr>
          <w:rFonts w:ascii="Times New Roman" w:hAnsi="Times New Roman" w:cs="Times New Roman" w:eastAsia="Times New Roman" w:hint="default"/>
        </w:rPr>
        <w:t>1</w:t>
      </w:r>
      <w:r>
        <w:rPr/>
        <w:t>）以公允价值计量且其变动计入当期损益的金融资产（金融负债） </w:t>
      </w:r>
      <w:r>
        <w:rPr>
          <w:spacing w:val="-2"/>
        </w:rPr>
        <w:t>取得时以公允价值（扣除已宣告但尚未发放的现金股利或已到付息期但尚未领取的债券利息）作为初始确认金额，相关的交</w:t>
      </w:r>
      <w:r>
        <w:rPr>
          <w:spacing w:val="-66"/>
        </w:rPr>
        <w:t> </w:t>
      </w:r>
      <w:r>
        <w:rPr>
          <w:spacing w:val="-66"/>
        </w:rPr>
      </w:r>
      <w:r>
        <w:rPr/>
        <w:t>易费用计入当期损益。</w:t>
      </w:r>
    </w:p>
    <w:p>
      <w:pPr>
        <w:pStyle w:val="BodyText"/>
        <w:spacing w:line="316" w:lineRule="auto" w:before="24"/>
        <w:ind w:right="2253"/>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4" w:lineRule="auto" w:before="19"/>
        <w:ind w:right="93"/>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持有期间按照摊余成本和实际利率（如实际利率与票面利率差别较小的，按票面利率）计算确认利息收入，计入投资收益。 实际利率在取得时确定，在该预期存续期间或适用的更短期间内保持不变。 处置时，将所取得价款与该投资账面价值之间的差额计入投资收益。</w:t>
      </w:r>
    </w:p>
    <w:p>
      <w:pPr>
        <w:pStyle w:val="BodyText"/>
        <w:spacing w:line="312" w:lineRule="auto" w:before="21"/>
        <w:ind w:right="93"/>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公司对外销售商品或提供劳务形成的应收债权，以及公司持有的其他企业的不包括在活跃市场上有报价的债务工具的债权， </w:t>
      </w:r>
      <w:r>
        <w:rPr>
          <w:spacing w:val="-2"/>
        </w:rPr>
        <w:t>包括应收账款、其他应收款等，以向购货方应收的合同或协议价款作为初始确认金额；具有融资性质的，按其现值进行初始</w:t>
      </w:r>
      <w:r>
        <w:rPr>
          <w:spacing w:val="-64"/>
        </w:rPr>
        <w:t> </w:t>
      </w:r>
      <w:r>
        <w:rPr>
          <w:spacing w:val="-64"/>
        </w:rPr>
      </w:r>
      <w:r>
        <w:rPr/>
        <w:t>确认。</w:t>
      </w:r>
    </w:p>
    <w:p>
      <w:pPr>
        <w:pStyle w:val="BodyText"/>
        <w:spacing w:line="240" w:lineRule="auto" w:before="22"/>
        <w:ind w:right="223"/>
        <w:jc w:val="left"/>
      </w:pPr>
      <w:r>
        <w:rPr/>
        <w:t>收回或处置时，将取得的价款与该应收款项账面价值之间的差额计入当期损益。</w:t>
      </w:r>
    </w:p>
    <w:p>
      <w:pPr>
        <w:pStyle w:val="BodyText"/>
        <w:spacing w:line="314" w:lineRule="auto" w:before="76"/>
        <w:ind w:right="93"/>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取得时按公允价值（扣除已宣告但尚未发放的现金股利或已到付息期但尚未领取的债券利息）和相关交易费用之和作为初始</w:t>
      </w:r>
      <w:r>
        <w:rPr>
          <w:spacing w:val="-64"/>
        </w:rPr>
        <w:t> </w:t>
      </w:r>
      <w:r>
        <w:rPr>
          <w:spacing w:val="-64"/>
        </w:rPr>
      </w:r>
      <w:r>
        <w:rPr/>
        <w:t>确认金额。 </w:t>
      </w:r>
      <w:r>
        <w:rPr>
          <w:spacing w:val="-2"/>
        </w:rPr>
        <w:t>持有期间将取得的利息或现金股利确认为投资收益。期末以公允价值计量且将公允价值变动计入其他综合收益。但是，在活</w:t>
      </w:r>
      <w:r>
        <w:rPr>
          <w:spacing w:val="-65"/>
        </w:rPr>
        <w:t> </w:t>
      </w:r>
      <w:r>
        <w:rPr>
          <w:spacing w:val="-65"/>
        </w:rPr>
      </w:r>
      <w:r>
        <w:rPr>
          <w:spacing w:val="-2"/>
        </w:rPr>
        <w:t>跃市场中没有报价且其公允价值不能可靠计量的权益工具投资，以及与该权益工具挂钩并须通过交付该权益工具结算的衍生</w:t>
      </w:r>
      <w:r>
        <w:rPr>
          <w:spacing w:val="-64"/>
        </w:rPr>
        <w:t> </w:t>
      </w:r>
      <w:r>
        <w:rPr>
          <w:spacing w:val="-64"/>
        </w:rPr>
      </w:r>
      <w:r>
        <w:rPr/>
        <w:t>金融资产，按照成本计量。 </w:t>
      </w:r>
      <w:r>
        <w:rPr>
          <w:spacing w:val="-2"/>
        </w:rPr>
        <w:t>处置时，将取得的价款与该金融资产账面价值之间的差额，计入投资损益；同时，将原直接计入其他综合收益的公允价值变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动累计额对应处置部分的金额转出，计入当期损益。</w:t>
      </w:r>
    </w:p>
    <w:p>
      <w:pPr>
        <w:spacing w:line="309" w:lineRule="auto" w:before="20"/>
        <w:ind w:left="153" w:right="315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）其他金融负债 按其公允价值和相关交易费用之和作为初始确认金额。采用摊余成本进行后续计量。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宋体" w:hAnsi="宋体" w:cs="宋体" w:eastAsia="宋体" w:hint="default"/>
          <w:b/>
          <w:bCs/>
          <w:spacing w:val="56"/>
          <w:sz w:val="18"/>
          <w:szCs w:val="18"/>
        </w:rPr>
        <w:t> </w:t>
      </w:r>
      <w:r>
        <w:rPr>
          <w:rFonts w:ascii="宋体" w:hAnsi="宋体" w:cs="宋体" w:eastAsia="宋体" w:hint="default"/>
          <w:b/>
          <w:bCs/>
          <w:sz w:val="18"/>
          <w:szCs w:val="18"/>
        </w:rPr>
        <w:t>金融资产转移的确认依据和计量方法</w:t>
      </w:r>
      <w:r>
        <w:rPr>
          <w:rFonts w:ascii="宋体" w:hAnsi="宋体" w:cs="宋体" w:eastAsia="宋体" w:hint="default"/>
          <w:sz w:val="18"/>
          <w:szCs w:val="18"/>
        </w:rPr>
      </w:r>
    </w:p>
    <w:p>
      <w:pPr>
        <w:pStyle w:val="BodyText"/>
        <w:spacing w:line="316" w:lineRule="auto" w:before="5"/>
        <w:ind w:right="93"/>
        <w:jc w:val="left"/>
      </w:pPr>
      <w:r>
        <w:rPr>
          <w:spacing w:val="-2"/>
        </w:rPr>
        <w:t>公司发生金融资产转移时，如已将金融资产所有权上几乎所有的风险和报酬转移给转入方，则终止确认该金融资产；如保留</w:t>
      </w:r>
      <w:r>
        <w:rPr>
          <w:spacing w:val="-66"/>
        </w:rPr>
        <w:t> </w:t>
      </w:r>
      <w:r>
        <w:rPr>
          <w:spacing w:val="-66"/>
        </w:rPr>
      </w:r>
      <w:r>
        <w:rPr/>
        <w:t>了金融资产所有权上几乎所有的风险和报酬的，则不终止确认该金融资产。 </w:t>
      </w:r>
      <w:r>
        <w:rPr>
          <w:spacing w:val="-2"/>
        </w:rPr>
        <w:t>在判断金融资产转移是否满足上述金融资产终止确认条件时，采用实质重于形式的原则。公司将金融资产转移区分为金融资</w:t>
      </w:r>
      <w:r>
        <w:rPr>
          <w:spacing w:val="-64"/>
        </w:rPr>
        <w:t> </w:t>
      </w:r>
      <w:r>
        <w:rPr>
          <w:spacing w:val="-64"/>
        </w:rPr>
      </w:r>
      <w:r>
        <w:rPr/>
        <w:t>产整体转移和部分转移。金融资产整体转移满足终止确认条件的，将下列两项金额的差额计入当期损益：</w:t>
      </w:r>
    </w:p>
    <w:p>
      <w:pPr>
        <w:pStyle w:val="BodyText"/>
        <w:spacing w:line="240" w:lineRule="auto" w:before="19"/>
        <w:ind w:right="223"/>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right="18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w:t>
      </w:r>
      <w:r>
        <w:rPr>
          <w:spacing w:val="-84"/>
        </w:rPr>
        <w:t> </w:t>
      </w:r>
      <w:r>
        <w:rPr>
          <w:spacing w:val="-84"/>
        </w:rPr>
      </w:r>
      <w:r>
        <w:rPr/>
        <w:t>情形）之和。 </w:t>
      </w:r>
      <w:r>
        <w:rPr>
          <w:spacing w:val="-2"/>
        </w:rPr>
        <w:t>金融资产部分转移满足终止确认条件的，将所转移金融资产整体的账面价值，在终止确认部分和未终止确认部分之间，按照</w:t>
      </w:r>
      <w:r>
        <w:rPr>
          <w:spacing w:val="-63"/>
        </w:rPr>
        <w:t> </w:t>
      </w:r>
      <w:r>
        <w:rPr>
          <w:spacing w:val="-63"/>
        </w:rPr>
      </w:r>
      <w:r>
        <w:rPr/>
        <w:t>各自的相对公允价值进行分摊，并将下列两项金额的差额计入当期损益：</w:t>
      </w:r>
    </w:p>
    <w:p>
      <w:pPr>
        <w:pStyle w:val="BodyText"/>
        <w:spacing w:line="240" w:lineRule="auto" w:before="22"/>
        <w:ind w:right="223"/>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right="18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w:t>
      </w:r>
      <w:r>
        <w:rPr>
          <w:spacing w:val="-84"/>
        </w:rPr>
        <w:t> </w:t>
      </w:r>
      <w:r>
        <w:rPr>
          <w:spacing w:val="-84"/>
        </w:rPr>
      </w:r>
      <w:r>
        <w:rPr/>
        <w:t>资产为可供出售金融资产的情形）之和。 金融资产转移不满足终止确认条件的，继续确认该金融资产，所收到的对价确认为一项金融负债。</w:t>
      </w:r>
    </w:p>
    <w:p>
      <w:pPr>
        <w:pStyle w:val="BodyText"/>
        <w:spacing w:line="309" w:lineRule="auto" w:before="24"/>
        <w:ind w:right="93"/>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57"/>
        </w:rPr>
        <w:t> </w:t>
      </w:r>
      <w:r>
        <w:rPr>
          <w:rFonts w:ascii="宋体" w:hAnsi="宋体" w:cs="宋体" w:eastAsia="宋体" w:hint="default"/>
          <w:b/>
          <w:bCs/>
        </w:rPr>
        <w:t>金融负债终止确认条件</w:t>
      </w:r>
      <w:r>
        <w:rPr>
          <w:rFonts w:ascii="宋体" w:hAnsi="宋体" w:cs="宋体" w:eastAsia="宋体" w:hint="default"/>
          <w:b/>
          <w:bCs/>
          <w:w w:val="99"/>
        </w:rPr>
        <w:t> </w:t>
      </w:r>
      <w:r>
        <w:rPr>
          <w:spacing w:val="-2"/>
        </w:rPr>
        <w:t>金融负债的现时义务全部或部分已经解除的，则终止确认该金融负债或其一部分；本公司若与债权人签定协议，以承担新金</w:t>
      </w:r>
      <w:r>
        <w:rPr>
          <w:spacing w:val="-63"/>
        </w:rPr>
        <w:t> </w:t>
      </w:r>
      <w:r>
        <w:rPr>
          <w:spacing w:val="-63"/>
        </w:rPr>
      </w:r>
      <w:r>
        <w:rPr>
          <w:spacing w:val="-2"/>
        </w:rPr>
        <w:t>融负债方式替换现存金融负债，且新金融负债与现存金融负债的合同条款实质上不同的，则终止确认现存金融负债，并同时</w:t>
      </w:r>
    </w:p>
    <w:p>
      <w:pPr>
        <w:spacing w:after="0" w:line="309"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93"/>
        <w:jc w:val="left"/>
      </w:pPr>
      <w:r>
        <w:rPr/>
        <w:t>确认新金融负债。 </w:t>
      </w:r>
      <w:r>
        <w:rPr>
          <w:spacing w:val="-2"/>
        </w:rPr>
        <w:t>对现存金融负债全部或部分合同条款作出实质性修改的，则终止确认现存金融负债或其一部分，同时将修改条款后的金融负</w:t>
      </w:r>
      <w:r>
        <w:rPr>
          <w:spacing w:val="-65"/>
        </w:rPr>
        <w:t> </w:t>
      </w:r>
      <w:r>
        <w:rPr>
          <w:spacing w:val="-65"/>
        </w:rPr>
      </w:r>
      <w:r>
        <w:rPr/>
        <w:t>债确认为一项新金融负债。 金融负债全部或部分终止确认时，终止确认的金融负债账面价值与支付对价（包括转出的非现金资产或承担的新金融负债） 之间的差额，计入当期损益。 </w:t>
      </w:r>
      <w:r>
        <w:rPr>
          <w:spacing w:val="-2"/>
        </w:rPr>
        <w:t>本公司若回购部分金融负债的，在回购日按照继续确认部分与终止确认部分的相对公允价值，将该金融负债整体的账面价值</w:t>
      </w:r>
      <w:r>
        <w:rPr>
          <w:spacing w:val="-64"/>
        </w:rPr>
        <w:t> </w:t>
      </w:r>
      <w:r>
        <w:rPr>
          <w:spacing w:val="-64"/>
        </w:rPr>
      </w:r>
      <w:r>
        <w:rPr>
          <w:spacing w:val="-2"/>
        </w:rPr>
        <w:t>进行分配。分配给终止确认部分的账面价值与支付的对价（包括转出的非现金资产或承担的新金融负债）之间的差额，计入</w:t>
      </w:r>
      <w:r>
        <w:rPr>
          <w:spacing w:val="-64"/>
        </w:rPr>
        <w:t> </w:t>
      </w:r>
      <w:r>
        <w:rPr>
          <w:spacing w:val="-64"/>
        </w:rPr>
      </w:r>
      <w:r>
        <w:rPr/>
        <w:t>当期损益。</w:t>
      </w:r>
    </w:p>
    <w:p>
      <w:pPr>
        <w:pStyle w:val="BodyText"/>
        <w:spacing w:line="314" w:lineRule="auto" w:before="19"/>
        <w:ind w:right="93"/>
        <w:jc w:val="left"/>
      </w:pPr>
      <w:r>
        <w:rPr>
          <w:rFonts w:ascii="Times New Roman" w:hAnsi="Times New Roman" w:cs="Times New Roman" w:eastAsia="Times New Roman" w:hint="default"/>
          <w:b/>
          <w:bCs/>
        </w:rPr>
        <w:t>5</w:t>
      </w:r>
      <w:r>
        <w:rPr>
          <w:rFonts w:ascii="宋体" w:hAnsi="宋体" w:cs="宋体" w:eastAsia="宋体" w:hint="default"/>
          <w:b/>
          <w:bCs/>
        </w:rPr>
        <w:t>、</w:t>
      </w:r>
      <w:r>
        <w:rPr>
          <w:rFonts w:ascii="宋体" w:hAnsi="宋体" w:cs="宋体" w:eastAsia="宋体" w:hint="default"/>
          <w:b/>
          <w:bCs/>
          <w:spacing w:val="57"/>
        </w:rPr>
        <w:t> </w:t>
      </w:r>
      <w:r>
        <w:rPr>
          <w:rFonts w:ascii="宋体" w:hAnsi="宋体" w:cs="宋体" w:eastAsia="宋体" w:hint="default"/>
          <w:b/>
          <w:bCs/>
        </w:rPr>
        <w:t>金融资产和金融负债的公允价值的确定方法</w:t>
      </w:r>
      <w:r>
        <w:rPr>
          <w:rFonts w:ascii="宋体" w:hAnsi="宋体" w:cs="宋体" w:eastAsia="宋体" w:hint="default"/>
          <w:b/>
          <w:bCs/>
          <w:w w:val="99"/>
        </w:rPr>
        <w:t> </w:t>
      </w:r>
      <w:r>
        <w:rPr>
          <w:spacing w:val="-2"/>
        </w:rPr>
        <w:t>存在活跃市场的金融工具，以活跃市场中的报价确定其公允价值。不存在活跃市场的金融工具，采用估值技术确定其公允价</w:t>
      </w:r>
      <w:r>
        <w:rPr>
          <w:spacing w:val="-63"/>
        </w:rPr>
        <w:t> </w:t>
      </w:r>
      <w:r>
        <w:rPr>
          <w:spacing w:val="-63"/>
        </w:rPr>
      </w:r>
      <w:r>
        <w:rPr>
          <w:spacing w:val="-2"/>
        </w:rPr>
        <w:t>值。在估值时，本公司采用在当前情况下适用并且有足够可利用数据和其他信息支持的估值技术，选择与市场参与者在相关</w:t>
      </w:r>
      <w:r>
        <w:rPr>
          <w:spacing w:val="-66"/>
        </w:rPr>
        <w:t> </w:t>
      </w:r>
      <w:r>
        <w:rPr>
          <w:spacing w:val="-66"/>
        </w:rPr>
      </w:r>
      <w:r>
        <w:rPr>
          <w:spacing w:val="-2"/>
        </w:rPr>
        <w:t>资产或负债的交易中所考虑的资产或负债特征相一致的输入值，并优先使用相关可观察输入值。只有在相关可观察输入值无</w:t>
      </w:r>
      <w:r>
        <w:rPr>
          <w:spacing w:val="-64"/>
        </w:rPr>
        <w:t> </w:t>
      </w:r>
      <w:r>
        <w:rPr>
          <w:spacing w:val="-64"/>
        </w:rPr>
      </w:r>
      <w:r>
        <w:rPr/>
        <w:t>法取得或取得不切实可行的情况下，才使用不可观察输入值。</w:t>
      </w:r>
    </w:p>
    <w:p>
      <w:pPr>
        <w:spacing w:line="309" w:lineRule="auto" w:before="20"/>
        <w:ind w:left="153" w:right="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宋体" w:hAnsi="宋体" w:cs="宋体" w:eastAsia="宋体" w:hint="default"/>
          <w:b/>
          <w:bCs/>
          <w:spacing w:val="57"/>
          <w:sz w:val="18"/>
          <w:szCs w:val="18"/>
        </w:rPr>
        <w:t> </w:t>
      </w:r>
      <w:r>
        <w:rPr>
          <w:rFonts w:ascii="宋体" w:hAnsi="宋体" w:cs="宋体" w:eastAsia="宋体" w:hint="default"/>
          <w:b/>
          <w:bCs/>
          <w:sz w:val="18"/>
          <w:szCs w:val="18"/>
        </w:rPr>
        <w:t>金融资产（不含应收款项）减值的测试方法及会计处理方法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除以公允价值计量且其变动计入当期损益的金融资产外，本公司于资产负债表日对金融资产的账面价值进行检查，如果有客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观证据表明某项金融资产发生减值的，计提减值准备。</w:t>
      </w:r>
    </w:p>
    <w:p>
      <w:pPr>
        <w:pStyle w:val="BodyText"/>
        <w:spacing w:line="314" w:lineRule="auto" w:before="24"/>
        <w:ind w:right="93"/>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期末如果可供出售金融资产的公允价值发生严重下降，或在综合考虑各种相关因素后，预期这种下降趋势属于非暂时性的， 就认定其已发生减值，将原直接计入所有者权益的公允价值下降形成的累计损失一并转出，确认减值损失。 </w:t>
      </w:r>
      <w:r>
        <w:rPr>
          <w:spacing w:val="-2"/>
        </w:rPr>
        <w:t>对于已确认减值损失的可供出售债务工具，在随后的会计期间公允价值已上升且客观上与确认原减值损失确认后发生的事项</w:t>
      </w:r>
      <w:r>
        <w:rPr>
          <w:spacing w:val="-64"/>
        </w:rPr>
        <w:t> </w:t>
      </w:r>
      <w:r>
        <w:rPr>
          <w:spacing w:val="-64"/>
        </w:rPr>
      </w:r>
      <w:r>
        <w:rPr/>
        <w:t>有关的，原确认的减值损失予以转回，计入当期损益。</w:t>
      </w:r>
    </w:p>
    <w:p>
      <w:pPr>
        <w:pStyle w:val="BodyText"/>
        <w:spacing w:line="316" w:lineRule="auto" w:before="20"/>
        <w:ind w:right="5133"/>
        <w:jc w:val="left"/>
      </w:pPr>
      <w:r>
        <w:rPr/>
        <w:t>可供出售权益工具投资发生的减值损失，不通过损益转回。 本公司对可供出售权益工具投资减值的认定标准为：</w:t>
      </w:r>
    </w:p>
    <w:p>
      <w:pPr>
        <w:pStyle w:val="BodyText"/>
        <w:spacing w:line="240" w:lineRule="auto" w:before="19"/>
        <w:ind w:right="223"/>
        <w:jc w:val="left"/>
      </w:pPr>
      <w:r>
        <w:rPr/>
        <w:t>（一）发行方发生严重财务困难；</w:t>
      </w:r>
    </w:p>
    <w:p>
      <w:pPr>
        <w:pStyle w:val="BodyText"/>
        <w:spacing w:line="240" w:lineRule="auto" w:before="76"/>
        <w:ind w:right="223"/>
        <w:jc w:val="left"/>
      </w:pPr>
      <w:r>
        <w:rPr/>
        <w:t>（二）因发行方发生重大财务困难，该金融资产无法在活跃市场继续交易；</w:t>
      </w:r>
    </w:p>
    <w:p>
      <w:pPr>
        <w:pStyle w:val="BodyText"/>
        <w:spacing w:line="316" w:lineRule="auto" w:before="76"/>
        <w:ind w:right="93"/>
        <w:jc w:val="left"/>
      </w:pPr>
      <w:r>
        <w:rPr>
          <w:spacing w:val="-2"/>
        </w:rPr>
        <w:t>（三）权益工具发行方经营所处的技术、市场、经济或法律环境等发生重大不利变化，使权益工具投资人可能无法收回投资</w:t>
      </w:r>
      <w:r>
        <w:rPr>
          <w:spacing w:val="-64"/>
        </w:rPr>
        <w:t> </w:t>
      </w:r>
      <w:r>
        <w:rPr>
          <w:spacing w:val="-64"/>
        </w:rPr>
      </w:r>
      <w:r>
        <w:rPr/>
        <w:t>成本；</w:t>
      </w:r>
    </w:p>
    <w:p>
      <w:pPr>
        <w:pStyle w:val="BodyText"/>
        <w:spacing w:line="309" w:lineRule="auto" w:before="19"/>
        <w:ind w:right="253"/>
        <w:jc w:val="left"/>
      </w:pPr>
      <w:r>
        <w:rPr/>
        <w:t>（四）权益工具投资的公允价值发生严重或非暂时性下跌； 本公司对可供出售权益工具投资的公允价值下跌</w:t>
      </w:r>
      <w:r>
        <w:rPr>
          <w:rFonts w:ascii="Times New Roman" w:hAnsi="Times New Roman" w:cs="Times New Roman" w:eastAsia="Times New Roman" w:hint="default"/>
        </w:rPr>
        <w:t>“</w:t>
      </w:r>
      <w:r>
        <w:rPr/>
        <w:t>严重</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50%</w:t>
      </w:r>
      <w:r>
        <w:rPr/>
        <w:t>；公允价值下跌</w:t>
      </w:r>
      <w:r>
        <w:rPr>
          <w:rFonts w:ascii="Times New Roman" w:hAnsi="Times New Roman" w:cs="Times New Roman" w:eastAsia="Times New Roman" w:hint="default"/>
        </w:rPr>
        <w:t>“</w:t>
      </w:r>
      <w:r>
        <w:rPr/>
        <w:t>非暂时性</w:t>
      </w:r>
      <w:r>
        <w:rPr>
          <w:rFonts w:ascii="Times New Roman" w:hAnsi="Times New Roman" w:cs="Times New Roman" w:eastAsia="Times New Roman" w:hint="default"/>
        </w:rPr>
        <w:t>”</w:t>
      </w:r>
      <w:r>
        <w:rPr/>
        <w:t>的标准为：</w:t>
      </w:r>
      <w:r>
        <w:rPr>
          <w:rFonts w:ascii="Times New Roman" w:hAnsi="Times New Roman" w:cs="Times New Roman" w:eastAsia="Times New Roman" w:hint="default"/>
        </w:rPr>
        <w:t>1</w:t>
      </w:r>
      <w:r>
        <w:rPr/>
        <w:t>年；投资成 本的计算方法为：交易价时支付对价的公允价值和交易费用</w:t>
      </w:r>
      <w:r>
        <w:rPr>
          <w:spacing w:val="-17"/>
        </w:rPr>
        <w:t> </w:t>
      </w:r>
      <w:r>
        <w:rPr/>
        <w:t>；持续下跌期间的确定依据为：</w:t>
      </w:r>
      <w:r>
        <w:rPr>
          <w:rFonts w:ascii="Times New Roman" w:hAnsi="Times New Roman" w:cs="Times New Roman" w:eastAsia="Times New Roman" w:hint="default"/>
        </w:rPr>
        <w:t>1</w:t>
      </w:r>
      <w:r>
        <w:rPr/>
        <w:t>年。</w:t>
      </w:r>
    </w:p>
    <w:p>
      <w:pPr>
        <w:pStyle w:val="BodyText"/>
        <w:spacing w:line="300" w:lineRule="auto" w:before="5"/>
        <w:ind w:right="423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10"/>
        <w:rPr>
          <w:rFonts w:ascii="宋体" w:hAnsi="宋体" w:cs="宋体" w:eastAsia="宋体" w:hint="default"/>
          <w:sz w:val="23"/>
          <w:szCs w:val="23"/>
        </w:rPr>
      </w:pPr>
    </w:p>
    <w:p>
      <w:pPr>
        <w:pStyle w:val="Heading4"/>
        <w:spacing w:line="240" w:lineRule="auto"/>
        <w:ind w:right="223"/>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应收款项余额前三名且金额在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万元以上。</w:t>
            </w:r>
          </w:p>
        </w:tc>
      </w:tr>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after="0" w:line="316" w:lineRule="auto"/>
        <w:jc w:val="both"/>
        <w:rPr>
          <w:rFonts w:ascii="宋体" w:hAnsi="宋体" w:cs="宋体" w:eastAsia="宋体" w:hint="default"/>
          <w:sz w:val="18"/>
          <w:szCs w:val="18"/>
        </w:rPr>
        <w:sectPr>
          <w:footerReference w:type="default" r:id="rId15"/>
          <w:pgSz w:w="11910" w:h="16840"/>
          <w:pgMar w:footer="979" w:header="745" w:top="1060" w:bottom="1160" w:left="980" w:right="940"/>
        </w:sectPr>
      </w:pPr>
    </w:p>
    <w:p>
      <w:pPr>
        <w:spacing w:line="240" w:lineRule="auto" w:before="10"/>
        <w:rPr>
          <w:rFonts w:ascii="宋体" w:hAnsi="宋体" w:cs="宋体" w:eastAsia="宋体" w:hint="default"/>
          <w:b/>
          <w:bCs/>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应收保理款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4"/>
        <w:rPr>
          <w:rFonts w:ascii="宋体" w:hAnsi="宋体" w:cs="宋体" w:eastAsia="宋体" w:hint="default"/>
          <w:b/>
          <w:bCs/>
          <w:sz w:val="27"/>
          <w:szCs w:val="27"/>
        </w:rPr>
      </w:pPr>
    </w:p>
    <w:p>
      <w:pPr>
        <w:pStyle w:val="BodyText"/>
        <w:spacing w:line="240" w:lineRule="auto" w:before="44"/>
        <w:ind w:right="498"/>
        <w:jc w:val="left"/>
      </w:pPr>
      <w:r>
        <w:rPr/>
        <w:t>组合中，采用账龄分析法计提坏账准备的：</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14"/>
              <w:jc w:val="left"/>
              <w:rPr>
                <w:rFonts w:ascii="宋体" w:hAnsi="宋体" w:cs="宋体" w:eastAsia="宋体" w:hint="default"/>
                <w:sz w:val="18"/>
                <w:szCs w:val="18"/>
              </w:rPr>
            </w:pPr>
            <w:r>
              <w:rPr>
                <w:rFonts w:ascii="宋体" w:hAnsi="宋体" w:cs="宋体" w:eastAsia="宋体" w:hint="default"/>
                <w:sz w:val="18"/>
                <w:szCs w:val="18"/>
              </w:rPr>
              <w:t>以上为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应收保理款</w:t>
            </w:r>
            <w:r>
              <w:rPr>
                <w:rFonts w:ascii="Times New Roman" w:hAnsi="Times New Roman" w:cs="Times New Roman" w:eastAsia="Times New Roman" w:hint="default"/>
                <w:sz w:val="18"/>
                <w:szCs w:val="18"/>
              </w:rPr>
              <w:t>”</w:t>
            </w:r>
            <w:r>
              <w:rPr>
                <w:rFonts w:ascii="宋体" w:hAnsi="宋体" w:cs="宋体" w:eastAsia="宋体" w:hint="default"/>
                <w:sz w:val="18"/>
                <w:szCs w:val="18"/>
              </w:rPr>
              <w:t>组坏账准备计提比 例</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组合中，采用余额百分比法计提坏账准备的：</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498"/>
        <w:jc w:val="left"/>
      </w:pPr>
      <w:r>
        <w:rPr/>
        <w:t>组合中，采用其他方法计提坏账准备的：</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经测试，有客观证据表明单项金额虽不重大，但因其发生了 特殊减值，不适合按照按组合计提坏账准备应收款项。</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单独进行减值测试，结合现时情况分析确定坏账准备计提的 比例。</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Heading6"/>
        <w:tabs>
          <w:tab w:pos="573" w:val="left" w:leader="none"/>
        </w:tabs>
        <w:spacing w:line="240" w:lineRule="auto"/>
        <w:ind w:right="498"/>
        <w:jc w:val="left"/>
        <w:rPr>
          <w:b w:val="0"/>
          <w:bCs w:val="0"/>
        </w:rPr>
      </w:pPr>
      <w:r>
        <w:rPr>
          <w:rFonts w:ascii="Times New Roman" w:hAnsi="Times New Roman" w:cs="Times New Roman" w:eastAsia="Times New Roman" w:hint="default"/>
        </w:rPr>
        <w:t>1</w:t>
        <w:tab/>
      </w:r>
      <w:r>
        <w:rPr/>
        <w:t>存货的分类</w:t>
      </w:r>
      <w:r>
        <w:rPr>
          <w:b w:val="0"/>
          <w:bCs w:val="0"/>
        </w:rPr>
      </w:r>
    </w:p>
    <w:p>
      <w:pPr>
        <w:spacing w:after="0" w:line="240" w:lineRule="auto"/>
        <w:jc w:val="left"/>
        <w:sectPr>
          <w:footerReference w:type="default" r:id="rId16"/>
          <w:pgSz w:w="11910" w:h="16840"/>
          <w:pgMar w:footer="979" w:header="745" w:top="1060" w:bottom="1160" w:left="980" w:right="980"/>
        </w:sectPr>
      </w:pPr>
    </w:p>
    <w:p>
      <w:pPr>
        <w:spacing w:line="240" w:lineRule="auto" w:before="9"/>
        <w:rPr>
          <w:rFonts w:ascii="宋体" w:hAnsi="宋体" w:cs="宋体" w:eastAsia="宋体" w:hint="default"/>
          <w:b/>
          <w:bCs/>
          <w:sz w:val="25"/>
          <w:szCs w:val="25"/>
        </w:rPr>
      </w:pPr>
    </w:p>
    <w:p>
      <w:pPr>
        <w:pStyle w:val="BodyText"/>
        <w:spacing w:line="240" w:lineRule="auto" w:before="44"/>
        <w:ind w:right="498"/>
        <w:jc w:val="left"/>
      </w:pPr>
      <w:r>
        <w:rPr/>
        <w:t>存货分类为：库存商品。</w:t>
      </w:r>
    </w:p>
    <w:p>
      <w:pPr>
        <w:tabs>
          <w:tab w:pos="573" w:val="left" w:leader="none"/>
        </w:tabs>
        <w:spacing w:line="300" w:lineRule="auto" w:before="77"/>
        <w:ind w:left="153" w:right="7271"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tab/>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存货发出时按个别认定法计价。</w:t>
      </w:r>
    </w:p>
    <w:p>
      <w:pPr>
        <w:pStyle w:val="BodyText"/>
        <w:tabs>
          <w:tab w:pos="573" w:val="left" w:leader="none"/>
        </w:tabs>
        <w:spacing w:line="316" w:lineRule="auto" w:before="31"/>
        <w:ind w:right="149"/>
        <w:jc w:val="left"/>
      </w:pPr>
      <w:r>
        <w:rPr>
          <w:rFonts w:ascii="Times New Roman" w:hAnsi="Times New Roman" w:cs="Times New Roman" w:eastAsia="Times New Roman" w:hint="default"/>
          <w:b/>
          <w:bCs/>
        </w:rPr>
        <w:t>3</w:t>
        <w:tab/>
      </w:r>
      <w:r>
        <w:rPr>
          <w:rFonts w:ascii="宋体" w:hAnsi="宋体" w:cs="宋体" w:eastAsia="宋体" w:hint="default"/>
          <w:b/>
          <w:bCs/>
        </w:rPr>
        <w:t>不同类别存货可变现净值的确定依据</w:t>
      </w:r>
      <w:r>
        <w:rPr>
          <w:rFonts w:ascii="宋体" w:hAnsi="宋体" w:cs="宋体" w:eastAsia="宋体" w:hint="default"/>
          <w:b/>
          <w:bCs/>
          <w:w w:val="99"/>
        </w:rPr>
        <w:t> </w:t>
      </w:r>
      <w:r>
        <w:rPr>
          <w:spacing w:val="-2"/>
        </w:rPr>
        <w:t>产成品、库存商品和用于出售的材料等直接用于出售的商品存货，在正常生产经营过程中，以该存货的估计售价减去估计的</w:t>
      </w:r>
      <w:r>
        <w:rPr>
          <w:spacing w:val="-63"/>
        </w:rPr>
        <w:t> </w:t>
      </w:r>
      <w:r>
        <w:rPr>
          <w:spacing w:val="-63"/>
        </w:rPr>
      </w:r>
      <w:r>
        <w:rPr>
          <w:spacing w:val="-2"/>
        </w:rPr>
        <w:t>销售费用和相关税费后的金额，确定其可变现净值；需要经过加工的材料存货，在正常生产经营过程中，以所生产的产成品</w:t>
      </w:r>
      <w:r>
        <w:rPr>
          <w:spacing w:val="-64"/>
        </w:rPr>
        <w:t> </w:t>
      </w:r>
      <w:r>
        <w:rPr>
          <w:spacing w:val="-64"/>
        </w:rPr>
      </w:r>
      <w:r>
        <w:rPr>
          <w:spacing w:val="-2"/>
        </w:rPr>
        <w:t>的估计售价减去至完工时估计将要发生的成本、估计的销售费用和相关税费后的金额，确定其可变现净值；为执行销售合同</w:t>
      </w:r>
      <w:r>
        <w:rPr>
          <w:spacing w:val="-63"/>
        </w:rPr>
        <w:t> </w:t>
      </w:r>
      <w:r>
        <w:rPr>
          <w:spacing w:val="-63"/>
        </w:rPr>
      </w:r>
      <w:r>
        <w:rPr>
          <w:spacing w:val="-2"/>
        </w:rPr>
        <w:t>或者劳务合同而持有的存货，其可变现净值以合同价格为基础计算，若持有存货的数量多于销售合同订购数量的，超出部分</w:t>
      </w:r>
      <w:r>
        <w:rPr>
          <w:spacing w:val="-63"/>
        </w:rPr>
        <w:t> </w:t>
      </w:r>
      <w:r>
        <w:rPr>
          <w:spacing w:val="-63"/>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地区生产和销售的产品系列相关、具有相同或类似最终用途或目的，且难以与其他项目分开计量的存货，则合并计提存货跌</w:t>
      </w:r>
      <w:r>
        <w:rPr>
          <w:spacing w:val="-63"/>
        </w:rPr>
        <w:t> </w:t>
      </w:r>
      <w:r>
        <w:rPr>
          <w:spacing w:val="-63"/>
        </w:rPr>
      </w:r>
      <w:r>
        <w:rPr/>
        <w:t>价准备。</w:t>
      </w:r>
    </w:p>
    <w:p>
      <w:pPr>
        <w:pStyle w:val="BodyText"/>
        <w:spacing w:line="316" w:lineRule="auto" w:before="19"/>
        <w:ind w:right="953"/>
        <w:jc w:val="left"/>
      </w:pPr>
      <w:r>
        <w:rPr/>
        <w:t>除有明确证据表明资产负债表日市场价格异常外，存货项目的可变现净值以资产负债表日市场价格为基础确定。 本期期末存货项目的可变现净值以资产负债表日市场价格为基础确定。</w:t>
      </w:r>
    </w:p>
    <w:p>
      <w:pPr>
        <w:tabs>
          <w:tab w:pos="573" w:val="left" w:leader="none"/>
        </w:tabs>
        <w:spacing w:line="300" w:lineRule="auto" w:before="19"/>
        <w:ind w:left="153" w:right="8106"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tab/>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w:t>
      </w:r>
    </w:p>
    <w:p>
      <w:pPr>
        <w:pStyle w:val="Heading6"/>
        <w:tabs>
          <w:tab w:pos="573" w:val="left" w:leader="none"/>
        </w:tabs>
        <w:spacing w:line="240" w:lineRule="auto" w:before="31"/>
        <w:ind w:right="498"/>
        <w:jc w:val="left"/>
        <w:rPr>
          <w:b w:val="0"/>
          <w:bCs w:val="0"/>
        </w:rPr>
      </w:pPr>
      <w:r>
        <w:rPr>
          <w:rFonts w:ascii="Times New Roman" w:hAnsi="Times New Roman" w:cs="Times New Roman" w:eastAsia="Times New Roman" w:hint="default"/>
        </w:rPr>
        <w:t>5</w:t>
        <w:tab/>
      </w:r>
      <w:r>
        <w:rPr/>
        <w:t>低值易耗品和包装物的摊销方法</w:t>
      </w:r>
      <w:r>
        <w:rPr>
          <w:b w:val="0"/>
          <w:bCs w:val="0"/>
        </w:rPr>
      </w:r>
    </w:p>
    <w:p>
      <w:pPr>
        <w:pStyle w:val="BodyText"/>
        <w:spacing w:line="240" w:lineRule="auto" w:before="63"/>
        <w:ind w:right="498"/>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498"/>
        <w:jc w:val="left"/>
      </w:pPr>
      <w:r>
        <w:rPr/>
        <w:t>（</w:t>
      </w:r>
      <w:r>
        <w:rPr>
          <w:rFonts w:ascii="Times New Roman" w:hAnsi="Times New Roman" w:cs="Times New Roman" w:eastAsia="Times New Roman" w:hint="default"/>
        </w:rPr>
        <w:t>2</w:t>
      </w:r>
      <w:r>
        <w:rPr/>
        <w:t>）包装物采用一次转销法。</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本公司将同时满足下列条件的组成部分（或非流动资产）确认为持有待售：</w:t>
      </w:r>
    </w:p>
    <w:p>
      <w:pPr>
        <w:pStyle w:val="BodyText"/>
        <w:spacing w:line="240" w:lineRule="auto" w:before="77"/>
        <w:ind w:right="498"/>
        <w:jc w:val="left"/>
      </w:pPr>
      <w:r>
        <w:rPr/>
        <w:t>（</w:t>
      </w:r>
      <w:r>
        <w:rPr>
          <w:rFonts w:ascii="Times New Roman" w:hAnsi="Times New Roman" w:cs="Times New Roman" w:eastAsia="Times New Roman" w:hint="default"/>
        </w:rPr>
        <w:t>1</w:t>
      </w:r>
      <w:r>
        <w:rPr/>
        <w:t>）该组成部分必须在其当前状况下仅根据出售此类组成部分的惯常条款即可立即出售；</w:t>
      </w:r>
    </w:p>
    <w:p>
      <w:pPr>
        <w:pStyle w:val="BodyText"/>
        <w:spacing w:line="300" w:lineRule="auto" w:before="63"/>
        <w:ind w:right="143"/>
        <w:jc w:val="left"/>
      </w:pPr>
      <w:r>
        <w:rPr/>
        <w:t>（</w:t>
      </w:r>
      <w:r>
        <w:rPr>
          <w:rFonts w:ascii="Times New Roman" w:hAnsi="Times New Roman" w:cs="Times New Roman" w:eastAsia="Times New Roman" w:hint="default"/>
        </w:rPr>
        <w:t>2</w:t>
      </w:r>
      <w:r>
        <w:rPr/>
        <w:t>）公司已经就处置该组成部分（或非流动资产）作出决议，如按规定需得到股东批准的，已经取得股东大会或相应权力 机构的批准；</w:t>
      </w:r>
    </w:p>
    <w:p>
      <w:pPr>
        <w:pStyle w:val="BodyText"/>
        <w:spacing w:line="240" w:lineRule="auto" w:before="31"/>
        <w:ind w:right="498"/>
        <w:jc w:val="left"/>
      </w:pPr>
      <w:r>
        <w:rPr/>
        <w:t>（</w:t>
      </w:r>
      <w:r>
        <w:rPr>
          <w:rFonts w:ascii="Times New Roman" w:hAnsi="Times New Roman" w:cs="Times New Roman" w:eastAsia="Times New Roman" w:hint="default"/>
        </w:rPr>
        <w:t>3</w:t>
      </w:r>
      <w:r>
        <w:rPr/>
        <w:t>）公司已与受让方签订了不可撤销的转让协议；</w:t>
      </w:r>
    </w:p>
    <w:p>
      <w:pPr>
        <w:pStyle w:val="BodyText"/>
        <w:spacing w:line="240" w:lineRule="auto" w:before="63"/>
        <w:ind w:right="498"/>
        <w:jc w:val="left"/>
      </w:pPr>
      <w:r>
        <w:rPr/>
        <w:t>（</w:t>
      </w:r>
      <w:r>
        <w:rPr>
          <w:rFonts w:ascii="Times New Roman" w:hAnsi="Times New Roman" w:cs="Times New Roman" w:eastAsia="Times New Roman" w:hint="default"/>
        </w:rPr>
        <w:t>4</w:t>
      </w:r>
      <w:r>
        <w:rPr/>
        <w:t>）该项转让将在一年内完成。</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tabs>
          <w:tab w:pos="573" w:val="left" w:leader="none"/>
        </w:tabs>
        <w:spacing w:line="314" w:lineRule="auto"/>
        <w:ind w:right="152"/>
        <w:jc w:val="left"/>
      </w:pPr>
      <w:r>
        <w:rPr>
          <w:rFonts w:ascii="Times New Roman" w:hAnsi="Times New Roman" w:cs="Times New Roman" w:eastAsia="Times New Roman" w:hint="default"/>
          <w:b/>
          <w:bCs/>
        </w:rPr>
        <w:t>1</w:t>
        <w:tab/>
      </w:r>
      <w:r>
        <w:rPr>
          <w:rFonts w:ascii="宋体" w:hAnsi="宋体" w:cs="宋体" w:eastAsia="宋体" w:hint="default"/>
          <w:b/>
          <w:bCs/>
        </w:rPr>
        <w:t>共同控制、重大影响的判断标准</w:t>
      </w:r>
      <w:r>
        <w:rPr>
          <w:rFonts w:ascii="宋体" w:hAnsi="宋体" w:cs="宋体" w:eastAsia="宋体" w:hint="default"/>
          <w:b/>
          <w:bCs/>
          <w:w w:val="99"/>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w:t>
      </w:r>
    </w:p>
    <w:p>
      <w:pPr>
        <w:pStyle w:val="Heading6"/>
        <w:tabs>
          <w:tab w:pos="573" w:val="left" w:leader="none"/>
        </w:tabs>
        <w:spacing w:line="240" w:lineRule="auto" w:before="20"/>
        <w:ind w:right="498"/>
        <w:jc w:val="left"/>
        <w:rPr>
          <w:b w:val="0"/>
          <w:bCs w:val="0"/>
        </w:rPr>
      </w:pPr>
      <w:r>
        <w:rPr>
          <w:rFonts w:ascii="Times New Roman" w:hAnsi="Times New Roman" w:cs="Times New Roman" w:eastAsia="Times New Roman" w:hint="default"/>
        </w:rPr>
        <w:t>2</w:t>
        <w:tab/>
      </w:r>
      <w:r>
        <w:rPr/>
        <w:t>初始投资成本的确定</w:t>
      </w:r>
      <w:r>
        <w:rPr>
          <w:b w:val="0"/>
          <w:bCs w:val="0"/>
        </w:rPr>
      </w:r>
    </w:p>
    <w:p>
      <w:pPr>
        <w:pStyle w:val="BodyText"/>
        <w:spacing w:line="314" w:lineRule="auto" w:before="63"/>
        <w:ind w:right="0"/>
        <w:jc w:val="left"/>
      </w:pPr>
      <w:r>
        <w:rPr/>
        <w:t>（</w:t>
      </w:r>
      <w:r>
        <w:rPr>
          <w:rFonts w:ascii="Times New Roman" w:hAnsi="Times New Roman" w:cs="Times New Roman" w:eastAsia="Times New Roman" w:hint="default"/>
        </w:rPr>
        <w:t>1</w:t>
      </w:r>
      <w:r>
        <w:rPr/>
        <w:t>）企业合并形成的长期股权投资 </w:t>
      </w:r>
      <w:r>
        <w:rPr>
          <w:spacing w:val="-2"/>
        </w:rPr>
        <w:t>同一控制下的企业合并：公司以支付现金、转让非现金资产或承担债务方式以及以发行权益性证券作为合并对价的，在合并</w:t>
      </w:r>
      <w:r>
        <w:rPr>
          <w:spacing w:val="-63"/>
        </w:rPr>
        <w:t> </w:t>
      </w:r>
      <w:r>
        <w:rPr>
          <w:spacing w:val="-63"/>
        </w:rPr>
      </w:r>
      <w:r>
        <w:rPr>
          <w:spacing w:val="-2"/>
        </w:rPr>
        <w:t>日按照取得被合并方所有者权益在最终控制方合并财务报表中的账面价值的份额作为长期股权投资的初始投资成本。因追加</w:t>
      </w:r>
      <w:r>
        <w:rPr>
          <w:spacing w:val="-64"/>
        </w:rPr>
        <w:t> </w:t>
      </w:r>
      <w:r>
        <w:rPr>
          <w:spacing w:val="-64"/>
        </w:rPr>
      </w:r>
      <w:r>
        <w:rPr>
          <w:spacing w:val="-2"/>
        </w:rPr>
        <w:t>投资等原因能够对同一控制下的被投资单位实施控制的，在合并日根据合并后应享有被合并方净资产在最终控制方合并财务</w:t>
      </w:r>
      <w:r>
        <w:rPr>
          <w:spacing w:val="-64"/>
        </w:rPr>
        <w:t> </w:t>
      </w:r>
      <w:r>
        <w:rPr>
          <w:spacing w:val="-64"/>
        </w:rPr>
      </w:r>
      <w:r>
        <w:rPr>
          <w:spacing w:val="-2"/>
        </w:rPr>
        <w:t>报表中的账面价值的份额，确定长期股权投资的初始投资成本。合并日长期股权投资的初始投资成本，与达到合并前的长期</w:t>
      </w:r>
      <w:r>
        <w:rPr>
          <w:spacing w:val="-63"/>
        </w:rPr>
        <w:t> </w:t>
      </w:r>
      <w:r>
        <w:rPr>
          <w:spacing w:val="-63"/>
        </w:rPr>
      </w:r>
      <w:r>
        <w:rPr>
          <w:spacing w:val="-2"/>
        </w:rPr>
        <w:t>股权投资账面价值加上合并日进一步取得股份新支付对价的账面价值之和的差额，调整股本溢价，股本溢价不足冲减的，冲</w:t>
      </w:r>
      <w:r>
        <w:rPr>
          <w:spacing w:val="-63"/>
        </w:rPr>
        <w:t> </w:t>
      </w:r>
      <w:r>
        <w:rPr>
          <w:spacing w:val="-63"/>
        </w:rPr>
      </w:r>
      <w:r>
        <w:rPr/>
        <w:t>减留存收益。</w:t>
      </w:r>
    </w:p>
    <w:p>
      <w:pPr>
        <w:spacing w:after="0" w:line="314" w:lineRule="auto"/>
        <w:jc w:val="left"/>
        <w:sectPr>
          <w:footerReference w:type="default" r:id="rId17"/>
          <w:pgSz w:w="11910" w:h="16840"/>
          <w:pgMar w:footer="979" w:header="745" w:top="1060" w:bottom="1160" w:left="980" w:right="980"/>
          <w:pgNumType w:start="102"/>
        </w:sectPr>
      </w:pPr>
    </w:p>
    <w:p>
      <w:pPr>
        <w:spacing w:line="240" w:lineRule="auto" w:before="9"/>
        <w:rPr>
          <w:rFonts w:ascii="宋体" w:hAnsi="宋体" w:cs="宋体" w:eastAsia="宋体" w:hint="default"/>
          <w:sz w:val="25"/>
          <w:szCs w:val="25"/>
        </w:rPr>
      </w:pPr>
    </w:p>
    <w:p>
      <w:pPr>
        <w:pStyle w:val="BodyText"/>
        <w:spacing w:line="319" w:lineRule="auto" w:before="44"/>
        <w:ind w:right="152"/>
        <w:jc w:val="both"/>
      </w:pPr>
      <w:r>
        <w:rPr>
          <w:spacing w:val="-2"/>
        </w:rPr>
        <w:t>非同一控制下的企业合并：公司按照购买日确定的合并成本作为长期股权投资的初始投资成本。因追加投资等原因能够对非</w:t>
      </w:r>
      <w:r>
        <w:rPr>
          <w:spacing w:val="-64"/>
        </w:rPr>
        <w:t> </w:t>
      </w:r>
      <w:r>
        <w:rPr>
          <w:spacing w:val="-64"/>
        </w:rPr>
      </w:r>
      <w:r>
        <w:rPr>
          <w:spacing w:val="-2"/>
        </w:rPr>
        <w:t>同一控制下的被投资单位实施控制的，按照原持有的股权投资账面价值加上新增投资成本之和，作为改按成本法核算的初始</w:t>
      </w:r>
      <w:r>
        <w:rPr>
          <w:spacing w:val="-64"/>
        </w:rPr>
        <w:t> </w:t>
      </w:r>
      <w:r>
        <w:rPr>
          <w:spacing w:val="-64"/>
        </w:rPr>
      </w:r>
      <w:r>
        <w:rPr/>
        <w:t>投资成本。</w:t>
      </w:r>
    </w:p>
    <w:p>
      <w:pPr>
        <w:pStyle w:val="BodyText"/>
        <w:spacing w:line="309" w:lineRule="auto" w:before="17"/>
        <w:ind w:right="2393"/>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16" w:lineRule="auto" w:before="24"/>
        <w:ind w:right="152"/>
        <w:jc w:val="both"/>
      </w:pPr>
      <w:r>
        <w:rPr>
          <w:spacing w:val="-2"/>
        </w:rPr>
        <w:t>在非货币性资产交换具备商业实质和换入资产或换出资产的公允价值能够可靠计量的前提下，非货币性资产交换换入的长期</w:t>
      </w:r>
      <w:r>
        <w:rPr>
          <w:spacing w:val="-64"/>
        </w:rPr>
        <w:t> </w:t>
      </w:r>
      <w:r>
        <w:rPr>
          <w:spacing w:val="-64"/>
        </w:rPr>
      </w:r>
      <w:r>
        <w:rPr>
          <w:spacing w:val="-2"/>
        </w:rPr>
        <w:t>股权投资以换出资产的公允价值和应支付的相关税费确定其初始投资成本，除非有确凿证据表明换入资产的公允价值更加可</w:t>
      </w:r>
      <w:r>
        <w:rPr>
          <w:spacing w:val="-64"/>
        </w:rPr>
        <w:t> </w:t>
      </w:r>
      <w:r>
        <w:rPr>
          <w:spacing w:val="-64"/>
        </w:rPr>
      </w:r>
      <w:r>
        <w:rPr>
          <w:spacing w:val="-2"/>
        </w:rPr>
        <w:t>靠；不满足上述前提的非货币性资产交换，以换出资产的账面价值和应支付的相关税费作为换入长期股权投资的初始投资成</w:t>
      </w:r>
      <w:r>
        <w:rPr>
          <w:spacing w:val="-64"/>
        </w:rPr>
        <w:t> </w:t>
      </w:r>
      <w:r>
        <w:rPr>
          <w:spacing w:val="-64"/>
        </w:rPr>
      </w:r>
      <w:r>
        <w:rPr/>
        <w:t>本。</w:t>
      </w:r>
    </w:p>
    <w:p>
      <w:pPr>
        <w:pStyle w:val="BodyText"/>
        <w:spacing w:line="240" w:lineRule="auto" w:before="19"/>
        <w:ind w:right="498"/>
        <w:jc w:val="left"/>
      </w:pPr>
      <w:r>
        <w:rPr/>
        <w:t>通过债务重组取得的长期股权投资，其初始投资成本按照公允价值为基础确定。</w:t>
      </w:r>
    </w:p>
    <w:p>
      <w:pPr>
        <w:pStyle w:val="BodyText"/>
        <w:spacing w:line="319" w:lineRule="auto" w:before="76"/>
        <w:ind w:right="7703"/>
        <w:jc w:val="left"/>
      </w:pPr>
      <w:r>
        <w:rPr>
          <w:rFonts w:ascii="宋体" w:hAnsi="宋体" w:cs="宋体" w:eastAsia="宋体" w:hint="default"/>
        </w:rPr>
        <w:t> </w:t>
      </w:r>
      <w:r>
        <w:rPr/>
        <w:t>后续计量及损益确认方法</w:t>
      </w:r>
    </w:p>
    <w:p>
      <w:pPr>
        <w:pStyle w:val="BodyText"/>
        <w:spacing w:line="309" w:lineRule="auto" w:before="17"/>
        <w:ind w:right="0"/>
        <w:jc w:val="left"/>
      </w:pPr>
      <w:r>
        <w:rPr/>
        <w:t>（</w:t>
      </w:r>
      <w:r>
        <w:rPr>
          <w:rFonts w:ascii="Times New Roman" w:hAnsi="Times New Roman" w:cs="Times New Roman" w:eastAsia="Times New Roman" w:hint="default"/>
        </w:rPr>
        <w:t>1</w:t>
      </w:r>
      <w:r>
        <w:rPr/>
        <w:t>）成本法核算的长期股权投资 </w:t>
      </w:r>
      <w:r>
        <w:rPr>
          <w:spacing w:val="-2"/>
        </w:rPr>
        <w:t>公司对子公司的长期股权投资，采用成本法核算。除取得投资时实际支付的价款或对价中包含的已宣告但尚未发放的现金股</w:t>
      </w:r>
      <w:r>
        <w:rPr>
          <w:spacing w:val="-63"/>
        </w:rPr>
        <w:t> </w:t>
      </w:r>
      <w:r>
        <w:rPr>
          <w:spacing w:val="-63"/>
        </w:rPr>
      </w:r>
      <w:r>
        <w:rPr/>
        <w:t>利或利润外，公司按照享有被投资单位宣告发放的现金股利或利润确认当期投资收益。</w:t>
      </w:r>
    </w:p>
    <w:p>
      <w:pPr>
        <w:pStyle w:val="BodyText"/>
        <w:spacing w:line="316" w:lineRule="auto" w:before="24"/>
        <w:ind w:right="0"/>
        <w:jc w:val="left"/>
      </w:pPr>
      <w:r>
        <w:rPr/>
        <w:t>（</w:t>
      </w:r>
      <w:r>
        <w:rPr>
          <w:rFonts w:ascii="Times New Roman" w:hAnsi="Times New Roman" w:cs="Times New Roman" w:eastAsia="Times New Roman" w:hint="default"/>
        </w:rPr>
        <w:t>2</w:t>
      </w:r>
      <w:r>
        <w:rPr/>
        <w:t>）权益法核算的长期股权投资 </w:t>
      </w:r>
      <w:r>
        <w:rPr>
          <w:spacing w:val="-2"/>
        </w:rPr>
        <w:t>对联营企业和合营企业的长期股权投资，采用权益法核算。初始投资成本大于投资时应享有被投资单位可辨认净资产公允价</w:t>
      </w:r>
      <w:r>
        <w:rPr>
          <w:spacing w:val="-64"/>
        </w:rPr>
        <w:t> </w:t>
      </w:r>
      <w:r>
        <w:rPr>
          <w:spacing w:val="-64"/>
        </w:rPr>
      </w:r>
      <w:r>
        <w:rPr>
          <w:spacing w:val="-2"/>
        </w:rPr>
        <w:t>值份额的差额，不调整长期股权投资的初始投资成本；初始投资成本小于投资时应享有被投资单位可辨认净资产公允价值份</w:t>
      </w:r>
      <w:r>
        <w:rPr>
          <w:spacing w:val="-64"/>
        </w:rPr>
        <w:t> </w:t>
      </w:r>
      <w:r>
        <w:rPr>
          <w:spacing w:val="-64"/>
        </w:rPr>
      </w:r>
      <w:r>
        <w:rPr/>
        <w:t>额的差额，计入当期损益。 </w:t>
      </w:r>
      <w:r>
        <w:rPr>
          <w:spacing w:val="-2"/>
        </w:rPr>
        <w:t>公司按照应享有或应分担的被投资单位实现的净损益和其他综合收益的份额，分别确认投资收益和其他综合收益，同时调整</w:t>
      </w:r>
      <w:r>
        <w:rPr>
          <w:spacing w:val="-64"/>
        </w:rPr>
        <w:t> </w:t>
      </w:r>
      <w:r>
        <w:rPr>
          <w:spacing w:val="-64"/>
        </w:rPr>
      </w:r>
      <w:r>
        <w:rPr>
          <w:spacing w:val="-2"/>
        </w:rPr>
        <w:t>长期股权投资的账面价值；按照被投资单位宣告分派的利润或现金股利计算应享有的部分，相应减少长期股权投资的账面价</w:t>
      </w:r>
      <w:r>
        <w:rPr>
          <w:spacing w:val="-64"/>
        </w:rPr>
        <w:t> </w:t>
      </w:r>
      <w:r>
        <w:rPr>
          <w:spacing w:val="-64"/>
        </w:rPr>
      </w:r>
      <w:r>
        <w:rPr>
          <w:spacing w:val="-2"/>
        </w:rPr>
        <w:t>值；对于被投资单位除净损益、其他综合收益和利润分配以外所有者权益的其他变动，调整长期股权投资的账面价值并计入</w:t>
      </w:r>
      <w:r>
        <w:rPr>
          <w:spacing w:val="-63"/>
        </w:rPr>
        <w:t> </w:t>
      </w:r>
      <w:r>
        <w:rPr>
          <w:spacing w:val="-63"/>
        </w:rPr>
      </w:r>
      <w:r>
        <w:rPr/>
        <w:t>所有者权益。 </w:t>
      </w:r>
      <w:r>
        <w:rPr>
          <w:spacing w:val="-2"/>
        </w:rPr>
        <w:t>在确认应享有被投资单位净损益的份额时，以取得投资时被投资单位可辨认净资产的公允价值为基础，并按照公司的会计政</w:t>
      </w:r>
      <w:r>
        <w:rPr>
          <w:spacing w:val="-64"/>
        </w:rPr>
        <w:t> </w:t>
      </w:r>
      <w:r>
        <w:rPr>
          <w:spacing w:val="-64"/>
        </w:rPr>
      </w:r>
      <w:r>
        <w:rPr>
          <w:spacing w:val="-2"/>
        </w:rPr>
        <w:t>策及会计期间，对被投资单位的净利润进行调整后确认。在持有投资期间，被投资单位编制合并财务报表的，以合并财务报</w:t>
      </w:r>
      <w:r>
        <w:rPr>
          <w:spacing w:val="-65"/>
        </w:rPr>
        <w:t> </w:t>
      </w:r>
      <w:r>
        <w:rPr>
          <w:spacing w:val="-65"/>
        </w:rPr>
      </w:r>
      <w:r>
        <w:rPr/>
        <w:t>表中的净利润、其他综合收益和其他所有者权益变动中归属于被投资单位的金额为基础进行核算。 </w:t>
      </w:r>
      <w:r>
        <w:rPr>
          <w:spacing w:val="-2"/>
        </w:rPr>
        <w:t>在公司确认应分担被投资单位发生的亏损时，按照以下顺序进行处理：首先，冲减长期股权投资的账面价值。其次，长期股</w:t>
      </w:r>
      <w:r>
        <w:rPr>
          <w:spacing w:val="-68"/>
        </w:rPr>
        <w:t> </w:t>
      </w:r>
      <w:r>
        <w:rPr>
          <w:spacing w:val="-68"/>
        </w:rPr>
      </w:r>
      <w:r>
        <w:rPr>
          <w:spacing w:val="-2"/>
        </w:rPr>
        <w:t>权投资的账面价值不足以冲减的，以其他实质上构成对被投资单位净投资的长期权益账面价值为限继续确认投资损失，冲减</w:t>
      </w:r>
      <w:r>
        <w:rPr>
          <w:spacing w:val="-64"/>
        </w:rPr>
        <w:t> </w:t>
      </w:r>
      <w:r>
        <w:rPr>
          <w:spacing w:val="-64"/>
        </w:rPr>
      </w:r>
      <w:r>
        <w:rPr>
          <w:spacing w:val="-2"/>
        </w:rPr>
        <w:t>长期应收项目等的账面价值。最后，经过上述处理，按照投资合同或协议约定企业仍承担额外义务的，按预计承担的义务确</w:t>
      </w:r>
      <w:r>
        <w:rPr>
          <w:spacing w:val="-64"/>
        </w:rPr>
        <w:t> </w:t>
      </w:r>
      <w:r>
        <w:rPr>
          <w:spacing w:val="-64"/>
        </w:rPr>
      </w:r>
      <w:r>
        <w:rPr/>
        <w:t>认预计负债，计入当期投资损失。</w:t>
      </w:r>
    </w:p>
    <w:p>
      <w:pPr>
        <w:pStyle w:val="BodyText"/>
        <w:spacing w:line="300" w:lineRule="auto" w:before="19"/>
        <w:ind w:right="401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316" w:lineRule="auto" w:before="31"/>
        <w:ind w:right="0"/>
        <w:jc w:val="left"/>
      </w:pPr>
      <w:r>
        <w:rPr>
          <w:spacing w:val="-2"/>
        </w:rPr>
        <w:t>采用权益法核算的长期股权投资，在处置该项投资时，采用与被投资单位直接处置相关资产或负债相同的基础，按相应比例</w:t>
      </w:r>
      <w:r>
        <w:rPr>
          <w:spacing w:val="-65"/>
        </w:rPr>
        <w:t> </w:t>
      </w:r>
      <w:r>
        <w:rPr>
          <w:spacing w:val="-65"/>
        </w:rPr>
      </w:r>
      <w:r>
        <w:rPr>
          <w:spacing w:val="-2"/>
        </w:rPr>
        <w:t>对原计入其他综合收益的部分进行会计处理。因被投资单位除净损益、其他综合收益和利润分配以外的其他所有者权益变动</w:t>
      </w:r>
      <w:r>
        <w:rPr>
          <w:spacing w:val="-64"/>
        </w:rPr>
        <w:t> </w:t>
      </w:r>
      <w:r>
        <w:rPr>
          <w:spacing w:val="-64"/>
        </w:rPr>
      </w:r>
      <w:r>
        <w:rPr>
          <w:spacing w:val="-2"/>
        </w:rPr>
        <w:t>而确认的所有者权益，按比例结转入当期损益，由于被投资方重新计量设定受益计划净负债或净资产变动而产生的其他综合</w:t>
      </w:r>
      <w:r>
        <w:rPr>
          <w:spacing w:val="-64"/>
        </w:rPr>
        <w:t> </w:t>
      </w:r>
      <w:r>
        <w:rPr>
          <w:spacing w:val="-64"/>
        </w:rPr>
      </w:r>
      <w:r>
        <w:rPr/>
        <w:t>收益除外。 </w:t>
      </w:r>
      <w:r>
        <w:rPr>
          <w:spacing w:val="-2"/>
        </w:rPr>
        <w:t>因处置部分股权投资等原因丧失了对被投资单位的共同控制或重大影响的，处置后的剩余股权改按金融工具确认和计量准则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 </w:t>
      </w:r>
      <w:r>
        <w:rPr>
          <w:spacing w:val="-2"/>
        </w:rPr>
        <w:t>因处置部分股权投资等原因丧失了对被投资单位控制权的，在编制个别财务报表时，处置后的剩余股权能够对被投资单位实</w:t>
      </w:r>
      <w:r>
        <w:rPr>
          <w:spacing w:val="-64"/>
        </w:rPr>
        <w:t> </w:t>
      </w:r>
      <w:r>
        <w:rPr>
          <w:spacing w:val="-64"/>
        </w:rPr>
      </w:r>
      <w:r>
        <w:rPr>
          <w:spacing w:val="-2"/>
        </w:rPr>
        <w:t>施共同控制或重大影响的，改按权益法核算，并对该剩余股权视同自取得时即采用权益法核算进行调整；处置后的剩余股权</w:t>
      </w:r>
    </w:p>
    <w:p>
      <w:pPr>
        <w:spacing w:after="0" w:line="316"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不能对被投资单位实施共同控制或施加重大影响的，改按金融工具确认和计量准则的有关规定进行会计处理，其在丧失控制</w:t>
      </w:r>
      <w:r>
        <w:rPr>
          <w:spacing w:val="-62"/>
        </w:rPr>
        <w:t> </w:t>
      </w:r>
      <w:r>
        <w:rPr>
          <w:spacing w:val="-62"/>
        </w:rPr>
      </w:r>
      <w:r>
        <w:rPr/>
        <w:t>之日的公允价值与账面价值间的差额计入当期损益。 </w:t>
      </w:r>
      <w:r>
        <w:rPr>
          <w:spacing w:val="-2"/>
        </w:rPr>
        <w:t>处置的股权是因追加投资等原因通过企业合并取得的，在编制个别财务报表时，处置后的剩余股权采用成本法或权益法核算</w:t>
      </w:r>
      <w:r>
        <w:rPr>
          <w:spacing w:val="-64"/>
        </w:rPr>
        <w:t> </w:t>
      </w:r>
      <w:r>
        <w:rPr>
          <w:spacing w:val="-64"/>
        </w:rPr>
      </w:r>
      <w:r>
        <w:rPr>
          <w:spacing w:val="-2"/>
        </w:rPr>
        <w:t>的，购买日之前持有的股权投资因采用权益法核算而确认的其他综合收益和其他所有者权益按比例结转；处置后的剩余股权</w:t>
      </w:r>
      <w:r>
        <w:rPr>
          <w:spacing w:val="-64"/>
        </w:rPr>
        <w:t> </w:t>
      </w:r>
      <w:r>
        <w:rPr>
          <w:spacing w:val="-64"/>
        </w:rPr>
      </w:r>
      <w:r>
        <w:rPr/>
        <w:t>改按金融工具确认和计量准则进行会计处理的，其他综合收益和其他所有者权益全部结转。</w:t>
      </w:r>
    </w:p>
    <w:p>
      <w:pPr>
        <w:spacing w:line="240" w:lineRule="auto" w:before="9"/>
        <w:rPr>
          <w:rFonts w:ascii="宋体" w:hAnsi="宋体" w:cs="宋体" w:eastAsia="宋体" w:hint="default"/>
          <w:sz w:val="22"/>
          <w:szCs w:val="22"/>
        </w:rPr>
      </w:pPr>
    </w:p>
    <w:p>
      <w:pPr>
        <w:pStyle w:val="Heading4"/>
        <w:spacing w:line="240" w:lineRule="auto"/>
        <w:ind w:right="498"/>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973"/>
        <w:jc w:val="left"/>
      </w:pPr>
      <w:r>
        <w:rPr/>
        <w:t>投资性房地产计量模式 不适用</w:t>
      </w:r>
    </w:p>
    <w:p>
      <w:pPr>
        <w:spacing w:line="240" w:lineRule="auto" w:before="6"/>
        <w:rPr>
          <w:rFonts w:ascii="宋体" w:hAnsi="宋体" w:cs="宋体" w:eastAsia="宋体" w:hint="default"/>
          <w:sz w:val="20"/>
          <w:szCs w:val="20"/>
        </w:rPr>
      </w:pPr>
    </w:p>
    <w:p>
      <w:pPr>
        <w:pStyle w:val="Heading4"/>
        <w:spacing w:line="240" w:lineRule="auto"/>
        <w:ind w:right="498"/>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固定资产指为生产商品、提供劳务、出租或经营管理而持有，并且使用寿命超过一个会计年度的有形资产。固定资产在同时</w:t>
      </w:r>
      <w:r>
        <w:rPr>
          <w:spacing w:val="-63"/>
        </w:rPr>
        <w:t> </w:t>
      </w:r>
      <w:r>
        <w:rPr>
          <w:spacing w:val="-63"/>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4"/>
        <w:rPr>
          <w:rFonts w:ascii="宋体" w:hAnsi="宋体" w:cs="宋体" w:eastAsia="宋体" w:hint="default"/>
          <w:sz w:val="21"/>
          <w:szCs w:val="21"/>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5"/>
        <w:gridCol w:w="1913"/>
        <w:gridCol w:w="1916"/>
        <w:gridCol w:w="1913"/>
        <w:gridCol w:w="1916"/>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18.00-33.33</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18.00</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51"/>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5"/>
        </w:rPr>
        <w:t> </w:t>
      </w:r>
      <w:r>
        <w:rPr>
          <w:spacing w:val="-65"/>
        </w:rPr>
      </w:r>
      <w:r>
        <w:rPr>
          <w:spacing w:val="-2"/>
        </w:rPr>
        <w:t>等，按估计的价值转入固定资产，并按本公司固定资产折旧政策计提固定资产的折旧，待办理竣工决算后，再按实际成本调</w:t>
      </w:r>
      <w:r>
        <w:rPr>
          <w:spacing w:val="-65"/>
        </w:rPr>
        <w:t> </w:t>
      </w:r>
      <w:r>
        <w:rPr>
          <w:spacing w:val="-65"/>
        </w:rPr>
      </w:r>
      <w:r>
        <w:rPr/>
        <w:t>整原来的暂估价值，但不调整原已计提的折旧额。</w:t>
      </w:r>
    </w:p>
    <w:p>
      <w:pPr>
        <w:spacing w:after="0" w:line="319"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25" w:right="498"/>
        <w:jc w:val="left"/>
      </w:pPr>
      <w:r>
        <w:rPr>
          <w:rFonts w:ascii="Times New Roman" w:hAnsi="Times New Roman" w:cs="Times New Roman" w:eastAsia="Times New Roman" w:hint="default"/>
        </w:rPr>
        <w:t>1.</w:t>
      </w:r>
      <w:r>
        <w:rPr/>
        <w:t>无形资产的计价方法</w:t>
      </w:r>
    </w:p>
    <w:p>
      <w:pPr>
        <w:pStyle w:val="BodyText"/>
        <w:spacing w:line="328" w:lineRule="auto" w:before="101"/>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3"/>
        </w:rPr>
        <w:t> </w:t>
      </w:r>
      <w:r>
        <w:rPr>
          <w:spacing w:val="-63"/>
        </w:rPr>
      </w:r>
      <w:r>
        <w:rPr/>
        <w:t>的价款超过正常信用条件延期支付，实质上具有融资性质的，无形资产的成本以购买价款的现值为基础确定。</w:t>
      </w:r>
    </w:p>
    <w:p>
      <w:pPr>
        <w:pStyle w:val="BodyText"/>
        <w:spacing w:line="338" w:lineRule="auto" w:before="50"/>
        <w:ind w:right="0"/>
        <w:jc w:val="left"/>
      </w:pP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在非货币性资产交换具备商业实质且换入资产或换出资产的公允价值能够可靠计量的前提下，非货币性资产交换换入的无形</w:t>
      </w:r>
    </w:p>
    <w:p>
      <w:pPr>
        <w:pStyle w:val="BodyText"/>
        <w:spacing w:line="316" w:lineRule="auto" w:before="2"/>
        <w:ind w:right="0"/>
        <w:jc w:val="left"/>
      </w:pP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p>
    <w:p>
      <w:pPr>
        <w:pStyle w:val="BodyText"/>
        <w:spacing w:line="340" w:lineRule="auto" w:before="59"/>
        <w:ind w:right="653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39"/>
        <w:ind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pStyle w:val="BodyText"/>
        <w:spacing w:line="240" w:lineRule="auto" w:before="58"/>
        <w:ind w:right="498"/>
        <w:jc w:val="left"/>
      </w:pPr>
      <w:r>
        <w:rPr>
          <w:rFonts w:ascii="Times New Roman" w:hAnsi="Times New Roman" w:cs="Times New Roman" w:eastAsia="Times New Roman" w:hint="default"/>
        </w:rPr>
        <w:t>2.</w:t>
      </w:r>
      <w:r>
        <w:rPr/>
        <w:t>使用寿命有限的无形资产的使用寿命估计情况：</w:t>
      </w:r>
    </w:p>
    <w:p>
      <w:pPr>
        <w:spacing w:line="240" w:lineRule="auto" w:before="9"/>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3778"/>
        <w:gridCol w:w="2364"/>
        <w:gridCol w:w="3517"/>
      </w:tblGrid>
      <w:tr>
        <w:trPr>
          <w:trHeight w:val="342"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236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5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7"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7"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7"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47" w:hRule="exact"/>
        </w:trPr>
        <w:tc>
          <w:tcPr>
            <w:tcW w:w="377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自主研发软件</w:t>
            </w:r>
          </w:p>
        </w:tc>
        <w:tc>
          <w:tcPr>
            <w:tcW w:w="2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预计受益年限</w:t>
            </w:r>
          </w:p>
        </w:tc>
      </w:tr>
    </w:tbl>
    <w:p>
      <w:pPr>
        <w:pStyle w:val="BodyText"/>
        <w:spacing w:line="316" w:lineRule="auto" w:before="49"/>
        <w:ind w:right="0"/>
        <w:jc w:val="left"/>
      </w:pPr>
      <w:r>
        <w:rPr>
          <w:spacing w:val="-2"/>
        </w:rPr>
        <w:t>每年度终了，对使用寿命有限的无形资产的使用寿命及摊销方法进行复核。经复核，本年期末无形资产的使用寿命及摊销方</w:t>
      </w:r>
      <w:r>
        <w:rPr>
          <w:spacing w:val="-66"/>
        </w:rPr>
        <w:t> </w:t>
      </w:r>
      <w:r>
        <w:rPr>
          <w:spacing w:val="-66"/>
        </w:rPr>
      </w:r>
      <w:r>
        <w:rPr/>
        <w:t>法与以前估计未有不同。</w:t>
      </w:r>
    </w:p>
    <w:p>
      <w:pPr>
        <w:pStyle w:val="BodyText"/>
        <w:spacing w:line="338" w:lineRule="auto" w:before="60"/>
        <w:ind w:right="773"/>
        <w:jc w:val="left"/>
      </w:pPr>
      <w:r>
        <w:rPr>
          <w:rFonts w:ascii="Times New Roman" w:hAnsi="Times New Roman" w:cs="Times New Roman" w:eastAsia="Times New Roman" w:hint="default"/>
        </w:rPr>
        <w:t>3.</w:t>
      </w:r>
      <w:r>
        <w:rPr/>
        <w:t>使用寿命不确定的无形资产的判断依据以及对其使用寿命进行复核的程序 每期末，对使用寿命不确定的无形资产的使用寿命进行复核。经复核，本公司期末无使用寿命不确定的无形资产。</w:t>
      </w:r>
    </w:p>
    <w:p>
      <w:pPr>
        <w:spacing w:line="240" w:lineRule="auto" w:before="7"/>
        <w:rPr>
          <w:rFonts w:ascii="宋体" w:hAnsi="宋体" w:cs="宋体" w:eastAsia="宋体" w:hint="default"/>
          <w:sz w:val="21"/>
          <w:szCs w:val="21"/>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033"/>
        <w:jc w:val="left"/>
      </w:pPr>
      <w:r>
        <w:rPr/>
        <w:t>划分研究阶段和开发阶段的具体标准 公司内部研究开发项目的支出分为研究阶段支出和开发阶段支出。 研究阶段：为获取并理解新的科学或技术知识等而进行的独创性的有计划调查、研究活动的阶段。</w:t>
      </w:r>
    </w:p>
    <w:p>
      <w:pPr>
        <w:pStyle w:val="BodyText"/>
        <w:spacing w:line="316" w:lineRule="auto" w:before="29"/>
        <w:ind w:right="0"/>
        <w:jc w:val="left"/>
      </w:pPr>
      <w:r>
        <w:rPr>
          <w:spacing w:val="-2"/>
        </w:rPr>
        <w:t>开发阶段：在进行商业性生产或使用前，将研究成果或其他知识应用于某项计划或设计，以生产出新的或具有实质性改进的</w:t>
      </w:r>
      <w:r>
        <w:rPr>
          <w:spacing w:val="-63"/>
        </w:rPr>
        <w:t> </w:t>
      </w:r>
      <w:r>
        <w:rPr>
          <w:spacing w:val="-63"/>
        </w:rPr>
      </w:r>
      <w:r>
        <w:rPr/>
        <w:t>材料、装置、产品等活动的阶段。</w:t>
      </w:r>
    </w:p>
    <w:p>
      <w:pPr>
        <w:spacing w:after="0" w:line="316"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357" w:lineRule="auto"/>
        <w:ind w:right="3873"/>
        <w:jc w:val="left"/>
      </w:pPr>
      <w:r>
        <w:rPr/>
        <w:t>开发阶段支出资本化的具体条件 内部研究开发项目开发阶段的支出，同时满足下列条件时确认为无形资产：</w:t>
      </w:r>
    </w:p>
    <w:p>
      <w:pPr>
        <w:pStyle w:val="BodyText"/>
        <w:spacing w:line="240" w:lineRule="auto" w:before="29"/>
        <w:ind w:right="22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right="22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101"/>
        <w:ind w:right="183"/>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w:t>
      </w:r>
      <w:r>
        <w:rPr>
          <w:spacing w:val="-84"/>
        </w:rPr>
        <w:t> </w:t>
      </w:r>
      <w:r>
        <w:rPr>
          <w:spacing w:val="-84"/>
        </w:rPr>
      </w:r>
      <w:r>
        <w:rPr/>
        <w:t>产将在内部使用的，能够证明其有用性；</w:t>
      </w:r>
    </w:p>
    <w:p>
      <w:pPr>
        <w:pStyle w:val="BodyText"/>
        <w:spacing w:line="240" w:lineRule="auto" w:before="72"/>
        <w:ind w:right="22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3"/>
        <w:ind w:right="117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8"/>
        <w:rPr>
          <w:rFonts w:ascii="宋体" w:hAnsi="宋体" w:cs="宋体" w:eastAsia="宋体" w:hint="default"/>
          <w:sz w:val="21"/>
          <w:szCs w:val="21"/>
        </w:rPr>
      </w:pPr>
    </w:p>
    <w:p>
      <w:pPr>
        <w:pStyle w:val="Heading4"/>
        <w:spacing w:line="240" w:lineRule="auto"/>
        <w:ind w:right="223"/>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jc w:val="both"/>
      </w:pPr>
      <w:r>
        <w:rPr>
          <w:spacing w:val="-2"/>
        </w:rPr>
        <w:t>长期股权投资、采用成本模式计量的投资性房地产、固定资产、在建工程、使用寿命有限的无形资产等长期资产，于资产负</w:t>
      </w:r>
      <w:r>
        <w:rPr>
          <w:spacing w:val="-67"/>
        </w:rPr>
        <w:t> </w:t>
      </w:r>
      <w:r>
        <w:rPr>
          <w:spacing w:val="-67"/>
        </w:rPr>
      </w:r>
      <w:r>
        <w:rPr>
          <w:spacing w:val="-2"/>
        </w:rPr>
        <w:t>债表日存在减值迹象的，进行减值测试。减值测试结果表明资产的可收回金额低于其账面价值的，按其差额计提减值准备并</w:t>
      </w:r>
      <w:r>
        <w:rPr>
          <w:spacing w:val="-63"/>
        </w:rPr>
        <w:t> </w:t>
      </w:r>
      <w:r>
        <w:rPr>
          <w:spacing w:val="-63"/>
        </w:rPr>
      </w:r>
      <w:r>
        <w:rPr>
          <w:spacing w:val="-2"/>
        </w:rPr>
        <w:t>计入减值损失。可收回金额为资产的公允价值减去处置费用后的净额与资产预计未来现金流量的现值两者之间的较高者。资</w:t>
      </w:r>
      <w:r>
        <w:rPr>
          <w:spacing w:val="-64"/>
        </w:rPr>
        <w:t> </w:t>
      </w:r>
      <w:r>
        <w:rPr>
          <w:spacing w:val="-64"/>
        </w:rPr>
      </w:r>
      <w:r>
        <w:rPr>
          <w:spacing w:val="-2"/>
        </w:rPr>
        <w:t>产减值准备按单项资产为基础计算并确认，如果难以对单项资产的可收回金额进行估计的，以该资产所属的资产组确定资产</w:t>
      </w:r>
      <w:r>
        <w:rPr>
          <w:spacing w:val="-64"/>
        </w:rPr>
        <w:t> </w:t>
      </w:r>
      <w:r>
        <w:rPr>
          <w:spacing w:val="-64"/>
        </w:rPr>
      </w:r>
      <w:r>
        <w:rPr/>
        <w:t>组的可收回金额。资产组是能够独立产生现金流入的最小资产组合。</w:t>
      </w:r>
    </w:p>
    <w:p>
      <w:pPr>
        <w:pStyle w:val="BodyText"/>
        <w:spacing w:line="338" w:lineRule="auto" w:before="59"/>
        <w:ind w:right="93"/>
        <w:jc w:val="left"/>
      </w:pPr>
      <w:r>
        <w:rPr/>
        <w:t>商誉至少在每年年度终了进行减值测试。 </w:t>
      </w:r>
      <w:r>
        <w:rPr>
          <w:spacing w:val="-2"/>
        </w:rPr>
        <w:t>本公司进行商誉减值测试，对于因企业合并形成的商誉的账面价值，自购买日起按照合理的方法分摊至相关的资产组；难以</w:t>
      </w:r>
      <w:r>
        <w:rPr>
          <w:spacing w:val="-63"/>
        </w:rPr>
        <w:t> </w:t>
      </w:r>
      <w:r>
        <w:rPr>
          <w:spacing w:val="-63"/>
        </w:rPr>
      </w:r>
      <w:r>
        <w:rPr>
          <w:spacing w:val="-2"/>
        </w:rPr>
        <w:t>分摊至相关的资产组的，将其分摊至相关的资产组组合。在将商誉的账面价值分摊至相关的资产组或者资产组组合时，按照</w:t>
      </w:r>
    </w:p>
    <w:p>
      <w:pPr>
        <w:pStyle w:val="BodyText"/>
        <w:spacing w:line="319" w:lineRule="auto" w:before="2"/>
        <w:ind w:right="223"/>
        <w:jc w:val="left"/>
      </w:pPr>
      <w:r>
        <w:rPr/>
        <w:t>各资产组或者资产组组合的公允价值占相关资产组或者资产组组合公允价值总额的比例进行分摊。公允价值难以可靠计量</w:t>
      </w:r>
      <w:r>
        <w:rPr>
          <w:spacing w:val="-11"/>
        </w:rPr>
        <w:t> </w:t>
      </w:r>
      <w:r>
        <w:rPr>
          <w:spacing w:val="-11"/>
        </w:rPr>
      </w:r>
      <w:r>
        <w:rPr/>
        <w:t>的，按照各资产组或者资产组组合的账面价值占相关资产组或者资产组组合账面价值总额的比例进行分摊。</w:t>
      </w:r>
    </w:p>
    <w:p>
      <w:pPr>
        <w:pStyle w:val="BodyText"/>
        <w:spacing w:line="316" w:lineRule="auto" w:before="58"/>
        <w:ind w:right="190"/>
        <w:jc w:val="both"/>
      </w:pPr>
      <w:r>
        <w:rPr>
          <w:spacing w:val="-2"/>
        </w:rPr>
        <w:t>在对包含商誉的相关资产组或者资产组组合进行减值测试时，如与商誉相关的资产组或者资产组组合存在减值迹象的，先对</w:t>
      </w:r>
      <w:r>
        <w:rPr>
          <w:spacing w:val="-64"/>
        </w:rPr>
        <w:t> </w:t>
      </w:r>
      <w:r>
        <w:rPr>
          <w:spacing w:val="-64"/>
        </w:rPr>
      </w:r>
      <w:r>
        <w:rPr>
          <w:spacing w:val="-2"/>
        </w:rPr>
        <w:t>不包含商誉的资产组或者资产组组合进行减值测试，计算可收回金额，并与相关账面价值相比较，确认相应的减值损失。再</w:t>
      </w:r>
      <w:r>
        <w:rPr>
          <w:spacing w:val="-65"/>
        </w:rPr>
        <w:t> </w:t>
      </w:r>
      <w:r>
        <w:rPr>
          <w:spacing w:val="-65"/>
        </w:rPr>
      </w:r>
      <w:r>
        <w:rPr>
          <w:spacing w:val="-2"/>
        </w:rPr>
        <w:t>对包含商誉的资产组或者资产组组合进行减值测试，比较这些相关资产组或者资产组组合的账面价值（包括所分摊的商誉的</w:t>
      </w:r>
      <w:r>
        <w:rPr>
          <w:spacing w:val="-64"/>
        </w:rPr>
        <w:t> </w:t>
      </w:r>
      <w:r>
        <w:rPr>
          <w:spacing w:val="-64"/>
        </w:rPr>
      </w:r>
      <w:r>
        <w:rPr>
          <w:spacing w:val="-3"/>
        </w:rPr>
        <w:t>账面价值部分）与其可收回金额，如相关资产组或者资产组组合的可收回金额低于其账面价值的，确认商誉的减值损失。</w:t>
      </w:r>
      <w:r>
        <w:rPr>
          <w:spacing w:val="-19"/>
        </w:rPr>
        <w:t> </w:t>
      </w:r>
      <w:r>
        <w:rPr/>
        <w:t>上</w:t>
      </w:r>
      <w:r>
        <w:rPr>
          <w:spacing w:val="-86"/>
        </w:rPr>
        <w:t> </w:t>
      </w:r>
      <w:r>
        <w:rPr>
          <w:spacing w:val="-86"/>
        </w:rPr>
      </w:r>
      <w:r>
        <w:rPr/>
        <w:t>述资产减值损失一经确认，在以后会计期间不予转回。</w:t>
      </w:r>
    </w:p>
    <w:p>
      <w:pPr>
        <w:spacing w:line="240" w:lineRule="auto" w:before="10"/>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3"/>
        <w:jc w:val="left"/>
      </w:pPr>
      <w:r>
        <w:rPr/>
        <w:t>长期待摊费用为已经发生但应由本期和以后各期负担的分摊期限在一年以上的各项费用。本公司长期待摊费用包括装修费、 预付租赁费。</w:t>
      </w:r>
    </w:p>
    <w:p>
      <w:pPr>
        <w:pStyle w:val="BodyText"/>
        <w:spacing w:line="348" w:lineRule="auto" w:before="60"/>
        <w:ind w:right="7113"/>
        <w:jc w:val="left"/>
      </w:pPr>
      <w:r>
        <w:rPr>
          <w:rFonts w:ascii="Times New Roman" w:hAnsi="Times New Roman" w:cs="Times New Roman" w:eastAsia="Times New Roman" w:hint="default"/>
        </w:rPr>
        <w:t>1.</w:t>
      </w:r>
      <w:r>
        <w:rPr/>
        <w:t>摊销方法 长期待摊费用在受益期内平均摊销 </w:t>
      </w:r>
      <w:r>
        <w:rPr>
          <w:rFonts w:ascii="Times New Roman" w:hAnsi="Times New Roman" w:cs="Times New Roman" w:eastAsia="Times New Roman" w:hint="default"/>
        </w:rPr>
        <w:t>2.</w:t>
      </w:r>
      <w:r>
        <w:rPr/>
        <w:t>摊销年限</w:t>
      </w:r>
    </w:p>
    <w:tbl>
      <w:tblPr>
        <w:tblW w:w="0" w:type="auto"/>
        <w:jc w:val="left"/>
        <w:tblInd w:w="136" w:type="dxa"/>
        <w:tblLayout w:type="fixed"/>
        <w:tblCellMar>
          <w:top w:w="0" w:type="dxa"/>
          <w:left w:w="0" w:type="dxa"/>
          <w:bottom w:w="0" w:type="dxa"/>
          <w:right w:w="0" w:type="dxa"/>
        </w:tblCellMar>
        <w:tblLook w:val="01E0"/>
      </w:tblPr>
      <w:tblGrid>
        <w:gridCol w:w="4827"/>
        <w:gridCol w:w="4832"/>
      </w:tblGrid>
      <w:tr>
        <w:trPr>
          <w:trHeight w:val="343" w:hRule="exact"/>
        </w:trPr>
        <w:tc>
          <w:tcPr>
            <w:tcW w:w="4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目</w:t>
            </w:r>
          </w:p>
        </w:tc>
        <w:tc>
          <w:tcPr>
            <w:tcW w:w="4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47" w:hRule="exact"/>
        </w:trPr>
        <w:tc>
          <w:tcPr>
            <w:tcW w:w="4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年</w:t>
            </w:r>
          </w:p>
        </w:tc>
      </w:tr>
      <w:tr>
        <w:trPr>
          <w:trHeight w:val="347" w:hRule="exact"/>
        </w:trPr>
        <w:tc>
          <w:tcPr>
            <w:tcW w:w="4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预付租赁费</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sz w:val="18"/>
                <w:szCs w:val="18"/>
              </w:rPr>
              <w:t>合同约定受益期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223"/>
        <w:jc w:val="left"/>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93"/>
        <w:jc w:val="left"/>
      </w:pPr>
      <w:r>
        <w:rPr/>
        <w:t>（</w:t>
      </w:r>
      <w:r>
        <w:rPr>
          <w:rFonts w:ascii="Times New Roman" w:hAnsi="Times New Roman" w:cs="Times New Roman" w:eastAsia="Times New Roman" w:hint="default"/>
        </w:rPr>
        <w:t>1</w:t>
      </w:r>
      <w:r>
        <w:rPr/>
        <w:t>）短期薪酬的会计处理方法 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3"/>
        <w:ind w:right="223"/>
        <w:jc w:val="left"/>
      </w:pPr>
      <w:r>
        <w:rPr/>
        <w:t>职工福利费为非货币性福利的，如能够可靠计量的，按照公允价值计量。</w:t>
      </w:r>
    </w:p>
    <w:p>
      <w:pPr>
        <w:pStyle w:val="BodyText"/>
        <w:spacing w:line="240" w:lineRule="auto" w:before="115"/>
        <w:ind w:right="223"/>
        <w:jc w:val="left"/>
      </w:pPr>
      <w:r>
        <w:rPr/>
        <w:t>（</w:t>
      </w:r>
      <w:r>
        <w:rPr>
          <w:rFonts w:ascii="Times New Roman" w:hAnsi="Times New Roman" w:cs="Times New Roman" w:eastAsia="Times New Roman" w:hint="default"/>
        </w:rPr>
        <w:t>2</w:t>
      </w:r>
      <w:r>
        <w:rPr/>
        <w:t>）离职后福利的会计处理方法</w:t>
      </w:r>
    </w:p>
    <w:p>
      <w:pPr>
        <w:pStyle w:val="BodyText"/>
        <w:spacing w:line="328" w:lineRule="auto" w:before="103"/>
        <w:ind w:right="93"/>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00" w:lineRule="auto" w:before="49"/>
        <w:ind w:right="98"/>
        <w:jc w:val="left"/>
      </w:pPr>
      <w:r>
        <w:rPr>
          <w:spacing w:val="-1"/>
        </w:rPr>
        <w:t>除基本养老保险外，本公司还依据国家企业年金制度的相关政策建立了企业年金缴费制度（补充养老保险）</w:t>
      </w:r>
      <w:r>
        <w:rPr>
          <w:rFonts w:ascii="Times New Roman" w:hAnsi="Times New Roman" w:cs="Times New Roman" w:eastAsia="Times New Roman" w:hint="default"/>
          <w:spacing w:val="-1"/>
        </w:rPr>
        <w:t>/</w:t>
      </w:r>
      <w:r>
        <w:rPr>
          <w:spacing w:val="-1"/>
        </w:rPr>
        <w:t>企业年金计划。</w:t>
      </w:r>
      <w:r>
        <w:rPr>
          <w:spacing w:val="-78"/>
        </w:rPr>
        <w:t> </w:t>
      </w:r>
      <w:r>
        <w:rPr/>
        <w:t>本公司按职工工资总额的一定比例向当地社会保险机构缴费</w:t>
      </w:r>
      <w:r>
        <w:rPr>
          <w:rFonts w:ascii="Times New Roman" w:hAnsi="Times New Roman" w:cs="Times New Roman" w:eastAsia="Times New Roman" w:hint="default"/>
        </w:rPr>
        <w:t>/</w:t>
      </w:r>
      <w:r>
        <w:rPr/>
        <w:t>年金计划缴费，相应支出计入当期损益或相关资产成本。</w:t>
      </w:r>
    </w:p>
    <w:p>
      <w:pPr>
        <w:pStyle w:val="BodyText"/>
        <w:spacing w:line="333" w:lineRule="auto" w:before="53"/>
        <w:ind w:right="93"/>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w:t>
      </w:r>
    </w:p>
    <w:p>
      <w:pPr>
        <w:pStyle w:val="BodyText"/>
        <w:spacing w:line="338" w:lineRule="auto" w:before="47"/>
        <w:ind w:right="93"/>
        <w:jc w:val="left"/>
      </w:pP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p>
    <w:p>
      <w:pPr>
        <w:pStyle w:val="BodyText"/>
        <w:spacing w:line="338" w:lineRule="auto" w:before="2"/>
        <w:ind w:right="93"/>
        <w:jc w:val="left"/>
      </w:pPr>
      <w:r>
        <w:rPr>
          <w:spacing w:val="-2"/>
        </w:rPr>
        <w:t>计划净负债或净资产所产生的变动计入其他综合收益，并且在后续会计期间不转回至损益，在原设定受益计划终止时在权益</w:t>
      </w:r>
      <w:r>
        <w:rPr>
          <w:spacing w:val="-64"/>
        </w:rPr>
        <w:t> </w:t>
      </w:r>
      <w:r>
        <w:rPr>
          <w:spacing w:val="-64"/>
        </w:rPr>
      </w:r>
      <w:r>
        <w:rPr/>
        <w:t>范围内将原计入其他综合收益的部分全部结转至未分配利润。 在设定受益计划结算时，按在结算日确定的设定受益计划义务现值和结算价格两者的差额，确认结算利得或损失。</w:t>
      </w:r>
    </w:p>
    <w:p>
      <w:pPr>
        <w:pStyle w:val="BodyText"/>
        <w:spacing w:line="328" w:lineRule="auto" w:before="43"/>
        <w:ind w:right="93"/>
        <w:jc w:val="left"/>
      </w:pPr>
      <w:r>
        <w:rPr/>
        <w:t>（</w:t>
      </w:r>
      <w:r>
        <w:rPr>
          <w:rFonts w:ascii="Times New Roman" w:hAnsi="Times New Roman" w:cs="Times New Roman" w:eastAsia="Times New Roman" w:hint="default"/>
        </w:rPr>
        <w:t>3</w:t>
      </w:r>
      <w:r>
        <w:rPr/>
        <w:t>）辞退福利的会计处理方法 </w:t>
      </w:r>
      <w:r>
        <w:rPr>
          <w:spacing w:val="-2"/>
        </w:rPr>
        <w:t>本公司在不能单方面撤回因解除劳动关系计划或裁减建议所提供的辞退福利时，或确认与涉及支付辞退福利的重组相关的成</w:t>
      </w:r>
      <w:r>
        <w:rPr>
          <w:spacing w:val="-64"/>
        </w:rPr>
        <w:t> </w:t>
      </w:r>
      <w:r>
        <w:rPr>
          <w:spacing w:val="-64"/>
        </w:rPr>
      </w:r>
      <w:r>
        <w:rPr>
          <w:spacing w:val="-3"/>
        </w:rPr>
        <w:t>本或费用时（两者孰早），确认辞退福利产生的职工薪酬负债，并计入当期损益。</w:t>
      </w:r>
    </w:p>
    <w:p>
      <w:pPr>
        <w:pStyle w:val="BodyText"/>
        <w:spacing w:line="240" w:lineRule="auto" w:before="48"/>
        <w:ind w:right="223"/>
        <w:jc w:val="left"/>
      </w:pPr>
      <w:r>
        <w:rPr/>
        <w:t>（</w:t>
      </w:r>
      <w:r>
        <w:rPr>
          <w:rFonts w:ascii="Times New Roman" w:hAnsi="Times New Roman" w:cs="Times New Roman" w:eastAsia="Times New Roman" w:hint="default"/>
        </w:rPr>
        <w:t>4</w:t>
      </w:r>
      <w:r>
        <w:rPr/>
        <w:t>）其他长期职工福利的会计处理方法</w:t>
      </w:r>
    </w:p>
    <w:p>
      <w:pPr>
        <w:spacing w:line="240" w:lineRule="auto" w:before="2"/>
        <w:rPr>
          <w:rFonts w:ascii="宋体" w:hAnsi="宋体" w:cs="宋体" w:eastAsia="宋体" w:hint="default"/>
          <w:sz w:val="26"/>
          <w:szCs w:val="26"/>
        </w:rPr>
      </w:pPr>
    </w:p>
    <w:p>
      <w:pPr>
        <w:pStyle w:val="Heading4"/>
        <w:spacing w:line="240" w:lineRule="auto"/>
        <w:ind w:right="223"/>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993"/>
        <w:jc w:val="left"/>
      </w:pPr>
      <w:r>
        <w:rPr>
          <w:rFonts w:ascii="Times New Roman" w:hAnsi="Times New Roman" w:cs="Times New Roman" w:eastAsia="Times New Roman" w:hint="default"/>
        </w:rPr>
        <w:t>1.</w:t>
      </w:r>
      <w:r>
        <w:rPr/>
        <w:t>预计负债的确认标准 与诉讼、债务担保、亏损合同、重组事项等或有事项相关的义务同时满足下列条件时，本公司确认为预计负债：</w:t>
      </w:r>
    </w:p>
    <w:p>
      <w:pPr>
        <w:pStyle w:val="BodyText"/>
        <w:spacing w:line="240" w:lineRule="auto" w:before="43"/>
        <w:ind w:right="223"/>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before="103"/>
        <w:ind w:right="223"/>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01"/>
        <w:ind w:right="223"/>
        <w:jc w:val="left"/>
      </w:pPr>
      <w:r>
        <w:rPr/>
        <w:t>（</w:t>
      </w:r>
      <w:r>
        <w:rPr>
          <w:rFonts w:ascii="Times New Roman" w:hAnsi="Times New Roman" w:cs="Times New Roman" w:eastAsia="Times New Roman" w:hint="default"/>
        </w:rPr>
        <w:t>3</w:t>
      </w:r>
      <w:r>
        <w:rPr/>
        <w:t>）该义务的金额能够可靠地计量。</w:t>
      </w:r>
    </w:p>
    <w:p>
      <w:pPr>
        <w:pStyle w:val="BodyText"/>
        <w:spacing w:line="340" w:lineRule="auto" w:before="103"/>
        <w:ind w:right="3693"/>
        <w:jc w:val="left"/>
      </w:pPr>
      <w:r>
        <w:rPr>
          <w:rFonts w:ascii="Times New Roman" w:hAnsi="Times New Roman" w:cs="Times New Roman" w:eastAsia="Times New Roman" w:hint="default"/>
        </w:rPr>
        <w:t>2.</w:t>
      </w:r>
      <w:r>
        <w:rPr/>
        <w:t>各类预计负债的计量方法 本公司预计负债按履行相关现时义务所需的支出的最佳估计数进行初始计量。</w:t>
      </w:r>
    </w:p>
    <w:p>
      <w:pPr>
        <w:pStyle w:val="BodyText"/>
        <w:spacing w:line="316" w:lineRule="auto" w:before="39"/>
        <w:ind w:right="93"/>
        <w:jc w:val="left"/>
      </w:pPr>
      <w:r>
        <w:rPr>
          <w:spacing w:val="-2"/>
        </w:rPr>
        <w:t>本公司在确定最佳估计数时，综合考虑与或有事项有关的风险、不确定性和货币时间价值等因素。对于货币时间价值影响重</w:t>
      </w:r>
      <w:r>
        <w:rPr>
          <w:spacing w:val="-62"/>
        </w:rPr>
        <w:t> </w:t>
      </w:r>
      <w:r>
        <w:rPr>
          <w:spacing w:val="-62"/>
        </w:rPr>
      </w:r>
      <w:r>
        <w:rPr/>
        <w:t>大的，通过对相关未来现金流出进行折现后确定最佳估计数。</w:t>
      </w:r>
    </w:p>
    <w:p>
      <w:pPr>
        <w:pStyle w:val="BodyText"/>
        <w:spacing w:line="240" w:lineRule="auto" w:before="59"/>
        <w:ind w:right="223"/>
        <w:jc w:val="left"/>
      </w:pPr>
      <w:r>
        <w:rPr/>
        <w:t>最佳估计数分别以下情况处理：</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93"/>
        <w:jc w:val="left"/>
      </w:pPr>
      <w:r>
        <w:rPr>
          <w:spacing w:val="-2"/>
        </w:rPr>
        <w:t>所需支出存在一个连续范围（或区间），且该范围内各种结果发生的可能性相同的，则最佳估计数按照该范围的中间值即上</w:t>
      </w:r>
      <w:r>
        <w:rPr>
          <w:spacing w:val="-65"/>
        </w:rPr>
        <w:t> </w:t>
      </w:r>
      <w:r>
        <w:rPr>
          <w:spacing w:val="-65"/>
        </w:rPr>
      </w:r>
      <w:r>
        <w:rPr/>
        <w:t>下限金额的平均数确定。</w:t>
      </w:r>
    </w:p>
    <w:p>
      <w:pPr>
        <w:pStyle w:val="BodyText"/>
        <w:spacing w:line="316" w:lineRule="auto" w:before="58"/>
        <w:ind w:right="190"/>
        <w:jc w:val="both"/>
      </w:pPr>
      <w:r>
        <w:rPr>
          <w:spacing w:val="-2"/>
        </w:rPr>
        <w:t>所需支出不存在一个连续范围（或区间），或虽然存在一个连续范围但该范围内各种结果发生的可能性不相同的，如或有事</w:t>
      </w:r>
      <w:r>
        <w:rPr>
          <w:spacing w:val="-65"/>
        </w:rPr>
        <w:t> </w:t>
      </w:r>
      <w:r>
        <w:rPr>
          <w:spacing w:val="-65"/>
        </w:rPr>
      </w:r>
      <w:r>
        <w:rPr>
          <w:spacing w:val="-2"/>
        </w:rPr>
        <w:t>项涉及单个项目的，则最佳估计数按照最可能发生金额确定；如或有事项涉及多个项目的，则最佳估计数按各种可能结果及</w:t>
      </w:r>
      <w:r>
        <w:rPr>
          <w:spacing w:val="-63"/>
        </w:rPr>
        <w:t> </w:t>
      </w:r>
      <w:r>
        <w:rPr>
          <w:spacing w:val="-63"/>
        </w:rPr>
      </w:r>
      <w:r>
        <w:rPr/>
        <w:t>相关概率计算确定。</w:t>
      </w:r>
    </w:p>
    <w:p>
      <w:pPr>
        <w:pStyle w:val="BodyText"/>
        <w:spacing w:line="316" w:lineRule="auto" w:before="57"/>
        <w:ind w:right="93"/>
        <w:jc w:val="left"/>
      </w:pPr>
      <w:r>
        <w:rPr>
          <w:spacing w:val="-2"/>
        </w:rPr>
        <w:t>本公司清偿预计负债所需支出全部或部分预期由第三方补偿的，补偿金额在基本确定能够收到时，作为资产单独确认，确认</w:t>
      </w:r>
      <w:r>
        <w:rPr>
          <w:spacing w:val="-66"/>
        </w:rPr>
        <w:t> </w:t>
      </w:r>
      <w:r>
        <w:rPr>
          <w:spacing w:val="-66"/>
        </w:rPr>
      </w:r>
      <w:r>
        <w:rPr/>
        <w:t>的补偿金额不超过预计负债的账面价值。</w:t>
      </w:r>
    </w:p>
    <w:p>
      <w:pPr>
        <w:spacing w:line="240" w:lineRule="auto" w:before="10"/>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3"/>
        <w:jc w:val="left"/>
      </w:pPr>
      <w:r>
        <w:rPr>
          <w:spacing w:val="-1"/>
        </w:rPr>
        <w:t>本公司的股份支付是为了获取职工</w:t>
      </w:r>
      <w:r>
        <w:rPr>
          <w:rFonts w:ascii="Times New Roman" w:hAnsi="Times New Roman" w:cs="Times New Roman" w:eastAsia="Times New Roman" w:hint="default"/>
          <w:spacing w:val="-1"/>
        </w:rPr>
        <w:t>[</w:t>
      </w:r>
      <w:r>
        <w:rPr>
          <w:spacing w:val="-1"/>
        </w:rPr>
        <w:t>或其他方</w:t>
      </w:r>
      <w:r>
        <w:rPr>
          <w:rFonts w:ascii="Times New Roman" w:hAnsi="Times New Roman" w:cs="Times New Roman" w:eastAsia="Times New Roman" w:hint="default"/>
          <w:spacing w:val="-1"/>
        </w:rPr>
        <w:t>]</w:t>
      </w:r>
      <w:r>
        <w:rPr>
          <w:spacing w:val="-1"/>
        </w:rPr>
        <w:t>提供服务而授予权益工具或者承担以权益工具为基础确定的负债的交易。本公</w:t>
      </w:r>
      <w:r>
        <w:rPr>
          <w:spacing w:val="-59"/>
        </w:rPr>
        <w:t> </w:t>
      </w:r>
      <w:r>
        <w:rPr>
          <w:spacing w:val="-59"/>
        </w:rPr>
      </w:r>
      <w:r>
        <w:rPr/>
        <w:t>司的股份支付分为以权益结算的股份支付和以现金结算的股份支付。</w:t>
      </w:r>
    </w:p>
    <w:p>
      <w:pPr>
        <w:pStyle w:val="BodyText"/>
        <w:spacing w:line="338" w:lineRule="auto" w:before="73"/>
        <w:ind w:right="93"/>
        <w:jc w:val="left"/>
      </w:pPr>
      <w:r>
        <w:rPr/>
        <w:t>以权益结算的股份支付及权益工具 以权益结算的股份支付换取职工提供服务的，以授予职工权益工具的公允价值计量。本公司以限制性股票进行股份支付的， 职工出资认购股票，股票在达到解锁条件并解锁前不得上市流通或转让；如果最终股权激励计划规定的解锁条件未能达到，</w:t>
      </w:r>
    </w:p>
    <w:p>
      <w:pPr>
        <w:pStyle w:val="BodyText"/>
        <w:spacing w:line="316" w:lineRule="auto" w:before="2"/>
        <w:ind w:right="190"/>
        <w:jc w:val="both"/>
      </w:pPr>
      <w:r>
        <w:rPr>
          <w:spacing w:val="-2"/>
        </w:rPr>
        <w:t>则本公司按照事先约定的价格回购股票。本公司取得职工认购限制性股票支付的款项时，按照取得的认股款确认股本和资本</w:t>
      </w:r>
      <w:r>
        <w:rPr>
          <w:spacing w:val="-64"/>
        </w:rPr>
        <w:t> </w:t>
      </w:r>
      <w:r>
        <w:rPr>
          <w:spacing w:val="-64"/>
        </w:rPr>
      </w:r>
      <w:r>
        <w:rPr>
          <w:spacing w:val="-2"/>
        </w:rPr>
        <w:t>公积（股本溢价），同时就回购义务全额确认一项负债并确认库存股。在等待期内每个资产负债表日，本公司根据最新取得</w:t>
      </w:r>
      <w:r>
        <w:rPr>
          <w:spacing w:val="-65"/>
        </w:rPr>
        <w:t> </w:t>
      </w:r>
      <w:r>
        <w:rPr>
          <w:spacing w:val="-65"/>
        </w:rPr>
      </w:r>
      <w:r>
        <w:rPr>
          <w:spacing w:val="-2"/>
        </w:rPr>
        <w:t>的可行权职工人数变动、是否达到规定业绩条件等后续信息对可行权权益工具数量作出最佳估计，以此为基础，按照授予日</w:t>
      </w:r>
      <w:r>
        <w:rPr>
          <w:spacing w:val="-66"/>
        </w:rPr>
        <w:t> </w:t>
      </w:r>
      <w:r>
        <w:rPr>
          <w:spacing w:val="-66"/>
        </w:rPr>
      </w:r>
      <w:r>
        <w:rPr>
          <w:spacing w:val="-2"/>
        </w:rPr>
        <w:t>的公允价值，将当期取得的服务计入相关成本或费用，相应增加资本公积。在可行权日之后不再对已确认的相关成本或费用</w:t>
      </w:r>
      <w:r>
        <w:rPr>
          <w:spacing w:val="-63"/>
        </w:rPr>
        <w:t> </w:t>
      </w:r>
      <w:r>
        <w:rPr>
          <w:spacing w:val="-63"/>
        </w:rPr>
      </w:r>
      <w:r>
        <w:rPr/>
        <w:t>和所有者权益总额进行调整。但授予后立即可行权的，在授予日按照公允价值计入相关成本或费用，相应增加资本公积。</w:t>
      </w:r>
    </w:p>
    <w:p>
      <w:pPr>
        <w:pStyle w:val="BodyText"/>
        <w:spacing w:line="338" w:lineRule="auto" w:before="59"/>
        <w:ind w:right="93"/>
        <w:jc w:val="left"/>
      </w:pPr>
      <w:r>
        <w:rPr>
          <w:spacing w:val="-2"/>
        </w:rPr>
        <w:t>对于最终未能行权的股份支付，不确认成本或费用，除非行权条件是市场条件或非可行权条件，此时无论是否满足市场条件</w:t>
      </w:r>
      <w:r>
        <w:rPr>
          <w:spacing w:val="-66"/>
        </w:rPr>
        <w:t> </w:t>
      </w:r>
      <w:r>
        <w:rPr>
          <w:spacing w:val="-66"/>
        </w:rPr>
      </w:r>
      <w:r>
        <w:rPr/>
        <w:t>或非可行权条件，只要满足所有可行权条件中的非市场条件，即视为可行权。 </w:t>
      </w:r>
      <w:r>
        <w:rPr>
          <w:spacing w:val="-2"/>
        </w:rPr>
        <w:t>如果修改了以权益结算的股份支付的条款，至少按照未修改条款的情况确认取得的服务。此外，任何增加所授予权益工具公</w:t>
      </w:r>
    </w:p>
    <w:p>
      <w:pPr>
        <w:pStyle w:val="BodyText"/>
        <w:spacing w:line="338" w:lineRule="auto" w:before="3"/>
        <w:ind w:right="93"/>
        <w:jc w:val="left"/>
      </w:pPr>
      <w:r>
        <w:rPr/>
        <w:t>允价值的修改，或在修改日对职工有利的变更，均确认取得服务的增加。 </w:t>
      </w:r>
      <w:r>
        <w:rPr>
          <w:spacing w:val="-2"/>
        </w:rPr>
        <w:t>如果取消了以权益结算的股份支付，则于取消日作为加速行权处理，立即确认尚未确认的金额。职工或其他方能够选择满足</w:t>
      </w:r>
      <w:r>
        <w:rPr>
          <w:spacing w:val="-61"/>
        </w:rPr>
        <w:t> </w:t>
      </w:r>
      <w:r>
        <w:rPr>
          <w:spacing w:val="-61"/>
        </w:rPr>
      </w:r>
      <w:r>
        <w:rPr>
          <w:spacing w:val="-2"/>
        </w:rPr>
        <w:t>非可行权条件但在等待期内未满足的，作为取消以权益结算的股份支付处理。但是，如果授予新的权益工具，并在新权益工</w:t>
      </w:r>
    </w:p>
    <w:p>
      <w:pPr>
        <w:pStyle w:val="BodyText"/>
        <w:spacing w:line="316" w:lineRule="auto" w:before="2"/>
        <w:ind w:right="93"/>
        <w:jc w:val="left"/>
      </w:pPr>
      <w:r>
        <w:rPr>
          <w:spacing w:val="-2"/>
        </w:rPr>
        <w:t>具授予日认定所授予的新权益工具是用于替代被取消的权益工具的，则以与处理原权益工具条款和条件修改相同的方式，对</w:t>
      </w:r>
      <w:r>
        <w:rPr>
          <w:spacing w:val="-64"/>
        </w:rPr>
        <w:t> </w:t>
      </w:r>
      <w:r>
        <w:rPr>
          <w:spacing w:val="-64"/>
        </w:rPr>
      </w:r>
      <w:r>
        <w:rPr/>
        <w:t>所授予的替代权益工具进行处理。</w:t>
      </w:r>
    </w:p>
    <w:p>
      <w:pPr>
        <w:spacing w:line="240" w:lineRule="auto" w:before="10"/>
        <w:rPr>
          <w:rFonts w:ascii="宋体" w:hAnsi="宋体" w:cs="宋体" w:eastAsia="宋体" w:hint="default"/>
          <w:sz w:val="22"/>
          <w:szCs w:val="22"/>
        </w:rPr>
      </w:pPr>
    </w:p>
    <w:p>
      <w:pPr>
        <w:pStyle w:val="Heading4"/>
        <w:spacing w:line="240" w:lineRule="auto"/>
        <w:ind w:right="223"/>
        <w:jc w:val="left"/>
        <w:rPr>
          <w:b w:val="0"/>
          <w:bCs w:val="0"/>
        </w:rPr>
      </w:pP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3"/>
        <w:jc w:val="left"/>
        <w:rPr>
          <w:b w:val="0"/>
          <w:bCs w:val="0"/>
        </w:rPr>
      </w:pPr>
      <w:r>
        <w:rPr>
          <w:rFonts w:ascii="Times New Roman" w:hAnsi="Times New Roman" w:cs="Times New Roman" w:eastAsia="Times New Roman" w:hint="default"/>
        </w:rPr>
        <w:t>28</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25" w:right="223"/>
        <w:jc w:val="left"/>
      </w:pPr>
      <w:r>
        <w:rPr>
          <w:rFonts w:ascii="Times New Roman" w:hAnsi="Times New Roman" w:cs="Times New Roman" w:eastAsia="Times New Roman" w:hint="default"/>
        </w:rPr>
        <w:t>1</w:t>
      </w:r>
      <w:r>
        <w:rPr/>
        <w:t>、销售商品收入确认和计量原则</w:t>
      </w:r>
    </w:p>
    <w:p>
      <w:pPr>
        <w:pStyle w:val="BodyText"/>
        <w:spacing w:line="326" w:lineRule="auto" w:before="104"/>
        <w:ind w:right="93"/>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4"/>
        </w:rPr>
        <w:t> </w:t>
      </w:r>
      <w:r>
        <w:rPr>
          <w:spacing w:val="-64"/>
        </w:rPr>
      </w:r>
      <w:r>
        <w:rPr/>
        <w:t>地计量时，确认商品销售收入实现。</w:t>
      </w:r>
    </w:p>
    <w:p>
      <w:pPr>
        <w:pStyle w:val="BodyText"/>
        <w:spacing w:line="340" w:lineRule="auto" w:before="50"/>
        <w:ind w:right="3963"/>
        <w:jc w:val="left"/>
      </w:pPr>
      <w:r>
        <w:rPr/>
        <w:t>（</w:t>
      </w:r>
      <w:r>
        <w:rPr>
          <w:rFonts w:ascii="Times New Roman" w:hAnsi="Times New Roman" w:cs="Times New Roman" w:eastAsia="Times New Roman" w:hint="default"/>
        </w:rPr>
        <w:t>2</w:t>
      </w:r>
      <w:r>
        <w:rPr/>
        <w:t>）本公司销售商品收入确认的确认标准及收入确认时间的具体判断标准 本公司的商品销售收入以客户验收确认为收入确认时点。</w:t>
      </w:r>
    </w:p>
    <w:p>
      <w:pPr>
        <w:pStyle w:val="BodyText"/>
        <w:spacing w:line="338" w:lineRule="auto" w:before="41"/>
        <w:ind w:right="4953"/>
        <w:jc w:val="left"/>
      </w:pPr>
      <w:r>
        <w:rPr/>
        <w:t>（</w:t>
      </w:r>
      <w:r>
        <w:rPr>
          <w:rFonts w:ascii="Times New Roman" w:hAnsi="Times New Roman" w:cs="Times New Roman" w:eastAsia="Times New Roman" w:hint="default"/>
        </w:rPr>
        <w:t>3</w:t>
      </w:r>
      <w:r>
        <w:rPr/>
        <w:t>）关于本公司销售商品收入相应的业务特点分析和介绍 本公司的商品销售主要是外购软件、硬件，自产软件的销售。</w:t>
      </w:r>
    </w:p>
    <w:p>
      <w:pPr>
        <w:spacing w:after="0" w:line="338"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right="6393"/>
        <w:jc w:val="left"/>
      </w:pPr>
      <w:r>
        <w:rPr>
          <w:rFonts w:ascii="Times New Roman" w:hAnsi="Times New Roman" w:cs="Times New Roman" w:eastAsia="Times New Roman" w:hint="default"/>
        </w:rPr>
        <w:t>2</w:t>
      </w:r>
      <w:r>
        <w:rPr/>
        <w:t>、让渡资产使用权收入的确认和计量原则 让渡资产使用权收入确认和计量的总体原则</w:t>
      </w:r>
    </w:p>
    <w:p>
      <w:pPr>
        <w:pStyle w:val="BodyText"/>
        <w:spacing w:line="240" w:lineRule="auto" w:before="39"/>
        <w:ind w:right="223"/>
        <w:jc w:val="left"/>
      </w:pPr>
      <w:r>
        <w:rPr/>
        <w:t>与交易相关的经济利益很可能流入企业，收入的金额能够可靠地计量时。分别下列情况确定让渡资产使用权收入金额：</w:t>
      </w:r>
    </w:p>
    <w:p>
      <w:pPr>
        <w:pStyle w:val="BodyText"/>
        <w:spacing w:line="240" w:lineRule="auto" w:before="117"/>
        <w:ind w:right="223"/>
        <w:jc w:val="left"/>
      </w:pPr>
      <w:r>
        <w:rPr/>
        <w:t>①利息收入金额，按照他人使用本企业货币资金的时间和实际利率计算确定。</w:t>
      </w:r>
    </w:p>
    <w:p>
      <w:pPr>
        <w:pStyle w:val="BodyText"/>
        <w:spacing w:line="240" w:lineRule="auto" w:before="117"/>
        <w:ind w:right="223"/>
        <w:jc w:val="left"/>
      </w:pPr>
      <w:r>
        <w:rPr/>
        <w:t>②使用费收入金额，按照有关合同或协议约定的收费时间和方法计算确定。</w:t>
      </w:r>
    </w:p>
    <w:p>
      <w:pPr>
        <w:pStyle w:val="BodyText"/>
        <w:spacing w:line="240" w:lineRule="auto" w:before="115"/>
        <w:ind w:right="223"/>
        <w:jc w:val="left"/>
      </w:pPr>
      <w:r>
        <w:rPr/>
        <w:t>③保理收入金额，按照客户使用本企业货币资金金额、时间和实际利率计算确定。</w:t>
      </w:r>
    </w:p>
    <w:p>
      <w:pPr>
        <w:pStyle w:val="BodyText"/>
        <w:spacing w:line="240" w:lineRule="auto" w:before="117"/>
        <w:ind w:right="223"/>
        <w:jc w:val="left"/>
      </w:pPr>
      <w:r>
        <w:rPr>
          <w:rFonts w:ascii="Times New Roman" w:hAnsi="Times New Roman" w:cs="Times New Roman" w:eastAsia="Times New Roman" w:hint="default"/>
        </w:rPr>
        <w:t>3</w:t>
      </w:r>
      <w:r>
        <w:rPr/>
        <w:t>、按完工百分比法确认提供劳务的收入和建造合同收入的确认和计量原则</w:t>
      </w:r>
    </w:p>
    <w:p>
      <w:pPr>
        <w:pStyle w:val="BodyText"/>
        <w:spacing w:line="328" w:lineRule="auto" w:before="103"/>
        <w:ind w:right="93"/>
        <w:jc w:val="left"/>
      </w:pPr>
      <w:r>
        <w:rPr/>
        <w:t>（</w:t>
      </w:r>
      <w:r>
        <w:rPr>
          <w:rFonts w:ascii="Times New Roman" w:hAnsi="Times New Roman" w:cs="Times New Roman" w:eastAsia="Times New Roman" w:hint="default"/>
        </w:rPr>
        <w:t>1</w:t>
      </w:r>
      <w:r>
        <w:rPr/>
        <w:t>）按完工百分比法确认提供劳务的收入和建造合同收入确认和计量的总体原则 </w:t>
      </w:r>
      <w:r>
        <w:rPr>
          <w:spacing w:val="-2"/>
        </w:rPr>
        <w:t>在资产负债表日提供劳务交易的结果能够可靠估计的，采用完工百分比法确认提供劳务收入。提供劳务交易的完工进度，依</w:t>
      </w:r>
      <w:r>
        <w:rPr>
          <w:spacing w:val="-63"/>
        </w:rPr>
        <w:t> </w:t>
      </w:r>
      <w:r>
        <w:rPr>
          <w:spacing w:val="-63"/>
        </w:rPr>
      </w:r>
      <w:r>
        <w:rPr/>
        <w:t>据已经提供的劳务工时占应提供劳务工时总量的比例确定。</w:t>
      </w:r>
    </w:p>
    <w:p>
      <w:pPr>
        <w:pStyle w:val="BodyText"/>
        <w:spacing w:line="319" w:lineRule="auto" w:before="50"/>
        <w:ind w:right="190"/>
        <w:jc w:val="both"/>
      </w:pPr>
      <w:r>
        <w:rPr>
          <w:spacing w:val="-2"/>
        </w:rPr>
        <w:t>按照已收或应收的合同或协议价款确定提供劳务收入总额，但已收或应收的合同或协议价款不公允的除外。资产负债表日按</w:t>
      </w:r>
      <w:r>
        <w:rPr>
          <w:spacing w:val="-64"/>
        </w:rPr>
        <w:t> </w:t>
      </w:r>
      <w:r>
        <w:rPr>
          <w:spacing w:val="-64"/>
        </w:rPr>
      </w:r>
      <w:r>
        <w:rPr>
          <w:spacing w:val="-2"/>
        </w:rPr>
        <w:t>照提供劳务收入总额乘以完工进度扣除以前会计期间累计已确认提供劳务收入后的金额，确认当期提供劳务收入；同时，按</w:t>
      </w:r>
      <w:r>
        <w:rPr>
          <w:spacing w:val="-63"/>
        </w:rPr>
        <w:t> </w:t>
      </w:r>
      <w:r>
        <w:rPr>
          <w:spacing w:val="-63"/>
        </w:rPr>
      </w:r>
      <w:r>
        <w:rPr/>
        <w:t>照提供劳务估计总成本乘以完工进度扣除以前会计期间累计已确认劳务成本后的金额，结转当期劳务成本。</w:t>
      </w:r>
    </w:p>
    <w:p>
      <w:pPr>
        <w:pStyle w:val="BodyText"/>
        <w:spacing w:line="240" w:lineRule="auto" w:before="58"/>
        <w:ind w:right="223"/>
        <w:jc w:val="left"/>
      </w:pPr>
      <w:r>
        <w:rPr/>
        <w:t>在资产负债表日提供劳务交易结果不能够可靠估计的，分别下列情况处理：</w:t>
      </w:r>
    </w:p>
    <w:p>
      <w:pPr>
        <w:pStyle w:val="BodyText"/>
        <w:spacing w:line="240" w:lineRule="auto" w:before="115"/>
        <w:ind w:right="0"/>
        <w:jc w:val="left"/>
      </w:pPr>
      <w:r>
        <w:rPr/>
        <w:t>①已经发生的劳务成本预计能够得到补偿的</w:t>
      </w:r>
      <w:r>
        <w:rPr>
          <w:spacing w:val="-87"/>
        </w:rPr>
        <w:t>，</w:t>
      </w:r>
      <w:r>
        <w:rPr/>
        <w:t>按照已经发生的劳务成本金额确认提供劳务收入</w:t>
      </w:r>
      <w:r>
        <w:rPr>
          <w:spacing w:val="-87"/>
        </w:rPr>
        <w:t>，</w:t>
      </w:r>
      <w:r>
        <w:rPr/>
        <w:t>并</w:t>
      </w:r>
      <w:r>
        <w:rPr>
          <w:spacing w:val="1"/>
        </w:rPr>
        <w:t>按</w:t>
      </w:r>
      <w:r>
        <w:rPr/>
        <w:t>相同金额结转劳务成本。</w:t>
      </w:r>
    </w:p>
    <w:p>
      <w:pPr>
        <w:pStyle w:val="BodyText"/>
        <w:spacing w:line="240" w:lineRule="auto" w:before="117"/>
        <w:ind w:right="223"/>
        <w:jc w:val="left"/>
      </w:pPr>
      <w:r>
        <w:rPr/>
        <w:t>②已经发生的劳务成本预计不能够得到补偿的，将已经发生的劳务成本计入当期损益，不确认提供劳务收入。</w:t>
      </w:r>
    </w:p>
    <w:p>
      <w:pPr>
        <w:pStyle w:val="BodyText"/>
        <w:spacing w:line="348" w:lineRule="auto" w:before="117"/>
        <w:ind w:right="1713"/>
        <w:jc w:val="left"/>
      </w:pPr>
      <w:r>
        <w:rPr/>
        <w:t>（</w:t>
      </w:r>
      <w:r>
        <w:rPr>
          <w:rFonts w:ascii="Times New Roman" w:hAnsi="Times New Roman" w:cs="Times New Roman" w:eastAsia="Times New Roman" w:hint="default"/>
        </w:rPr>
        <w:t>2</w:t>
      </w:r>
      <w:r>
        <w:rPr/>
        <w:t>）本公司按完工百分比法确认提供劳务的收入和建造合同收入时，提供劳 务收入和建造合同收入的确认标准，确定提供劳务交易完工进度以及建造合同完工百分比的依据和方法 本公司提供劳务交易的完工进度，依据已完成工作的工时占应提供劳务总工时的比例确定。</w:t>
      </w:r>
    </w:p>
    <w:p>
      <w:pPr>
        <w:pStyle w:val="BodyText"/>
        <w:spacing w:line="319" w:lineRule="auto" w:before="36"/>
        <w:ind w:right="178"/>
        <w:jc w:val="left"/>
      </w:pPr>
      <w:r>
        <w:rPr/>
        <w:t>（</w:t>
      </w:r>
      <w:r>
        <w:rPr>
          <w:rFonts w:ascii="Times New Roman" w:hAnsi="Times New Roman" w:cs="Times New Roman" w:eastAsia="Times New Roman" w:hint="default"/>
        </w:rPr>
        <w:t>3</w:t>
      </w:r>
      <w:r>
        <w:rPr/>
        <w:t>）关于本公司按完工百分比法确认提供劳务的收入和建造合同收入相应的业务特点分析和介绍 本公司按完工百分比法确认提供劳务的收入的主要是</w:t>
      </w:r>
      <w:r>
        <w:rPr>
          <w:spacing w:val="-4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5"/>
        </w:rPr>
        <w:t> </w:t>
      </w:r>
      <w:r>
        <w:rPr>
          <w:spacing w:val="-4"/>
        </w:rPr>
        <w:t>软件实施服务、外包服务，公司</w:t>
      </w:r>
      <w:r>
        <w:rPr>
          <w:spacing w:val="-47"/>
        </w:rPr>
        <w:t> </w:t>
      </w:r>
      <w:r>
        <w:rPr>
          <w:rFonts w:ascii="Times New Roman" w:hAnsi="Times New Roman" w:cs="Times New Roman" w:eastAsia="Times New Roman" w:hint="default"/>
        </w:rPr>
        <w:t>ERP </w:t>
      </w:r>
      <w:r>
        <w:rPr/>
        <w:t>实施项目、外包服务有两种 合同形式：约定服务费用单价的按人天计费项目和约定合同总金额的固定总价项目。</w:t>
      </w:r>
    </w:p>
    <w:p>
      <w:pPr>
        <w:pStyle w:val="BodyText"/>
        <w:spacing w:line="300" w:lineRule="auto" w:before="58"/>
        <w:ind w:right="223"/>
        <w:jc w:val="left"/>
      </w:pPr>
      <w:r>
        <w:rPr/>
        <w:t>按人天计费项目，资产负债表日确认的某项目当期收入</w:t>
      </w:r>
      <w:r>
        <w:rPr>
          <w:rFonts w:ascii="Times New Roman" w:hAnsi="Times New Roman" w:cs="Times New Roman" w:eastAsia="Times New Roman" w:hint="default"/>
        </w:rPr>
        <w:t>=</w:t>
      </w:r>
      <w:r>
        <w:rPr/>
        <w:t>该项目当期实际发生的人天数</w:t>
      </w:r>
      <w:r>
        <w:rPr>
          <w:rFonts w:ascii="Times New Roman" w:hAnsi="Times New Roman" w:cs="Times New Roman" w:eastAsia="Times New Roman" w:hint="default"/>
        </w:rPr>
        <w:t>×</w:t>
      </w:r>
      <w:r>
        <w:rPr/>
        <w:t>约定的人天单价，实际发生的人天</w:t>
      </w:r>
      <w:r>
        <w:rPr>
          <w:spacing w:val="-20"/>
        </w:rPr>
        <w:t> </w:t>
      </w:r>
      <w:r>
        <w:rPr>
          <w:spacing w:val="-20"/>
        </w:rPr>
      </w:r>
      <w:r>
        <w:rPr/>
        <w:t>数以客户在说明顾问工作内容及天数的表单上签字确认的人天数为依据。</w:t>
      </w:r>
    </w:p>
    <w:p>
      <w:pPr>
        <w:pStyle w:val="BodyText"/>
        <w:spacing w:line="309" w:lineRule="auto" w:before="72"/>
        <w:ind w:right="190"/>
        <w:jc w:val="both"/>
      </w:pPr>
      <w:r>
        <w:rPr>
          <w:spacing w:val="-2"/>
        </w:rPr>
        <w:t>固定总价项目是指本公司和客户根据在售前阶段确认的实施内容及范围的基础上，协商得出合同总价，按合同金额执行，而</w:t>
      </w:r>
      <w:r>
        <w:rPr>
          <w:spacing w:val="-63"/>
        </w:rPr>
        <w:t> </w:t>
      </w:r>
      <w:r>
        <w:rPr>
          <w:spacing w:val="-63"/>
        </w:rPr>
      </w:r>
      <w:r>
        <w:rPr>
          <w:spacing w:val="-1"/>
        </w:rPr>
        <w:t>不是按实际所发生的人天计费的项目。此类项目资产负债表日确认的某项目当期收入</w:t>
      </w:r>
      <w:r>
        <w:rPr>
          <w:rFonts w:ascii="Times New Roman" w:hAnsi="Times New Roman" w:cs="Times New Roman" w:eastAsia="Times New Roman" w:hint="default"/>
          <w:spacing w:val="-1"/>
        </w:rPr>
        <w:t>=</w:t>
      </w:r>
      <w:r>
        <w:rPr>
          <w:spacing w:val="-1"/>
        </w:rPr>
        <w:t>此项目累计投入人天数</w:t>
      </w:r>
      <w:r>
        <w:rPr>
          <w:rFonts w:ascii="Times New Roman" w:hAnsi="Times New Roman" w:cs="Times New Roman" w:eastAsia="Times New Roman" w:hint="default"/>
          <w:spacing w:val="-1"/>
        </w:rPr>
        <w:t>/</w:t>
      </w:r>
      <w:r>
        <w:rPr>
          <w:spacing w:val="-1"/>
        </w:rPr>
        <w:t>此项目预计总</w:t>
      </w:r>
      <w:r>
        <w:rPr>
          <w:spacing w:val="-88"/>
        </w:rPr>
        <w:t> </w:t>
      </w:r>
      <w:r>
        <w:rPr/>
        <w:t>天数</w:t>
      </w:r>
      <w:r>
        <w:rPr>
          <w:rFonts w:ascii="Times New Roman" w:hAnsi="Times New Roman" w:cs="Times New Roman" w:eastAsia="Times New Roman" w:hint="default"/>
        </w:rPr>
        <w:t>×</w:t>
      </w:r>
      <w:r>
        <w:rPr/>
        <w:t>合同总价</w:t>
      </w:r>
      <w:r>
        <w:rPr>
          <w:rFonts w:ascii="Times New Roman" w:hAnsi="Times New Roman" w:cs="Times New Roman" w:eastAsia="Times New Roman" w:hint="default"/>
        </w:rPr>
        <w:t>-</w:t>
      </w:r>
      <w:r>
        <w:rPr/>
        <w:t>前期已确认收入。</w:t>
      </w:r>
    </w:p>
    <w:p>
      <w:pPr>
        <w:pStyle w:val="BodyText"/>
        <w:spacing w:line="338" w:lineRule="auto" w:before="43"/>
        <w:ind w:right="93"/>
        <w:jc w:val="left"/>
      </w:pPr>
      <w:r>
        <w:rPr/>
        <w:t>运维服务按照合同约定的收入总额在提供服务期限内平均分摊确认收入。 </w:t>
      </w:r>
      <w:r>
        <w:rPr>
          <w:spacing w:val="-2"/>
        </w:rPr>
        <w:t>扫描加工等数据处理服务等长期为客户提供重复的劳务收取的劳务费，在相关劳务活动发生时确认收入，按照提供的劳务数</w:t>
      </w:r>
      <w:r>
        <w:rPr>
          <w:spacing w:val="-64"/>
        </w:rPr>
        <w:t> </w:t>
      </w:r>
      <w:r>
        <w:rPr>
          <w:spacing w:val="-64"/>
        </w:rPr>
      </w:r>
      <w:r>
        <w:rPr/>
        <w:t>量乘以合同合同约定的劳务单价确认收入。</w:t>
      </w:r>
    </w:p>
    <w:p>
      <w:pPr>
        <w:spacing w:line="240" w:lineRule="auto" w:before="7"/>
        <w:rPr>
          <w:rFonts w:ascii="宋体" w:hAnsi="宋体" w:cs="宋体" w:eastAsia="宋体" w:hint="default"/>
          <w:sz w:val="21"/>
          <w:szCs w:val="21"/>
        </w:rPr>
      </w:pPr>
    </w:p>
    <w:p>
      <w:pPr>
        <w:pStyle w:val="Heading4"/>
        <w:spacing w:line="240" w:lineRule="auto"/>
        <w:ind w:right="223"/>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6"/>
          <w:szCs w:val="26"/>
        </w:rPr>
      </w:pPr>
    </w:p>
    <w:p>
      <w:pPr>
        <w:pStyle w:val="BodyText"/>
        <w:spacing w:line="328" w:lineRule="auto"/>
        <w:ind w:right="93"/>
        <w:jc w:val="left"/>
      </w:pPr>
      <w:r>
        <w:rPr/>
        <w:t>（</w:t>
      </w:r>
      <w:r>
        <w:rPr>
          <w:rFonts w:ascii="Times New Roman" w:hAnsi="Times New Roman" w:cs="Times New Roman" w:eastAsia="Times New Roman" w:hint="default"/>
        </w:rPr>
        <w:t>1</w:t>
      </w:r>
      <w:r>
        <w:rPr/>
        <w:t>）与资产相关的政府补助判断依据及会计处理方法 </w:t>
      </w:r>
      <w:r>
        <w:rPr>
          <w:spacing w:val="-2"/>
        </w:rPr>
        <w:t>与资产相关的政府补助，是指本公司取得的、用于购建或以其他方式形成长期资产的政府补助，包括购买固定资产或无形资</w:t>
      </w:r>
      <w:r>
        <w:rPr>
          <w:spacing w:val="-63"/>
        </w:rPr>
        <w:t> </w:t>
      </w:r>
      <w:r>
        <w:rPr>
          <w:spacing w:val="-63"/>
        </w:rPr>
      </w:r>
      <w:r>
        <w:rPr/>
        <w:t>产的财政拨款、固定资产专门借款的财政贴息等。</w:t>
      </w:r>
    </w:p>
    <w:p>
      <w:pPr>
        <w:pStyle w:val="BodyText"/>
        <w:spacing w:line="338" w:lineRule="auto" w:before="50"/>
        <w:ind w:right="93"/>
        <w:jc w:val="left"/>
      </w:pPr>
      <w:r>
        <w:rPr>
          <w:spacing w:val="-2"/>
        </w:rPr>
        <w:t>本公司将政府补助划分为与资产相关的具体标准为：是指企业取得的、用于购建或以其他方式形成长期资产的政府补助，包</w:t>
      </w:r>
      <w:r>
        <w:rPr>
          <w:spacing w:val="-63"/>
        </w:rPr>
        <w:t> </w:t>
      </w:r>
      <w:r>
        <w:rPr>
          <w:spacing w:val="-63"/>
        </w:rPr>
      </w:r>
      <w:r>
        <w:rPr/>
        <w:t>括购买固定资产或无形资产的财政拨款、固定资产专门借款的财政贴息等。 与资产相关的政府补助，确认为递延收益，按照所建造或购买的资产使用年限分期计入营业外收入。</w:t>
      </w:r>
    </w:p>
    <w:p>
      <w:pPr>
        <w:pStyle w:val="BodyText"/>
        <w:spacing w:line="340" w:lineRule="auto" w:before="43"/>
        <w:ind w:right="4053"/>
        <w:jc w:val="left"/>
      </w:pPr>
      <w:r>
        <w:rPr/>
        <w:t>（</w:t>
      </w:r>
      <w:r>
        <w:rPr>
          <w:rFonts w:ascii="Times New Roman" w:hAnsi="Times New Roman" w:cs="Times New Roman" w:eastAsia="Times New Roman" w:hint="default"/>
        </w:rPr>
        <w:t>2</w:t>
      </w:r>
      <w:r>
        <w:rPr/>
        <w:t>）与收益相关的政府补助判断依据及会计处理方法 与收益相关的政府补助，是指除与资产相关的政府补助之外的政府补助。</w:t>
      </w:r>
    </w:p>
    <w:p>
      <w:pPr>
        <w:spacing w:after="0" w:line="3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360" w:lineRule="auto" w:before="44"/>
        <w:ind w:right="498"/>
        <w:jc w:val="left"/>
      </w:pPr>
      <w:r>
        <w:rPr/>
        <w:t>本公司将政府补助划分为与收益相关的具体标准为：是指除与资产相关的政府补助之外的政府补助。 对于政府文件未明确规定补助对象的，本公司将该政府补助划分为与收益相关。</w:t>
      </w:r>
    </w:p>
    <w:p>
      <w:pPr>
        <w:pStyle w:val="BodyText"/>
        <w:spacing w:line="316" w:lineRule="auto" w:before="25"/>
        <w:ind w:right="0"/>
        <w:jc w:val="left"/>
      </w:pPr>
      <w:r>
        <w:rPr>
          <w:spacing w:val="-2"/>
        </w:rPr>
        <w:t>与收益相关的政府补助，用于补偿本公司以后期间的相关费用或损失的，取得时确认为递延收益，在确认相关费用的期间计</w:t>
      </w:r>
      <w:r>
        <w:rPr>
          <w:spacing w:val="-63"/>
        </w:rPr>
        <w:t> </w:t>
      </w:r>
      <w:r>
        <w:rPr>
          <w:spacing w:val="-63"/>
        </w:rPr>
      </w:r>
      <w:r>
        <w:rPr/>
        <w:t>入当期营业外收入；用于补偿本公司已发生的相关费用或损失的，取得时直接计入当期营业外收入。</w:t>
      </w:r>
    </w:p>
    <w:p>
      <w:pPr>
        <w:spacing w:line="240" w:lineRule="auto" w:before="10"/>
        <w:rPr>
          <w:rFonts w:ascii="宋体" w:hAnsi="宋体" w:cs="宋体" w:eastAsia="宋体" w:hint="default"/>
          <w:sz w:val="22"/>
          <w:szCs w:val="22"/>
        </w:rPr>
      </w:pPr>
    </w:p>
    <w:p>
      <w:pPr>
        <w:pStyle w:val="Heading4"/>
        <w:spacing w:line="240" w:lineRule="auto"/>
        <w:ind w:right="498"/>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38" w:lineRule="auto" w:before="59"/>
        <w:ind w:right="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r>
        <w:rPr>
          <w:spacing w:val="-64"/>
        </w:rPr>
        <w:t> </w:t>
      </w:r>
      <w:r>
        <w:rPr>
          <w:spacing w:val="-64"/>
        </w:rPr>
      </w:r>
      <w:r>
        <w:rPr/>
        <w:t>不影响应纳税所得额（或可抵扣亏损）的其他交易或事项。</w:t>
      </w:r>
    </w:p>
    <w:p>
      <w:pPr>
        <w:pStyle w:val="BodyText"/>
        <w:spacing w:line="338" w:lineRule="auto" w:before="43"/>
        <w:ind w:right="0"/>
        <w:jc w:val="left"/>
      </w:pP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 </w:t>
      </w:r>
      <w:r>
        <w:rPr>
          <w:spacing w:val="-2"/>
        </w:rPr>
        <w:t>当拥有以净额结算当期所得税资产及当期所得税负债的法定权利，且递延所得税资产及递延所得税负债是与同一税收征管部</w:t>
      </w:r>
    </w:p>
    <w:p>
      <w:pPr>
        <w:pStyle w:val="BodyText"/>
        <w:spacing w:line="316" w:lineRule="auto" w:before="2"/>
        <w:ind w:right="150"/>
        <w:jc w:val="both"/>
      </w:pPr>
      <w:r>
        <w:rPr>
          <w:spacing w:val="-2"/>
        </w:rPr>
        <w:t>门对同一纳税主体征收的所得税相关或者是对不同的纳税主体相关，但在未来每一具有重要性的递延所得税资产及负债转回</w:t>
      </w:r>
      <w:r>
        <w:rPr>
          <w:spacing w:val="-63"/>
        </w:rPr>
        <w:t> </w:t>
      </w:r>
      <w:r>
        <w:rPr>
          <w:spacing w:val="-63"/>
        </w:rPr>
      </w:r>
      <w:r>
        <w:rPr>
          <w:spacing w:val="-2"/>
        </w:rPr>
        <w:t>的期间内，涉及的纳税主体意图以净额结算当期所得税资产和负债或是同时取得资产、清偿负债时，递延所得税资产及递延</w:t>
      </w:r>
      <w:r>
        <w:rPr>
          <w:spacing w:val="-63"/>
        </w:rPr>
        <w:t> </w:t>
      </w:r>
      <w:r>
        <w:rPr>
          <w:spacing w:val="-63"/>
        </w:rPr>
      </w:r>
      <w:r>
        <w:rPr/>
        <w:t>所得税负债以抵销后的净额列报。</w:t>
      </w:r>
    </w:p>
    <w:p>
      <w:pPr>
        <w:spacing w:line="240" w:lineRule="auto" w:before="8"/>
        <w:rPr>
          <w:rFonts w:ascii="宋体" w:hAnsi="宋体" w:cs="宋体" w:eastAsia="宋体" w:hint="default"/>
          <w:sz w:val="22"/>
          <w:szCs w:val="22"/>
        </w:rPr>
      </w:pPr>
    </w:p>
    <w:p>
      <w:pPr>
        <w:pStyle w:val="Heading4"/>
        <w:spacing w:line="240" w:lineRule="auto"/>
        <w:ind w:right="498"/>
        <w:jc w:val="left"/>
        <w:rPr>
          <w:b w:val="0"/>
          <w:bCs w:val="0"/>
        </w:rPr>
      </w:pPr>
      <w:r>
        <w:rPr>
          <w:rFonts w:ascii="Times New Roman" w:hAnsi="Times New Roman" w:cs="Times New Roman" w:eastAsia="Times New Roman" w:hint="default"/>
        </w:rPr>
        <w:t>31</w:t>
      </w:r>
      <w:r>
        <w:rPr/>
        <w:t>、租赁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1.</w:t>
      </w:r>
      <w:r>
        <w:rPr/>
        <w:t>经营租赁的会计处理方法</w:t>
      </w:r>
    </w:p>
    <w:p>
      <w:pPr>
        <w:pStyle w:val="BodyText"/>
        <w:spacing w:line="300" w:lineRule="auto" w:before="104"/>
        <w:ind w:right="143"/>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w:t>
      </w:r>
      <w:r>
        <w:rPr>
          <w:spacing w:val="-84"/>
        </w:rPr>
        <w:t> </w:t>
      </w:r>
      <w:r>
        <w:rPr>
          <w:spacing w:val="-84"/>
        </w:rPr>
      </w:r>
      <w:r>
        <w:rPr/>
        <w:t>租赁交易相关的初始直接费用，计入当期费用。</w:t>
      </w:r>
    </w:p>
    <w:p>
      <w:pPr>
        <w:pStyle w:val="BodyText"/>
        <w:spacing w:line="316" w:lineRule="auto" w:before="70"/>
        <w:ind w:right="0"/>
        <w:jc w:val="left"/>
      </w:pP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09" w:lineRule="auto" w:before="59"/>
        <w:ind w:right="152"/>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）公司出租资产所收取的租赁费，在不扣除免租期的整个租赁期内，按直线法进行分摊，确认为租赁相关收入。公司支</w:t>
      </w:r>
      <w:r>
        <w:rPr>
          <w:spacing w:val="-84"/>
        </w:rPr>
        <w:t> </w:t>
      </w:r>
      <w:r>
        <w:rPr>
          <w:spacing w:val="-84"/>
        </w:rPr>
      </w:r>
      <w:r>
        <w:rPr>
          <w:spacing w:val="-2"/>
        </w:rPr>
        <w:t>付的与租赁交易相关的初始直接费用，计入当期费用；如金额较大的，则予以资本化，在整个租赁期间内按照与租赁相关收</w:t>
      </w:r>
      <w:r>
        <w:rPr>
          <w:spacing w:val="-66"/>
        </w:rPr>
        <w:t> </w:t>
      </w:r>
      <w:r>
        <w:rPr>
          <w:spacing w:val="-66"/>
        </w:rPr>
      </w:r>
      <w:r>
        <w:rPr/>
        <w:t>入确认相同的基础分期计入当期收益。</w:t>
      </w:r>
    </w:p>
    <w:p>
      <w:pPr>
        <w:pStyle w:val="BodyText"/>
        <w:spacing w:line="316" w:lineRule="auto" w:before="65"/>
        <w:ind w:right="0"/>
        <w:jc w:val="left"/>
      </w:pP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pStyle w:val="BodyText"/>
        <w:spacing w:line="240" w:lineRule="auto" w:before="57"/>
        <w:ind w:right="498"/>
        <w:jc w:val="left"/>
      </w:pPr>
      <w:r>
        <w:rPr>
          <w:rFonts w:ascii="Times New Roman" w:hAnsi="Times New Roman" w:cs="Times New Roman" w:eastAsia="Times New Roman" w:hint="default"/>
        </w:rPr>
        <w:t>2.</w:t>
      </w:r>
      <w:r>
        <w:rPr/>
        <w:t>融资租赁的会计处理方法</w:t>
      </w:r>
    </w:p>
    <w:p>
      <w:pPr>
        <w:spacing w:line="240" w:lineRule="auto" w:before="3"/>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28" w:lineRule="auto"/>
        <w:ind w:right="0"/>
        <w:jc w:val="left"/>
      </w:pPr>
      <w:r>
        <w:rPr>
          <w:rFonts w:ascii="Times New Roman" w:hAnsi="Times New Roman" w:cs="Times New Roman" w:eastAsia="Times New Roman" w:hint="default"/>
        </w:rPr>
        <w:t>1.</w:t>
      </w:r>
      <w:r>
        <w:rPr/>
        <w:t>回购本公司股份 </w:t>
      </w:r>
      <w:r>
        <w:rPr>
          <w:spacing w:val="-2"/>
        </w:rPr>
        <w:t>本公司回购股份是按照股权激励方案的约定，将未达到解锁条件的限制性股票回购并注销。未达到限制性股票解锁条件而需</w:t>
      </w:r>
      <w:r>
        <w:rPr>
          <w:spacing w:val="-63"/>
        </w:rPr>
        <w:t> </w:t>
      </w:r>
      <w:r>
        <w:rPr>
          <w:spacing w:val="-63"/>
        </w:rPr>
      </w:r>
      <w:r>
        <w:rPr>
          <w:spacing w:val="-1"/>
        </w:rPr>
        <w:t>回购的股票，按照应支付的金额，借记</w:t>
      </w:r>
      <w:r>
        <w:rPr>
          <w:rFonts w:ascii="Times New Roman" w:hAnsi="Times New Roman" w:cs="Times New Roman" w:eastAsia="Times New Roman" w:hint="default"/>
          <w:spacing w:val="-1"/>
        </w:rPr>
        <w:t>“</w:t>
      </w:r>
      <w:r>
        <w:rPr>
          <w:spacing w:val="-1"/>
        </w:rPr>
        <w:t>其他应付款</w:t>
      </w:r>
      <w:r>
        <w:rPr>
          <w:rFonts w:ascii="Times New Roman" w:hAnsi="Times New Roman" w:cs="Times New Roman" w:eastAsia="Times New Roman" w:hint="default"/>
          <w:spacing w:val="-1"/>
        </w:rPr>
        <w:t>—</w:t>
      </w:r>
      <w:r>
        <w:rPr>
          <w:spacing w:val="-1"/>
        </w:rPr>
        <w:t>限制性股票回购义务</w:t>
      </w:r>
      <w:r>
        <w:rPr>
          <w:rFonts w:ascii="Times New Roman" w:hAnsi="Times New Roman" w:cs="Times New Roman" w:eastAsia="Times New Roman" w:hint="default"/>
          <w:spacing w:val="-1"/>
        </w:rPr>
        <w:t>”</w:t>
      </w:r>
      <w:r>
        <w:rPr>
          <w:spacing w:val="-1"/>
        </w:rPr>
        <w:t>科目，贷记</w:t>
      </w:r>
      <w:r>
        <w:rPr>
          <w:rFonts w:ascii="Times New Roman" w:hAnsi="Times New Roman" w:cs="Times New Roman" w:eastAsia="Times New Roman" w:hint="default"/>
          <w:spacing w:val="-1"/>
        </w:rPr>
        <w:t>“</w:t>
      </w:r>
      <w:r>
        <w:rPr>
          <w:spacing w:val="-1"/>
        </w:rPr>
        <w:t>银行存款</w:t>
      </w:r>
      <w:r>
        <w:rPr>
          <w:rFonts w:ascii="Times New Roman" w:hAnsi="Times New Roman" w:cs="Times New Roman" w:eastAsia="Times New Roman" w:hint="default"/>
          <w:spacing w:val="-1"/>
        </w:rPr>
        <w:t>”</w:t>
      </w:r>
      <w:r>
        <w:rPr>
          <w:spacing w:val="-1"/>
        </w:rPr>
        <w:t>科目；同时，按照注销的</w:t>
      </w:r>
    </w:p>
    <w:p>
      <w:pPr>
        <w:pStyle w:val="BodyText"/>
        <w:spacing w:line="300" w:lineRule="auto"/>
        <w:ind w:right="0"/>
        <w:jc w:val="left"/>
      </w:pPr>
      <w:r>
        <w:rPr/>
        <w:t>限制性股票数量相对应的股本金额，借记</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科目，按照注销的限制性股票数量相对应的库存股的账面价值，贷记</w:t>
      </w:r>
      <w:r>
        <w:rPr>
          <w:rFonts w:ascii="Times New Roman" w:hAnsi="Times New Roman" w:cs="Times New Roman" w:eastAsia="Times New Roman" w:hint="default"/>
        </w:rPr>
        <w:t>“</w:t>
      </w:r>
      <w:r>
        <w:rPr/>
        <w:t>库存</w:t>
      </w:r>
      <w:r>
        <w:rPr>
          <w:spacing w:val="-54"/>
        </w:rPr>
        <w:t> </w:t>
      </w:r>
      <w:r>
        <w:rPr/>
        <w:t>股</w:t>
      </w:r>
      <w:r>
        <w:rPr>
          <w:rFonts w:ascii="Times New Roman" w:hAnsi="Times New Roman" w:cs="Times New Roman" w:eastAsia="Times New Roman" w:hint="default"/>
        </w:rPr>
        <w:t>”</w:t>
      </w:r>
      <w:r>
        <w:rPr/>
        <w:t>科目，按其差额，借记</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科目。</w:t>
      </w:r>
    </w:p>
    <w:p>
      <w:pPr>
        <w:pStyle w:val="BodyText"/>
        <w:spacing w:line="340" w:lineRule="auto" w:before="51"/>
        <w:ind w:right="4193"/>
        <w:jc w:val="left"/>
      </w:pPr>
      <w:r>
        <w:rPr>
          <w:rFonts w:ascii="Times New Roman" w:hAnsi="Times New Roman" w:cs="Times New Roman" w:eastAsia="Times New Roman" w:hint="default"/>
        </w:rPr>
        <w:t>2.</w:t>
      </w:r>
      <w:r>
        <w:rPr/>
        <w:t>其他非流动资产 其他非流动资产包括：会员证、员工购房借款和预付长期资产购建款。</w:t>
      </w:r>
    </w:p>
    <w:p>
      <w:pPr>
        <w:spacing w:after="0" w:line="340" w:lineRule="auto"/>
        <w:jc w:val="left"/>
        <w:sectPr>
          <w:footerReference w:type="default" r:id="rId18"/>
          <w:pgSz w:w="11910" w:h="16840"/>
          <w:pgMar w:footer="979" w:header="745" w:top="1060" w:bottom="1160" w:left="980" w:right="98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498"/>
        <w:jc w:val="left"/>
      </w:pPr>
      <w:r>
        <w:rPr/>
        <w:t>其他非流动资产</w:t>
      </w:r>
      <w:r>
        <w:rPr>
          <w:rFonts w:ascii="Times New Roman" w:hAnsi="Times New Roman" w:cs="Times New Roman" w:eastAsia="Times New Roman" w:hint="default"/>
        </w:rPr>
        <w:t>-</w:t>
      </w:r>
      <w:r>
        <w:rPr/>
        <w:t>会员证为已经发生但应由本期和以后各期负担的分摊期限在一年以上的费用。</w:t>
      </w:r>
    </w:p>
    <w:p>
      <w:pPr>
        <w:pStyle w:val="BodyText"/>
        <w:spacing w:line="348" w:lineRule="auto" w:before="104"/>
        <w:ind w:right="6893"/>
        <w:jc w:val="left"/>
      </w:pPr>
      <w:r>
        <w:rPr>
          <w:rFonts w:ascii="Times New Roman" w:hAnsi="Times New Roman" w:cs="Times New Roman" w:eastAsia="Times New Roman" w:hint="default"/>
        </w:rPr>
        <w:t>3.</w:t>
      </w:r>
      <w:r>
        <w:rPr/>
        <w:t>摊销方法 其他非流动资产在受益期内平均摊销 摊销年限</w:t>
      </w:r>
    </w:p>
    <w:p>
      <w:pPr>
        <w:spacing w:line="240" w:lineRule="auto" w:before="2"/>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5058"/>
        <w:gridCol w:w="4602"/>
      </w:tblGrid>
      <w:tr>
        <w:trPr>
          <w:trHeight w:val="329" w:hRule="exact"/>
        </w:trPr>
        <w:tc>
          <w:tcPr>
            <w:tcW w:w="50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90"/>
                <w:sz w:val="18"/>
                <w:szCs w:val="18"/>
              </w:rPr>
              <w:t> </w:t>
            </w:r>
            <w:r>
              <w:rPr>
                <w:rFonts w:ascii="宋体" w:hAnsi="宋体" w:cs="宋体" w:eastAsia="宋体" w:hint="default"/>
                <w:spacing w:val="90"/>
                <w:sz w:val="18"/>
                <w:szCs w:val="18"/>
              </w:rPr>
            </w:r>
            <w:r>
              <w:rPr>
                <w:rFonts w:ascii="宋体" w:hAnsi="宋体" w:cs="宋体" w:eastAsia="宋体" w:hint="default"/>
                <w:sz w:val="18"/>
                <w:szCs w:val="18"/>
              </w:rPr>
              <w:t>目</w:t>
            </w:r>
          </w:p>
        </w:tc>
        <w:tc>
          <w:tcPr>
            <w:tcW w:w="46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r>
      <w:tr>
        <w:trPr>
          <w:trHeight w:val="365" w:hRule="exact"/>
        </w:trPr>
        <w:tc>
          <w:tcPr>
            <w:tcW w:w="50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18"/>
                <w:szCs w:val="18"/>
              </w:rPr>
            </w:pPr>
            <w:r>
              <w:rPr>
                <w:rFonts w:ascii="宋体" w:hAnsi="宋体" w:cs="宋体" w:eastAsia="宋体" w:hint="default"/>
                <w:sz w:val="18"/>
                <w:szCs w:val="18"/>
              </w:rPr>
              <w:t>会员证</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pStyle w:val="BodyText"/>
        <w:spacing w:line="240" w:lineRule="auto" w:before="58"/>
        <w:ind w:right="0"/>
        <w:jc w:val="left"/>
      </w:pPr>
      <w:r>
        <w:rPr>
          <w:rFonts w:ascii="Times New Roman" w:hAnsi="Times New Roman" w:cs="Times New Roman" w:eastAsia="Times New Roman" w:hint="default"/>
          <w:w w:val="100"/>
          <w:sz w:val="21"/>
          <w:szCs w:val="21"/>
        </w:rPr>
        <w:t>4.</w:t>
      </w:r>
      <w:r>
        <w:rPr/>
        <w:t>其他非流动资</w:t>
      </w:r>
      <w:r>
        <w:rPr>
          <w:spacing w:val="-1"/>
        </w:rPr>
        <w:t>产</w:t>
      </w:r>
      <w:r>
        <w:rPr>
          <w:rFonts w:ascii="Times New Roman" w:hAnsi="Times New Roman" w:cs="Times New Roman" w:eastAsia="Times New Roman" w:hint="default"/>
        </w:rPr>
        <w:t>-</w:t>
      </w:r>
      <w:r>
        <w:rPr/>
        <w:t>员工购房借款系根据公司</w:t>
      </w:r>
      <w:r>
        <w:rPr>
          <w:spacing w:val="-27"/>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w:t>
      </w:r>
      <w:r>
        <w:rPr>
          <w:spacing w:val="-30"/>
        </w:rPr>
        <w:t> </w:t>
      </w: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月</w:t>
      </w:r>
      <w:r>
        <w:rPr>
          <w:spacing w:val="-3"/>
        </w:rPr>
        <w:t>制</w:t>
      </w:r>
      <w:r>
        <w:rPr/>
        <w:t>订的《员工购房借款福利管理办法</w:t>
      </w:r>
      <w:r>
        <w:rPr>
          <w:spacing w:val="-92"/>
        </w:rPr>
        <w:t>》</w:t>
      </w:r>
      <w:r>
        <w:rPr/>
        <w:t>，公司向符合条件的员</w:t>
      </w:r>
      <w:r>
        <w:rPr>
          <w:spacing w:val="2"/>
        </w:rPr>
        <w:t>工</w:t>
      </w:r>
      <w:r>
        <w:rPr/>
        <w:t>提</w:t>
      </w:r>
    </w:p>
    <w:p>
      <w:pPr>
        <w:pStyle w:val="BodyText"/>
        <w:spacing w:line="240" w:lineRule="auto" w:before="46"/>
        <w:ind w:right="498"/>
        <w:jc w:val="left"/>
      </w:pPr>
      <w:r>
        <w:rPr/>
        <w:t>供购房借款，在</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年内通过工资扣款归还，借款时计入其他非流动资产，归还时冲减其他非流动资产。</w:t>
      </w:r>
    </w:p>
    <w:p>
      <w:pPr>
        <w:pStyle w:val="BodyText"/>
        <w:spacing w:line="300" w:lineRule="auto" w:before="101"/>
        <w:ind w:right="0"/>
        <w:jc w:val="left"/>
      </w:pPr>
      <w:r>
        <w:rPr>
          <w:rFonts w:ascii="Times New Roman" w:hAnsi="Times New Roman" w:cs="Times New Roman" w:eastAsia="Times New Roman" w:hint="default"/>
        </w:rPr>
        <w:t>5.</w:t>
      </w:r>
      <w:r>
        <w:rPr/>
        <w:t>其他非流动资产</w:t>
      </w:r>
      <w:r>
        <w:rPr>
          <w:rFonts w:ascii="Times New Roman" w:hAnsi="Times New Roman" w:cs="Times New Roman" w:eastAsia="Times New Roman" w:hint="default"/>
        </w:rPr>
        <w:t>-</w:t>
      </w:r>
      <w:r>
        <w:rPr/>
        <w:t>长期资产购建款系公司购建长期股权投资、固定资产、在建工程等的预付款项，支付时计入其他非流动</w:t>
      </w:r>
      <w:r>
        <w:rPr>
          <w:spacing w:val="-19"/>
        </w:rPr>
        <w:t> </w:t>
      </w:r>
      <w:r>
        <w:rPr>
          <w:spacing w:val="-19"/>
        </w:rPr>
      </w:r>
      <w:r>
        <w:rPr/>
        <w:t>资产，满足结转条件计入长期股权投资、固定资产、在建工程等长期资产。</w:t>
      </w:r>
    </w:p>
    <w:p>
      <w:pPr>
        <w:spacing w:line="240" w:lineRule="auto" w:before="10"/>
        <w:rPr>
          <w:rFonts w:ascii="宋体" w:hAnsi="宋体" w:cs="宋体" w:eastAsia="宋体" w:hint="default"/>
          <w:sz w:val="23"/>
          <w:szCs w:val="23"/>
        </w:rPr>
      </w:pPr>
    </w:p>
    <w:p>
      <w:pPr>
        <w:pStyle w:val="Heading4"/>
        <w:spacing w:line="240" w:lineRule="auto"/>
        <w:ind w:right="498"/>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8"/>
        <w:jc w:val="left"/>
      </w:pPr>
      <w:r>
        <w:rPr/>
        <w:t>执行财政部于</w:t>
      </w:r>
      <w:r>
        <w:rPr>
          <w:spacing w:val="-5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年制定及印发的《企业会计准则解释第</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本公司进行追溯调整对本期和上期财务报表的主要影响如 下：</w:t>
      </w:r>
    </w:p>
    <w:p>
      <w:pPr>
        <w:pStyle w:val="BodyText"/>
        <w:spacing w:line="240" w:lineRule="auto" w:before="72"/>
        <w:ind w:right="498"/>
        <w:jc w:val="left"/>
      </w:pPr>
      <w:r>
        <w:rPr/>
        <w:t>合并报表：</w:t>
      </w:r>
    </w:p>
    <w:p>
      <w:pPr>
        <w:spacing w:line="240" w:lineRule="auto" w:before="8"/>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663"/>
        <w:gridCol w:w="4011"/>
        <w:gridCol w:w="3985"/>
      </w:tblGrid>
      <w:tr>
        <w:trPr>
          <w:trHeight w:val="337"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4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7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53"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1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-893,417.00</w:t>
            </w:r>
          </w:p>
        </w:tc>
        <w:tc>
          <w:tcPr>
            <w:tcW w:w="398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346"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179,511,829.97</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2,063,833.52</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182,469,080.49</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107,624,985.49</w:t>
            </w:r>
          </w:p>
        </w:tc>
      </w:tr>
    </w:tbl>
    <w:p>
      <w:pPr>
        <w:pStyle w:val="BodyText"/>
        <w:spacing w:line="240" w:lineRule="auto" w:before="49"/>
        <w:ind w:right="498"/>
        <w:jc w:val="left"/>
      </w:pPr>
      <w:r>
        <w:rPr/>
        <w:t>母公司报表：</w:t>
      </w:r>
    </w:p>
    <w:p>
      <w:pPr>
        <w:spacing w:line="240" w:lineRule="auto" w:before="7"/>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1663"/>
        <w:gridCol w:w="4011"/>
        <w:gridCol w:w="3985"/>
      </w:tblGrid>
      <w:tr>
        <w:trPr>
          <w:trHeight w:val="337"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40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7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3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52"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3"/>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-893,417.00</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right"/>
              <w:rPr>
                <w:rFonts w:ascii="Times New Roman" w:hAnsi="Times New Roman" w:cs="Times New Roman" w:eastAsia="Times New Roman" w:hint="default"/>
                <w:sz w:val="18"/>
                <w:szCs w:val="18"/>
              </w:rPr>
            </w:pPr>
            <w:r>
              <w:rPr>
                <w:rFonts w:ascii="Times New Roman"/>
                <w:spacing w:val="-1"/>
                <w:sz w:val="18"/>
              </w:rPr>
              <w:t>-1,440,750.00</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179,511,829.97</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98,529,950.49</w:t>
            </w:r>
          </w:p>
        </w:tc>
      </w:tr>
      <w:tr>
        <w:trPr>
          <w:trHeight w:val="346"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2,063,833.52</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7,654,285.00</w:t>
            </w:r>
          </w:p>
        </w:tc>
      </w:tr>
      <w:tr>
        <w:trPr>
          <w:trHeight w:val="348" w:hRule="exact"/>
        </w:trPr>
        <w:tc>
          <w:tcPr>
            <w:tcW w:w="16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40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182,469,080.49</w:t>
            </w:r>
          </w:p>
        </w:tc>
        <w:tc>
          <w:tcPr>
            <w:tcW w:w="3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107,624,985.49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487" w:lineRule="auto" w:before="36"/>
        <w:ind w:left="153" w:right="798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按应税销售收入计缴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按应税营业收入计缴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按应纳增值税、消费税、营业税税额计 缴</w:t>
            </w:r>
          </w:p>
        </w:tc>
        <w:tc>
          <w:tcPr>
            <w:tcW w:w="31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tcPr>
          <w:p>
            <w:pPr/>
          </w:p>
        </w:tc>
        <w:tc>
          <w:tcPr>
            <w:tcW w:w="3191"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1" w:type="dxa"/>
            <w:vMerge/>
            <w:tcBorders>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spacing w:line="240" w:lineRule="auto" w:before="2"/>
        <w:rPr>
          <w:rFonts w:ascii="宋体" w:hAnsi="宋体" w:cs="宋体" w:eastAsia="宋体" w:hint="default"/>
          <w:b/>
          <w:bCs/>
          <w:sz w:val="27"/>
          <w:szCs w:val="27"/>
        </w:rPr>
      </w:pPr>
    </w:p>
    <w:p>
      <w:pPr>
        <w:pStyle w:val="BodyText"/>
        <w:spacing w:line="240" w:lineRule="auto" w:before="44"/>
        <w:ind w:right="498"/>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上海夏尔软件有限公司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上海汉得融晶信息科技有限公司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上海汉得商业保理有限公司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上海汉得微扬信息技术有限公司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上海汉得知云软件有限公司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jc w:val="left"/>
      </w:pPr>
      <w:r>
        <w:rPr/>
        <w:t>本公司 </w:t>
      </w:r>
      <w:r>
        <w:rPr>
          <w:rFonts w:ascii="Times New Roman" w:hAnsi="Times New Roman" w:cs="Times New Roman" w:eastAsia="Times New Roman" w:hint="default"/>
        </w:rPr>
        <w:t>2015 </w:t>
      </w:r>
      <w:r>
        <w:rPr/>
        <w:t>年度</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年度被认定为高新技术企业。根据《中华人民共和国企业所得税法》的规定：国家重点扶持高新技 术企业减按</w:t>
      </w:r>
      <w:r>
        <w:rPr>
          <w:spacing w:val="-47"/>
        </w:rPr>
        <w:t> </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2015 </w:t>
      </w:r>
      <w:r>
        <w:rPr/>
        <w:t>年度按照</w:t>
      </w:r>
      <w:r>
        <w:rPr>
          <w:spacing w:val="-49"/>
        </w:rPr>
        <w:t> </w:t>
      </w:r>
      <w:r>
        <w:rPr>
          <w:rFonts w:ascii="Times New Roman" w:hAnsi="Times New Roman" w:cs="Times New Roman" w:eastAsia="Times New Roman" w:hint="default"/>
        </w:rPr>
        <w:t>15%</w:t>
      </w:r>
      <w:r>
        <w:rPr/>
        <w:t>计缴企业所得税。</w:t>
      </w:r>
    </w:p>
    <w:p>
      <w:pPr>
        <w:pStyle w:val="BodyText"/>
        <w:spacing w:line="319" w:lineRule="auto" w:before="53"/>
        <w:ind w:right="146"/>
        <w:jc w:val="left"/>
      </w:pPr>
      <w:r>
        <w:rPr/>
        <w:t>本公司子公司夏尔软件 </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年度被认定为高新技术企业。根据《中华人民共和国企业所得税法》的规定：国家 重点扶持高新技术企业减按</w:t>
      </w:r>
      <w:r>
        <w:rPr>
          <w:spacing w:val="-45"/>
        </w:rPr>
        <w:t> </w:t>
      </w:r>
      <w:r>
        <w:rPr>
          <w:rFonts w:ascii="Times New Roman" w:hAnsi="Times New Roman" w:cs="Times New Roman" w:eastAsia="Times New Roman" w:hint="default"/>
        </w:rPr>
        <w:t>15%</w:t>
      </w:r>
      <w:r>
        <w:rPr/>
        <w:t>的税率征收企业所得税。夏尔软件</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年度按照</w:t>
      </w:r>
      <w:r>
        <w:rPr>
          <w:spacing w:val="-46"/>
        </w:rPr>
        <w:t> </w:t>
      </w:r>
      <w:r>
        <w:rPr>
          <w:rFonts w:ascii="Times New Roman" w:hAnsi="Times New Roman" w:cs="Times New Roman" w:eastAsia="Times New Roman" w:hint="default"/>
        </w:rPr>
        <w:t>15%</w:t>
      </w:r>
      <w:r>
        <w:rPr/>
        <w:t>计缴企业所得税。 </w:t>
      </w:r>
      <w:r>
        <w:rPr>
          <w:spacing w:val="-1"/>
        </w:rPr>
        <w:t>本公司按沪国税浦十五</w:t>
      </w:r>
      <w:r>
        <w:rPr>
          <w:rFonts w:ascii="Times New Roman" w:hAnsi="Times New Roman" w:cs="Times New Roman" w:eastAsia="Times New Roman" w:hint="default"/>
          <w:spacing w:val="-1"/>
        </w:rPr>
        <w:t>[2014]000068</w:t>
      </w:r>
      <w:r>
        <w:rPr>
          <w:rFonts w:ascii="Times New Roman" w:hAnsi="Times New Roman" w:cs="Times New Roman" w:eastAsia="Times New Roman" w:hint="default"/>
        </w:rPr>
        <w:t> </w:t>
      </w:r>
      <w:r>
        <w:rPr>
          <w:spacing w:val="-2"/>
        </w:rPr>
        <w:t>号文件，根据财税</w:t>
      </w:r>
      <w:r>
        <w:rPr>
          <w:rFonts w:ascii="Times New Roman" w:hAnsi="Times New Roman" w:cs="Times New Roman" w:eastAsia="Times New Roman" w:hint="default"/>
          <w:spacing w:val="-2"/>
        </w:rPr>
        <w:t>[2011]100</w:t>
      </w:r>
      <w:r>
        <w:rPr>
          <w:rFonts w:ascii="Times New Roman" w:hAnsi="Times New Roman" w:cs="Times New Roman" w:eastAsia="Times New Roman" w:hint="default"/>
        </w:rPr>
        <w:t> </w:t>
      </w:r>
      <w:r>
        <w:rPr>
          <w:spacing w:val="-8"/>
        </w:rPr>
        <w:t>号《关于软件产品增值税政策的通知》，按</w:t>
      </w:r>
      <w:r>
        <w:rPr>
          <w:spacing w:val="-5"/>
        </w:rPr>
        <w:t> </w:t>
      </w:r>
      <w:r>
        <w:rPr>
          <w:rFonts w:ascii="Times New Roman" w:hAnsi="Times New Roman" w:cs="Times New Roman" w:eastAsia="Times New Roman" w:hint="default"/>
        </w:rPr>
        <w:t>17%</w:t>
      </w:r>
      <w:r>
        <w:rPr/>
        <w:t>税率征收增</w:t>
      </w:r>
    </w:p>
    <w:p>
      <w:pPr>
        <w:pStyle w:val="BodyText"/>
        <w:spacing w:line="246" w:lineRule="exact"/>
        <w:ind w:right="498"/>
        <w:jc w:val="left"/>
      </w:pPr>
      <w:r>
        <w:rPr/>
        <w:t>值税后，对其增值税实际税负超过</w:t>
      </w:r>
      <w:r>
        <w:rPr>
          <w:spacing w:val="-45"/>
        </w:rPr>
        <w:t> </w:t>
      </w:r>
      <w:r>
        <w:rPr>
          <w:rFonts w:ascii="Times New Roman" w:hAnsi="Times New Roman" w:cs="Times New Roman" w:eastAsia="Times New Roman" w:hint="default"/>
        </w:rPr>
        <w:t>3%</w:t>
      </w:r>
      <w:r>
        <w:rPr/>
        <w:t>的部分实行即征即退政策。</w:t>
      </w:r>
    </w:p>
    <w:p>
      <w:pPr>
        <w:pStyle w:val="BodyText"/>
        <w:spacing w:line="300" w:lineRule="auto" w:before="101"/>
        <w:ind w:right="148" w:firstLine="45"/>
        <w:jc w:val="both"/>
      </w:pPr>
      <w:r>
        <w:rPr>
          <w:spacing w:val="-1"/>
        </w:rPr>
        <w:t>本公司子公司夏尔软件按沪国税浦十五</w:t>
      </w:r>
      <w:r>
        <w:rPr>
          <w:rFonts w:ascii="Times New Roman" w:hAnsi="Times New Roman" w:cs="Times New Roman" w:eastAsia="Times New Roman" w:hint="default"/>
          <w:spacing w:val="-1"/>
        </w:rPr>
        <w:t>[2014]000068</w:t>
      </w:r>
      <w:r>
        <w:rPr>
          <w:rFonts w:ascii="Times New Roman" w:hAnsi="Times New Roman" w:cs="Times New Roman" w:eastAsia="Times New Roman" w:hint="default"/>
        </w:rPr>
        <w:t> </w:t>
      </w:r>
      <w:r>
        <w:rPr>
          <w:spacing w:val="-1"/>
        </w:rPr>
        <w:t>号文件，根据财税</w:t>
      </w:r>
      <w:r>
        <w:rPr>
          <w:rFonts w:ascii="Times New Roman" w:hAnsi="Times New Roman" w:cs="Times New Roman" w:eastAsia="Times New Roman" w:hint="default"/>
          <w:spacing w:val="-1"/>
        </w:rPr>
        <w:t>[2011]100</w:t>
      </w:r>
      <w:r>
        <w:rPr>
          <w:rFonts w:ascii="Times New Roman" w:hAnsi="Times New Roman" w:cs="Times New Roman" w:eastAsia="Times New Roman" w:hint="default"/>
          <w:spacing w:val="41"/>
        </w:rPr>
        <w:t> </w:t>
      </w:r>
      <w:r>
        <w:rPr>
          <w:spacing w:val="-6"/>
        </w:rPr>
        <w:t>号《关于软件产品增值税政策的通知》，</w:t>
      </w:r>
      <w:r>
        <w:rPr/>
        <w:t> 夏尔软件销售其自行开发生产的软件产品，按</w:t>
      </w:r>
      <w:r>
        <w:rPr>
          <w:spacing w:val="-56"/>
        </w:rPr>
        <w:t> </w:t>
      </w:r>
      <w:r>
        <w:rPr>
          <w:rFonts w:ascii="Times New Roman" w:hAnsi="Times New Roman" w:cs="Times New Roman" w:eastAsia="Times New Roman" w:hint="default"/>
        </w:rPr>
        <w:t>17%</w:t>
      </w:r>
      <w:r>
        <w:rPr/>
        <w:t>税率征收增值税后，对其增值税实际税负超过</w:t>
      </w:r>
      <w:r>
        <w:rPr>
          <w:spacing w:val="-56"/>
        </w:rPr>
        <w:t> </w:t>
      </w:r>
      <w:r>
        <w:rPr>
          <w:rFonts w:ascii="Times New Roman" w:hAnsi="Times New Roman" w:cs="Times New Roman" w:eastAsia="Times New Roman" w:hint="default"/>
        </w:rPr>
        <w:t>3%</w:t>
      </w:r>
      <w:r>
        <w:rPr/>
        <w:t>的部分实行即征即退政 策，期限自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w:t>
      </w:r>
    </w:p>
    <w:p>
      <w:pPr>
        <w:pStyle w:val="BodyText"/>
        <w:spacing w:line="240" w:lineRule="auto" w:before="53"/>
        <w:ind w:right="0"/>
        <w:jc w:val="left"/>
        <w:rPr>
          <w:rFonts w:ascii="Times New Roman" w:hAnsi="Times New Roman" w:cs="Times New Roman" w:eastAsia="Times New Roman" w:hint="default"/>
        </w:rPr>
      </w:pPr>
      <w:r>
        <w:rPr/>
        <w:t>本公司子公司汉得融晶</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年度被认定为高新技术企业，按沪地税青四</w:t>
      </w:r>
      <w:r>
        <w:rPr>
          <w:rFonts w:ascii="Times New Roman" w:hAnsi="Times New Roman" w:cs="Times New Roman" w:eastAsia="Times New Roman" w:hint="default"/>
        </w:rPr>
        <w:t>[2015]00001</w:t>
      </w:r>
      <w:r>
        <w:rPr>
          <w:rFonts w:ascii="Times New Roman" w:hAnsi="Times New Roman" w:cs="Times New Roman" w:eastAsia="Times New Roman" w:hint="default"/>
          <w:spacing w:val="-9"/>
        </w:rPr>
        <w:t> </w:t>
      </w:r>
      <w:r>
        <w:rPr/>
        <w:t>号文件，企业所得税自</w:t>
      </w:r>
      <w:r>
        <w:rPr>
          <w:spacing w:val="-55"/>
        </w:rPr>
        <w:t> </w:t>
      </w:r>
      <w:r>
        <w:rPr>
          <w:rFonts w:ascii="Times New Roman" w:hAnsi="Times New Roman" w:cs="Times New Roman" w:eastAsia="Times New Roman" w:hint="default"/>
        </w:rPr>
        <w:t>2014</w:t>
      </w:r>
    </w:p>
    <w:p>
      <w:pPr>
        <w:pStyle w:val="BodyText"/>
        <w:spacing w:line="240" w:lineRule="auto" w:before="63"/>
        <w:ind w:right="498"/>
        <w:jc w:val="left"/>
      </w:pPr>
      <w:r>
        <w:rPr/>
        <w:t>年度至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年度减按</w:t>
      </w:r>
      <w:r>
        <w:rPr>
          <w:spacing w:val="-48"/>
        </w:rPr>
        <w:t> </w:t>
      </w:r>
      <w:r>
        <w:rPr>
          <w:rFonts w:ascii="Times New Roman" w:hAnsi="Times New Roman" w:cs="Times New Roman" w:eastAsia="Times New Roman" w:hint="default"/>
        </w:rPr>
        <w:t>15</w:t>
      </w:r>
      <w:r>
        <w:rPr/>
        <w:t>％计缴。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50"/>
        <w:jc w:val="both"/>
      </w:pPr>
      <w:r>
        <w:rPr>
          <w:rFonts w:ascii="Times New Roman" w:hAnsi="Times New Roman" w:cs="Times New Roman" w:eastAsia="Times New Roman" w:hint="default"/>
        </w:rPr>
        <w:t>1</w:t>
      </w:r>
      <w:r>
        <w:rPr/>
        <w:t>、子公司汉得日本法人税税率为课税所得的</w:t>
      </w:r>
      <w:r>
        <w:rPr>
          <w:spacing w:val="-58"/>
        </w:rPr>
        <w:t> </w:t>
      </w:r>
      <w:r>
        <w:rPr>
          <w:rFonts w:ascii="Times New Roman" w:hAnsi="Times New Roman" w:cs="Times New Roman" w:eastAsia="Times New Roman" w:hint="default"/>
        </w:rPr>
        <w:t>25.5%</w:t>
      </w:r>
      <w:r>
        <w:rPr/>
        <w:t>，课税留保金額的</w:t>
      </w:r>
      <w:r>
        <w:rPr>
          <w:spacing w:val="-59"/>
        </w:rPr>
        <w:t> </w:t>
      </w:r>
      <w:r>
        <w:rPr>
          <w:rFonts w:ascii="Times New Roman" w:hAnsi="Times New Roman" w:cs="Times New Roman" w:eastAsia="Times New Roman" w:hint="default"/>
        </w:rPr>
        <w:t>10%</w:t>
      </w:r>
      <w:r>
        <w:rPr/>
        <w:t>；地方法人税税率为法人税税额的</w:t>
      </w:r>
      <w:r>
        <w:rPr>
          <w:spacing w:val="-58"/>
        </w:rPr>
        <w:t> </w:t>
      </w:r>
      <w:r>
        <w:rPr>
          <w:rFonts w:ascii="Times New Roman" w:hAnsi="Times New Roman" w:cs="Times New Roman" w:eastAsia="Times New Roman" w:hint="default"/>
        </w:rPr>
        <w:t>4.4%</w:t>
      </w:r>
      <w:r>
        <w:rPr/>
        <w:t>；法人都 民税税率为法人税税额的 </w:t>
      </w:r>
      <w:r>
        <w:rPr>
          <w:rFonts w:ascii="Times New Roman" w:hAnsi="Times New Roman" w:cs="Times New Roman" w:eastAsia="Times New Roman" w:hint="default"/>
        </w:rPr>
        <w:t>16.3%</w:t>
      </w:r>
      <w:r>
        <w:rPr/>
        <w:t>加上定额 </w:t>
      </w:r>
      <w:r>
        <w:rPr>
          <w:rFonts w:ascii="Times New Roman" w:hAnsi="Times New Roman" w:cs="Times New Roman" w:eastAsia="Times New Roman" w:hint="default"/>
        </w:rPr>
        <w:t>70,000</w:t>
      </w:r>
      <w:r>
        <w:rPr>
          <w:rFonts w:ascii="Times New Roman" w:hAnsi="Times New Roman" w:cs="Times New Roman" w:eastAsia="Times New Roman" w:hint="default"/>
          <w:spacing w:val="-11"/>
        </w:rPr>
        <w:t> </w:t>
      </w:r>
      <w:r>
        <w:rPr/>
        <w:t>日元；法人事业税和地方法人特别税的税率如下（其中地方法人特别税减 按</w:t>
      </w:r>
      <w:r>
        <w:rPr>
          <w:spacing w:val="-38"/>
        </w:rPr>
        <w:t> </w:t>
      </w:r>
      <w:r>
        <w:rPr>
          <w:rFonts w:ascii="Times New Roman" w:hAnsi="Times New Roman" w:cs="Times New Roman" w:eastAsia="Times New Roman" w:hint="default"/>
          <w:spacing w:val="-11"/>
        </w:rPr>
        <w:t>43.2%</w:t>
      </w:r>
      <w:r>
        <w:rPr>
          <w:spacing w:val="-11"/>
        </w:rPr>
        <w:t>征收）：</w:t>
      </w:r>
    </w:p>
    <w:p>
      <w:pPr>
        <w:spacing w:line="240" w:lineRule="auto" w:before="5"/>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4124"/>
        <w:gridCol w:w="2790"/>
        <w:gridCol w:w="2746"/>
      </w:tblGrid>
      <w:tr>
        <w:trPr>
          <w:trHeight w:val="347" w:hRule="exact"/>
        </w:trPr>
        <w:tc>
          <w:tcPr>
            <w:tcW w:w="412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课税所得额</w:t>
            </w:r>
          </w:p>
        </w:tc>
        <w:tc>
          <w:tcPr>
            <w:tcW w:w="5536"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46" w:hRule="exact"/>
        </w:trPr>
        <w:tc>
          <w:tcPr>
            <w:tcW w:w="4124" w:type="dxa"/>
            <w:vMerge/>
            <w:tcBorders>
              <w:left w:val="single" w:sz="6" w:space="0" w:color="000000"/>
              <w:bottom w:val="single" w:sz="6" w:space="0" w:color="000000"/>
              <w:right w:val="single" w:sz="6" w:space="0" w:color="000000"/>
            </w:tcBorders>
            <w:shd w:val="clear" w:color="auto" w:fill="D9D9D9"/>
          </w:tcPr>
          <w:p>
            <w:pPr/>
          </w:p>
        </w:tc>
        <w:tc>
          <w:tcPr>
            <w:tcW w:w="27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7" w:right="0"/>
              <w:jc w:val="center"/>
              <w:rPr>
                <w:rFonts w:ascii="宋体" w:hAnsi="宋体" w:cs="宋体" w:eastAsia="宋体" w:hint="default"/>
                <w:sz w:val="18"/>
                <w:szCs w:val="18"/>
              </w:rPr>
            </w:pPr>
            <w:r>
              <w:rPr>
                <w:rFonts w:ascii="宋体" w:hAnsi="宋体" w:cs="宋体" w:eastAsia="宋体" w:hint="default"/>
                <w:sz w:val="18"/>
                <w:szCs w:val="18"/>
              </w:rPr>
              <w:t>法人事业税</w:t>
            </w:r>
          </w:p>
        </w:tc>
        <w:tc>
          <w:tcPr>
            <w:tcW w:w="27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地方法人特别税</w:t>
            </w:r>
          </w:p>
        </w:tc>
      </w:tr>
      <w:tr>
        <w:trPr>
          <w:trHeight w:val="348" w:hRule="exact"/>
        </w:trPr>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0-400</w:t>
            </w:r>
            <w:r>
              <w:rPr>
                <w:rFonts w:ascii="宋体" w:hAnsi="宋体" w:cs="宋体" w:eastAsia="宋体" w:hint="default"/>
                <w:sz w:val="18"/>
                <w:szCs w:val="18"/>
              </w:rPr>
              <w:t>万日元</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3.65%</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3.40%</w:t>
            </w:r>
          </w:p>
        </w:tc>
      </w:tr>
      <w:tr>
        <w:trPr>
          <w:trHeight w:val="348" w:hRule="exact"/>
        </w:trPr>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400-800</w:t>
            </w:r>
            <w:r>
              <w:rPr>
                <w:rFonts w:ascii="宋体" w:hAnsi="宋体" w:cs="宋体" w:eastAsia="宋体" w:hint="default"/>
                <w:sz w:val="18"/>
                <w:szCs w:val="18"/>
              </w:rPr>
              <w:t>万日元</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9" w:right="0"/>
              <w:jc w:val="center"/>
              <w:rPr>
                <w:rFonts w:ascii="Times New Roman" w:hAnsi="Times New Roman" w:cs="Times New Roman" w:eastAsia="Times New Roman" w:hint="default"/>
                <w:sz w:val="18"/>
                <w:szCs w:val="18"/>
              </w:rPr>
            </w:pPr>
            <w:r>
              <w:rPr>
                <w:rFonts w:ascii="Times New Roman"/>
                <w:sz w:val="18"/>
              </w:rPr>
              <w:t>5.465%</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5.10%</w:t>
            </w:r>
          </w:p>
        </w:tc>
      </w:tr>
      <w:tr>
        <w:trPr>
          <w:trHeight w:val="346" w:hRule="exact"/>
        </w:trPr>
        <w:tc>
          <w:tcPr>
            <w:tcW w:w="4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宋体" w:hAnsi="宋体" w:cs="宋体" w:eastAsia="宋体" w:hint="default"/>
                <w:sz w:val="18"/>
                <w:szCs w:val="18"/>
              </w:rPr>
              <w:t>万日元以上</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7.18%</w:t>
            </w:r>
          </w:p>
        </w:tc>
        <w:tc>
          <w:tcPr>
            <w:tcW w:w="2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6.70%</w:t>
            </w:r>
          </w:p>
        </w:tc>
      </w:tr>
    </w:tbl>
    <w:p>
      <w:pPr>
        <w:pStyle w:val="BodyText"/>
        <w:spacing w:line="240" w:lineRule="auto" w:before="49"/>
        <w:ind w:right="498"/>
        <w:jc w:val="left"/>
      </w:pPr>
      <w:r>
        <w:rPr>
          <w:rFonts w:ascii="Times New Roman" w:hAnsi="Times New Roman" w:cs="Times New Roman" w:eastAsia="Times New Roman" w:hint="default"/>
        </w:rPr>
        <w:t>2</w:t>
      </w:r>
      <w:r>
        <w:rPr/>
        <w:t>、子公司汉得美国</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827"/>
        <w:gridCol w:w="4832"/>
      </w:tblGrid>
      <w:tr>
        <w:trPr>
          <w:trHeight w:val="346" w:hRule="exact"/>
        </w:trPr>
        <w:tc>
          <w:tcPr>
            <w:tcW w:w="4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税费</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w:t>
            </w:r>
            <w:r>
              <w:rPr>
                <w:rFonts w:ascii="宋体" w:hAnsi="宋体" w:cs="宋体" w:eastAsia="宋体" w:hint="default"/>
                <w:sz w:val="18"/>
                <w:szCs w:val="18"/>
              </w:rPr>
              <w:t>美元以内的部分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346"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50000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7500+25%</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75000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13750+34%</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22250+39%</w:t>
            </w:r>
          </w:p>
        </w:tc>
      </w:tr>
      <w:tr>
        <w:trPr>
          <w:trHeight w:val="346"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335000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113900+34%</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3400000+35%</w:t>
            </w:r>
          </w:p>
        </w:tc>
      </w:tr>
      <w:tr>
        <w:trPr>
          <w:trHeight w:val="346"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15000000</w:t>
            </w:r>
            <w:r>
              <w:rPr>
                <w:rFonts w:ascii="宋体" w:hAnsi="宋体" w:cs="宋体" w:eastAsia="宋体" w:hint="default"/>
                <w:sz w:val="18"/>
                <w:szCs w:val="18"/>
              </w:rPr>
              <w:t>美元至</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5150000+38%</w:t>
            </w:r>
          </w:p>
        </w:tc>
      </w:tr>
      <w:tr>
        <w:trPr>
          <w:trHeight w:val="348" w:hRule="exact"/>
        </w:trPr>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超过</w:t>
            </w:r>
            <w:r>
              <w:rPr>
                <w:rFonts w:ascii="Times New Roman" w:hAnsi="Times New Roman" w:cs="Times New Roman" w:eastAsia="Times New Roman" w:hint="default"/>
                <w:sz w:val="18"/>
                <w:szCs w:val="18"/>
              </w:rPr>
              <w:t>18333333</w:t>
            </w:r>
            <w:r>
              <w:rPr>
                <w:rFonts w:ascii="宋体" w:hAnsi="宋体" w:cs="宋体" w:eastAsia="宋体" w:hint="default"/>
                <w:sz w:val="18"/>
                <w:szCs w:val="18"/>
              </w:rPr>
              <w:t>美元的部分</w:t>
            </w:r>
          </w:p>
        </w:tc>
        <w:tc>
          <w:tcPr>
            <w:tcW w:w="4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35%</w:t>
            </w:r>
          </w:p>
        </w:tc>
      </w:tr>
    </w:tbl>
    <w:p>
      <w:pPr>
        <w:spacing w:line="240" w:lineRule="auto" w:before="1"/>
        <w:rPr>
          <w:rFonts w:ascii="宋体" w:hAnsi="宋体" w:cs="宋体" w:eastAsia="宋体" w:hint="default"/>
          <w:sz w:val="18"/>
          <w:szCs w:val="18"/>
        </w:rPr>
      </w:pPr>
    </w:p>
    <w:p>
      <w:pPr>
        <w:pStyle w:val="Heading2"/>
        <w:spacing w:line="240" w:lineRule="auto" w:before="26"/>
        <w:ind w:right="498"/>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215,236.92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55,348.70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939,043,698.05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797,436,153.14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5,335,590.40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944,594,525.37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32,322,123.08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16,888,757.19</w:t>
            </w:r>
          </w:p>
        </w:tc>
      </w:tr>
    </w:tbl>
    <w:p>
      <w:pPr>
        <w:pStyle w:val="BodyText"/>
        <w:spacing w:line="240" w:lineRule="auto" w:before="49"/>
        <w:ind w:right="498"/>
        <w:jc w:val="left"/>
      </w:pPr>
      <w:r>
        <w:rPr/>
        <w:t>其他说明</w:t>
      </w:r>
    </w:p>
    <w:p>
      <w:pPr>
        <w:pStyle w:val="BodyText"/>
        <w:spacing w:line="240" w:lineRule="auto" w:before="115"/>
        <w:ind w:right="498"/>
        <w:jc w:val="left"/>
      </w:pPr>
      <w:r>
        <w:rPr>
          <w:rFonts w:ascii="Times New Roman" w:hAnsi="Times New Roman" w:cs="Times New Roman" w:eastAsia="Times New Roman" w:hint="default"/>
        </w:rPr>
        <w:t>1</w:t>
      </w:r>
      <w:r>
        <w:rPr/>
        <w:t>、</w:t>
      </w:r>
      <w:r>
        <w:rPr>
          <w:spacing w:val="59"/>
        </w:rPr>
        <w:t> </w:t>
      </w:r>
      <w:r>
        <w:rPr/>
        <w:t>其中受限制的货币资金明细如下：</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4126"/>
        <w:gridCol w:w="2768"/>
        <w:gridCol w:w="2765"/>
      </w:tblGrid>
      <w:tr>
        <w:trPr>
          <w:trHeight w:val="348" w:hRule="exact"/>
        </w:trPr>
        <w:tc>
          <w:tcPr>
            <w:tcW w:w="4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远期结售汇保证金</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5" w:right="0"/>
              <w:jc w:val="left"/>
              <w:rPr>
                <w:rFonts w:ascii="Times New Roman" w:hAnsi="Times New Roman" w:cs="Times New Roman" w:eastAsia="Times New Roman" w:hint="default"/>
                <w:sz w:val="18"/>
                <w:szCs w:val="18"/>
              </w:rPr>
            </w:pPr>
            <w:r>
              <w:rPr>
                <w:rFonts w:ascii="Times New Roman"/>
                <w:sz w:val="18"/>
              </w:rPr>
              <w:t>5,335,590.40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2" w:right="0"/>
              <w:jc w:val="left"/>
              <w:rPr>
                <w:rFonts w:ascii="Times New Roman" w:hAnsi="Times New Roman" w:cs="Times New Roman" w:eastAsia="Times New Roman" w:hint="default"/>
                <w:sz w:val="18"/>
                <w:szCs w:val="18"/>
              </w:rPr>
            </w:pPr>
            <w:r>
              <w:rPr>
                <w:rFonts w:ascii="Times New Roman"/>
                <w:sz w:val="18"/>
              </w:rPr>
              <w:t>1,130,000.00</w:t>
            </w:r>
          </w:p>
        </w:tc>
      </w:tr>
    </w:tbl>
    <w:p>
      <w:pPr>
        <w:pStyle w:val="BodyText"/>
        <w:spacing w:line="240" w:lineRule="auto" w:before="49"/>
        <w:ind w:right="498"/>
        <w:jc w:val="left"/>
      </w:pPr>
      <w:r>
        <w:rPr>
          <w:rFonts w:ascii="Times New Roman" w:hAnsi="Times New Roman" w:cs="Times New Roman" w:eastAsia="Times New Roman" w:hint="default"/>
        </w:rPr>
        <w:t>2</w:t>
      </w:r>
      <w:r>
        <w:rPr/>
        <w:t>、</w:t>
      </w:r>
      <w:r>
        <w:rPr>
          <w:spacing w:val="59"/>
        </w:rPr>
        <w:t> </w:t>
      </w:r>
      <w:r>
        <w:rPr/>
        <w:t>银行存款中定期及结构性存款明细：</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861"/>
        <w:gridCol w:w="1966"/>
        <w:gridCol w:w="1442"/>
        <w:gridCol w:w="1078"/>
        <w:gridCol w:w="1159"/>
        <w:gridCol w:w="1156"/>
      </w:tblGrid>
      <w:tr>
        <w:trPr>
          <w:trHeight w:val="346" w:hRule="exact"/>
        </w:trPr>
        <w:tc>
          <w:tcPr>
            <w:tcW w:w="28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银行名称</w:t>
            </w:r>
          </w:p>
        </w:tc>
        <w:tc>
          <w:tcPr>
            <w:tcW w:w="1966"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6"/>
              <w:ind w:left="6" w:right="0"/>
              <w:jc w:val="center"/>
              <w:rPr>
                <w:rFonts w:ascii="宋体" w:hAnsi="宋体" w:cs="宋体" w:eastAsia="宋体" w:hint="default"/>
                <w:sz w:val="16"/>
                <w:szCs w:val="16"/>
              </w:rPr>
            </w:pPr>
            <w:r>
              <w:rPr>
                <w:rFonts w:ascii="宋体" w:hAnsi="宋体" w:cs="宋体" w:eastAsia="宋体" w:hint="default"/>
                <w:sz w:val="16"/>
                <w:szCs w:val="16"/>
              </w:rPr>
              <w:t>银行账号</w:t>
            </w:r>
          </w:p>
        </w:tc>
        <w:tc>
          <w:tcPr>
            <w:tcW w:w="144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6"/>
              <w:ind w:left="395" w:right="0"/>
              <w:jc w:val="left"/>
              <w:rPr>
                <w:rFonts w:ascii="宋体" w:hAnsi="宋体" w:cs="宋体" w:eastAsia="宋体" w:hint="default"/>
                <w:sz w:val="16"/>
                <w:szCs w:val="16"/>
              </w:rPr>
            </w:pPr>
            <w:r>
              <w:rPr>
                <w:rFonts w:ascii="宋体" w:hAnsi="宋体" w:cs="宋体" w:eastAsia="宋体" w:hint="default"/>
                <w:sz w:val="16"/>
                <w:szCs w:val="16"/>
              </w:rPr>
              <w:t>年末余额</w:t>
            </w:r>
          </w:p>
        </w:tc>
        <w:tc>
          <w:tcPr>
            <w:tcW w:w="107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36"/>
              <w:ind w:left="211" w:right="0"/>
              <w:jc w:val="left"/>
              <w:rPr>
                <w:rFonts w:ascii="宋体" w:hAnsi="宋体" w:cs="宋体" w:eastAsia="宋体" w:hint="default"/>
                <w:sz w:val="16"/>
                <w:szCs w:val="16"/>
              </w:rPr>
            </w:pPr>
            <w:r>
              <w:rPr>
                <w:rFonts w:ascii="宋体" w:hAnsi="宋体" w:cs="宋体" w:eastAsia="宋体" w:hint="default"/>
                <w:sz w:val="16"/>
                <w:szCs w:val="16"/>
              </w:rPr>
              <w:t>存储形式</w:t>
            </w:r>
          </w:p>
        </w:tc>
        <w:tc>
          <w:tcPr>
            <w:tcW w:w="231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6"/>
              <w:ind w:right="1"/>
              <w:jc w:val="center"/>
              <w:rPr>
                <w:rFonts w:ascii="宋体" w:hAnsi="宋体" w:cs="宋体" w:eastAsia="宋体" w:hint="default"/>
                <w:sz w:val="16"/>
                <w:szCs w:val="16"/>
              </w:rPr>
            </w:pPr>
            <w:r>
              <w:rPr>
                <w:rFonts w:ascii="宋体" w:hAnsi="宋体" w:cs="宋体" w:eastAsia="宋体" w:hint="default"/>
                <w:sz w:val="16"/>
                <w:szCs w:val="16"/>
              </w:rPr>
              <w:t>期限</w:t>
            </w:r>
          </w:p>
        </w:tc>
      </w:tr>
      <w:tr>
        <w:trPr>
          <w:trHeight w:val="348" w:hRule="exact"/>
        </w:trPr>
        <w:tc>
          <w:tcPr>
            <w:tcW w:w="2861" w:type="dxa"/>
            <w:vMerge/>
            <w:tcBorders>
              <w:left w:val="single" w:sz="6" w:space="0" w:color="000000"/>
              <w:bottom w:val="single" w:sz="6" w:space="0" w:color="000000"/>
              <w:right w:val="single" w:sz="6" w:space="0" w:color="000000"/>
            </w:tcBorders>
            <w:shd w:val="clear" w:color="auto" w:fill="D9D9D9"/>
          </w:tcPr>
          <w:p>
            <w:pPr/>
          </w:p>
        </w:tc>
        <w:tc>
          <w:tcPr>
            <w:tcW w:w="1966" w:type="dxa"/>
            <w:vMerge/>
            <w:tcBorders>
              <w:left w:val="single" w:sz="6" w:space="0" w:color="000000"/>
              <w:bottom w:val="single" w:sz="6" w:space="0" w:color="000000"/>
              <w:right w:val="single" w:sz="6" w:space="0" w:color="000000"/>
            </w:tcBorders>
            <w:shd w:val="clear" w:color="auto" w:fill="D9D9D9"/>
          </w:tcPr>
          <w:p>
            <w:pPr/>
          </w:p>
        </w:tc>
        <w:tc>
          <w:tcPr>
            <w:tcW w:w="1442" w:type="dxa"/>
            <w:vMerge/>
            <w:tcBorders>
              <w:left w:val="single" w:sz="6" w:space="0" w:color="000000"/>
              <w:bottom w:val="single" w:sz="6" w:space="0" w:color="000000"/>
              <w:right w:val="single" w:sz="6" w:space="0" w:color="000000"/>
            </w:tcBorders>
            <w:shd w:val="clear" w:color="auto" w:fill="D9D9D9"/>
          </w:tcPr>
          <w:p>
            <w:pPr/>
          </w:p>
        </w:tc>
        <w:tc>
          <w:tcPr>
            <w:tcW w:w="1078" w:type="dxa"/>
            <w:vMerge/>
            <w:tcBorders>
              <w:left w:val="single" w:sz="6" w:space="0" w:color="000000"/>
              <w:bottom w:val="single" w:sz="6" w:space="0" w:color="000000"/>
              <w:right w:val="single" w:sz="6" w:space="0" w:color="000000"/>
            </w:tcBorders>
            <w:shd w:val="clear" w:color="auto" w:fill="D9D9D9"/>
          </w:tcPr>
          <w:p>
            <w:pPr/>
          </w:p>
        </w:tc>
        <w:tc>
          <w:tcPr>
            <w:tcW w:w="11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251" w:right="0"/>
              <w:jc w:val="left"/>
              <w:rPr>
                <w:rFonts w:ascii="宋体" w:hAnsi="宋体" w:cs="宋体" w:eastAsia="宋体" w:hint="default"/>
                <w:sz w:val="16"/>
                <w:szCs w:val="16"/>
              </w:rPr>
            </w:pPr>
            <w:r>
              <w:rPr>
                <w:rFonts w:ascii="宋体" w:hAnsi="宋体" w:cs="宋体" w:eastAsia="宋体" w:hint="default"/>
                <w:sz w:val="16"/>
                <w:szCs w:val="16"/>
              </w:rPr>
              <w:t>存入日期</w:t>
            </w:r>
          </w:p>
        </w:tc>
        <w:tc>
          <w:tcPr>
            <w:tcW w:w="11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8"/>
              <w:ind w:left="329" w:right="0"/>
              <w:jc w:val="left"/>
              <w:rPr>
                <w:rFonts w:ascii="宋体" w:hAnsi="宋体" w:cs="宋体" w:eastAsia="宋体" w:hint="default"/>
                <w:sz w:val="16"/>
                <w:szCs w:val="16"/>
              </w:rPr>
            </w:pPr>
            <w:r>
              <w:rPr>
                <w:rFonts w:ascii="宋体" w:hAnsi="宋体" w:cs="宋体" w:eastAsia="宋体" w:hint="default"/>
                <w:sz w:val="16"/>
                <w:szCs w:val="16"/>
              </w:rPr>
              <w:t>到期日</w:t>
            </w:r>
          </w:p>
        </w:tc>
      </w:tr>
    </w:tbl>
    <w:p>
      <w:pPr>
        <w:spacing w:after="0" w:line="240" w:lineRule="auto"/>
        <w:jc w:val="left"/>
        <w:rPr>
          <w:rFonts w:ascii="宋体" w:hAnsi="宋体" w:cs="宋体" w:eastAsia="宋体" w:hint="default"/>
          <w:sz w:val="16"/>
          <w:szCs w:val="16"/>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861"/>
        <w:gridCol w:w="1966"/>
        <w:gridCol w:w="1442"/>
        <w:gridCol w:w="1078"/>
        <w:gridCol w:w="1159"/>
        <w:gridCol w:w="1152"/>
      </w:tblGrid>
      <w:tr>
        <w:trPr>
          <w:trHeight w:val="348" w:hRule="exact"/>
        </w:trPr>
        <w:tc>
          <w:tcPr>
            <w:tcW w:w="2861" w:type="dxa"/>
            <w:vMerge w:val="restart"/>
            <w:tcBorders>
              <w:top w:val="single" w:sz="6" w:space="0" w:color="000000"/>
              <w:left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招商银行股份有限公司上海张江支行</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sz w:val="16"/>
              </w:rPr>
              <w:t>12190463158100113</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60,000,000.00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结构性存款</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2015-7-7</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2016-1-7</w:t>
            </w:r>
            <w:r>
              <w:rPr>
                <w:rFonts w:ascii="Times New Roman"/>
                <w:sz w:val="16"/>
              </w:rPr>
            </w:r>
          </w:p>
        </w:tc>
      </w:tr>
      <w:tr>
        <w:trPr>
          <w:trHeight w:val="346" w:hRule="exact"/>
        </w:trPr>
        <w:tc>
          <w:tcPr>
            <w:tcW w:w="2861" w:type="dxa"/>
            <w:vMerge/>
            <w:tcBorders>
              <w:left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sz w:val="16"/>
              </w:rPr>
              <w:t>12190463158100158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40,000,000.00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结构性存款</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2015-12-30</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2016-3-29</w:t>
            </w:r>
            <w:r>
              <w:rPr>
                <w:rFonts w:ascii="Times New Roman"/>
                <w:sz w:val="16"/>
              </w:rPr>
            </w:r>
          </w:p>
        </w:tc>
      </w:tr>
      <w:tr>
        <w:trPr>
          <w:trHeight w:val="348" w:hRule="exact"/>
        </w:trPr>
        <w:tc>
          <w:tcPr>
            <w:tcW w:w="2861" w:type="dxa"/>
            <w:vMerge/>
            <w:tcBorders>
              <w:left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sz w:val="16"/>
              </w:rPr>
              <w:t>12190463158100100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2"/>
                <w:sz w:val="16"/>
              </w:rPr>
              <w:t>30,000,000.00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结构性存款</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Times New Roman" w:hAnsi="Times New Roman" w:cs="Times New Roman" w:eastAsia="Times New Roman" w:hint="default"/>
                <w:sz w:val="16"/>
                <w:szCs w:val="16"/>
              </w:rPr>
            </w:pPr>
            <w:r>
              <w:rPr>
                <w:rFonts w:ascii="Times New Roman"/>
                <w:color w:val="545454"/>
                <w:sz w:val="16"/>
              </w:rPr>
              <w:t>2015-7-7</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Times New Roman" w:hAnsi="Times New Roman" w:cs="Times New Roman" w:eastAsia="Times New Roman" w:hint="default"/>
                <w:sz w:val="16"/>
                <w:szCs w:val="16"/>
              </w:rPr>
            </w:pPr>
            <w:r>
              <w:rPr>
                <w:rFonts w:ascii="Times New Roman"/>
                <w:color w:val="545454"/>
                <w:sz w:val="16"/>
              </w:rPr>
              <w:t>2016-1-7</w:t>
            </w:r>
            <w:r>
              <w:rPr>
                <w:rFonts w:ascii="Times New Roman"/>
                <w:sz w:val="16"/>
              </w:rPr>
            </w:r>
          </w:p>
        </w:tc>
      </w:tr>
      <w:tr>
        <w:trPr>
          <w:trHeight w:val="346" w:hRule="exact"/>
        </w:trPr>
        <w:tc>
          <w:tcPr>
            <w:tcW w:w="2861" w:type="dxa"/>
            <w:vMerge/>
            <w:tcBorders>
              <w:left w:val="single" w:sz="6" w:space="0" w:color="000000"/>
              <w:bottom w:val="single" w:sz="6" w:space="0" w:color="000000"/>
              <w:right w:val="single" w:sz="6" w:space="0" w:color="000000"/>
            </w:tcBorders>
          </w:tcPr>
          <w:p>
            <w:pP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sz w:val="16"/>
              </w:rPr>
              <w:t>12190463158100144</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2"/>
                <w:sz w:val="16"/>
              </w:rPr>
              <w:t>60,000,000.00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结构性存款</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2015-12-30</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2016-1-29</w:t>
            </w:r>
            <w:r>
              <w:rPr>
                <w:rFonts w:ascii="Times New Roman"/>
                <w:sz w:val="16"/>
              </w:rPr>
            </w:r>
          </w:p>
        </w:tc>
      </w:tr>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left"/>
              <w:rPr>
                <w:rFonts w:ascii="宋体" w:hAnsi="宋体" w:cs="宋体" w:eastAsia="宋体" w:hint="default"/>
                <w:sz w:val="16"/>
                <w:szCs w:val="16"/>
              </w:rPr>
            </w:pPr>
            <w:r>
              <w:rPr>
                <w:rFonts w:ascii="宋体" w:hAnsi="宋体" w:cs="宋体" w:eastAsia="宋体" w:hint="default"/>
                <w:sz w:val="16"/>
                <w:szCs w:val="16"/>
              </w:rPr>
              <w:t>兴业银行股份有限公司上海金沙江支行</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sz w:val="16"/>
              </w:rPr>
              <w:t>216280100200084481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1"/>
                <w:sz w:val="16"/>
              </w:rPr>
              <w:t>120,000,000.00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left"/>
              <w:rPr>
                <w:rFonts w:ascii="宋体" w:hAnsi="宋体" w:cs="宋体" w:eastAsia="宋体" w:hint="default"/>
                <w:sz w:val="16"/>
                <w:szCs w:val="16"/>
              </w:rPr>
            </w:pPr>
            <w:r>
              <w:rPr>
                <w:rFonts w:ascii="宋体" w:hAnsi="宋体" w:cs="宋体" w:eastAsia="宋体" w:hint="default"/>
                <w:sz w:val="16"/>
                <w:szCs w:val="16"/>
              </w:rPr>
              <w:t>结构性存款</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Times New Roman" w:hAnsi="Times New Roman" w:cs="Times New Roman" w:eastAsia="Times New Roman" w:hint="default"/>
                <w:sz w:val="16"/>
                <w:szCs w:val="16"/>
              </w:rPr>
            </w:pPr>
            <w:r>
              <w:rPr>
                <w:rFonts w:ascii="Times New Roman"/>
                <w:color w:val="545454"/>
                <w:sz w:val="16"/>
              </w:rPr>
              <w:t>2015-12-25</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Times New Roman" w:hAnsi="Times New Roman" w:cs="Times New Roman" w:eastAsia="Times New Roman" w:hint="default"/>
                <w:sz w:val="16"/>
                <w:szCs w:val="16"/>
              </w:rPr>
            </w:pPr>
            <w:r>
              <w:rPr>
                <w:rFonts w:ascii="Times New Roman"/>
                <w:color w:val="545454"/>
                <w:sz w:val="16"/>
              </w:rPr>
              <w:t>2016-3-25</w:t>
            </w:r>
            <w:r>
              <w:rPr>
                <w:rFonts w:ascii="Times New Roman"/>
                <w:sz w:val="16"/>
              </w:rPr>
            </w:r>
          </w:p>
        </w:tc>
      </w:tr>
      <w:tr>
        <w:trPr>
          <w:trHeight w:val="348"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sz w:val="16"/>
                <w:szCs w:val="16"/>
              </w:rPr>
              <w:t>平安银行股份有限公司上海外滩支行</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sz w:val="16"/>
              </w:rPr>
              <w:t>2000005833556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500,000.00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七天通知</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16"/>
                <w:szCs w:val="16"/>
              </w:rPr>
            </w:pPr>
            <w:r>
              <w:rPr>
                <w:rFonts w:ascii="Times New Roman"/>
                <w:color w:val="545454"/>
                <w:sz w:val="16"/>
              </w:rPr>
              <w:t>2012-3-28</w:t>
            </w:r>
            <w:r>
              <w:rPr>
                <w:rFonts w:ascii="Times New Roman"/>
                <w:sz w:val="16"/>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16"/>
                <w:szCs w:val="16"/>
              </w:rPr>
            </w:pPr>
            <w:r>
              <w:rPr>
                <w:rFonts w:ascii="宋体" w:hAnsi="宋体" w:cs="宋体" w:eastAsia="宋体" w:hint="default"/>
                <w:color w:val="545454"/>
                <w:sz w:val="16"/>
                <w:szCs w:val="16"/>
              </w:rPr>
              <w:t>满七天自动续期</w:t>
            </w:r>
            <w:r>
              <w:rPr>
                <w:rFonts w:ascii="宋体" w:hAnsi="宋体" w:cs="宋体" w:eastAsia="宋体" w:hint="default"/>
                <w:sz w:val="16"/>
                <w:szCs w:val="16"/>
              </w:rPr>
            </w:r>
          </w:p>
        </w:tc>
      </w:tr>
      <w:tr>
        <w:trPr>
          <w:trHeight w:val="346" w:hRule="exact"/>
        </w:trPr>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9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spacing w:val="-1"/>
                <w:sz w:val="16"/>
              </w:rPr>
              <w:t>310,500,000.00</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4" w:right="0"/>
              <w:jc w:val="left"/>
              <w:rPr>
                <w:rFonts w:ascii="宋体" w:hAnsi="宋体" w:cs="宋体" w:eastAsia="宋体" w:hint="default"/>
                <w:sz w:val="16"/>
                <w:szCs w:val="16"/>
              </w:rPr>
            </w:pPr>
            <w:r>
              <w:rPr>
                <w:rFonts w:ascii="宋体"/>
                <w:w w:val="100"/>
                <w:sz w:val="16"/>
              </w:rPr>
              <w:t> </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6"/>
                <w:szCs w:val="16"/>
              </w:rPr>
            </w:pPr>
            <w:r>
              <w:rPr>
                <w:rFonts w:ascii="宋体"/>
                <w:w w:val="100"/>
                <w:sz w:val="16"/>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6"/>
                <w:szCs w:val="16"/>
              </w:rPr>
            </w:pPr>
            <w:r>
              <w:rPr>
                <w:rFonts w:ascii="宋体"/>
                <w:w w:val="100"/>
                <w:sz w:val="16"/>
              </w:rPr>
              <w:t> </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29,902,795.69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17,679,535.00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1,225,260.00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35,672,795.69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18,904,795.00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10,498,836.00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10,498,836.00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line="544" w:lineRule="auto" w:before="36"/>
        <w:ind w:left="153" w:right="4393"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）期末公司因出票人未履约而将其转应收账款的票据</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18"/>
          <w:szCs w:val="18"/>
        </w:rPr>
        <w:t>期末已到期未承兑的应收票据金额为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4,571,771.32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28"/>
        <w:ind w:right="49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644,735,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254.50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132,495,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648.13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20.55%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512,239,6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06.37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539,877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,195.55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80,295,28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459,581,91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5.45</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644,735,</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254.50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132,495,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648.13</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512,239,6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06.37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539,877</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,195.55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80,295,28</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0.10</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459,581,91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5.45</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期末单项金额重大并单项计提坏账准备的应收账款：</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0"/>
        <w:rPr>
          <w:rFonts w:ascii="宋体" w:hAnsi="宋体" w:cs="宋体" w:eastAsia="宋体" w:hint="default"/>
          <w:sz w:val="14"/>
          <w:szCs w:val="14"/>
        </w:rPr>
      </w:pPr>
    </w:p>
    <w:p>
      <w:pPr>
        <w:pStyle w:val="BodyText"/>
        <w:spacing w:line="240" w:lineRule="auto"/>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4" w:space="4715"/>
            <w:col w:w="112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489,449,878.74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24,151,192.74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93,881,840.75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46,940,920.38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43,814,341.21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43,814,341.21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17,589,193.80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17,589,193.80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644,735,254.50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132,495,648.13</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498"/>
        <w:jc w:val="left"/>
      </w:pPr>
      <w:r>
        <w:rPr/>
        <w:t>组合中，采用余额百分比法计提坏账准备的应收账款：</w:t>
      </w:r>
    </w:p>
    <w:p>
      <w:pPr>
        <w:pStyle w:val="BodyText"/>
        <w:spacing w:line="340" w:lineRule="auto" w:before="115"/>
        <w:ind w:right="58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本期计提坏账准备金额</w:t>
      </w:r>
      <w:r>
        <w:rPr>
          <w:spacing w:val="-47"/>
        </w:rPr>
        <w:t> </w:t>
      </w:r>
      <w:r>
        <w:rPr>
          <w:rFonts w:ascii="Times New Roman" w:hAnsi="Times New Roman" w:cs="Times New Roman" w:eastAsia="Times New Roman" w:hint="default"/>
        </w:rPr>
        <w:t>52,360,368.03 </w:t>
      </w:r>
      <w:r>
        <w:rPr/>
        <w:t>元。</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SUNGARD SYSTEMS HONG</w:t>
            </w:r>
            <w:r>
              <w:rPr>
                <w:rFonts w:ascii="Times New Roman"/>
                <w:spacing w:val="-7"/>
                <w:sz w:val="18"/>
              </w:rPr>
              <w:t> </w:t>
            </w:r>
            <w:r>
              <w:rPr>
                <w:rFonts w:ascii="Times New Roman"/>
                <w:sz w:val="18"/>
              </w:rPr>
              <w:t>KONG</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其中重要的应收账款核销情况：</w:t>
      </w:r>
    </w:p>
    <w:p>
      <w:pPr>
        <w:pStyle w:val="BodyText"/>
        <w:spacing w:line="240" w:lineRule="auto" w:before="118"/>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0"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85"/>
              <w:jc w:val="left"/>
              <w:rPr>
                <w:rFonts w:ascii="Times New Roman" w:hAnsi="Times New Roman" w:cs="Times New Roman" w:eastAsia="Times New Roman" w:hint="default"/>
                <w:sz w:val="18"/>
                <w:szCs w:val="18"/>
              </w:rPr>
            </w:pPr>
            <w:r>
              <w:rPr>
                <w:rFonts w:ascii="Times New Roman"/>
                <w:sz w:val="18"/>
              </w:rPr>
              <w:t>SUNGARD</w:t>
            </w:r>
            <w:r>
              <w:rPr>
                <w:rFonts w:ascii="Times New Roman"/>
                <w:w w:val="99"/>
                <w:sz w:val="18"/>
              </w:rPr>
              <w:t> </w:t>
            </w:r>
            <w:r>
              <w:rPr>
                <w:rFonts w:ascii="Times New Roman"/>
                <w:sz w:val="18"/>
              </w:rPr>
              <w:t>SYSTEMS</w:t>
            </w:r>
            <w:r>
              <w:rPr>
                <w:rFonts w:ascii="Times New Roman"/>
                <w:spacing w:val="-2"/>
                <w:sz w:val="18"/>
              </w:rPr>
              <w:t> </w:t>
            </w:r>
            <w:r>
              <w:rPr>
                <w:rFonts w:ascii="Times New Roman"/>
                <w:sz w:val="18"/>
              </w:rPr>
              <w:t>HONG</w:t>
            </w:r>
            <w:r>
              <w:rPr>
                <w:rFonts w:ascii="Times New Roman"/>
                <w:w w:val="99"/>
                <w:sz w:val="18"/>
              </w:rPr>
              <w:t> </w:t>
            </w:r>
            <w:r>
              <w:rPr>
                <w:rFonts w:ascii="Times New Roman"/>
                <w:sz w:val="18"/>
              </w:rPr>
              <w:t>KONG</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z w:val="18"/>
                <w:szCs w:val="18"/>
              </w:rPr>
              <w:t>子公司董事会决议 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3517"/>
        <w:gridCol w:w="2338"/>
        <w:gridCol w:w="1688"/>
        <w:gridCol w:w="2117"/>
      </w:tblGrid>
      <w:tr>
        <w:trPr>
          <w:trHeight w:val="346" w:hRule="exact"/>
        </w:trPr>
        <w:tc>
          <w:tcPr>
            <w:tcW w:w="351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14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0" w:hRule="exact"/>
        </w:trPr>
        <w:tc>
          <w:tcPr>
            <w:tcW w:w="3517" w:type="dxa"/>
            <w:vMerge/>
            <w:tcBorders>
              <w:left w:val="single" w:sz="6" w:space="0" w:color="000000"/>
              <w:bottom w:val="single" w:sz="6" w:space="0" w:color="000000"/>
              <w:right w:val="single" w:sz="6" w:space="0" w:color="000000"/>
            </w:tcBorders>
            <w:shd w:val="clear" w:color="auto" w:fill="D9D9D9"/>
          </w:tcPr>
          <w:p>
            <w:pPr/>
          </w:p>
        </w:tc>
        <w:tc>
          <w:tcPr>
            <w:tcW w:w="23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20" w:right="26"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21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9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21,777,841.27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3.38</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5,443,036.98</w:t>
            </w:r>
          </w:p>
        </w:tc>
      </w:tr>
      <w:tr>
        <w:trPr>
          <w:trHeight w:val="346"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广东美的制冷设备有限公司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10,360,626.27</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1.61</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518,031.31</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中远集装箱运输有限公司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9,681,614.64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1.50</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484,080.73</w:t>
            </w:r>
          </w:p>
        </w:tc>
      </w:tr>
      <w:tr>
        <w:trPr>
          <w:trHeight w:val="346"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中国移动通信集团有限公司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9,627,461.68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1.49</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2,357,244.29</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日立（中国）有限公司</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9,336,695.38</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1.45</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643,534.77</w:t>
            </w:r>
          </w:p>
        </w:tc>
      </w:tr>
      <w:tr>
        <w:trPr>
          <w:trHeight w:val="348" w:hRule="exact"/>
        </w:trPr>
        <w:tc>
          <w:tcPr>
            <w:tcW w:w="3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60,784,239.24</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9.43</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9,445,928.08</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6"/>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29,994,047.52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74.01%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24,440,437.50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10,030,259.21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787,548.27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503,813.23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739,155.05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40,528,120.00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25,967,140.82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498"/>
        <w:jc w:val="left"/>
      </w:pP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300" w:lineRule="auto" w:before="103"/>
        <w:ind w:right="139"/>
        <w:jc w:val="left"/>
      </w:pPr>
      <w:r>
        <w:rPr/>
        <w:t>账龄超过一年且金额重大的预付款项为预付青岛天创伟业信息技术有限公司</w:t>
      </w:r>
      <w:r>
        <w:rPr>
          <w:spacing w:val="-43"/>
        </w:rPr>
        <w:t> </w:t>
      </w:r>
      <w:r>
        <w:rPr>
          <w:rFonts w:ascii="Times New Roman" w:hAnsi="Times New Roman" w:cs="Times New Roman" w:eastAsia="Times New Roman" w:hint="default"/>
        </w:rPr>
        <w:t>6,699,487.18</w:t>
      </w:r>
      <w:r>
        <w:rPr>
          <w:rFonts w:ascii="Times New Roman" w:hAnsi="Times New Roman" w:cs="Times New Roman" w:eastAsia="Times New Roman" w:hint="default"/>
          <w:spacing w:val="2"/>
        </w:rPr>
        <w:t> </w:t>
      </w:r>
      <w:r>
        <w:rPr>
          <w:spacing w:val="-3"/>
        </w:rPr>
        <w:t>元软件采购款，由于客户公司内部</w:t>
      </w:r>
      <w:r>
        <w:rPr/>
        <w:t> 原因项目暂停，该款项尚未结算。</w:t>
      </w:r>
    </w:p>
    <w:p>
      <w:pPr>
        <w:spacing w:line="240" w:lineRule="auto" w:before="7"/>
        <w:rPr>
          <w:rFonts w:ascii="宋体" w:hAnsi="宋体" w:cs="宋体" w:eastAsia="宋体" w:hint="default"/>
          <w:sz w:val="23"/>
          <w:szCs w:val="23"/>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tbl>
      <w:tblPr>
        <w:tblW w:w="0" w:type="auto"/>
        <w:jc w:val="left"/>
        <w:tblInd w:w="136" w:type="dxa"/>
        <w:tblLayout w:type="fixed"/>
        <w:tblCellMar>
          <w:top w:w="0" w:type="dxa"/>
          <w:left w:w="0" w:type="dxa"/>
          <w:bottom w:w="0" w:type="dxa"/>
          <w:right w:w="0" w:type="dxa"/>
        </w:tblCellMar>
        <w:tblLook w:val="01E0"/>
      </w:tblPr>
      <w:tblGrid>
        <w:gridCol w:w="4040"/>
        <w:gridCol w:w="3003"/>
        <w:gridCol w:w="2616"/>
      </w:tblGrid>
      <w:tr>
        <w:trPr>
          <w:trHeight w:val="654" w:hRule="exact"/>
        </w:trPr>
        <w:tc>
          <w:tcPr>
            <w:tcW w:w="4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30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占预付款期末余额合计数的比例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6"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甲骨文（中国）软件系统有限公司</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14,588,148.88</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36.00</w:t>
            </w:r>
          </w:p>
        </w:tc>
      </w:tr>
      <w:tr>
        <w:trPr>
          <w:trHeight w:val="34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青岛天创伟业信息技术有限公司</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6,699,487.18</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16.53</w:t>
            </w:r>
          </w:p>
        </w:tc>
      </w:tr>
      <w:tr>
        <w:trPr>
          <w:trHeight w:val="34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深圳市双银科技有限公司</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2,388,888.89</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5.89</w:t>
            </w:r>
          </w:p>
        </w:tc>
      </w:tr>
      <w:tr>
        <w:trPr>
          <w:trHeight w:val="346"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思爱普（北京）软件系统有限公司上海分公司</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2,218,785.95</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5.47</w:t>
            </w:r>
          </w:p>
        </w:tc>
      </w:tr>
      <w:tr>
        <w:trPr>
          <w:trHeight w:val="34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北京文思海辉软件技术有限公司</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1,735,819.66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4.28</w:t>
            </w:r>
          </w:p>
        </w:tc>
      </w:tr>
      <w:tr>
        <w:trPr>
          <w:trHeight w:val="348" w:hRule="exact"/>
        </w:trPr>
        <w:tc>
          <w:tcPr>
            <w:tcW w:w="4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27,631,130.56</w:t>
            </w:r>
          </w:p>
        </w:tc>
        <w:tc>
          <w:tcPr>
            <w:tcW w:w="2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68.17</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1,787,466.96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1,967,671.74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1,787,466.96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1,967,671.74</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7"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26,327,3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5,754,27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5.59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21.86%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20,573,11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24,474,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949.32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97.37%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9,369,850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38.28%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15,105,098.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102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660,500</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137,525.0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522,975.00</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26,327,3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87.93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5,754,27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5.59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20,573,11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2.34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25,135,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449.32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9,507,375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15,628,073.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期末单项金额重大并单项计提坏账准备的其他应收款：</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9"/>
        <w:rPr>
          <w:rFonts w:ascii="宋体" w:hAnsi="宋体" w:cs="宋体" w:eastAsia="宋体" w:hint="default"/>
          <w:sz w:val="14"/>
          <w:szCs w:val="14"/>
        </w:rPr>
      </w:pPr>
    </w:p>
    <w:p>
      <w:pPr>
        <w:pStyle w:val="BodyText"/>
        <w:spacing w:line="240" w:lineRule="auto"/>
        <w:ind w:right="-20"/>
        <w:jc w:val="left"/>
      </w:pPr>
      <w:r>
        <w:rPr/>
        <w:t>组合中，按账龄分析法计提坏账准备的其他应收款：</w:t>
      </w:r>
    </w:p>
    <w:p>
      <w:pPr>
        <w:pStyle w:val="BodyText"/>
        <w:spacing w:line="240" w:lineRule="auto" w:before="11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20,703,994.31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1,035,199.71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1,808,635.50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904,317.76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1,121,540.23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1,121,540.23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2,693,217.89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2,693,217.89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26,327,387.93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5,754,275.59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360" w:lineRule="auto" w:before="44"/>
        <w:ind w:right="5273"/>
        <w:jc w:val="left"/>
      </w:pPr>
      <w:r>
        <w:rPr/>
        <w:t>确定该组合依据的说明： 组合中，采用余额百分比法计提坏账准备的其他应收款：</w:t>
      </w:r>
    </w:p>
    <w:p>
      <w:pPr>
        <w:pStyle w:val="BodyText"/>
        <w:spacing w:line="240" w:lineRule="auto" w:before="2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498"/>
        <w:jc w:val="left"/>
      </w:pPr>
      <w:r>
        <w:rPr/>
        <w:t>组合中，采用其他方法计提坏账准备的其他应收款：</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本期计提坏账准备金额元；本期收回或转回坏账准备金额</w:t>
      </w:r>
      <w:r>
        <w:rPr>
          <w:spacing w:val="-46"/>
        </w:rPr>
        <w:t> </w:t>
      </w:r>
      <w:r>
        <w:rPr>
          <w:rFonts w:ascii="Times New Roman" w:hAnsi="Times New Roman" w:cs="Times New Roman" w:eastAsia="Times New Roman" w:hint="default"/>
        </w:rPr>
        <w:t>3,643,100.27</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w:t>
            </w: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其中重要的其他应收款核销情况：</w:t>
      </w:r>
    </w:p>
    <w:p>
      <w:pPr>
        <w:pStyle w:val="BodyText"/>
        <w:spacing w:line="240" w:lineRule="auto" w:before="117"/>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王怀荣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子公司董事会决议 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张银银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子公司董事会决议 审批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9,328,382.08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3,149,538.87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1,416,451.43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1,832,560.05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13,369,672.71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18,183,434.93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2,212,881.71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1,969,915.47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26,327,387.93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25,135,449.32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93"/>
              <w:jc w:val="left"/>
              <w:rPr>
                <w:rFonts w:ascii="Times New Roman" w:hAnsi="Times New Roman" w:cs="Times New Roman" w:eastAsia="Times New Roman" w:hint="default"/>
                <w:sz w:val="18"/>
                <w:szCs w:val="18"/>
              </w:rPr>
            </w:pPr>
            <w:r>
              <w:rPr>
                <w:rFonts w:ascii="Times New Roman"/>
                <w:sz w:val="18"/>
              </w:rPr>
              <w:t>BEYOND</w:t>
            </w:r>
            <w:r>
              <w:rPr>
                <w:rFonts w:ascii="Times New Roman"/>
                <w:w w:val="99"/>
                <w:sz w:val="18"/>
              </w:rPr>
              <w:t> </w:t>
            </w:r>
            <w:r>
              <w:rPr>
                <w:rFonts w:ascii="Times New Roman"/>
                <w:sz w:val="18"/>
              </w:rPr>
              <w:t>PRECISION</w:t>
            </w:r>
            <w:r>
              <w:rPr>
                <w:rFonts w:ascii="Times New Roman"/>
                <w:w w:val="99"/>
                <w:sz w:val="18"/>
              </w:rPr>
              <w:t> </w:t>
            </w:r>
            <w:r>
              <w:rPr>
                <w:rFonts w:ascii="Times New Roman"/>
                <w:spacing w:val="-4"/>
                <w:sz w:val="18"/>
              </w:rPr>
              <w:t>HOLDING.</w:t>
            </w:r>
            <w:r>
              <w:rPr>
                <w:rFonts w:ascii="Times New Roman"/>
                <w:spacing w:val="8"/>
                <w:sz w:val="18"/>
              </w:rPr>
              <w:t> </w:t>
            </w:r>
            <w:r>
              <w:rPr>
                <w:rFonts w:ascii="Times New Roman"/>
                <w:spacing w:val="-5"/>
                <w:sz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代垫税款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5,794,000.00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289,700.00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上海欧俊信息技术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850,162.48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42,508.12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青浦培训学校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729,116.93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351,058.47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2"/>
              <w:jc w:val="left"/>
              <w:rPr>
                <w:rFonts w:ascii="Times New Roman" w:hAnsi="Times New Roman" w:cs="Times New Roman" w:eastAsia="Times New Roman" w:hint="default"/>
                <w:sz w:val="18"/>
                <w:szCs w:val="18"/>
              </w:rPr>
            </w:pPr>
            <w:r>
              <w:rPr>
                <w:rFonts w:ascii="Times New Roman"/>
                <w:sz w:val="18"/>
              </w:rPr>
              <w:t>TECH</w:t>
            </w:r>
            <w:r>
              <w:rPr>
                <w:rFonts w:ascii="Times New Roman"/>
                <w:spacing w:val="-3"/>
                <w:sz w:val="18"/>
              </w:rPr>
              <w:t> </w:t>
            </w:r>
            <w:r>
              <w:rPr>
                <w:rFonts w:ascii="Times New Roman"/>
                <w:spacing w:val="-4"/>
                <w:sz w:val="18"/>
              </w:rPr>
              <w:t>VALLEY</w:t>
            </w:r>
            <w:r>
              <w:rPr>
                <w:rFonts w:ascii="Times New Roman"/>
                <w:w w:val="99"/>
                <w:sz w:val="18"/>
              </w:rPr>
              <w:t> </w:t>
            </w:r>
            <w:r>
              <w:rPr>
                <w:rFonts w:ascii="Times New Roman"/>
                <w:sz w:val="18"/>
              </w:rPr>
              <w:t>SOLUTIONS.</w:t>
            </w:r>
            <w:r>
              <w:rPr>
                <w:rFonts w:ascii="Times New Roman"/>
                <w:spacing w:val="-5"/>
                <w:sz w:val="18"/>
              </w:rPr>
              <w:t> 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628,417.70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31,420.89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日立（上海）贸易有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522,850.72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432,315.42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8,524,547.83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1,147,002.90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1,055,840.80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1,055,840.80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1,046,199.79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1,046,199.79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1,055,840.80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1,055,840.80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1,046,199.79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1,046,199.79</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979" w:header="745" w:top="1060" w:bottom="1160" w:left="980" w:right="98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6,811,000.00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7,838,000.00</w:t>
            </w:r>
          </w:p>
        </w:tc>
      </w:tr>
    </w:tbl>
    <w:p>
      <w:pPr>
        <w:pStyle w:val="BodyText"/>
        <w:spacing w:line="240" w:lineRule="auto" w:before="49"/>
        <w:ind w:right="498"/>
        <w:jc w:val="left"/>
      </w:pPr>
      <w:r>
        <w:rPr/>
        <w:t>其他说明：</w:t>
      </w:r>
    </w:p>
    <w:p>
      <w:pPr>
        <w:pStyle w:val="BodyText"/>
        <w:spacing w:line="240" w:lineRule="auto" w:before="115"/>
        <w:ind w:right="0"/>
        <w:jc w:val="left"/>
      </w:pPr>
      <w:r>
        <w:rPr/>
        <w:t>根据公司</w:t>
      </w:r>
      <w:r>
        <w:rPr>
          <w:spacing w:val="-4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月制订</w:t>
      </w:r>
      <w:r>
        <w:rPr>
          <w:spacing w:val="-27"/>
        </w:rPr>
        <w:t>的</w:t>
      </w:r>
      <w:r>
        <w:rPr>
          <w:spacing w:val="-3"/>
        </w:rPr>
        <w:t>《</w:t>
      </w:r>
      <w:r>
        <w:rPr/>
        <w:t>员工购房借款福利管理办法</w:t>
      </w:r>
      <w:r>
        <w:rPr>
          <w:spacing w:val="-92"/>
        </w:rPr>
        <w:t>》</w:t>
      </w:r>
      <w:r>
        <w:rPr>
          <w:spacing w:val="-24"/>
        </w:rPr>
        <w:t>，</w:t>
      </w:r>
      <w:r>
        <w:rPr/>
        <w:t>公司向符合条件的员工提供购房借款</w:t>
      </w:r>
      <w:r>
        <w:rPr>
          <w:spacing w:val="-24"/>
        </w:rPr>
        <w:t>，</w:t>
      </w:r>
      <w:r>
        <w:rPr/>
        <w:t>在</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年内通过工资</w:t>
      </w:r>
      <w:r>
        <w:rPr>
          <w:spacing w:val="-3"/>
        </w:rPr>
        <w:t>扣</w:t>
      </w:r>
      <w:r>
        <w:rPr/>
        <w:t>款</w:t>
      </w:r>
    </w:p>
    <w:p>
      <w:pPr>
        <w:pStyle w:val="BodyText"/>
        <w:spacing w:line="240" w:lineRule="auto" w:before="63"/>
        <w:ind w:right="498"/>
        <w:jc w:val="left"/>
      </w:pPr>
      <w:r>
        <w:rPr/>
        <w:t>归还，其中</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年内应归还部分计入一年内到期的非流动资产。</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应交税费中增值税留抵税额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4,363,018.29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11,350,693.31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8,321,623.98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16,313,711.60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24,321,623.98</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589"/>
        <w:gridCol w:w="3983"/>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9"/>
        <w:gridCol w:w="1196"/>
        <w:gridCol w:w="1198"/>
        <w:gridCol w:w="1195"/>
        <w:gridCol w:w="1249"/>
        <w:gridCol w:w="1368"/>
        <w:gridCol w:w="1366"/>
      </w:tblGrid>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36,000,000.00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13,500,000.00</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36,000,000.00</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36,000,000.00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13,500,000.00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2"/>
        <w:gridCol w:w="869"/>
        <w:gridCol w:w="871"/>
        <w:gridCol w:w="869"/>
        <w:gridCol w:w="871"/>
        <w:gridCol w:w="869"/>
        <w:gridCol w:w="871"/>
        <w:gridCol w:w="869"/>
        <w:gridCol w:w="872"/>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5" w:right="6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0" w:right="70" w:hanging="181"/>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50"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上海青浦 区汉得培 训学校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上海黑骥 马股权投 资合伙企 业（有限 合伙）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上海兴富 创业投资 管理中心</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pict>
          <v:shape style="position:absolute;margin-left:74.546997pt;margin-top:39.951691pt;width:101.55pt;height:19.7pt;mso-position-horizontal-relative:page;mso-position-vertical-relative:paragraph;z-index:-829624" type="#_x0000_t202" filled="false" stroked="false">
            <v:textbox inset="0,0,0,0">
              <w:txbxContent>
                <w:p>
                  <w:pPr>
                    <w:pStyle w:val="BodyText"/>
                    <w:spacing w:line="240" w:lineRule="auto" w:before="49"/>
                    <w:ind w:left="0" w:right="0"/>
                    <w:jc w:val="left"/>
                  </w:pPr>
                  <w:r>
                    <w:rPr/>
                    <w:t>账面原值：</w:t>
                  </w:r>
                </w:p>
              </w:txbxContent>
            </v:textbox>
            <w10:wrap type="none"/>
          </v:shape>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固定资产装修</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1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198" w:type="dxa"/>
            <w:tcBorders>
              <w:top w:val="single" w:sz="4" w:space="0" w:color="000000"/>
              <w:left w:val="single" w:sz="13" w:space="0" w:color="FFFFFF"/>
              <w:bottom w:val="single" w:sz="4" w:space="0" w:color="000000"/>
              <w:right w:val="single" w:sz="13" w:space="0" w:color="FFFFFF"/>
            </w:tcBorders>
          </w:tcPr>
          <w:p>
            <w:pPr/>
          </w:p>
        </w:tc>
        <w:tc>
          <w:tcPr>
            <w:tcW w:w="1195" w:type="dxa"/>
            <w:tcBorders>
              <w:top w:val="single" w:sz="4" w:space="0" w:color="000000"/>
              <w:left w:val="single" w:sz="13" w:space="0" w:color="FF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237,844,405.58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11,007,394.98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4,276,914.96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29,889,028.08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2,315,212.13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5,051,507.77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290,384,463.50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40,839,744.16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1,290,491.83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210,369.54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8,772,879.33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417,855.16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317,500.13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51,848,840.15</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40,839,744.16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1,290,491.83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210,369.54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8,772,879.33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417,855.16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317,500.13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51,848,840.15</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2,799,476.54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2,799,476.54</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2,799,476.54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2,799,476.54</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278,684,149.74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12,297,886.81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4,487,284.50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35,862,430.87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2,733,067.29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5,369,007.90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339,433,827.11</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3,259,325.76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1,733,784.21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2,246,389.65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17,153,134.01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138,713.24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389,831.36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24,921,178.23</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 w:right="0"/>
              <w:jc w:val="center"/>
              <w:rPr>
                <w:rFonts w:ascii="Times New Roman" w:hAnsi="Times New Roman" w:cs="Times New Roman" w:eastAsia="Times New Roman" w:hint="default"/>
                <w:sz w:val="18"/>
                <w:szCs w:val="18"/>
              </w:rPr>
            </w:pPr>
            <w:r>
              <w:rPr>
                <w:rFonts w:ascii="Times New Roman"/>
                <w:sz w:val="18"/>
              </w:rPr>
              <w:t>6,248,951.13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2,024,549.38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593,435.36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6,673,687.29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501,592.75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954,388.49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16,996,604.40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6,248,951.13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2,024,549.38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593,435.36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6,673,687.29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501,592.75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954,388.49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16,996,604.40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2,355,639.28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2,355,639.28</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2,355,639.28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2,355,639.28</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center"/>
              <w:rPr>
                <w:rFonts w:ascii="Times New Roman" w:hAnsi="Times New Roman" w:cs="Times New Roman" w:eastAsia="Times New Roman" w:hint="default"/>
                <w:sz w:val="18"/>
                <w:szCs w:val="18"/>
              </w:rPr>
            </w:pPr>
            <w:r>
              <w:rPr>
                <w:rFonts w:ascii="Times New Roman"/>
                <w:sz w:val="18"/>
              </w:rPr>
              <w:t>9,508,276.89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3,758,333.59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2,839,825.01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21,471,182.02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640,305.99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1,344,219.85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39,562,143.35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36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269,175,872.85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8,539,553.22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1,647,459.49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14,391,248.85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2,092,761.30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4,024,788.05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299,871,683.76</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234,585,079.82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9,273,610.77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2,030,525.31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12,735,894.07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2,176,498.89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4,661,676.41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265,463,285.27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自主研发软件</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35,946,400.00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3,101,771.83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2,200,751.12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7,580,000.00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50,136,615.27</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6,878,425.60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805,665.81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14,306,053.91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21,990,145.32</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6,878,425.60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805,665.81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7,684,091.41</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14,306,053.91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14,306,053.91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35,946,400.00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8,186,117.92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3,907,437.64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16,506,805.03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72,126,760.59</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1,977,052.08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1,307,692.32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2,708,020.78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91,697.96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1,642,333.33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7,726,796.47</w:t>
            </w: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718,928.04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1,031,763.84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425,624.38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1,621,821.84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4,556,138.10</w:t>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718,928.04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1,031,763.84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425,624.38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1,621,821.84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4,556,138.10</w:t>
            </w:r>
          </w:p>
        </w:tc>
      </w:tr>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pacing w:val="-15"/>
                <w:sz w:val="18"/>
                <w:szCs w:val="18"/>
              </w:rPr>
              <w:t> </w:t>
            </w:r>
            <w:r>
              <w:rPr>
                <w:rFonts w:ascii="宋体" w:hAnsi="宋体" w:cs="宋体" w:eastAsia="宋体" w:hint="default"/>
                <w:sz w:val="18"/>
                <w:szCs w:val="18"/>
              </w:rPr>
              <w:t>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2,695,980.12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2,339,456.16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3,133,645.16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1,713,519.80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2,400,333.33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12,282,934.57</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5"/>
              <w:jc w:val="center"/>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pacing w:val="-15"/>
                <w:sz w:val="18"/>
                <w:szCs w:val="18"/>
              </w:rPr>
              <w:t> </w:t>
            </w:r>
            <w:r>
              <w:rPr>
                <w:rFonts w:ascii="宋体" w:hAnsi="宋体" w:cs="宋体" w:eastAsia="宋体" w:hint="default"/>
                <w:sz w:val="18"/>
                <w:szCs w:val="18"/>
              </w:rPr>
              <w:t>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5"/>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5"/>
        <w:gridCol w:w="1196"/>
        <w:gridCol w:w="1198"/>
        <w:gridCol w:w="1196"/>
        <w:gridCol w:w="1195"/>
        <w:gridCol w:w="1198"/>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33,250,419.88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5,846,661.76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773,792.48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14,793,285.23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5,179,666.67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59,843,826.02</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2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33,969,347.92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393,751.05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2,109,053.16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5,937,666.67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42,409,818.80</w:t>
            </w:r>
          </w:p>
        </w:tc>
      </w:tr>
    </w:tbl>
    <w:p>
      <w:pPr>
        <w:pStyle w:val="BodyText"/>
        <w:spacing w:line="240" w:lineRule="auto" w:before="49"/>
        <w:ind w:right="498"/>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24.72%</w:t>
      </w:r>
      <w:r>
        <w:rPr/>
        <w:t>。</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3"/>
        <w:gridCol w:w="1064"/>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2"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127"/>
              <w:jc w:val="both"/>
              <w:rPr>
                <w:rFonts w:ascii="宋体" w:hAnsi="宋体" w:cs="宋体" w:eastAsia="宋体" w:hint="default"/>
                <w:sz w:val="18"/>
                <w:szCs w:val="18"/>
              </w:rPr>
            </w:pPr>
            <w:r>
              <w:rPr>
                <w:rFonts w:ascii="宋体" w:hAnsi="宋体" w:cs="宋体" w:eastAsia="宋体" w:hint="default"/>
                <w:sz w:val="18"/>
                <w:szCs w:val="18"/>
              </w:rPr>
              <w:t>汉得信息服 务中小企业 的供应链金 融信息化云 计算系统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4,763,982.00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4,763,982.00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43"/>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汉得信息基 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AURORA</w:t>
            </w:r>
          </w:p>
          <w:p>
            <w:pPr>
              <w:pStyle w:val="TableParagraph"/>
              <w:spacing w:line="316" w:lineRule="auto" w:before="1"/>
              <w:ind w:left="22" w:right="127"/>
              <w:jc w:val="both"/>
              <w:rPr>
                <w:rFonts w:ascii="宋体" w:hAnsi="宋体" w:cs="宋体" w:eastAsia="宋体" w:hint="default"/>
                <w:sz w:val="18"/>
                <w:szCs w:val="18"/>
              </w:rPr>
            </w:pPr>
            <w:r>
              <w:rPr>
                <w:rFonts w:ascii="宋体" w:hAnsi="宋体" w:cs="宋体" w:eastAsia="宋体" w:hint="default"/>
                <w:sz w:val="18"/>
                <w:szCs w:val="18"/>
              </w:rPr>
              <w:t>的项目投资 管理系统平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3,282,337.64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3,282,337.64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汉得信息融 资租赁管理 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2,237,663.14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2,237,663.14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127"/>
              <w:jc w:val="left"/>
              <w:rPr>
                <w:rFonts w:ascii="宋体" w:hAnsi="宋体" w:cs="宋体" w:eastAsia="宋体" w:hint="default"/>
                <w:sz w:val="18"/>
                <w:szCs w:val="18"/>
              </w:rPr>
            </w:pPr>
            <w:r>
              <w:rPr>
                <w:rFonts w:ascii="宋体" w:hAnsi="宋体" w:cs="宋体" w:eastAsia="宋体" w:hint="default"/>
                <w:sz w:val="18"/>
                <w:szCs w:val="18"/>
              </w:rPr>
              <w:t>供应链金融 云平台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3,585,417.22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3,585,417.22</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9" w:lineRule="auto" w:before="49"/>
              <w:ind w:left="22" w:right="125"/>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MDM_</w:t>
            </w:r>
            <w:r>
              <w:rPr>
                <w:rFonts w:ascii="宋体" w:hAnsi="宋体" w:cs="宋体" w:eastAsia="宋体" w:hint="default"/>
                <w:sz w:val="18"/>
                <w:szCs w:val="18"/>
              </w:rPr>
              <w:t>物料 主数据管理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5,144,817.01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5,144,817.01</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汉得融晶税 务管理系统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2,160,494.49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2,160,494.49</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49"/>
              <w:ind w:left="22"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汉得融晶数 据管理平台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1,861,576.64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1,861,576.64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3"/>
        <w:gridCol w:w="1063"/>
        <w:gridCol w:w="1064"/>
        <w:gridCol w:w="1063"/>
        <w:gridCol w:w="1064"/>
        <w:gridCol w:w="1063"/>
        <w:gridCol w:w="1061"/>
        <w:gridCol w:w="1063"/>
        <w:gridCol w:w="1064"/>
      </w:tblGrid>
      <w:tr>
        <w:trPr>
          <w:trHeight w:val="713" w:hRule="exact"/>
        </w:trPr>
        <w:tc>
          <w:tcPr>
            <w:tcW w:w="10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127"/>
              <w:jc w:val="left"/>
              <w:rPr>
                <w:rFonts w:ascii="宋体" w:hAnsi="宋体" w:cs="宋体" w:eastAsia="宋体" w:hint="default"/>
                <w:sz w:val="18"/>
                <w:szCs w:val="18"/>
              </w:rPr>
            </w:pPr>
            <w:r>
              <w:rPr>
                <w:rFonts w:ascii="宋体" w:hAnsi="宋体" w:cs="宋体" w:eastAsia="宋体" w:hint="default"/>
                <w:sz w:val="18"/>
                <w:szCs w:val="18"/>
              </w:rPr>
              <w:t>芝士网英语 智能评估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5,928,857.87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5,928,857.87</w:t>
            </w: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10,283,982.7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18,681,163.2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14,306,053.9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14,659,092.1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9"/>
        <w:gridCol w:w="1368"/>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42,156,869.82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42,156,869.82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2,869,846.54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2,869,846.54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45,026,716.36</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年末通过对包含商誉的相关资产组进行减值测试，未发现商誉存在减值。</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1,217,111.27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474,012.90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764,798.37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1,217,111.27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474,012.90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764,798.37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136,769,713.65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13,986,746.40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87,868,750.30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8,900,982.42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150,424,651.70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15,042,465.17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287,194,365.35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29,029,211.57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87,868,750.30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8,900,982.42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4,075,050.00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407,505.00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3"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29,029,211.57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8,900,982.42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407,505.00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10,654,132.25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13,285,896.40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10,654,132.25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13,285,896.40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1,363,371.43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1,363,371.43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3,065,820.25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4,580,568.07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1,577,879.61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2,601,157.65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2,164,277.68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4,740,799.25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2,482,783.28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10,654,132.25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13,285,896.40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30</w:t>
      </w:r>
      <w:r>
        <w:rPr/>
        <w:t>、其他非流动资产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1"/>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38,088,157.40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佘山高尔夫会员资格认购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1,775,000.00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员工购房借款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4,706,224.00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43,005,157.40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14,181,224.00</w:t>
            </w:r>
          </w:p>
        </w:tc>
      </w:tr>
    </w:tbl>
    <w:p>
      <w:pPr>
        <w:pStyle w:val="BodyText"/>
        <w:spacing w:line="240" w:lineRule="auto" w:before="49"/>
        <w:ind w:right="498"/>
        <w:jc w:val="left"/>
      </w:pPr>
      <w:r>
        <w:rPr/>
        <w:t>其他说明：</w:t>
      </w:r>
    </w:p>
    <w:p>
      <w:pPr>
        <w:pStyle w:val="BodyText"/>
        <w:spacing w:line="300" w:lineRule="auto" w:before="115"/>
        <w:ind w:right="146"/>
        <w:jc w:val="left"/>
      </w:pPr>
      <w:r>
        <w:rPr/>
        <w:t>注</w:t>
      </w:r>
      <w:r>
        <w:rPr>
          <w:spacing w:val="-40"/>
        </w:rPr>
        <w:t> </w:t>
      </w:r>
      <w:r>
        <w:rPr>
          <w:rFonts w:ascii="Times New Roman" w:hAnsi="Times New Roman" w:cs="Times New Roman" w:eastAsia="Times New Roman" w:hint="default"/>
          <w:spacing w:val="-2"/>
        </w:rPr>
        <w:t>1</w:t>
      </w:r>
      <w:r>
        <w:rPr>
          <w:spacing w:val="-2"/>
        </w:rPr>
        <w:t>：根据公司</w:t>
      </w:r>
      <w:r>
        <w:rPr>
          <w:spacing w:val="-43"/>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4"/>
        </w:rPr>
        <w:t>月制订的《员工购房借款福利管理办法》，公司向符合条件的员工提供购房借款，在</w:t>
      </w:r>
      <w:r>
        <w:rPr>
          <w:spacing w:val="-38"/>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1"/>
        </w:rPr>
        <w:t>年内通过工</w:t>
      </w:r>
      <w:r>
        <w:rPr/>
        <w:t> 资扣款归还。</w:t>
      </w:r>
    </w:p>
    <w:p>
      <w:pPr>
        <w:pStyle w:val="BodyText"/>
        <w:spacing w:line="240" w:lineRule="auto" w:before="72"/>
        <w:ind w:right="0"/>
        <w:jc w:val="left"/>
      </w:pPr>
      <w:r>
        <w:rPr/>
        <w:t>注</w:t>
      </w:r>
      <w:r>
        <w:rPr>
          <w:spacing w:val="-40"/>
        </w:rPr>
        <w:t> </w:t>
      </w:r>
      <w:r>
        <w:rPr>
          <w:rFonts w:ascii="Times New Roman" w:hAnsi="Times New Roman" w:cs="Times New Roman" w:eastAsia="Times New Roman" w:hint="default"/>
        </w:rPr>
        <w:t>2</w:t>
      </w:r>
      <w:r>
        <w:rPr/>
        <w:t>：经公司股东大会决议通过、证监会核准，公司以每股</w:t>
      </w:r>
      <w:r>
        <w:rPr>
          <w:spacing w:val="-39"/>
        </w:rPr>
        <w:t> </w:t>
      </w:r>
      <w:r>
        <w:rPr>
          <w:rFonts w:ascii="Times New Roman" w:hAnsi="Times New Roman" w:cs="Times New Roman" w:eastAsia="Times New Roman" w:hint="default"/>
        </w:rPr>
        <w:t>8.19</w:t>
      </w:r>
      <w:r>
        <w:rPr>
          <w:rFonts w:ascii="Times New Roman" w:hAnsi="Times New Roman" w:cs="Times New Roman" w:eastAsia="Times New Roman" w:hint="default"/>
          <w:spacing w:val="6"/>
        </w:rPr>
        <w:t> </w:t>
      </w:r>
      <w:r>
        <w:rPr/>
        <w:t>元的价格发行</w:t>
      </w:r>
      <w:r>
        <w:rPr>
          <w:spacing w:val="-40"/>
        </w:rPr>
        <w:t> </w:t>
      </w:r>
      <w:r>
        <w:rPr>
          <w:rFonts w:ascii="Times New Roman" w:hAnsi="Times New Roman" w:cs="Times New Roman" w:eastAsia="Times New Roman" w:hint="default"/>
        </w:rPr>
        <w:t>6,750,000</w:t>
      </w:r>
      <w:r>
        <w:rPr>
          <w:rFonts w:ascii="Times New Roman" w:hAnsi="Times New Roman" w:cs="Times New Roman" w:eastAsia="Times New Roman" w:hint="default"/>
          <w:spacing w:val="7"/>
        </w:rPr>
        <w:t> </w:t>
      </w:r>
      <w:r>
        <w:rPr/>
        <w:t>股股份、支付现金</w:t>
      </w:r>
      <w:r>
        <w:rPr>
          <w:spacing w:val="-40"/>
        </w:rPr>
        <w:t> </w:t>
      </w:r>
      <w:r>
        <w:rPr>
          <w:rFonts w:ascii="Times New Roman" w:hAnsi="Times New Roman" w:cs="Times New Roman" w:eastAsia="Times New Roman" w:hint="default"/>
        </w:rPr>
        <w:t>7,400</w:t>
      </w:r>
      <w:r>
        <w:rPr>
          <w:rFonts w:ascii="Times New Roman" w:hAnsi="Times New Roman" w:cs="Times New Roman" w:eastAsia="Times New Roman" w:hint="default"/>
          <w:spacing w:val="6"/>
        </w:rPr>
        <w:t> </w:t>
      </w:r>
      <w:r>
        <w:rPr/>
        <w:t>万元合计</w:t>
      </w:r>
    </w:p>
    <w:p>
      <w:pPr>
        <w:pStyle w:val="BodyText"/>
        <w:spacing w:line="240" w:lineRule="auto" w:before="63"/>
        <w:ind w:right="0"/>
        <w:jc w:val="left"/>
      </w:pPr>
      <w:r>
        <w:rPr>
          <w:rFonts w:ascii="Times New Roman" w:hAnsi="Times New Roman" w:cs="Times New Roman" w:eastAsia="Times New Roman" w:hint="default"/>
        </w:rPr>
        <w:t>12,928.25</w:t>
      </w:r>
      <w:r>
        <w:rPr>
          <w:rFonts w:ascii="Times New Roman" w:hAnsi="Times New Roman" w:cs="Times New Roman" w:eastAsia="Times New Roman" w:hint="default"/>
          <w:spacing w:val="4"/>
        </w:rPr>
        <w:t> </w:t>
      </w:r>
      <w:r>
        <w:rPr/>
        <w:t>万元的对价，直接和间接取得上海达美</w:t>
      </w:r>
      <w:r>
        <w:rPr>
          <w:spacing w:val="-42"/>
        </w:rPr>
        <w:t> </w:t>
      </w:r>
      <w:r>
        <w:rPr>
          <w:rFonts w:ascii="Times New Roman" w:hAnsi="Times New Roman" w:cs="Times New Roman" w:eastAsia="Times New Roman" w:hint="default"/>
        </w:rPr>
        <w:t>100%</w:t>
      </w:r>
      <w:r>
        <w:rPr/>
        <w:t>的股权。截止</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日，公司已按转让协议约定现金支付</w:t>
      </w:r>
    </w:p>
    <w:p>
      <w:pPr>
        <w:pStyle w:val="BodyText"/>
        <w:spacing w:line="240" w:lineRule="auto" w:before="63"/>
        <w:ind w:right="498"/>
        <w:jc w:val="left"/>
      </w:pPr>
      <w:r>
        <w:rPr/>
        <w:t>股权转让款定金</w:t>
      </w:r>
      <w:r>
        <w:rPr>
          <w:spacing w:val="-48"/>
        </w:rPr>
        <w:t> </w:t>
      </w:r>
      <w:r>
        <w:rPr>
          <w:rFonts w:ascii="Times New Roman" w:hAnsi="Times New Roman" w:cs="Times New Roman" w:eastAsia="Times New Roman" w:hint="default"/>
        </w:rPr>
        <w:t>3,786</w:t>
      </w:r>
      <w:r>
        <w:rPr>
          <w:rFonts w:ascii="Times New Roman" w:hAnsi="Times New Roman" w:cs="Times New Roman" w:eastAsia="Times New Roman" w:hint="default"/>
          <w:spacing w:val="-2"/>
        </w:rPr>
        <w:t> </w:t>
      </w:r>
      <w:r>
        <w:rPr/>
        <w:t>万元，计入其他非流动资产。</w:t>
      </w:r>
    </w:p>
    <w:p>
      <w:pPr>
        <w:spacing w:line="240" w:lineRule="auto" w:before="3"/>
        <w:rPr>
          <w:rFonts w:ascii="宋体" w:hAnsi="宋体" w:cs="宋体" w:eastAsia="宋体" w:hint="default"/>
          <w:sz w:val="26"/>
          <w:szCs w:val="26"/>
        </w:rPr>
      </w:pPr>
    </w:p>
    <w:p>
      <w:pPr>
        <w:pStyle w:val="Heading4"/>
        <w:spacing w:line="240" w:lineRule="auto"/>
        <w:ind w:right="498"/>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33</w:t>
      </w:r>
      <w:r>
        <w:rPr/>
        <w:t>、衍生金融负债</w:t>
      </w:r>
      <w:r>
        <w:rPr>
          <w:b w:val="0"/>
          <w:bCs w:val="0"/>
        </w:rPr>
      </w:r>
    </w:p>
    <w:p>
      <w:pPr>
        <w:spacing w:line="240" w:lineRule="auto" w:before="4"/>
        <w:rPr>
          <w:rFonts w:ascii="宋体" w:hAnsi="宋体" w:cs="宋体" w:eastAsia="宋体" w:hint="default"/>
          <w:b/>
          <w:bCs/>
          <w:sz w:val="26"/>
          <w:szCs w:val="26"/>
        </w:rPr>
      </w:pPr>
    </w:p>
    <w:p>
      <w:pPr>
        <w:spacing w:line="544" w:lineRule="auto" w:before="0"/>
        <w:ind w:left="153" w:right="836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4"/>
        <w:spacing w:line="240" w:lineRule="auto" w:before="128"/>
        <w:ind w:right="498"/>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7,841,622.30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8,654,496.83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3,846,711.31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5,367,935.06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11,688,333.61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14,022,431.89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黑龙江社保项目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3,487,291.04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3,487,291.04</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36</w:t>
      </w:r>
      <w:r>
        <w:rPr/>
        <w:t>、预收款项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38,877,788.60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11,769,452.86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4,163,581.86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713,459.51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43,041,370.46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12,482,912.37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久泰能源（准格尔）有限公司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湖南南车时代电动汽车股份有限公司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群邑（上海）广告有限公司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168,407.00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北京新榕基业软件技术有限公司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131,189.09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3,581,096.09</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72,123,511.86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516,413,749.10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488,874,765.76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99,662,495.20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1,674,167.69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26,954,647.03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27,858,249.70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770,565.02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73,797,679.55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543,368,396.13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516,733,015.46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100,433,060.22</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69,197,555.09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467,353,462.62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439,587,399.03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96,963,618.68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7,093,896.35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7,093,896.35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287,860.69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6,795,850.81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6,698,623.70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385,087.80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270,377.77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5,651,158.78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5,569,409.82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352,126.73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8,741.46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559,548.03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552,225.06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16,064.43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8,741.46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576,988.82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16,896.64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2,636,402.38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35,152,257.93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35,477,688.07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2,310,972.24</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6,917.71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6,917.71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其他短期薪酬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1,693.70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11,363.68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2,816.48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72,123,511.86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516,413,749.10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488,874,765.76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99,662,495.20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1,612,265.25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24,603,358.67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25,521,396.02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694,227.90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61,902.44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2,351,288.36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2,336,853.68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76,337.12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1,674,167.69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26,954,647.03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27,858,249.70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770,565.02</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3,558,961.26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3,396,633.40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2,322,249.42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3,680,260.90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121,278.71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121,278.71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3,695,995.65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593,710.06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12,369,283.35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11,728,223.06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677,579.55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60,170.16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651,131.22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257,422.28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143,344.96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59,677.21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68,148.60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43,520.89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23,607,972.72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19,940,896.67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39</w:t>
      </w:r>
      <w:r>
        <w:rPr/>
        <w:t>、应付利息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个人股东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4,728.47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4,728.47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4,728.47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65,053,966.82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89,835,798.33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115,488,212.33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98,580,704.95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180,542,179.15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188,416,503.28</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115,100,689.72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115,100,689.72</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42</w:t>
      </w:r>
      <w:r>
        <w:rPr/>
        <w:t>、划分为持有待售的负债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47</w:t>
      </w:r>
      <w:r>
        <w:rPr/>
        <w:t>、长期应付款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48</w:t>
      </w:r>
      <w:r>
        <w:rPr/>
        <w:t>、长期应付职工薪酬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6,819,166.67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6,531,250.00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6,819,166.67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287,916.67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6,531,250.00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27"/>
          <w:szCs w:val="27"/>
        </w:rPr>
      </w:pPr>
    </w:p>
    <w:p>
      <w:pPr>
        <w:pStyle w:val="BodyText"/>
        <w:spacing w:line="240" w:lineRule="auto" w:before="44"/>
        <w:ind w:right="498"/>
        <w:jc w:val="left"/>
      </w:pPr>
      <w:r>
        <w:rPr/>
        <w:t>涉及政府补助的项目：</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9"/>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高端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软件生 产线技术改造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服务中小企业的 供应链金融信息 化云计算系统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2,779,166.67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277,916.67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2,501,250.00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服务中小企业的 供应链金融信息 化云计算系统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6,819,166.67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287,916.67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6,531,250.00</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5979"/>
        <w:gridCol w:w="1198"/>
      </w:tblGrid>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8"/>
        <w:gridCol w:w="1195"/>
        <w:gridCol w:w="1196"/>
        <w:gridCol w:w="1198"/>
        <w:gridCol w:w="1196"/>
        <w:gridCol w:w="1195"/>
        <w:gridCol w:w="1198"/>
      </w:tblGrid>
      <w:tr>
        <w:trPr>
          <w:trHeight w:val="401"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549,065,756.00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5,026,000.00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274,532,878.00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279,558,878.00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828,624,634.00</w:t>
            </w:r>
          </w:p>
        </w:tc>
      </w:tr>
    </w:tbl>
    <w:p>
      <w:pPr>
        <w:pStyle w:val="BodyText"/>
        <w:spacing w:line="240" w:lineRule="auto" w:before="49"/>
        <w:ind w:right="498"/>
        <w:jc w:val="left"/>
      </w:pPr>
      <w:r>
        <w:rPr/>
        <w:t>其他说明：</w:t>
      </w:r>
    </w:p>
    <w:p>
      <w:pPr>
        <w:pStyle w:val="BodyText"/>
        <w:spacing w:line="240" w:lineRule="auto" w:before="115"/>
        <w:ind w:right="498"/>
        <w:jc w:val="left"/>
      </w:pPr>
      <w:r>
        <w:rPr/>
        <w:t>注</w:t>
      </w:r>
      <w:r>
        <w:rPr>
          <w:spacing w:val="-47"/>
        </w:rPr>
        <w:t> </w:t>
      </w:r>
      <w:r>
        <w:rPr>
          <w:rFonts w:ascii="Times New Roman" w:hAnsi="Times New Roman" w:cs="Times New Roman" w:eastAsia="Times New Roman" w:hint="default"/>
        </w:rPr>
        <w:t>1</w:t>
      </w:r>
      <w:r>
        <w:rPr/>
        <w:t>：本年发行新股</w:t>
      </w:r>
      <w:r>
        <w:rPr>
          <w:spacing w:val="-47"/>
        </w:rPr>
        <w:t> </w:t>
      </w:r>
      <w:r>
        <w:rPr>
          <w:rFonts w:ascii="Times New Roman" w:hAnsi="Times New Roman" w:cs="Times New Roman" w:eastAsia="Times New Roman" w:hint="default"/>
        </w:rPr>
        <w:t>5,026,000</w:t>
      </w:r>
      <w:r>
        <w:rPr>
          <w:rFonts w:ascii="Times New Roman" w:hAnsi="Times New Roman" w:cs="Times New Roman" w:eastAsia="Times New Roman" w:hint="default"/>
          <w:spacing w:val="-2"/>
        </w:rPr>
        <w:t> </w:t>
      </w:r>
      <w:r>
        <w:rPr/>
        <w:t>股，其中：</w:t>
      </w:r>
    </w:p>
    <w:p>
      <w:pPr>
        <w:pStyle w:val="BodyText"/>
        <w:spacing w:line="240" w:lineRule="auto" w:before="103"/>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日，根据公司第二届董事会第三十六次（临时）会议关于授予限制性股票的决议、第二届董事会第三十九次</w:t>
      </w:r>
    </w:p>
    <w:p>
      <w:pPr>
        <w:pStyle w:val="BodyText"/>
        <w:spacing w:line="240" w:lineRule="auto" w:before="63"/>
        <w:ind w:right="0"/>
        <w:jc w:val="left"/>
      </w:pPr>
      <w:r>
        <w:rPr/>
        <w:t>（临时）会议通过《关于调整公司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年限制性股票激励计划的议案》对授予股数和人数的调整及《上海汉得信息技术股</w:t>
      </w:r>
    </w:p>
    <w:p>
      <w:pPr>
        <w:pStyle w:val="BodyText"/>
        <w:spacing w:line="240" w:lineRule="auto" w:before="63"/>
        <w:ind w:right="0"/>
        <w:jc w:val="left"/>
      </w:pPr>
      <w:r>
        <w:rPr/>
        <w:t>份有限公司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年限制性股</w:t>
      </w:r>
      <w:r>
        <w:rPr>
          <w:spacing w:val="-3"/>
        </w:rPr>
        <w:t>票</w:t>
      </w:r>
      <w:r>
        <w:rPr/>
        <w:t>激励计</w:t>
      </w:r>
      <w:r>
        <w:rPr>
          <w:spacing w:val="-22"/>
        </w:rPr>
        <w:t>划</w:t>
      </w:r>
      <w:r>
        <w:rPr/>
        <w:t>（草案</w:t>
      </w:r>
      <w:r>
        <w:rPr>
          <w:spacing w:val="-92"/>
        </w:rPr>
        <w:t>）</w:t>
      </w:r>
      <w:r>
        <w:rPr>
          <w:spacing w:val="-22"/>
        </w:rPr>
        <w:t>》</w:t>
      </w:r>
      <w:r>
        <w:rPr/>
        <w:t>相关要</w:t>
      </w:r>
      <w:r>
        <w:rPr>
          <w:spacing w:val="2"/>
        </w:rPr>
        <w:t>求</w:t>
      </w:r>
      <w:r>
        <w:rPr>
          <w:spacing w:val="-20"/>
        </w:rPr>
        <w:t>，</w:t>
      </w:r>
      <w:r>
        <w:rPr/>
        <w:t>公司董事会实施并完</w:t>
      </w:r>
      <w:r>
        <w:rPr>
          <w:spacing w:val="1"/>
        </w:rPr>
        <w:t>成</w:t>
      </w:r>
      <w:r>
        <w:rPr/>
        <w:t>了限制性股票的授予工作</w:t>
      </w:r>
      <w:r>
        <w:rPr>
          <w:spacing w:val="-22"/>
        </w:rPr>
        <w:t>，</w:t>
      </w:r>
      <w:r>
        <w:rPr/>
        <w:t>向激励</w:t>
      </w:r>
      <w:r>
        <w:rPr>
          <w:spacing w:val="2"/>
        </w:rPr>
        <w:t>对</w:t>
      </w:r>
      <w:r>
        <w:rPr/>
        <w:t>象</w:t>
      </w:r>
    </w:p>
    <w:p>
      <w:pPr>
        <w:pStyle w:val="BodyText"/>
        <w:spacing w:line="300" w:lineRule="auto" w:before="63"/>
        <w:ind w:right="142"/>
        <w:jc w:val="left"/>
      </w:pPr>
      <w:r>
        <w:rPr/>
        <w:t>定向发行</w:t>
      </w:r>
      <w:r>
        <w:rPr>
          <w:spacing w:val="-52"/>
        </w:rPr>
        <w:t> </w:t>
      </w:r>
      <w:r>
        <w:rPr>
          <w:rFonts w:ascii="Times New Roman" w:hAnsi="Times New Roman" w:cs="Times New Roman" w:eastAsia="Times New Roman" w:hint="default"/>
        </w:rPr>
        <w:t>5,026,000</w:t>
      </w:r>
      <w:r>
        <w:rPr>
          <w:rFonts w:ascii="Times New Roman" w:hAnsi="Times New Roman" w:cs="Times New Roman" w:eastAsia="Times New Roman" w:hint="default"/>
          <w:spacing w:val="-5"/>
        </w:rPr>
        <w:t> </w:t>
      </w:r>
      <w:r>
        <w:rPr/>
        <w:t>股限制性股票。本次股本变动经立信会计师事务所（特殊普通合伙）出具信会师报字</w:t>
      </w:r>
      <w:r>
        <w:rPr>
          <w:rFonts w:ascii="Times New Roman" w:hAnsi="Times New Roman" w:cs="Times New Roman" w:eastAsia="Times New Roman" w:hint="default"/>
        </w:rPr>
        <w:t>[2015]</w:t>
      </w:r>
      <w:r>
        <w:rPr/>
        <w:t>第</w:t>
      </w:r>
      <w:r>
        <w:rPr>
          <w:spacing w:val="-54"/>
        </w:rPr>
        <w:t> </w:t>
      </w:r>
      <w:r>
        <w:rPr>
          <w:rFonts w:ascii="Times New Roman" w:hAnsi="Times New Roman" w:cs="Times New Roman" w:eastAsia="Times New Roman" w:hint="default"/>
        </w:rPr>
        <w:t>115506</w:t>
      </w:r>
      <w:r>
        <w:rPr>
          <w:rFonts w:ascii="Times New Roman" w:hAnsi="Times New Roman" w:cs="Times New Roman" w:eastAsia="Times New Roman" w:hint="default"/>
          <w:spacing w:val="-8"/>
        </w:rPr>
        <w:t> </w:t>
      </w:r>
      <w:r>
        <w:rPr/>
        <w:t>号 验资报告验证。</w:t>
      </w:r>
    </w:p>
    <w:p>
      <w:pPr>
        <w:pStyle w:val="BodyText"/>
        <w:spacing w:line="240" w:lineRule="auto" w:before="72"/>
        <w:ind w:right="498"/>
        <w:jc w:val="left"/>
      </w:pPr>
      <w:r>
        <w:rPr/>
        <w:t>注</w:t>
      </w:r>
      <w:r>
        <w:rPr>
          <w:spacing w:val="-46"/>
        </w:rPr>
        <w:t> </w:t>
      </w:r>
      <w:r>
        <w:rPr>
          <w:rFonts w:ascii="Times New Roman" w:hAnsi="Times New Roman" w:cs="Times New Roman" w:eastAsia="Times New Roman" w:hint="default"/>
        </w:rPr>
        <w:t>2</w:t>
      </w:r>
      <w:r>
        <w:rPr/>
        <w:t>：本年公积金转股</w:t>
      </w:r>
      <w:r>
        <w:rPr>
          <w:spacing w:val="-4"/>
        </w:rPr>
        <w:t> </w:t>
      </w:r>
      <w:r>
        <w:rPr>
          <w:rFonts w:ascii="Times New Roman" w:hAnsi="Times New Roman" w:cs="Times New Roman" w:eastAsia="Times New Roman" w:hint="default"/>
        </w:rPr>
        <w:t>274,532,878</w:t>
      </w:r>
      <w:r>
        <w:rPr>
          <w:rFonts w:ascii="Times New Roman" w:hAnsi="Times New Roman" w:cs="Times New Roman" w:eastAsia="Times New Roman" w:hint="default"/>
          <w:spacing w:val="2"/>
        </w:rPr>
        <w:t> </w:t>
      </w:r>
      <w:r>
        <w:rPr/>
        <w:t>股：</w:t>
      </w:r>
    </w:p>
    <w:p>
      <w:pPr>
        <w:pStyle w:val="BodyText"/>
        <w:spacing w:line="240" w:lineRule="auto" w:before="101"/>
        <w:ind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日，公司召开</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年年度股东大会，审议并通过</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年度利润分配方案。该分配方案为：</w:t>
      </w:r>
      <w:r>
        <w:rPr>
          <w:rFonts w:ascii="Times New Roman" w:hAnsi="Times New Roman" w:cs="Times New Roman" w:eastAsia="Times New Roman" w:hint="default"/>
        </w:rPr>
        <w:t>2014</w:t>
      </w:r>
      <w:r>
        <w:rPr>
          <w:rFonts w:ascii="Times New Roman" w:hAnsi="Times New Roman" w:cs="Times New Roman" w:eastAsia="Times New Roman" w:hint="default"/>
          <w:spacing w:val="38"/>
        </w:rPr>
        <w:t> </w:t>
      </w:r>
      <w:r>
        <w:rPr/>
        <w:t>年度不进行</w:t>
      </w:r>
    </w:p>
    <w:p>
      <w:pPr>
        <w:pStyle w:val="BodyText"/>
        <w:spacing w:line="240" w:lineRule="auto" w:before="63"/>
        <w:ind w:right="0"/>
        <w:jc w:val="left"/>
        <w:rPr>
          <w:rFonts w:ascii="Times New Roman" w:hAnsi="Times New Roman" w:cs="Times New Roman" w:eastAsia="Times New Roman" w:hint="default"/>
        </w:rPr>
      </w:pPr>
      <w:r>
        <w:rPr/>
        <w:t>利润分配</w:t>
      </w:r>
      <w:r>
        <w:rPr>
          <w:spacing w:val="-92"/>
        </w:rPr>
        <w:t>，</w:t>
      </w:r>
      <w:r>
        <w:rPr/>
        <w:t>以</w:t>
      </w:r>
      <w:r>
        <w:rPr>
          <w:spacing w:val="-5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w:t>
      </w:r>
      <w:r>
        <w:rPr>
          <w:spacing w:val="-3"/>
        </w:rPr>
        <w:t>总</w:t>
      </w:r>
      <w:r>
        <w:rPr/>
        <w:t>股本</w:t>
      </w:r>
      <w:r>
        <w:rPr>
          <w:spacing w:val="-59"/>
        </w:rPr>
        <w:t> </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5</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股为基数</w:t>
      </w:r>
      <w:r>
        <w:rPr>
          <w:spacing w:val="-92"/>
        </w:rPr>
        <w:t>，</w:t>
      </w:r>
      <w:r>
        <w:rPr>
          <w:spacing w:val="-3"/>
        </w:rPr>
        <w:t>以</w:t>
      </w:r>
      <w:r>
        <w:rPr/>
        <w:t>资本公积金向全体股东每</w:t>
      </w:r>
      <w:r>
        <w:rPr>
          <w:spacing w:val="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5"/>
        </w:rPr>
        <w:t> </w:t>
      </w:r>
      <w:r>
        <w:rPr/>
        <w:t>股转增</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股</w:t>
      </w:r>
      <w:r>
        <w:rPr>
          <w:spacing w:val="-92"/>
        </w:rPr>
        <w:t>，</w:t>
      </w:r>
      <w:r>
        <w:rPr/>
        <w:t>共计转增</w:t>
      </w:r>
      <w:r>
        <w:rPr>
          <w:spacing w:val="-59"/>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74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rPr>
        <w:t>8</w:t>
      </w:r>
    </w:p>
    <w:p>
      <w:pPr>
        <w:pStyle w:val="BodyText"/>
        <w:spacing w:line="240" w:lineRule="auto" w:before="63"/>
        <w:ind w:right="0"/>
        <w:jc w:val="left"/>
      </w:pPr>
      <w:r>
        <w:rPr/>
        <w:t>股。分红前本公司总股本为</w:t>
      </w:r>
      <w:r>
        <w:rPr>
          <w:spacing w:val="-46"/>
        </w:rPr>
        <w:t> </w:t>
      </w:r>
      <w:r>
        <w:rPr>
          <w:rFonts w:ascii="Times New Roman" w:hAnsi="Times New Roman" w:cs="Times New Roman" w:eastAsia="Times New Roman" w:hint="default"/>
        </w:rPr>
        <w:t>549,065,756</w:t>
      </w:r>
      <w:r>
        <w:rPr>
          <w:rFonts w:ascii="Times New Roman" w:hAnsi="Times New Roman" w:cs="Times New Roman" w:eastAsia="Times New Roman" w:hint="default"/>
          <w:spacing w:val="1"/>
        </w:rPr>
        <w:t> </w:t>
      </w:r>
      <w:r>
        <w:rPr>
          <w:spacing w:val="-3"/>
        </w:rPr>
        <w:t>股，分红后总股本增至</w:t>
      </w:r>
      <w:r>
        <w:rPr>
          <w:spacing w:val="-46"/>
        </w:rPr>
        <w:t> </w:t>
      </w:r>
      <w:r>
        <w:rPr>
          <w:rFonts w:ascii="Times New Roman" w:hAnsi="Times New Roman" w:cs="Times New Roman" w:eastAsia="Times New Roman" w:hint="default"/>
        </w:rPr>
        <w:t>823,598,634</w:t>
      </w:r>
      <w:r>
        <w:rPr>
          <w:rFonts w:ascii="Times New Roman" w:hAnsi="Times New Roman" w:cs="Times New Roman" w:eastAsia="Times New Roman" w:hint="default"/>
          <w:spacing w:val="1"/>
        </w:rPr>
        <w:t> </w:t>
      </w:r>
      <w:r>
        <w:rPr>
          <w:spacing w:val="-3"/>
        </w:rPr>
        <w:t>股。本次股本变动经立信会计师事务所（特殊普</w:t>
      </w:r>
    </w:p>
    <w:p>
      <w:pPr>
        <w:pStyle w:val="BodyText"/>
        <w:spacing w:line="340" w:lineRule="auto" w:before="63"/>
        <w:ind w:right="5072"/>
        <w:jc w:val="left"/>
      </w:pPr>
      <w:r>
        <w:rPr/>
        <w:t>通合伙）出具信会师报字</w:t>
      </w:r>
      <w:r>
        <w:rPr>
          <w:rFonts w:ascii="Times New Roman" w:hAnsi="Times New Roman" w:cs="Times New Roman" w:eastAsia="Times New Roman" w:hint="default"/>
        </w:rPr>
        <w:t>[2015]</w:t>
      </w:r>
      <w:r>
        <w:rPr/>
        <w:t>第</w:t>
      </w:r>
      <w:r>
        <w:rPr>
          <w:spacing w:val="-51"/>
        </w:rPr>
        <w:t> </w:t>
      </w:r>
      <w:r>
        <w:rPr>
          <w:rFonts w:ascii="Times New Roman" w:hAnsi="Times New Roman" w:cs="Times New Roman" w:eastAsia="Times New Roman" w:hint="default"/>
        </w:rPr>
        <w:t>115503</w:t>
      </w:r>
      <w:r>
        <w:rPr>
          <w:rFonts w:ascii="Times New Roman" w:hAnsi="Times New Roman" w:cs="Times New Roman" w:eastAsia="Times New Roman" w:hint="default"/>
          <w:spacing w:val="-3"/>
        </w:rPr>
        <w:t> </w:t>
      </w:r>
      <w:r>
        <w:rPr/>
        <w:t>号验资报告验证。 注</w:t>
      </w:r>
      <w:r>
        <w:rPr>
          <w:spacing w:val="-47"/>
        </w:rPr>
        <w:t> </w:t>
      </w:r>
      <w:r>
        <w:rPr>
          <w:rFonts w:ascii="Times New Roman" w:hAnsi="Times New Roman" w:cs="Times New Roman" w:eastAsia="Times New Roman" w:hint="default"/>
        </w:rPr>
        <w:t>3</w:t>
      </w:r>
      <w:r>
        <w:rPr/>
        <w:t>：报告期末有限售条件股份共计</w:t>
      </w:r>
      <w:r>
        <w:rPr>
          <w:spacing w:val="-46"/>
        </w:rPr>
        <w:t> </w:t>
      </w:r>
      <w:r>
        <w:rPr>
          <w:rFonts w:ascii="Times New Roman" w:hAnsi="Times New Roman" w:cs="Times New Roman" w:eastAsia="Times New Roman" w:hint="default"/>
        </w:rPr>
        <w:t>205,396,233 </w:t>
      </w:r>
      <w:r>
        <w:rPr/>
        <w:t>股</w:t>
      </w:r>
    </w:p>
    <w:p>
      <w:pPr>
        <w:spacing w:line="240" w:lineRule="auto" w:before="10"/>
        <w:rPr>
          <w:rFonts w:ascii="宋体" w:hAnsi="宋体" w:cs="宋体" w:eastAsia="宋体" w:hint="default"/>
          <w:sz w:val="19"/>
          <w:szCs w:val="19"/>
        </w:rPr>
      </w:pPr>
    </w:p>
    <w:p>
      <w:pPr>
        <w:pStyle w:val="Heading4"/>
        <w:spacing w:line="240" w:lineRule="auto"/>
        <w:ind w:right="498"/>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567,485,192.75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64,046,872.01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274,532,878.00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372,369,355.51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29,625,194.89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22,300,095.07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13,736,612.01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22,818,509.20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597,110,387.64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86,346,967.08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288,269,490.01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395,187,864.71</w:t>
            </w:r>
          </w:p>
        </w:tc>
      </w:tr>
    </w:tbl>
    <w:p>
      <w:pPr>
        <w:pStyle w:val="BodyText"/>
        <w:spacing w:line="240" w:lineRule="auto" w:before="49"/>
        <w:ind w:right="498"/>
        <w:jc w:val="left"/>
      </w:pPr>
      <w:r>
        <w:rPr/>
        <w:t>其他说明，包括本期增减变动情况、变动原因说明：</w:t>
      </w:r>
    </w:p>
    <w:p>
      <w:pPr>
        <w:pStyle w:val="BodyText"/>
        <w:spacing w:line="240" w:lineRule="auto" w:before="115"/>
        <w:ind w:right="0"/>
        <w:jc w:val="left"/>
      </w:pPr>
      <w:r>
        <w:rPr/>
        <w:t>注</w:t>
      </w:r>
      <w:r>
        <w:rPr>
          <w:spacing w:val="-40"/>
        </w:rPr>
        <w:t> </w:t>
      </w:r>
      <w:r>
        <w:rPr>
          <w:rFonts w:ascii="Times New Roman" w:hAnsi="Times New Roman" w:cs="Times New Roman" w:eastAsia="Times New Roman" w:hint="default"/>
        </w:rPr>
        <w:t>1</w:t>
      </w:r>
      <w:r>
        <w:rPr/>
        <w:t>：本年溢价增加</w:t>
      </w:r>
      <w:r>
        <w:rPr>
          <w:spacing w:val="-40"/>
        </w:rPr>
        <w:t> </w:t>
      </w:r>
      <w:r>
        <w:rPr>
          <w:rFonts w:ascii="Times New Roman" w:hAnsi="Times New Roman" w:cs="Times New Roman" w:eastAsia="Times New Roman" w:hint="default"/>
        </w:rPr>
        <w:t>64,046,872.01</w:t>
      </w:r>
      <w:r>
        <w:rPr>
          <w:rFonts w:ascii="Times New Roman" w:hAnsi="Times New Roman" w:cs="Times New Roman" w:eastAsia="Times New Roman" w:hint="default"/>
          <w:spacing w:val="9"/>
        </w:rPr>
        <w:t> </w:t>
      </w:r>
      <w:r>
        <w:rPr/>
        <w:t>元，系（</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4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日，根据公司第二届董事会第三十六次（临时）会议关于授</w:t>
      </w:r>
    </w:p>
    <w:p>
      <w:pPr>
        <w:pStyle w:val="BodyText"/>
        <w:spacing w:line="240" w:lineRule="auto" w:before="63"/>
        <w:ind w:right="0"/>
        <w:jc w:val="left"/>
      </w:pPr>
      <w:r>
        <w:rPr/>
        <w:t>予限制性股票的决议、第二届董事会第三十九次（临时）会议通过《关于调整公司</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年限制性股票激励计划的议案》对</w:t>
      </w:r>
    </w:p>
    <w:p>
      <w:pPr>
        <w:pStyle w:val="BodyText"/>
        <w:spacing w:line="240" w:lineRule="auto" w:before="63"/>
        <w:ind w:right="0"/>
        <w:jc w:val="left"/>
      </w:pPr>
      <w:r>
        <w:rPr/>
        <w:t>授予股数和人数的调整</w:t>
      </w:r>
      <w:r>
        <w:rPr>
          <w:spacing w:val="-27"/>
        </w:rPr>
        <w:t>及</w:t>
      </w:r>
      <w:r>
        <w:rPr/>
        <w:t>《上海汉得信息技术股份有限公司</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年限制性股票激励计</w:t>
      </w:r>
      <w:r>
        <w:rPr>
          <w:spacing w:val="-29"/>
        </w:rPr>
        <w:t>划</w:t>
      </w:r>
      <w:r>
        <w:rPr>
          <w:spacing w:val="-3"/>
        </w:rPr>
        <w:t>（</w:t>
      </w:r>
      <w:r>
        <w:rPr/>
        <w:t>草案</w:t>
      </w:r>
      <w:r>
        <w:rPr>
          <w:spacing w:val="-92"/>
        </w:rPr>
        <w:t>）</w:t>
      </w:r>
      <w:r>
        <w:rPr>
          <w:spacing w:val="-27"/>
        </w:rPr>
        <w:t>》</w:t>
      </w:r>
      <w:r>
        <w:rPr/>
        <w:t>向激励员工定向增发产生</w:t>
      </w:r>
    </w:p>
    <w:p>
      <w:pPr>
        <w:pStyle w:val="BodyText"/>
        <w:spacing w:line="240" w:lineRule="auto" w:before="63"/>
        <w:ind w:right="498"/>
        <w:jc w:val="left"/>
      </w:pPr>
      <w:r>
        <w:rPr/>
        <w:t>的资本溢价</w:t>
      </w:r>
      <w:r>
        <w:rPr>
          <w:spacing w:val="-45"/>
        </w:rPr>
        <w:t> </w:t>
      </w:r>
      <w:r>
        <w:rPr>
          <w:rFonts w:ascii="Times New Roman" w:hAnsi="Times New Roman" w:cs="Times New Roman" w:eastAsia="Times New Roman" w:hint="default"/>
          <w:spacing w:val="1"/>
        </w:rPr>
        <w:t>50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94"/>
        </w:rPr>
        <w:t>，</w:t>
      </w:r>
      <w:r>
        <w:rPr/>
        <w:t>（</w:t>
      </w:r>
      <w:r>
        <w:rPr>
          <w:rFonts w:ascii="Times New Roman" w:hAnsi="Times New Roman" w:cs="Times New Roman" w:eastAsia="Times New Roman" w:hint="default"/>
          <w:spacing w:val="1"/>
        </w:rPr>
        <w:t>2</w:t>
      </w:r>
      <w:r>
        <w:rPr/>
        <w:t>）限制性股票激励计划行权从其他资本公积转入资本溢价</w:t>
      </w:r>
      <w:r>
        <w:rPr>
          <w:spacing w:val="-44"/>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元。</w:t>
      </w:r>
    </w:p>
    <w:p>
      <w:pPr>
        <w:pStyle w:val="BodyText"/>
        <w:spacing w:line="240" w:lineRule="auto" w:before="103"/>
        <w:ind w:right="0"/>
        <w:jc w:val="left"/>
      </w:pPr>
      <w:r>
        <w:rPr/>
        <w:t>注</w:t>
      </w:r>
      <w:r>
        <w:rPr>
          <w:spacing w:val="-48"/>
        </w:rPr>
        <w:t> </w:t>
      </w:r>
      <w:r>
        <w:rPr>
          <w:rFonts w:ascii="Times New Roman" w:hAnsi="Times New Roman" w:cs="Times New Roman" w:eastAsia="Times New Roman" w:hint="default"/>
        </w:rPr>
        <w:t>2</w:t>
      </w:r>
      <w:r>
        <w:rPr/>
        <w:t>：本年溢价减少</w:t>
      </w:r>
      <w:r>
        <w:rPr>
          <w:spacing w:val="-7"/>
        </w:rPr>
        <w:t> </w:t>
      </w:r>
      <w:r>
        <w:rPr>
          <w:rFonts w:ascii="Times New Roman" w:hAnsi="Times New Roman" w:cs="Times New Roman" w:eastAsia="Times New Roman" w:hint="default"/>
        </w:rPr>
        <w:t>274,532,878.00 </w:t>
      </w:r>
      <w:r>
        <w:rPr/>
        <w:t>元，</w:t>
      </w:r>
      <w:r>
        <w:rPr>
          <w:spacing w:val="-13"/>
        </w:rPr>
        <w:t> </w:t>
      </w:r>
      <w:r>
        <w:rPr/>
        <w:t>系</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日，公司召开</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年年度股东大会，审议并通过</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年度利润</w:t>
      </w:r>
    </w:p>
    <w:p>
      <w:pPr>
        <w:pStyle w:val="BodyText"/>
        <w:spacing w:line="240" w:lineRule="auto" w:before="63"/>
        <w:ind w:right="0"/>
        <w:jc w:val="left"/>
      </w:pPr>
      <w:r>
        <w:rPr/>
        <w:t>分配方案。该分配方案为：</w:t>
      </w:r>
      <w:r>
        <w:rPr>
          <w:rFonts w:ascii="Times New Roman" w:hAnsi="Times New Roman" w:cs="Times New Roman" w:eastAsia="Times New Roman" w:hint="default"/>
        </w:rPr>
        <w:t>2014</w:t>
      </w:r>
      <w:r>
        <w:rPr>
          <w:rFonts w:ascii="Times New Roman" w:hAnsi="Times New Roman" w:cs="Times New Roman" w:eastAsia="Times New Roman" w:hint="default"/>
          <w:spacing w:val="27"/>
        </w:rPr>
        <w:t> </w:t>
      </w:r>
      <w:r>
        <w:rPr/>
        <w:t>年度不进行利润分配，以</w:t>
      </w:r>
      <w:r>
        <w:rPr>
          <w:spacing w:val="-3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34"/>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日总股本</w:t>
      </w:r>
      <w:r>
        <w:rPr>
          <w:spacing w:val="-36"/>
        </w:rPr>
        <w:t> </w:t>
      </w:r>
      <w:r>
        <w:rPr>
          <w:rFonts w:ascii="Times New Roman" w:hAnsi="Times New Roman" w:cs="Times New Roman" w:eastAsia="Times New Roman" w:hint="default"/>
        </w:rPr>
        <w:t>549,065,756</w:t>
      </w:r>
      <w:r>
        <w:rPr>
          <w:rFonts w:ascii="Times New Roman" w:hAnsi="Times New Roman" w:cs="Times New Roman" w:eastAsia="Times New Roman" w:hint="default"/>
          <w:spacing w:val="-5"/>
        </w:rPr>
        <w:t> </w:t>
      </w:r>
      <w:r>
        <w:rPr/>
        <w:t>股为基数，以资本公积金向</w:t>
      </w:r>
    </w:p>
    <w:p>
      <w:pPr>
        <w:pStyle w:val="BodyText"/>
        <w:spacing w:line="240" w:lineRule="auto" w:before="62"/>
        <w:ind w:right="498"/>
        <w:jc w:val="left"/>
      </w:pPr>
      <w:r>
        <w:rPr/>
        <w:t>全体股东每</w:t>
      </w:r>
      <w:r>
        <w:rPr>
          <w:spacing w:val="-21"/>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股，共计转增</w:t>
      </w:r>
      <w:r>
        <w:rPr>
          <w:spacing w:val="-45"/>
        </w:rPr>
        <w:t> </w:t>
      </w:r>
      <w:r>
        <w:rPr>
          <w:rFonts w:ascii="Times New Roman" w:hAnsi="Times New Roman" w:cs="Times New Roman" w:eastAsia="Times New Roman" w:hint="default"/>
        </w:rPr>
        <w:t>274,532,878</w:t>
      </w:r>
      <w:r>
        <w:rPr>
          <w:rFonts w:ascii="Times New Roman" w:hAnsi="Times New Roman" w:cs="Times New Roman" w:eastAsia="Times New Roman" w:hint="default"/>
          <w:spacing w:val="-8"/>
        </w:rPr>
        <w:t> </w:t>
      </w:r>
      <w:r>
        <w:rPr/>
        <w:t>股。</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2399"/>
        <w:jc w:val="left"/>
        <w:rPr>
          <w:rFonts w:ascii="Times New Roman" w:hAnsi="Times New Roman" w:cs="Times New Roman" w:eastAsia="Times New Roman" w:hint="default"/>
        </w:rPr>
      </w:pPr>
      <w:r>
        <w:rPr/>
        <w:t>注</w:t>
      </w:r>
      <w:r>
        <w:rPr>
          <w:spacing w:val="-48"/>
        </w:rPr>
        <w:t> </w:t>
      </w:r>
      <w:r>
        <w:rPr>
          <w:rFonts w:ascii="Times New Roman" w:hAnsi="Times New Roman" w:cs="Times New Roman" w:eastAsia="Times New Roman" w:hint="default"/>
        </w:rPr>
        <w:t>3</w:t>
      </w:r>
      <w:r>
        <w:rPr/>
        <w:t>：本期其他增加</w:t>
      </w:r>
      <w:r>
        <w:rPr>
          <w:spacing w:val="-48"/>
        </w:rPr>
        <w:t> </w:t>
      </w:r>
      <w:r>
        <w:rPr>
          <w:rFonts w:ascii="Times New Roman" w:hAnsi="Times New Roman" w:cs="Times New Roman" w:eastAsia="Times New Roman" w:hint="default"/>
        </w:rPr>
        <w:t>22,300,095.07 </w:t>
      </w:r>
      <w:r>
        <w:rPr/>
        <w:t>元，系股份支付计入所有者权益的金额，详见本附注十一。 注</w:t>
      </w:r>
      <w:r>
        <w:rPr>
          <w:spacing w:val="-48"/>
        </w:rPr>
        <w:t> </w:t>
      </w:r>
      <w:r>
        <w:rPr>
          <w:rFonts w:ascii="Times New Roman" w:hAnsi="Times New Roman" w:cs="Times New Roman" w:eastAsia="Times New Roman" w:hint="default"/>
        </w:rPr>
        <w:t>4</w:t>
      </w:r>
      <w:r>
        <w:rPr/>
        <w:t>：本期其他减少</w:t>
      </w:r>
      <w:r>
        <w:rPr>
          <w:spacing w:val="-48"/>
        </w:rPr>
        <w:t> </w:t>
      </w:r>
      <w:r>
        <w:rPr>
          <w:rFonts w:ascii="Times New Roman" w:hAnsi="Times New Roman" w:cs="Times New Roman" w:eastAsia="Times New Roman" w:hint="default"/>
        </w:rPr>
        <w:t>13,736,612.01 </w:t>
      </w:r>
      <w:r>
        <w:rPr/>
        <w:t>元，系本年限制性股票激励计划行权转出溢价</w:t>
      </w:r>
      <w:r>
        <w:rPr>
          <w:spacing w:val="-48"/>
        </w:rPr>
        <w:t> </w:t>
      </w:r>
      <w:r>
        <w:rPr>
          <w:rFonts w:ascii="Times New Roman" w:hAnsi="Times New Roman" w:cs="Times New Roman" w:eastAsia="Times New Roman" w:hint="default"/>
        </w:rPr>
        <w:t>13,736,612.01</w:t>
      </w:r>
    </w:p>
    <w:p>
      <w:pPr>
        <w:spacing w:line="240" w:lineRule="auto" w:before="3"/>
        <w:rPr>
          <w:rFonts w:ascii="Times New Roman" w:hAnsi="Times New Roman" w:cs="Times New Roman" w:eastAsia="Times New Roman" w:hint="default"/>
          <w:sz w:val="22"/>
          <w:szCs w:val="22"/>
        </w:rPr>
      </w:pPr>
    </w:p>
    <w:p>
      <w:pPr>
        <w:pStyle w:val="Heading4"/>
        <w:spacing w:line="240" w:lineRule="auto"/>
        <w:ind w:right="498"/>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182,469,080.49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55,336,260.00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60,070,066.37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177,735,274.12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182,469,080.49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55,336,260.00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60,070,066.37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177,735,274.12</w:t>
            </w:r>
          </w:p>
        </w:tc>
      </w:tr>
    </w:tbl>
    <w:p>
      <w:pPr>
        <w:pStyle w:val="BodyText"/>
        <w:spacing w:line="240" w:lineRule="auto" w:before="49"/>
        <w:ind w:right="498"/>
        <w:jc w:val="left"/>
      </w:pPr>
      <w:r>
        <w:rPr/>
        <w:t>其他说明，包括本期增减变动情况、变动原因说明：</w:t>
      </w:r>
    </w:p>
    <w:p>
      <w:pPr>
        <w:spacing w:line="240" w:lineRule="auto" w:before="7"/>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2429"/>
        <w:gridCol w:w="1810"/>
        <w:gridCol w:w="1808"/>
        <w:gridCol w:w="1808"/>
        <w:gridCol w:w="1805"/>
      </w:tblGrid>
      <w:tr>
        <w:trPr>
          <w:trHeight w:val="341"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3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8"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发行限制性股票金额</w:t>
            </w:r>
          </w:p>
        </w:tc>
        <w:tc>
          <w:tcPr>
            <w:tcW w:w="181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182,469,080.49</w:t>
            </w:r>
          </w:p>
        </w:tc>
        <w:tc>
          <w:tcPr>
            <w:tcW w:w="18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55,336,260.00</w:t>
            </w:r>
          </w:p>
        </w:tc>
        <w:tc>
          <w:tcPr>
            <w:tcW w:w="180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60,070,066.37</w:t>
            </w:r>
          </w:p>
        </w:tc>
        <w:tc>
          <w:tcPr>
            <w:tcW w:w="180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177,735,274.12</w:t>
            </w:r>
          </w:p>
        </w:tc>
      </w:tr>
      <w:tr>
        <w:trPr>
          <w:trHeight w:val="348"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2011</w:t>
            </w:r>
            <w:r>
              <w:rPr>
                <w:rFonts w:ascii="宋体" w:hAnsi="宋体" w:cs="宋体" w:eastAsia="宋体" w:hint="default"/>
                <w:sz w:val="18"/>
                <w:szCs w:val="18"/>
              </w:rPr>
              <w:t>年股权激励</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382,560.49</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382,560.49</w:t>
            </w:r>
          </w:p>
        </w:tc>
      </w:tr>
      <w:tr>
        <w:trPr>
          <w:trHeight w:val="346"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年股权激励</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56,349,200.00</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23,620,798.37</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32,728,401.63</w:t>
            </w:r>
          </w:p>
        </w:tc>
      </w:tr>
      <w:tr>
        <w:trPr>
          <w:trHeight w:val="348"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年股权激励</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43,213,320.00</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12,452,568.00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30,760,752.00</w:t>
            </w:r>
          </w:p>
        </w:tc>
      </w:tr>
      <w:tr>
        <w:trPr>
          <w:trHeight w:val="346"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年股权激励</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82,524,000.00</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23,996,700.00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58,527,300.00</w:t>
            </w:r>
          </w:p>
        </w:tc>
      </w:tr>
      <w:tr>
        <w:trPr>
          <w:trHeight w:val="348" w:hRule="exact"/>
        </w:trPr>
        <w:tc>
          <w:tcPr>
            <w:tcW w:w="24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6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年股权激励</w:t>
            </w:r>
          </w:p>
        </w:tc>
        <w:tc>
          <w:tcPr>
            <w:tcW w:w="1810" w:type="dxa"/>
            <w:tcBorders>
              <w:top w:val="single" w:sz="6" w:space="0" w:color="000000"/>
              <w:left w:val="single" w:sz="6" w:space="0" w:color="000000"/>
              <w:bottom w:val="single" w:sz="6" w:space="0" w:color="000000"/>
              <w:right w:val="single" w:sz="6" w:space="0" w:color="000000"/>
            </w:tcBorders>
          </w:tcPr>
          <w:p>
            <w:pPr/>
          </w:p>
        </w:tc>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55,336,260.00</w:t>
            </w:r>
          </w:p>
        </w:tc>
        <w:tc>
          <w:tcPr>
            <w:tcW w:w="180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55,336,260.00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6"/>
        <w:gridCol w:w="936"/>
        <w:gridCol w:w="797"/>
      </w:tblGrid>
      <w:tr>
        <w:trPr>
          <w:trHeight w:val="404"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20"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4"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6"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-426,288.49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209,359.61</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209,359.61</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r>
      <w:tr>
        <w:trPr>
          <w:trHeight w:val="161"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-426,288.49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209,359.61</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209,359.61</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3"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-426,288.49</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209,359.61</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209,359.61</w:t>
            </w:r>
          </w:p>
        </w:tc>
        <w:tc>
          <w:tcPr>
            <w:tcW w:w="936"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-216,928.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88</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6"/>
        <w:ind w:right="498"/>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59,176,446.43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20,928,544.08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80,104,990.51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59,176,446.43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20,928,544.08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80,104,990.51</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412,632,266.97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292,745,453.15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412,632,266.97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292,745,453.15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214,240,021.65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177,302,356.33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20,928,544.08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17,489,798.06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39,925,744.45</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605,943,744.54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412,632,266.97</w:t>
            </w:r>
          </w:p>
        </w:tc>
      </w:tr>
    </w:tbl>
    <w:p>
      <w:pPr>
        <w:pStyle w:val="BodyText"/>
        <w:spacing w:line="240" w:lineRule="auto" w:before="49"/>
        <w:ind w:right="498"/>
        <w:jc w:val="left"/>
      </w:pPr>
      <w:r>
        <w:rPr/>
        <w:t>调整期初未分配利润明细：</w:t>
      </w:r>
    </w:p>
    <w:p>
      <w:pPr>
        <w:pStyle w:val="BodyText"/>
        <w:spacing w:line="240" w:lineRule="auto" w:before="115"/>
        <w:ind w:right="498"/>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498"/>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1"/>
        <w:ind w:right="498"/>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498"/>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4"/>
        <w:ind w:right="498"/>
        <w:jc w:val="left"/>
      </w:pPr>
      <w:r>
        <w:rPr>
          <w:rFonts w:ascii="Times New Roman" w:hAnsi="Times New Roman" w:cs="Times New Roman" w:eastAsia="Times New Roman" w:hint="default"/>
        </w:rPr>
        <w:t>5)</w:t>
      </w:r>
      <w:r>
        <w:rPr/>
        <w:t>、其他调整合计影响期初未分配利润元。</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1,217,542,406.55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729,908,149.03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1,007,860,181.03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609,531,028.32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1,255,676.13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1,163,725.17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1,218,798,082.68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729,908,149.03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1,009,023,906.20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609,531,028.32</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4,577.29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2,520,997.63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415,369.52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3,185,262.20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2,076,847.73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1"/>
      </w:tblGrid>
      <w:tr>
        <w:trPr>
          <w:trHeight w:val="404" w:hRule="exact"/>
        </w:trPr>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5,710,837.12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2,492,217.25</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33,523,721.73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27,776,161.75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26,303,345.76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18,485,127.02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3,210,773.01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2,104,867.62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1,843,346.34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1,547,244.53</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1,779,103.83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3,008,990.13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23,682.15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56,837.13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其他各项销售费用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3,692,781.27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1,669,063.31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70,376,754.09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54,648,291.49</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110,056,728.27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88,148,053.07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31,733,742.98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17,013,725.26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22,300,095.07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13,887,696.67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16,274,896.01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9,689,952.78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7,752,748.07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7,878,306.89</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6,896,474.62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3,567,478.84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6,214,063.74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4,951,438.95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4,864,023.16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3,123,701.70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4,024,309.02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2,964,612.51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1,939,556.76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3,842,789.58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1,161,906.21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813,507.48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其他各项管理费用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6,079,868.50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5,683,715.14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219,298,412.41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161,564,978.87</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65</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0"/>
        <w:gridCol w:w="3190"/>
        <w:gridCol w:w="3191"/>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47,334.53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19,306,547.28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25,610,700.24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-5,308,523.97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5,742,767.09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172,374.92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139,296.46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-24,395,361.80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-19,728,636.69</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48,717,267.76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40,865,764.41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48,717,267.76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40,865,764.41</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67</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1"/>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71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其中：衍生金融工具产生的公允价 值变动收益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4,075,050.00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1"/>
        <w:gridCol w:w="3191"/>
        <w:gridCol w:w="2919"/>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1,627,250.00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-1,546,489.00</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1,627,250.00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-1,546,489.00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19.55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27,186,759.43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16,129,888.78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27,186,759.43</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173,034.50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1,083,405.87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475,386.67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47,107.82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475,386.67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27,835,200.15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17,274,478.14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27,662,165.65</w:t>
            </w:r>
          </w:p>
        </w:tc>
      </w:tr>
    </w:tbl>
    <w:p>
      <w:pPr>
        <w:pStyle w:val="BodyText"/>
        <w:spacing w:line="240" w:lineRule="auto" w:before="49"/>
        <w:ind w:right="498"/>
        <w:jc w:val="left"/>
      </w:pPr>
      <w:r>
        <w:rPr/>
        <w:t>计入当期损益的政府补助：</w:t>
      </w:r>
    </w:p>
    <w:p>
      <w:pPr>
        <w:pStyle w:val="BodyText"/>
        <w:spacing w:line="240" w:lineRule="auto" w:before="115"/>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4"/>
        <w:gridCol w:w="1063"/>
        <w:gridCol w:w="1064"/>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）青浦区 财政局科技 创新扶持资 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23,873,500.0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13,094,716.2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）软件和 集成电路设 计人员专项 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）国家服 务外包专项 资金财政补 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）青浦区 财政奖励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294,042.76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810,668.54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）云计算 机系统补贴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）云计算 机系统补贴 款</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277,916.67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）其他政 府补助小计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666,004.00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27,186,759.4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16,129,888.7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5"/>
        <w:gridCol w:w="2392"/>
      </w:tblGrid>
      <w:tr>
        <w:trPr>
          <w:trHeight w:val="161" w:hRule="exact"/>
        </w:trPr>
        <w:tc>
          <w:tcPr>
            <w:tcW w:w="23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0"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7"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97,623.72</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7" w:right="0"/>
              <w:jc w:val="left"/>
              <w:rPr>
                <w:rFonts w:ascii="Times New Roman" w:hAnsi="Times New Roman" w:cs="Times New Roman" w:eastAsia="Times New Roman" w:hint="default"/>
                <w:sz w:val="18"/>
                <w:szCs w:val="18"/>
              </w:rPr>
            </w:pPr>
            <w:r>
              <w:rPr>
                <w:rFonts w:ascii="Times New Roman"/>
                <w:sz w:val="18"/>
              </w:rPr>
              <w:t>152,855.81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97,623.72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89"/>
        <w:gridCol w:w="2396"/>
        <w:gridCol w:w="2393"/>
        <w:gridCol w:w="2393"/>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97,623.72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152,855.81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97,623.72</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33,022.81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25,294.09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33,022.81</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130,646.53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178,674.23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130,646.53</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4,744,581.89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7,010,724.47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-20,475,384.15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-4,456,558.54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-15,730,802.26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2,554,165.93</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199,117,327.69</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29,867,599.15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2,590,815.93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487,011.88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-48,569,442.35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其他对所得税费用的影响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-106,786.88</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-15,730,802.26</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72</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21"/>
        <w:ind w:right="498"/>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、存款利息收入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19,494,487.64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28,853,600.22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26,898,842.76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16,129,888.78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475,386.67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、收到往来款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60,634,809.29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35,951,697.29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107,503,526.36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80,982,294.11</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、租赁支出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9,544,303.01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7,238,580.56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43,502,385.66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35,727,936.46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19,255,122.59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22,678,647.70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、财务费用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172,374.92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139,296.46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33,022.81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25,818.42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22,383,898.44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42,051,808.98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94,891,107.43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107,862,088.58</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3,940,000.00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498"/>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限制性股票回购支付的现金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4,891,573.88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1,821,420.52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4,891,573.88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1,821,420.52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shape style="position:absolute;margin-left:190.130005pt;margin-top:403.72998pt;width:185.55pt;height:19.7pt;mso-position-horizontal-relative:page;mso-position-vertical-relative:page;z-index:-829600"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30005pt;margin-top:423.885986pt;width:185.55pt;height:19.6pt;mso-position-horizontal-relative:page;mso-position-vertical-relative:page;z-index:-829576"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4"/>
        <w:spacing w:line="240" w:lineRule="auto" w:before="36"/>
        <w:ind w:right="498"/>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999"/>
        <w:gridCol w:w="2059"/>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214,848,129.95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176,720,461.53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48,717,267.76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40,865,764.41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16,996,604.40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10,390,266.52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4,556,138.10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2,205,622.43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774,012.90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966,328.57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97,604.17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138,780.14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-4,075,050.00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-8,792,536.26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1,517,999.47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-1,627,250.00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1,546,489.00</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-20,128,229.15</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-3,929,406.49</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-347,155.00</w:t>
            </w:r>
          </w:p>
        </w:tc>
        <w:tc>
          <w:tcPr>
            <w:tcW w:w="3186"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-179,259.90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-9,641.01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2,715,813.81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-124,173,816.70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-181,789,801.71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52,538,264.87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-446,110.18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23,282,259.66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13,887,696.67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206,128,153.69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60,535,594.27</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939,258,934.97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798,621,501.84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786,139,897.56</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140,637,433.13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12,481,604.28</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939,258,934.97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215,236.92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55,348.70</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939,043,698.05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797,436,153.14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1,130,000.00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939,258,934.97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798,621,501.84</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5,335,590.40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47" w:lineRule="auto" w:before="36"/>
        <w:ind w:left="153" w:right="43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6"/>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5,335,590.40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5,335,590.40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498"/>
        <w:jc w:val="left"/>
      </w:pPr>
      <w:r>
        <w:rPr/>
        <w:t>其他说明：本报告期无所有权或使用权受到限制的资产。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498"/>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115,289,539.37</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5,126,916.53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33,292,145.18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1,497,228,899.00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80,663,206.93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290,831.01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1,334,187.26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7"/>
        <w:gridCol w:w="2292"/>
        <w:gridCol w:w="2391"/>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37,987,971.91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3,116,067.95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20,234,498.84</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271,328,796.11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14,617,838.89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683,516.99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3,135,634.19</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45,826.40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850,606.00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45,826.40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466,154.08</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8,652,512.00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466,154.08</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7"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227,133.00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194,808.00</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9"/>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32,325.00</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332,617.79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332,617.79</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258,522.41</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2,285.62</w:t>
            </w: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72"/>
              <w:jc w:val="center"/>
              <w:rPr>
                <w:rFonts w:ascii="宋体" w:hAnsi="宋体" w:cs="宋体" w:eastAsia="宋体" w:hint="default"/>
                <w:sz w:val="18"/>
                <w:szCs w:val="18"/>
              </w:rPr>
            </w:pPr>
            <w:r>
              <w:rPr>
                <w:rFonts w:ascii="宋体" w:hAnsi="宋体" w:cs="宋体" w:eastAsia="宋体" w:hint="default"/>
                <w:sz w:val="18"/>
                <w:szCs w:val="18"/>
              </w:rPr>
              <w:t>日元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4,730,590.00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0.053875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254,860.54</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center"/>
              <w:rPr>
                <w:rFonts w:ascii="宋体" w:hAnsi="宋体" w:cs="宋体" w:eastAsia="宋体" w:hint="default"/>
                <w:sz w:val="18"/>
                <w:szCs w:val="18"/>
              </w:rPr>
            </w:pPr>
            <w:r>
              <w:rPr>
                <w:rFonts w:ascii="宋体" w:hAnsi="宋体" w:cs="宋体" w:eastAsia="宋体" w:hint="default"/>
                <w:sz w:val="18"/>
                <w:szCs w:val="18"/>
              </w:rPr>
              <w:t>新加坡元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1,376.25</w:t>
            </w:r>
          </w:p>
        </w:tc>
      </w:tr>
    </w:tbl>
    <w:p>
      <w:pPr>
        <w:spacing w:line="240" w:lineRule="auto" w:before="3"/>
        <w:rPr>
          <w:rFonts w:ascii="宋体" w:hAnsi="宋体" w:cs="宋体" w:eastAsia="宋体" w:hint="default"/>
          <w:sz w:val="19"/>
          <w:szCs w:val="19"/>
        </w:rPr>
      </w:pPr>
    </w:p>
    <w:p>
      <w:pPr>
        <w:pStyle w:val="Heading4"/>
        <w:spacing w:line="259"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6049"/>
        <w:gridCol w:w="1832"/>
        <w:gridCol w:w="1779"/>
      </w:tblGrid>
      <w:tr>
        <w:trPr>
          <w:trHeight w:val="689" w:hRule="exact"/>
        </w:trPr>
        <w:tc>
          <w:tcPr>
            <w:tcW w:w="60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境外经营实体</w:t>
            </w:r>
          </w:p>
        </w:tc>
        <w:tc>
          <w:tcPr>
            <w:tcW w:w="1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3"/>
              <w:ind w:left="638" w:right="636" w:hanging="3"/>
              <w:jc w:val="center"/>
              <w:rPr>
                <w:rFonts w:ascii="宋体" w:hAnsi="宋体" w:cs="宋体" w:eastAsia="宋体" w:hint="default"/>
                <w:sz w:val="18"/>
                <w:szCs w:val="18"/>
              </w:rPr>
            </w:pPr>
            <w:r>
              <w:rPr>
                <w:rFonts w:ascii="宋体" w:hAnsi="宋体" w:cs="宋体" w:eastAsia="宋体" w:hint="default"/>
                <w:sz w:val="18"/>
                <w:szCs w:val="18"/>
              </w:rPr>
              <w:t>主要 经营地</w:t>
            </w:r>
          </w:p>
        </w:tc>
        <w:tc>
          <w:tcPr>
            <w:tcW w:w="17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432" w:right="0"/>
              <w:jc w:val="left"/>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348" w:hRule="exact"/>
        </w:trPr>
        <w:tc>
          <w:tcPr>
            <w:tcW w:w="6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HAND ENTERPRISE</w:t>
            </w:r>
            <w:r>
              <w:rPr>
                <w:rFonts w:ascii="Times New Roman"/>
                <w:spacing w:val="-14"/>
                <w:sz w:val="18"/>
              </w:rPr>
              <w:t> </w:t>
            </w:r>
            <w:r>
              <w:rPr>
                <w:rFonts w:ascii="Times New Roman"/>
                <w:sz w:val="18"/>
              </w:rPr>
              <w:t>SOLUTIONS(SINGAPORE)PTE.LTD.</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新加坡元</w:t>
            </w:r>
          </w:p>
        </w:tc>
      </w:tr>
      <w:tr>
        <w:trPr>
          <w:trHeight w:val="346" w:hRule="exact"/>
        </w:trPr>
        <w:tc>
          <w:tcPr>
            <w:tcW w:w="6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日元</w:t>
            </w:r>
          </w:p>
        </w:tc>
      </w:tr>
      <w:tr>
        <w:trPr>
          <w:trHeight w:val="348" w:hRule="exact"/>
        </w:trPr>
        <w:tc>
          <w:tcPr>
            <w:tcW w:w="6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美元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line="487" w:lineRule="auto" w:before="118"/>
        <w:ind w:left="153" w:right="73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498"/>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498"/>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是否存在单次处置对子公司投资即丧失控制权的情形</w:t>
      </w:r>
    </w:p>
    <w:p>
      <w:pPr>
        <w:pStyle w:val="BodyText"/>
        <w:spacing w:line="240" w:lineRule="auto" w:before="117"/>
        <w:ind w:right="49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r>
        <w:rPr/>
        <w:pict>
          <v:shape style="position:absolute;margin-left:92.304001pt;margin-top:745.175964pt;width:101.1pt;height:19.7pt;mso-position-horizontal-relative:page;mso-position-vertical-relative:page;z-index:-829552" type="#_x0000_t202" filled="false" stroked="false">
            <v:textbox inset="0,0,0,0">
              <w:txbxContent>
                <w:p>
                  <w:pPr>
                    <w:pStyle w:val="BodyText"/>
                    <w:spacing w:line="240" w:lineRule="auto" w:before="70"/>
                    <w:ind w:left="0" w:right="0"/>
                    <w:jc w:val="left"/>
                  </w:pPr>
                  <w:r>
                    <w:rPr/>
                    <w:t>（北京）</w:t>
                  </w:r>
                </w:p>
              </w:txbxContent>
            </v:textbox>
            <w10:wrap type="none"/>
          </v:shape>
        </w:pict>
      </w:r>
    </w:p>
    <w:p>
      <w:pPr>
        <w:pStyle w:val="BodyText"/>
        <w:spacing w:line="240" w:lineRule="auto" w:before="44"/>
        <w:ind w:right="223"/>
        <w:jc w:val="left"/>
      </w:pPr>
      <w:r>
        <w:rPr/>
        <w:t>是否存在通过多次交易分步处置对子公司投资且在本期丧失控制权的情形</w:t>
      </w:r>
    </w:p>
    <w:p>
      <w:pPr>
        <w:pStyle w:val="BodyText"/>
        <w:spacing w:line="240" w:lineRule="auto" w:before="117"/>
        <w:ind w:right="2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4"/>
        <w:spacing w:line="240" w:lineRule="auto"/>
        <w:ind w:right="22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3"/>
        <w:jc w:val="left"/>
      </w:pPr>
      <w:r>
        <w:rPr/>
        <w:t>说明其他原因导致的合并范围变动（如，新设子公司、清算子公司等）及其相关情况：</w:t>
      </w:r>
    </w:p>
    <w:p>
      <w:pPr>
        <w:pStyle w:val="BodyText"/>
        <w:spacing w:line="240" w:lineRule="auto" w:before="117"/>
        <w:ind w:right="223"/>
        <w:jc w:val="left"/>
      </w:pPr>
      <w:r>
        <w:rPr>
          <w:rFonts w:ascii="Times New Roman" w:hAnsi="Times New Roman" w:cs="Times New Roman" w:eastAsia="Times New Roman" w:hint="default"/>
        </w:rPr>
        <w:t>1</w:t>
      </w:r>
      <w:r>
        <w:rPr/>
        <w:t>、  与上年相比本年新增合并单位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家，原因为：</w:t>
      </w:r>
    </w:p>
    <w:p>
      <w:pPr>
        <w:pStyle w:val="BodyText"/>
        <w:spacing w:line="240" w:lineRule="auto" w:before="103"/>
        <w:ind w:right="0"/>
        <w:jc w:val="left"/>
      </w:pPr>
      <w:r>
        <w:rPr>
          <w:spacing w:val="-6"/>
        </w:rPr>
        <w:t>（</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7"/>
        </w:rPr>
        <w:t>月，公司出资</w:t>
      </w:r>
      <w:r>
        <w:rPr>
          <w:spacing w:val="-43"/>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3"/>
        </w:rPr>
        <w:t> </w:t>
      </w:r>
      <w:r>
        <w:rPr>
          <w:spacing w:val="-3"/>
        </w:rPr>
        <w:t>万元人民币，设立上海汉得商业保理有限公司，</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5 </w:t>
      </w:r>
      <w:r>
        <w:rPr>
          <w:spacing w:val="-3"/>
        </w:rPr>
        <w:t>月起，汉得保理纳入合并范围。</w:t>
      </w:r>
    </w:p>
    <w:p>
      <w:pPr>
        <w:pStyle w:val="BodyText"/>
        <w:spacing w:line="240" w:lineRule="auto" w:before="101"/>
        <w:ind w:right="93"/>
        <w:jc w:val="left"/>
      </w:pPr>
      <w:r>
        <w:rPr/>
        <w:t>（</w:t>
      </w:r>
      <w:r>
        <w:rPr>
          <w:rFonts w:ascii="Times New Roman" w:hAnsi="Times New Roman" w:cs="Times New Roman" w:eastAsia="Times New Roman" w:hint="default"/>
          <w:spacing w:val="1"/>
        </w:rPr>
        <w:t>2</w:t>
      </w:r>
      <w:r>
        <w:rPr>
          <w:spacing w:val="-10"/>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10"/>
        </w:rPr>
        <w:t>，</w:t>
      </w:r>
      <w:r>
        <w:rPr/>
        <w:t>公司与上海禹哲投资管理合伙企</w:t>
      </w:r>
      <w:r>
        <w:rPr>
          <w:spacing w:val="-10"/>
        </w:rPr>
        <w:t>业</w:t>
      </w:r>
      <w:r>
        <w:rPr/>
        <w:t>（有限合伙</w:t>
      </w:r>
      <w:r>
        <w:rPr>
          <w:spacing w:val="-92"/>
        </w:rPr>
        <w:t>）</w:t>
      </w:r>
      <w:r>
        <w:rPr>
          <w:spacing w:val="-10"/>
        </w:rPr>
        <w:t>、</w:t>
      </w:r>
      <w:r>
        <w:rPr/>
        <w:t>展舸协议共同出资</w:t>
      </w:r>
      <w:r>
        <w:rPr>
          <w:spacing w:val="-43"/>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万元人民币设立上海汉</w:t>
      </w:r>
      <w:r>
        <w:rPr>
          <w:spacing w:val="-3"/>
        </w:rPr>
        <w:t>得</w:t>
      </w:r>
      <w:r>
        <w:rPr/>
        <w:t>微扬</w:t>
      </w:r>
    </w:p>
    <w:p>
      <w:pPr>
        <w:pStyle w:val="BodyText"/>
        <w:spacing w:line="240" w:lineRule="auto" w:before="63"/>
        <w:ind w:right="93"/>
        <w:jc w:val="left"/>
      </w:pPr>
      <w:r>
        <w:rPr/>
        <w:t>信息技术有限公司，其中公司出资</w:t>
      </w:r>
      <w:r>
        <w:rPr>
          <w:spacing w:val="-37"/>
        </w:rPr>
        <w:t> </w:t>
      </w:r>
      <w:r>
        <w:rPr>
          <w:rFonts w:ascii="Times New Roman" w:hAnsi="Times New Roman" w:cs="Times New Roman" w:eastAsia="Times New Roman" w:hint="default"/>
        </w:rPr>
        <w:t>510</w:t>
      </w:r>
      <w:r>
        <w:rPr>
          <w:rFonts w:ascii="Times New Roman" w:hAnsi="Times New Roman" w:cs="Times New Roman" w:eastAsia="Times New Roman" w:hint="default"/>
          <w:spacing w:val="9"/>
        </w:rPr>
        <w:t> </w:t>
      </w:r>
      <w:r>
        <w:rPr/>
        <w:t>万元，取得汉得微扬</w:t>
      </w:r>
      <w:r>
        <w:rPr>
          <w:spacing w:val="-39"/>
        </w:rPr>
        <w:t> </w:t>
      </w:r>
      <w:r>
        <w:rPr>
          <w:rFonts w:ascii="Times New Roman" w:hAnsi="Times New Roman" w:cs="Times New Roman" w:eastAsia="Times New Roman" w:hint="default"/>
        </w:rPr>
        <w:t>51%</w:t>
      </w:r>
      <w:r>
        <w:rPr/>
        <w:t>股权，截止</w:t>
      </w:r>
      <w:r>
        <w:rPr>
          <w:spacing w:val="-3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37"/>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月已支付投资款</w:t>
      </w:r>
      <w:r>
        <w:rPr>
          <w:spacing w:val="-37"/>
        </w:rPr>
        <w:t> </w:t>
      </w:r>
      <w:r>
        <w:rPr>
          <w:rFonts w:ascii="Times New Roman" w:hAnsi="Times New Roman" w:cs="Times New Roman" w:eastAsia="Times New Roman" w:hint="default"/>
        </w:rPr>
        <w:t>200</w:t>
      </w:r>
      <w:r>
        <w:rPr>
          <w:rFonts w:ascii="Times New Roman" w:hAnsi="Times New Roman" w:cs="Times New Roman" w:eastAsia="Times New Roman" w:hint="default"/>
          <w:spacing w:val="9"/>
        </w:rPr>
        <w:t> </w:t>
      </w:r>
      <w:r>
        <w:rPr/>
        <w:t>万元人民币，</w:t>
      </w:r>
    </w:p>
    <w:p>
      <w:pPr>
        <w:pStyle w:val="BodyText"/>
        <w:spacing w:line="240" w:lineRule="auto" w:before="63"/>
        <w:ind w:right="223"/>
        <w:jc w:val="left"/>
      </w:pP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3 </w:t>
      </w:r>
      <w:r>
        <w:rPr/>
        <w:t>月起，汉得微扬纳入合并范围。</w:t>
      </w:r>
    </w:p>
    <w:p>
      <w:pPr>
        <w:pStyle w:val="BodyText"/>
        <w:spacing w:line="300" w:lineRule="auto" w:before="104"/>
        <w:ind w:right="186"/>
        <w:jc w:val="left"/>
      </w:pP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月，公司与上海天序科技资讯有限公司、</w:t>
      </w:r>
      <w:r>
        <w:rPr>
          <w:rFonts w:ascii="Times New Roman" w:hAnsi="Times New Roman" w:cs="Times New Roman" w:eastAsia="Times New Roman" w:hint="default"/>
        </w:rPr>
        <w:t>Knowledge</w:t>
      </w:r>
      <w:r>
        <w:rPr>
          <w:rFonts w:ascii="Times New Roman" w:hAnsi="Times New Roman" w:cs="Times New Roman" w:eastAsia="Times New Roman" w:hint="default"/>
          <w:spacing w:val="-5"/>
        </w:rPr>
        <w:t> </w:t>
      </w:r>
      <w:r>
        <w:rPr>
          <w:rFonts w:ascii="Times New Roman" w:hAnsi="Times New Roman" w:cs="Times New Roman" w:eastAsia="Times New Roman" w:hint="default"/>
        </w:rPr>
        <w:t>Platform</w:t>
      </w:r>
      <w:r>
        <w:rPr>
          <w:rFonts w:ascii="Times New Roman" w:hAnsi="Times New Roman" w:cs="Times New Roman" w:eastAsia="Times New Roman" w:hint="default"/>
          <w:spacing w:val="-7"/>
        </w:rPr>
        <w:t> </w:t>
      </w:r>
      <w:r>
        <w:rPr>
          <w:rFonts w:ascii="Times New Roman" w:hAnsi="Times New Roman" w:cs="Times New Roman" w:eastAsia="Times New Roman" w:hint="default"/>
        </w:rPr>
        <w:t>Pte.</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协议共同出资</w:t>
      </w:r>
      <w:r>
        <w:rPr>
          <w:spacing w:val="-48"/>
        </w:rPr>
        <w:t> </w:t>
      </w:r>
      <w:r>
        <w:rPr>
          <w:rFonts w:ascii="Times New Roman" w:hAnsi="Times New Roman" w:cs="Times New Roman" w:eastAsia="Times New Roman" w:hint="default"/>
        </w:rPr>
        <w:t>400</w:t>
      </w:r>
      <w:r>
        <w:rPr>
          <w:rFonts w:ascii="Times New Roman" w:hAnsi="Times New Roman" w:cs="Times New Roman" w:eastAsia="Times New Roman" w:hint="default"/>
          <w:spacing w:val="-3"/>
        </w:rPr>
        <w:t> </w:t>
      </w:r>
      <w:r>
        <w:rPr/>
        <w:t>万美元设立上海汉得 知云软件有限公司，其中公司出资</w:t>
      </w:r>
      <w:r>
        <w:rPr>
          <w:spacing w:val="-42"/>
        </w:rPr>
        <w:t> </w:t>
      </w:r>
      <w:r>
        <w:rPr>
          <w:rFonts w:ascii="Times New Roman" w:hAnsi="Times New Roman" w:cs="Times New Roman" w:eastAsia="Times New Roman" w:hint="default"/>
        </w:rPr>
        <w:t>204</w:t>
      </w:r>
      <w:r>
        <w:rPr>
          <w:rFonts w:ascii="Times New Roman" w:hAnsi="Times New Roman" w:cs="Times New Roman" w:eastAsia="Times New Roman" w:hint="default"/>
          <w:spacing w:val="4"/>
        </w:rPr>
        <w:t> </w:t>
      </w:r>
      <w:r>
        <w:rPr/>
        <w:t>万美元。取得汉得知云</w:t>
      </w:r>
      <w:r>
        <w:rPr>
          <w:spacing w:val="-42"/>
        </w:rPr>
        <w:t> </w:t>
      </w:r>
      <w:r>
        <w:rPr>
          <w:rFonts w:ascii="Times New Roman" w:hAnsi="Times New Roman" w:cs="Times New Roman" w:eastAsia="Times New Roman" w:hint="default"/>
        </w:rPr>
        <w:t>51%</w:t>
      </w:r>
      <w:r>
        <w:rPr/>
        <w:t>的股权，截止</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月，投资款尚未支付，</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p>
    <w:p>
      <w:pPr>
        <w:pStyle w:val="BodyText"/>
        <w:spacing w:line="240" w:lineRule="auto" w:before="13"/>
        <w:ind w:right="223"/>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月起，汉得知云纳入合并范围。</w:t>
      </w:r>
    </w:p>
    <w:p>
      <w:pPr>
        <w:pStyle w:val="BodyText"/>
        <w:spacing w:line="240" w:lineRule="auto" w:before="103"/>
        <w:ind w:right="223"/>
        <w:jc w:val="left"/>
      </w:pPr>
      <w:r>
        <w:rPr>
          <w:rFonts w:ascii="Times New Roman" w:hAnsi="Times New Roman" w:cs="Times New Roman" w:eastAsia="Times New Roman" w:hint="default"/>
        </w:rPr>
        <w:t>2</w:t>
      </w:r>
      <w:r>
        <w:rPr/>
        <w:t>、</w:t>
      </w:r>
      <w:r>
        <w:rPr>
          <w:spacing w:val="59"/>
        </w:rPr>
        <w:t> </w:t>
      </w:r>
      <w:r>
        <w:rPr/>
        <w:t>本年合并单位未减少。</w:t>
      </w:r>
    </w:p>
    <w:p>
      <w:pPr>
        <w:spacing w:line="240" w:lineRule="auto" w:before="13"/>
        <w:rPr>
          <w:rFonts w:ascii="宋体" w:hAnsi="宋体" w:cs="宋体" w:eastAsia="宋体" w:hint="default"/>
          <w:sz w:val="25"/>
          <w:szCs w:val="25"/>
        </w:rPr>
      </w:pPr>
    </w:p>
    <w:p>
      <w:pPr>
        <w:spacing w:line="487" w:lineRule="auto" w:before="0"/>
        <w:ind w:left="153" w:right="71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right="22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5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9"/>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ENTERPRISE</w:t>
            </w:r>
            <w:r>
              <w:rPr>
                <w:rFonts w:ascii="Times New Roman"/>
                <w:w w:val="99"/>
                <w:sz w:val="18"/>
              </w:rPr>
              <w:t> </w:t>
            </w:r>
            <w:r>
              <w:rPr>
                <w:rFonts w:ascii="Times New Roman"/>
                <w:sz w:val="18"/>
              </w:rPr>
              <w:t>SOLUTIONS(SI</w:t>
            </w:r>
            <w:r>
              <w:rPr>
                <w:rFonts w:ascii="Times New Roman"/>
                <w:w w:val="99"/>
                <w:sz w:val="18"/>
              </w:rPr>
              <w:t> </w:t>
            </w:r>
            <w:r>
              <w:rPr>
                <w:rFonts w:ascii="Times New Roman"/>
                <w:sz w:val="18"/>
              </w:rPr>
              <w:t>NGAPORE)PTE.</w:t>
            </w:r>
            <w:r>
              <w:rPr>
                <w:rFonts w:ascii="Times New Roman"/>
                <w:sz w:val="18"/>
              </w:rPr>
              <w:t> </w:t>
            </w:r>
            <w:r>
              <w:rPr>
                <w:rFonts w:ascii="Times New Roman"/>
                <w:spacing w:val="-5"/>
                <w:sz w:val="18"/>
              </w:rPr>
              <w:t>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日本国东京都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美国俄亥俄州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美国俄亥俄州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恒大汇思</w:t>
            </w:r>
          </w:p>
        </w:tc>
        <w:tc>
          <w:tcPr>
            <w:tcW w:w="1369"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0"/>
        <w:gridCol w:w="1369"/>
        <w:gridCol w:w="1366"/>
        <w:gridCol w:w="1368"/>
        <w:gridCol w:w="1369"/>
        <w:gridCol w:w="1366"/>
        <w:gridCol w:w="1366"/>
      </w:tblGrid>
      <w:tr>
        <w:trPr>
          <w:trHeight w:val="3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咨询有限公司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业合并</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金融服务业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本期无使用企业集团资产和清偿企业集团债务的重大限制</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本期无向纳入合并财务报表范围的结构化主体提供的财务支持或其他支持</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498"/>
        <w:jc w:val="left"/>
        <w:rPr>
          <w:b w:val="0"/>
          <w:bCs w:val="0"/>
        </w:rPr>
      </w:pPr>
      <w:r>
        <w:rPr/>
        <w:t>十、与金融工具相关的风险</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spacing w:val="-2"/>
        </w:rPr>
        <w:t>本公司在经营过程中面临各种金融风险：信用风险、市场风险和流动性风险。公司董事会全面负责风险管理目标和政策的确</w:t>
      </w:r>
      <w:r>
        <w:rPr>
          <w:spacing w:val="-66"/>
        </w:rPr>
        <w:t> </w:t>
      </w:r>
      <w:r>
        <w:rPr>
          <w:spacing w:val="-66"/>
        </w:rPr>
      </w:r>
      <w:r>
        <w:rPr/>
        <w:t>定，并对风险管理目标和政策承担最终责任。 本公司风险管理的总体目标是在不过度影响公司竞争力和应变力的情况下，制定尽可能降低风险的风险管理政策。</w:t>
      </w:r>
    </w:p>
    <w:p>
      <w:pPr>
        <w:pStyle w:val="BodyText"/>
        <w:spacing w:line="324" w:lineRule="auto" w:before="43"/>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spacing w:val="-2"/>
        </w:rPr>
        <w:t>信用风险是指金融工具的一方不履行义务，造成另一方发生财务损失的风险。本公司主要面临赊销导致的客户信用风险。在</w:t>
      </w:r>
      <w:r>
        <w:rPr>
          <w:spacing w:val="-64"/>
        </w:rPr>
        <w:t> </w:t>
      </w:r>
      <w:r>
        <w:rPr>
          <w:spacing w:val="-64"/>
        </w:rPr>
      </w:r>
      <w:r>
        <w:rPr>
          <w:spacing w:val="-2"/>
        </w:rPr>
        <w:t>签订新合同之前，本公司会对新客户的信用风险进行评估，包括外部信用评级和在某些情况下的银行资信证明（当此信息可</w:t>
      </w:r>
      <w:r>
        <w:rPr>
          <w:spacing w:val="-64"/>
        </w:rPr>
        <w:t> </w:t>
      </w:r>
      <w:r>
        <w:rPr>
          <w:spacing w:val="-64"/>
        </w:rPr>
      </w:r>
      <w:r>
        <w:rPr>
          <w:spacing w:val="-19"/>
          <w:w w:val="99"/>
        </w:rPr>
        <w:t>获取时）。</w:t>
      </w:r>
      <w:r>
        <w:rPr>
          <w:spacing w:val="-19"/>
        </w:rPr>
      </w:r>
    </w:p>
    <w:p>
      <w:pPr>
        <w:spacing w:after="0" w:line="324" w:lineRule="auto"/>
        <w:jc w:val="left"/>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pStyle w:val="BodyText"/>
        <w:spacing w:line="328" w:lineRule="auto" w:before="44"/>
        <w:ind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r>
        <w:rPr>
          <w:w w:val="99"/>
        </w:rPr>
        <w:t> </w:t>
      </w:r>
      <w:r>
        <w:rPr>
          <w:spacing w:val="-2"/>
        </w:rPr>
        <w:t>金融工具的市场风险，是指金融工具的公允价值或未来现金流量因市场价格变动而发生波动的风险，包括汇率风险、利率风</w:t>
      </w:r>
      <w:r>
        <w:rPr>
          <w:spacing w:val="-67"/>
        </w:rPr>
        <w:t> </w:t>
      </w:r>
      <w:r>
        <w:rPr>
          <w:spacing w:val="-67"/>
        </w:rPr>
      </w:r>
      <w:r>
        <w:rPr/>
        <w:t>险和其他价格风险。</w:t>
      </w:r>
    </w:p>
    <w:p>
      <w:pPr>
        <w:pStyle w:val="BodyText"/>
        <w:spacing w:line="340" w:lineRule="auto" w:before="48"/>
        <w:ind w:right="2753"/>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w:t>
      </w:r>
    </w:p>
    <w:p>
      <w:pPr>
        <w:pStyle w:val="BodyText"/>
        <w:spacing w:line="328" w:lineRule="auto" w:before="41"/>
        <w:ind w:right="0"/>
        <w:jc w:val="left"/>
      </w:pPr>
      <w:r>
        <w:rPr/>
        <w:t>（</w:t>
      </w:r>
      <w:r>
        <w:rPr>
          <w:rFonts w:ascii="Times New Roman" w:hAnsi="Times New Roman" w:cs="Times New Roman" w:eastAsia="Times New Roman" w:hint="default"/>
        </w:rPr>
        <w:t>2</w:t>
      </w:r>
      <w:r>
        <w:rPr/>
        <w:t>）汇率风险 </w:t>
      </w:r>
      <w:r>
        <w:rPr>
          <w:spacing w:val="-2"/>
        </w:rPr>
        <w:t>汇率风险，是指金融工具的公允价值或未来现金流量因外汇汇率变动而发生波动的风险。本公司尽可能将外币收入与外币支</w:t>
      </w:r>
      <w:r>
        <w:rPr>
          <w:spacing w:val="-64"/>
        </w:rPr>
        <w:t> </w:t>
      </w:r>
      <w:r>
        <w:rPr>
          <w:spacing w:val="-64"/>
        </w:rPr>
      </w:r>
      <w:r>
        <w:rPr/>
        <w:t>出相匹配以降低汇率风险。此外，公司还可能签署远期外汇合约或货币互换合约以达到规避汇率风险的目的。</w:t>
      </w:r>
    </w:p>
    <w:p>
      <w:pPr>
        <w:pStyle w:val="BodyText"/>
        <w:spacing w:line="316" w:lineRule="auto" w:before="50"/>
        <w:ind w:right="0"/>
        <w:jc w:val="left"/>
      </w:pPr>
      <w:r>
        <w:rPr>
          <w:spacing w:val="-2"/>
        </w:rPr>
        <w:t>本公司面临的汇率风险主要来源于以日元计价的金融资产和金融负债，外币金融资产和外币金融负债折算成人民币的金额列</w:t>
      </w:r>
      <w:r>
        <w:rPr>
          <w:spacing w:val="-64"/>
        </w:rPr>
        <w:t> </w:t>
      </w:r>
      <w:r>
        <w:rPr>
          <w:spacing w:val="-64"/>
        </w:rPr>
      </w:r>
      <w:r>
        <w:rPr/>
        <w:t>示如下：</w:t>
      </w:r>
    </w:p>
    <w:p>
      <w:pPr>
        <w:spacing w:line="240" w:lineRule="auto" w:before="4"/>
        <w:rPr>
          <w:rFonts w:ascii="宋体" w:hAnsi="宋体" w:cs="宋体" w:eastAsia="宋体" w:hint="default"/>
          <w:sz w:val="4"/>
          <w:szCs w:val="4"/>
        </w:rPr>
      </w:pPr>
    </w:p>
    <w:tbl>
      <w:tblPr>
        <w:tblW w:w="0" w:type="auto"/>
        <w:jc w:val="left"/>
        <w:tblInd w:w="136" w:type="dxa"/>
        <w:tblLayout w:type="fixed"/>
        <w:tblCellMar>
          <w:top w:w="0" w:type="dxa"/>
          <w:left w:w="0" w:type="dxa"/>
          <w:bottom w:w="0" w:type="dxa"/>
          <w:right w:w="0" w:type="dxa"/>
        </w:tblCellMar>
        <w:tblLook w:val="01E0"/>
      </w:tblPr>
      <w:tblGrid>
        <w:gridCol w:w="1498"/>
        <w:gridCol w:w="2041"/>
        <w:gridCol w:w="2040"/>
        <w:gridCol w:w="2144"/>
        <w:gridCol w:w="1937"/>
      </w:tblGrid>
      <w:tr>
        <w:trPr>
          <w:trHeight w:val="342" w:hRule="exact"/>
        </w:trPr>
        <w:tc>
          <w:tcPr>
            <w:tcW w:w="14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3"/>
              <w:ind w:left="48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408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1498" w:type="dxa"/>
            <w:vMerge/>
            <w:tcBorders>
              <w:left w:val="single" w:sz="6" w:space="0" w:color="000000"/>
              <w:bottom w:val="single" w:sz="6" w:space="0" w:color="000000"/>
              <w:right w:val="single" w:sz="6" w:space="0" w:color="000000"/>
            </w:tcBorders>
            <w:shd w:val="clear" w:color="auto" w:fill="D9D9D9"/>
          </w:tcPr>
          <w:p>
            <w:pPr/>
          </w:p>
        </w:tc>
        <w:tc>
          <w:tcPr>
            <w:tcW w:w="204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5"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0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56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21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19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9"/>
              <w:ind w:left="51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6"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4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1,497,228,899.00</w:t>
            </w:r>
          </w:p>
        </w:tc>
        <w:tc>
          <w:tcPr>
            <w:tcW w:w="204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80,663,206.93</w:t>
            </w:r>
          </w:p>
        </w:tc>
        <w:tc>
          <w:tcPr>
            <w:tcW w:w="21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1,165,635,425.00</w:t>
            </w:r>
          </w:p>
        </w:tc>
        <w:tc>
          <w:tcPr>
            <w:tcW w:w="193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59,879,857.42</w:t>
            </w: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271,328,796.11</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14,617,838.89</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464,593,968.00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23,866,656.71</w:t>
            </w: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850,606.00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45,826.40</w:t>
            </w:r>
          </w:p>
        </w:tc>
        <w:tc>
          <w:tcPr>
            <w:tcW w:w="2144"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8,652,512.00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466,154.08</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69,220,347.00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3,555,918.44</w:t>
            </w: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600,000.00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32,325.00</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49,623,841.00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2,549,226.34</w:t>
            </w:r>
          </w:p>
        </w:tc>
      </w:tr>
      <w:tr>
        <w:trPr>
          <w:trHeight w:val="346"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6,173,880.00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332,617.79</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6,583,622.00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338,207.25</w:t>
            </w:r>
          </w:p>
        </w:tc>
      </w:tr>
      <w:tr>
        <w:trPr>
          <w:trHeight w:val="348" w:hRule="exact"/>
        </w:trPr>
        <w:tc>
          <w:tcPr>
            <w:tcW w:w="14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4,730,590.00</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254,860.54</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14,328,173.00</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736,052.57</w:t>
            </w:r>
          </w:p>
        </w:tc>
      </w:tr>
    </w:tbl>
    <w:p>
      <w:pPr>
        <w:pStyle w:val="BodyText"/>
        <w:spacing w:line="338" w:lineRule="auto" w:before="49"/>
        <w:ind w:right="0" w:firstLine="72"/>
        <w:jc w:val="left"/>
      </w:pPr>
      <w:r>
        <w:rPr/>
        <w:t>（三）流动性风险 </w:t>
      </w:r>
      <w:r>
        <w:rPr>
          <w:spacing w:val="-2"/>
        </w:rPr>
        <w:t>流动风险，是指企业在履行以交付现金或其他金融资产的方式结算的义务时发生资金短缺的风险。本公司的政策是确保拥有</w:t>
      </w:r>
      <w:r>
        <w:rPr>
          <w:spacing w:val="-64"/>
        </w:rPr>
        <w:t> </w:t>
      </w:r>
      <w:r>
        <w:rPr>
          <w:spacing w:val="-64"/>
        </w:rPr>
      </w:r>
      <w:r>
        <w:rPr>
          <w:spacing w:val="-2"/>
        </w:rPr>
        <w:t>充足的现金以偿还到期债务。流动性风险由本公司的财务部门集中控制。财务部门通过监控现金余额、可随时变现的有价证</w:t>
      </w:r>
    </w:p>
    <w:p>
      <w:pPr>
        <w:pStyle w:val="BodyText"/>
        <w:spacing w:line="240" w:lineRule="auto" w:before="2"/>
        <w:ind w:right="498"/>
        <w:jc w:val="left"/>
      </w:pPr>
      <w:r>
        <w:rPr/>
        <w:t>券以及对未来</w:t>
      </w:r>
      <w:r>
        <w:rPr>
          <w:spacing w:val="-46"/>
        </w:rPr>
        <w:t> </w:t>
      </w:r>
      <w:r>
        <w:rPr>
          <w:rFonts w:ascii="Times New Roman" w:hAnsi="Times New Roman" w:cs="Times New Roman" w:eastAsia="Times New Roman" w:hint="default"/>
        </w:rPr>
        <w:t>12 </w:t>
      </w:r>
      <w:r>
        <w:rPr/>
        <w:t>个月现金流量的滚动预测，确保公司在所有合理预测的情况下拥有充足的资金偿还债务。</w:t>
      </w:r>
    </w:p>
    <w:p>
      <w:pPr>
        <w:spacing w:line="240" w:lineRule="auto" w:before="3"/>
        <w:rPr>
          <w:rFonts w:ascii="宋体" w:hAnsi="宋体" w:cs="宋体" w:eastAsia="宋体" w:hint="default"/>
          <w:sz w:val="24"/>
          <w:szCs w:val="24"/>
        </w:rPr>
      </w:pPr>
    </w:p>
    <w:p>
      <w:pPr>
        <w:pStyle w:val="Heading2"/>
        <w:spacing w:line="240" w:lineRule="auto"/>
        <w:ind w:right="498"/>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4" w:right="0"/>
              <w:jc w:val="left"/>
              <w:rPr>
                <w:rFonts w:ascii="Times New Roman" w:hAnsi="Times New Roman" w:cs="Times New Roman" w:eastAsia="Times New Roman" w:hint="default"/>
                <w:sz w:val="18"/>
                <w:szCs w:val="18"/>
              </w:rPr>
            </w:pPr>
            <w:r>
              <w:rPr>
                <w:rFonts w:ascii="Times New Roman"/>
                <w:sz w:val="18"/>
              </w:rPr>
              <w:t>603,500.00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603,500.00</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按商业银行公开对外报价。</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520" w:lineRule="auto" w:before="36"/>
        <w:ind w:right="1136"/>
        <w:jc w:val="left"/>
        <w:rPr>
          <w:rFonts w:ascii="宋体" w:hAnsi="宋体" w:cs="宋体" w:eastAsia="宋体" w:hint="default"/>
          <w:b w:val="0"/>
          <w:bCs w:val="0"/>
          <w:sz w:val="18"/>
          <w:szCs w:val="18"/>
        </w:rPr>
      </w:pPr>
      <w:r>
        <w:rPr>
          <w:rFonts w:ascii="Times New Roman" w:hAnsi="Times New Roman" w:cs="Times New Roman" w:eastAsia="Times New Roman" w:hint="default"/>
          <w:spacing w:val="-1"/>
        </w:rPr>
        <w:t>3</w:t>
      </w:r>
      <w:r>
        <w:rPr>
          <w:spacing w:val="-1"/>
        </w:rPr>
        <w:t>、持续和非持续第二层次公允价值计量项目，采用的估值技术和重要参数的定性及定量信息</w:t>
      </w:r>
      <w:r>
        <w:rPr>
          <w:spacing w:val="-67"/>
        </w:rPr>
        <w:t> </w:t>
      </w:r>
      <w:r>
        <w:rPr>
          <w:spacing w:val="-67"/>
        </w:rPr>
      </w:r>
      <w:r>
        <w:rPr>
          <w:rFonts w:ascii="宋体" w:hAnsi="宋体" w:cs="宋体" w:eastAsia="宋体" w:hint="default"/>
          <w:b w:val="0"/>
          <w:bCs w:val="0"/>
        </w:rPr>
        <w:t>无</w:t>
      </w:r>
      <w:r>
        <w:rPr>
          <w:rFonts w:ascii="宋体" w:hAnsi="宋体" w:cs="宋体" w:eastAsia="宋体" w:hint="default"/>
          <w:b w:val="0"/>
          <w:bCs w:val="0"/>
          <w:w w:val="100"/>
        </w:rPr>
        <w:t> </w:t>
      </w:r>
      <w:r>
        <w:rPr>
          <w:rFonts w:ascii="Times New Roman" w:hAnsi="Times New Roman" w:cs="Times New Roman" w:eastAsia="Times New Roman" w:hint="default"/>
          <w:spacing w:val="-1"/>
        </w:rPr>
        <w:t>4</w:t>
      </w:r>
      <w:r>
        <w:rPr>
          <w:spacing w:val="-1"/>
        </w:rPr>
        <w:t>、持续和非持续第三层次公允价值计量项目，采用的估值技术和重要参数的定性及定量信息</w:t>
      </w:r>
      <w:r>
        <w:rPr>
          <w:spacing w:val="-67"/>
        </w:rPr>
        <w:t> </w:t>
      </w:r>
      <w:r>
        <w:rPr>
          <w:spacing w:val="-67"/>
        </w:rPr>
      </w:r>
      <w:r>
        <w:rPr>
          <w:rFonts w:ascii="宋体" w:hAnsi="宋体" w:cs="宋体" w:eastAsia="宋体" w:hint="default"/>
          <w:b w:val="0"/>
          <w:bCs w:val="0"/>
          <w:sz w:val="18"/>
          <w:szCs w:val="18"/>
        </w:rPr>
        <w:t>无</w:t>
      </w:r>
    </w:p>
    <w:p>
      <w:pPr>
        <w:pStyle w:val="Heading4"/>
        <w:spacing w:line="240" w:lineRule="auto" w:before="145"/>
        <w:ind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4"/>
        <w:rPr>
          <w:rFonts w:ascii="宋体" w:hAnsi="宋体" w:cs="宋体" w:eastAsia="宋体" w:hint="default"/>
          <w:sz w:val="25"/>
          <w:szCs w:val="25"/>
        </w:rPr>
      </w:pPr>
    </w:p>
    <w:p>
      <w:pPr>
        <w:pStyle w:val="Heading2"/>
        <w:spacing w:line="240" w:lineRule="auto"/>
        <w:ind w:right="498"/>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w:t>
      </w:r>
      <w:r>
        <w:rPr>
          <w:spacing w:val="-59"/>
        </w:rPr>
        <w:t> </w:t>
      </w:r>
      <w:r>
        <w:rPr/>
        <w:t>本企业的母公司情况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本企业最终控制方是范建震和陈迪清先生。</w:t>
      </w:r>
    </w:p>
    <w:p>
      <w:pPr>
        <w:spacing w:line="240" w:lineRule="auto" w:before="0"/>
        <w:rPr>
          <w:rFonts w:ascii="宋体" w:hAnsi="宋体" w:cs="宋体" w:eastAsia="宋体" w:hint="default"/>
          <w:sz w:val="18"/>
          <w:szCs w:val="18"/>
        </w:rPr>
      </w:pPr>
    </w:p>
    <w:p>
      <w:pPr>
        <w:spacing w:line="547" w:lineRule="auto" w:before="120"/>
        <w:ind w:left="153" w:right="51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7"/>
          <w:w w:val="100"/>
          <w:sz w:val="18"/>
          <w:szCs w:val="18"/>
        </w:rPr>
        <w:t>本企业子公司的情况详见附注</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七、在其他主体中的权益</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pacing w:val="-81"/>
          <w:w w:val="100"/>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45"/>
        <w:ind w:right="498"/>
        <w:jc w:val="left"/>
      </w:pPr>
      <w:r>
        <w:rPr/>
        <w:t>不适用</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2,636,000.00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2,528,000.00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存在控制关系且已纳入本公司合并报表范围的子公司，其相互间交易及母子公司交易已作抵消。</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22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223"/>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22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223"/>
        <w:jc w:val="left"/>
      </w:pPr>
      <w:r>
        <w:rPr/>
        <w:t>无</w:t>
      </w:r>
    </w:p>
    <w:p>
      <w:pPr>
        <w:spacing w:line="240" w:lineRule="auto" w:before="3"/>
        <w:rPr>
          <w:rFonts w:ascii="宋体" w:hAnsi="宋体" w:cs="宋体" w:eastAsia="宋体" w:hint="default"/>
          <w:sz w:val="25"/>
          <w:szCs w:val="25"/>
        </w:rPr>
      </w:pPr>
    </w:p>
    <w:p>
      <w:pPr>
        <w:pStyle w:val="Heading2"/>
        <w:spacing w:line="240" w:lineRule="auto"/>
        <w:ind w:right="223"/>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22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2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left="0" w:right="190"/>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0" w:right="196"/>
        <w:jc w:val="right"/>
      </w:pPr>
      <w:r>
        <w:rPr/>
        <w:pict>
          <v:shape style="position:absolute;margin-left:56.484001pt;margin-top:-76.688293pt;width:479.2pt;height:413.1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5,026,000.00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15,826,999.00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664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年度股权激励第三期解禁：限制性股票数量：</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53</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44"/>
                            <w:sz w:val="18"/>
                            <w:szCs w:val="18"/>
                          </w:rPr>
                          <w:t>股</w:t>
                        </w:r>
                        <w:r>
                          <w:rPr>
                            <w:rFonts w:ascii="宋体" w:hAnsi="宋体" w:cs="宋体" w:eastAsia="宋体" w:hint="default"/>
                            <w:sz w:val="18"/>
                            <w:szCs w:val="18"/>
                          </w:rPr>
                          <w:t>（转增前</w:t>
                        </w:r>
                        <w:r>
                          <w:rPr>
                            <w:rFonts w:ascii="宋体" w:hAnsi="宋体" w:cs="宋体" w:eastAsia="宋体" w:hint="default"/>
                            <w:spacing w:val="-4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授予价格</w:t>
                        </w:r>
                      </w:p>
                      <w:p>
                        <w:pPr>
                          <w:pStyle w:val="TableParagraph"/>
                          <w:spacing w:line="300"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8.40</w:t>
                        </w:r>
                        <w:r>
                          <w:rPr>
                            <w:rFonts w:ascii="宋体" w:hAnsi="宋体" w:cs="宋体" w:eastAsia="宋体" w:hint="default"/>
                            <w:sz w:val="18"/>
                            <w:szCs w:val="18"/>
                          </w:rPr>
                          <w:t>，合同（解锁）剩余期限：</w:t>
                        </w:r>
                        <w:r>
                          <w:rPr>
                            <w:rFonts w:ascii="Times New Roman" w:hAnsi="Times New Roman" w:cs="Times New Roman" w:eastAsia="Times New Roman" w:hint="default"/>
                            <w:sz w:val="18"/>
                            <w:szCs w:val="18"/>
                          </w:rPr>
                          <w:t>1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年度股 权激励第二期解禁：限制性股票数量：</w:t>
                        </w:r>
                        <w:r>
                          <w:rPr>
                            <w:rFonts w:ascii="Times New Roman" w:hAnsi="Times New Roman" w:cs="Times New Roman" w:eastAsia="Times New Roman" w:hint="default"/>
                            <w:sz w:val="18"/>
                            <w:szCs w:val="18"/>
                          </w:rPr>
                          <w:t>3,184,891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tabs>
                            <w:tab w:pos="2880" w:val="left" w:leader="none"/>
                          </w:tabs>
                          <w:spacing w:line="302" w:lineRule="auto" w:before="13"/>
                          <w:ind w:left="23" w:right="17"/>
                          <w:jc w:val="left"/>
                          <w:rPr>
                            <w:rFonts w:ascii="宋体" w:hAnsi="宋体" w:cs="宋体" w:eastAsia="宋体" w:hint="default"/>
                            <w:sz w:val="18"/>
                            <w:szCs w:val="18"/>
                          </w:rPr>
                        </w:pPr>
                        <w:r>
                          <w:rPr>
                            <w:rFonts w:ascii="宋体" w:hAnsi="宋体" w:cs="宋体" w:eastAsia="宋体" w:hint="default"/>
                            <w:spacing w:val="-3"/>
                            <w:sz w:val="18"/>
                            <w:szCs w:val="18"/>
                          </w:rPr>
                          <w:t>（转增前：</w:t>
                        </w:r>
                        <w:r>
                          <w:rPr>
                            <w:rFonts w:ascii="Times New Roman" w:hAnsi="Times New Roman" w:cs="Times New Roman" w:eastAsia="Times New Roman" w:hint="default"/>
                            <w:spacing w:val="-3"/>
                            <w:sz w:val="18"/>
                            <w:szCs w:val="18"/>
                          </w:rPr>
                          <w:t>1,568,400</w:t>
                        </w:r>
                        <w:r>
                          <w:rPr>
                            <w:rFonts w:ascii="Times New Roman" w:hAnsi="Times New Roman" w:cs="Times New Roman" w:eastAsia="Times New Roman" w:hint="default"/>
                            <w:spacing w:val="11"/>
                            <w:sz w:val="18"/>
                            <w:szCs w:val="18"/>
                          </w:rPr>
                          <w:t> </w:t>
                        </w:r>
                        <w:r>
                          <w:rPr>
                            <w:rFonts w:ascii="宋体" w:hAnsi="宋体" w:cs="宋体" w:eastAsia="宋体" w:hint="default"/>
                            <w:spacing w:val="-14"/>
                            <w:sz w:val="18"/>
                            <w:szCs w:val="18"/>
                          </w:rPr>
                          <w:t>股），授予价格：</w:t>
                        </w:r>
                        <w:r>
                          <w:rPr>
                            <w:rFonts w:ascii="Times New Roman" w:hAnsi="Times New Roman" w:cs="Times New Roman" w:eastAsia="Times New Roman" w:hint="default"/>
                            <w:spacing w:val="-14"/>
                            <w:sz w:val="18"/>
                            <w:szCs w:val="18"/>
                          </w:rPr>
                          <w:t>7.82</w:t>
                        </w:r>
                        <w:r>
                          <w:rPr>
                            <w:rFonts w:ascii="宋体" w:hAnsi="宋体" w:cs="宋体" w:eastAsia="宋体" w:hint="default"/>
                            <w:spacing w:val="-14"/>
                            <w:sz w:val="18"/>
                            <w:szCs w:val="18"/>
                          </w:rPr>
                          <w:t>，合同（解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锁）剩余期限：</w:t>
                        </w:r>
                        <w:r>
                          <w:rPr>
                            <w:rFonts w:ascii="Times New Roman" w:hAnsi="Times New Roman" w:cs="Times New Roman" w:eastAsia="Times New Roman" w:hint="default"/>
                            <w:spacing w:val="-7"/>
                            <w:sz w:val="18"/>
                            <w:szCs w:val="18"/>
                          </w:rPr>
                          <w:t>2 </w:t>
                        </w:r>
                        <w:r>
                          <w:rPr>
                            <w:rFonts w:ascii="宋体" w:hAnsi="宋体" w:cs="宋体" w:eastAsia="宋体" w:hint="default"/>
                            <w:spacing w:val="-5"/>
                            <w:sz w:val="18"/>
                            <w:szCs w:val="18"/>
                          </w:rPr>
                          <w:t>个月。</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年度股权激励第三期解 </w:t>
                        </w:r>
                        <w:r>
                          <w:rPr>
                            <w:rFonts w:ascii="宋体" w:hAnsi="宋体" w:cs="宋体" w:eastAsia="宋体" w:hint="default"/>
                            <w:spacing w:val="-7"/>
                            <w:sz w:val="18"/>
                            <w:szCs w:val="18"/>
                          </w:rPr>
                          <w:t>禁：限制性股票数量：</w:t>
                        </w:r>
                        <w:r>
                          <w:rPr>
                            <w:rFonts w:ascii="Times New Roman" w:hAnsi="Times New Roman" w:cs="Times New Roman" w:eastAsia="Times New Roman" w:hint="default"/>
                            <w:spacing w:val="-7"/>
                            <w:sz w:val="18"/>
                            <w:szCs w:val="18"/>
                          </w:rPr>
                          <w:t>4,246,522</w:t>
                        </w:r>
                        <w:r>
                          <w:rPr>
                            <w:rFonts w:ascii="Times New Roman" w:hAnsi="Times New Roman" w:cs="Times New Roman" w:eastAsia="Times New Roman" w:hint="default"/>
                            <w:spacing w:val="6"/>
                            <w:sz w:val="18"/>
                            <w:szCs w:val="18"/>
                          </w:rPr>
                          <w:t> </w:t>
                        </w:r>
                        <w:r>
                          <w:rPr>
                            <w:rFonts w:ascii="宋体" w:hAnsi="宋体" w:cs="宋体" w:eastAsia="宋体" w:hint="default"/>
                            <w:spacing w:val="-12"/>
                            <w:sz w:val="18"/>
                            <w:szCs w:val="18"/>
                          </w:rPr>
                          <w:t>股（转增前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2,091,200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4"/>
                            <w:sz w:val="18"/>
                            <w:szCs w:val="18"/>
                          </w:rPr>
                          <w:t>股），授予价格：</w:t>
                        </w:r>
                        <w:r>
                          <w:rPr>
                            <w:rFonts w:ascii="Times New Roman" w:hAnsi="Times New Roman" w:cs="Times New Roman" w:eastAsia="Times New Roman" w:hint="default"/>
                            <w:spacing w:val="-4"/>
                            <w:sz w:val="18"/>
                            <w:szCs w:val="18"/>
                          </w:rPr>
                          <w:t>7.82</w:t>
                        </w:r>
                        <w:r>
                          <w:rPr>
                            <w:rFonts w:ascii="宋体" w:hAnsi="宋体" w:cs="宋体" w:eastAsia="宋体" w:hint="default"/>
                            <w:spacing w:val="-4"/>
                            <w:sz w:val="18"/>
                            <w:szCs w:val="18"/>
                          </w:rPr>
                          <w:t>，合同（解锁）剩余期限：</w:t>
                        </w:r>
                        <w:r>
                          <w:rPr>
                            <w:rFonts w:ascii="Times New Roman" w:hAnsi="Times New Roman" w:cs="Times New Roman" w:eastAsia="Times New Roman" w:hint="default"/>
                            <w:spacing w:val="-4"/>
                            <w:sz w:val="18"/>
                            <w:szCs w:val="18"/>
                          </w:rPr>
                          <w:t>14</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年度股权激励第二期解禁：限制性股票 </w:t>
                        </w:r>
                        <w:r>
                          <w:rPr>
                            <w:rFonts w:ascii="宋体" w:hAnsi="宋体" w:cs="宋体" w:eastAsia="宋体" w:hint="default"/>
                            <w:spacing w:val="-1"/>
                            <w:sz w:val="18"/>
                            <w:szCs w:val="18"/>
                          </w:rPr>
                          <w:t>数量：</w:t>
                        </w:r>
                        <w:r>
                          <w:rPr>
                            <w:rFonts w:ascii="Times New Roman" w:hAnsi="Times New Roman" w:cs="Times New Roman" w:eastAsia="Times New Roman" w:hint="default"/>
                            <w:spacing w:val="-1"/>
                            <w:sz w:val="18"/>
                            <w:szCs w:val="18"/>
                          </w:rPr>
                          <w:t>5,440,950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股（转增前</w:t>
                        </w:r>
                        <w:r>
                          <w:rPr>
                            <w:rFonts w:ascii="宋体" w:hAnsi="宋体" w:cs="宋体" w:eastAsia="宋体" w:hint="default"/>
                            <w:spacing w:val="6"/>
                            <w:sz w:val="18"/>
                            <w:szCs w:val="18"/>
                          </w:rPr>
                          <w:t> </w:t>
                        </w:r>
                        <w:r>
                          <w:rPr>
                            <w:rFonts w:ascii="Times New Roman" w:hAnsi="Times New Roman" w:cs="Times New Roman" w:eastAsia="Times New Roman" w:hint="default"/>
                            <w:spacing w:val="-1"/>
                            <w:sz w:val="18"/>
                            <w:szCs w:val="18"/>
                          </w:rPr>
                          <w:t>3,627,300</w:t>
                        </w:r>
                        <w:r>
                          <w:rPr>
                            <w:rFonts w:ascii="Times New Roman" w:hAnsi="Times New Roman" w:cs="Times New Roman" w:eastAsia="Times New Roman" w:hint="default"/>
                            <w:spacing w:val="6"/>
                            <w:sz w:val="18"/>
                            <w:szCs w:val="18"/>
                          </w:rPr>
                          <w:t> </w:t>
                        </w:r>
                        <w:r>
                          <w:rPr>
                            <w:rFonts w:ascii="宋体" w:hAnsi="宋体" w:cs="宋体" w:eastAsia="宋体" w:hint="default"/>
                            <w:spacing w:val="-16"/>
                            <w:sz w:val="18"/>
                            <w:szCs w:val="18"/>
                          </w:rPr>
                          <w:t>股），授予价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w:t>
                        </w:r>
                        <w:r>
                          <w:rPr>
                            <w:rFonts w:ascii="Times New Roman" w:hAnsi="Times New Roman" w:cs="Times New Roman" w:eastAsia="Times New Roman" w:hint="default"/>
                            <w:sz w:val="18"/>
                            <w:szCs w:val="18"/>
                          </w:rPr>
                          <w:t>6.50</w:t>
                        </w:r>
                        <w:r>
                          <w:rPr>
                            <w:rFonts w:ascii="宋体" w:hAnsi="宋体" w:cs="宋体" w:eastAsia="宋体" w:hint="default"/>
                            <w:sz w:val="18"/>
                            <w:szCs w:val="18"/>
                          </w:rPr>
                          <w:t>，合同（解锁）剩余期限：</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年度股权激励第三期解禁：限制性股票数量： </w:t>
                        </w:r>
                        <w:r>
                          <w:rPr>
                            <w:rFonts w:ascii="Times New Roman" w:hAnsi="Times New Roman" w:cs="Times New Roman" w:eastAsia="Times New Roman" w:hint="default"/>
                            <w:spacing w:val="-1"/>
                            <w:sz w:val="18"/>
                            <w:szCs w:val="18"/>
                          </w:rPr>
                          <w:t>7,254,600</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股（转增前</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4,836,400</w:t>
                        </w:r>
                        <w:r>
                          <w:rPr>
                            <w:rFonts w:ascii="Times New Roman" w:hAnsi="Times New Roman" w:cs="Times New Roman" w:eastAsia="Times New Roman" w:hint="default"/>
                            <w:sz w:val="18"/>
                            <w:szCs w:val="18"/>
                          </w:rPr>
                          <w:t> </w:t>
                        </w:r>
                        <w:r>
                          <w:rPr>
                            <w:rFonts w:ascii="宋体" w:hAnsi="宋体" w:cs="宋体" w:eastAsia="宋体" w:hint="default"/>
                            <w:spacing w:val="-20"/>
                            <w:sz w:val="18"/>
                            <w:szCs w:val="18"/>
                          </w:rPr>
                          <w:t>股），授予价格：</w:t>
                        </w:r>
                        <w:r>
                          <w:rPr>
                            <w:rFonts w:ascii="Times New Roman" w:hAnsi="Times New Roman" w:cs="Times New Roman" w:eastAsia="Times New Roman" w:hint="default"/>
                            <w:spacing w:val="-20"/>
                            <w:sz w:val="18"/>
                            <w:szCs w:val="18"/>
                          </w:rPr>
                          <w:t>6.50</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z w:val="18"/>
                            <w:szCs w:val="18"/>
                          </w:rPr>
                          <w:t>合同（解锁）剩余期限：</w:t>
                        </w:r>
                        <w:r>
                          <w:rPr>
                            <w:rFonts w:ascii="Times New Roman" w:hAnsi="Times New Roman" w:cs="Times New Roman" w:eastAsia="Times New Roman" w:hint="default"/>
                            <w:sz w:val="18"/>
                            <w:szCs w:val="18"/>
                          </w:rPr>
                          <w:t>22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年度股权激 </w:t>
                        </w:r>
                        <w:r>
                          <w:rPr>
                            <w:rFonts w:ascii="宋体" w:hAnsi="宋体" w:cs="宋体" w:eastAsia="宋体" w:hint="default"/>
                            <w:spacing w:val="-4"/>
                            <w:sz w:val="18"/>
                            <w:szCs w:val="18"/>
                          </w:rPr>
                          <w:t>励第一期解禁：限制性股票数量：</w:t>
                          <w:tab/>
                        </w:r>
                        <w:r>
                          <w:rPr>
                            <w:rFonts w:ascii="Times New Roman" w:hAnsi="Times New Roman" w:cs="Times New Roman" w:eastAsia="Times New Roman" w:hint="default"/>
                            <w:spacing w:val="-13"/>
                            <w:sz w:val="18"/>
                            <w:szCs w:val="18"/>
                          </w:rPr>
                          <w:t>1,492,800</w:t>
                        </w:r>
                        <w:r>
                          <w:rPr>
                            <w:rFonts w:ascii="宋体" w:hAnsi="宋体" w:cs="宋体" w:eastAsia="宋体" w:hint="default"/>
                            <w:spacing w:val="-13"/>
                            <w:sz w:val="18"/>
                            <w:szCs w:val="18"/>
                          </w:rPr>
                          <w:t>（股）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授予价格：</w:t>
                        </w:r>
                        <w:r>
                          <w:rPr>
                            <w:rFonts w:ascii="Times New Roman" w:hAnsi="Times New Roman" w:cs="Times New Roman" w:eastAsia="Times New Roman" w:hint="default"/>
                            <w:sz w:val="18"/>
                            <w:szCs w:val="18"/>
                          </w:rPr>
                          <w:t>6.50</w:t>
                        </w:r>
                        <w:r>
                          <w:rPr>
                            <w:rFonts w:ascii="宋体" w:hAnsi="宋体" w:cs="宋体" w:eastAsia="宋体" w:hint="default"/>
                            <w:sz w:val="18"/>
                            <w:szCs w:val="18"/>
                          </w:rPr>
                          <w:t>，合同（解锁）剩余期限：</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年度股权激励第二期解禁：限制性股票数量：</w:t>
                        </w:r>
                      </w:p>
                      <w:p>
                        <w:pPr>
                          <w:pStyle w:val="TableParagraph"/>
                          <w:spacing w:line="300" w:lineRule="auto" w:before="11"/>
                          <w:ind w:left="23" w:right="2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1,492,800</w:t>
                        </w:r>
                        <w:r>
                          <w:rPr>
                            <w:rFonts w:ascii="宋体" w:hAnsi="宋体" w:cs="宋体" w:eastAsia="宋体" w:hint="default"/>
                            <w:spacing w:val="-4"/>
                            <w:sz w:val="18"/>
                            <w:szCs w:val="18"/>
                          </w:rPr>
                          <w:t>（股），授予价格：</w:t>
                        </w:r>
                        <w:r>
                          <w:rPr>
                            <w:rFonts w:ascii="Times New Roman" w:hAnsi="Times New Roman" w:cs="Times New Roman" w:eastAsia="Times New Roman" w:hint="default"/>
                            <w:spacing w:val="-4"/>
                            <w:sz w:val="18"/>
                            <w:szCs w:val="18"/>
                          </w:rPr>
                          <w:t>6.50</w:t>
                        </w:r>
                        <w:r>
                          <w:rPr>
                            <w:rFonts w:ascii="宋体" w:hAnsi="宋体" w:cs="宋体" w:eastAsia="宋体" w:hint="default"/>
                            <w:spacing w:val="-4"/>
                            <w:sz w:val="18"/>
                            <w:szCs w:val="18"/>
                          </w:rPr>
                          <w:t>，合同（解锁）剩</w:t>
                        </w:r>
                        <w:r>
                          <w:rPr>
                            <w:rFonts w:ascii="宋体" w:hAnsi="宋体" w:cs="宋体" w:eastAsia="宋体" w:hint="default"/>
                            <w:spacing w:val="-61"/>
                            <w:sz w:val="18"/>
                            <w:szCs w:val="18"/>
                          </w:rPr>
                          <w:t> </w:t>
                        </w:r>
                        <w:r>
                          <w:rPr>
                            <w:rFonts w:ascii="宋体" w:hAnsi="宋体" w:cs="宋体" w:eastAsia="宋体" w:hint="default"/>
                            <w:sz w:val="18"/>
                            <w:szCs w:val="18"/>
                          </w:rPr>
                          <w:t>余期限：</w:t>
                        </w:r>
                        <w:r>
                          <w:rPr>
                            <w:rFonts w:ascii="Times New Roman" w:hAnsi="Times New Roman" w:cs="Times New Roman" w:eastAsia="Times New Roman" w:hint="default"/>
                            <w:sz w:val="18"/>
                            <w:szCs w:val="18"/>
                          </w:rPr>
                          <w:t>21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年度股权激励第三期解禁： 限制性股票数量：</w:t>
                        </w:r>
                        <w:r>
                          <w:rPr>
                            <w:rFonts w:ascii="宋体" w:hAnsi="宋体" w:cs="宋体" w:eastAsia="宋体" w:hint="default"/>
                            <w:spacing w:val="19"/>
                            <w:sz w:val="18"/>
                            <w:szCs w:val="18"/>
                          </w:rPr>
                          <w:t> </w:t>
                        </w:r>
                        <w:r>
                          <w:rPr>
                            <w:rFonts w:ascii="Times New Roman" w:hAnsi="Times New Roman" w:cs="Times New Roman" w:eastAsia="Times New Roman" w:hint="default"/>
                            <w:spacing w:val="-15"/>
                            <w:sz w:val="18"/>
                            <w:szCs w:val="18"/>
                          </w:rPr>
                          <w:t>1,990,400</w:t>
                        </w:r>
                        <w:r>
                          <w:rPr>
                            <w:rFonts w:ascii="宋体" w:hAnsi="宋体" w:cs="宋体" w:eastAsia="宋体" w:hint="default"/>
                            <w:spacing w:val="-15"/>
                            <w:sz w:val="18"/>
                            <w:szCs w:val="18"/>
                          </w:rPr>
                          <w:t>（股），授予价格：</w:t>
                        </w:r>
                        <w:r>
                          <w:rPr>
                            <w:rFonts w:ascii="Times New Roman" w:hAnsi="Times New Roman" w:cs="Times New Roman" w:eastAsia="Times New Roman" w:hint="default"/>
                            <w:spacing w:val="-15"/>
                            <w:sz w:val="18"/>
                            <w:szCs w:val="18"/>
                          </w:rPr>
                          <w:t>6.50</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合同（解锁）剩余期限：</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0" w:right="193"/>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9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9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223"/>
        <w:jc w:val="left"/>
      </w:pPr>
      <w:r>
        <w:rPr/>
        <w:t>其他说明</w:t>
      </w:r>
    </w:p>
    <w:p>
      <w:pPr>
        <w:pStyle w:val="BodyText"/>
        <w:spacing w:line="240" w:lineRule="auto" w:before="115"/>
        <w:ind w:right="22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 </w:t>
      </w:r>
      <w:r>
        <w:rPr/>
        <w:t>年度股权激励</w:t>
      </w:r>
    </w:p>
    <w:p>
      <w:pPr>
        <w:pStyle w:val="BodyText"/>
        <w:spacing w:line="240" w:lineRule="auto" w:before="103"/>
        <w:ind w:right="0"/>
        <w:jc w:val="left"/>
      </w:pPr>
      <w:r>
        <w:rPr/>
        <w:t>经本公司股东大会</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日审议批</w:t>
      </w:r>
      <w:r>
        <w:rPr>
          <w:spacing w:val="-3"/>
        </w:rPr>
        <w:t>准</w:t>
      </w:r>
      <w:r>
        <w:rPr>
          <w:spacing w:val="-80"/>
        </w:rPr>
        <w:t>，</w:t>
      </w:r>
      <w:r>
        <w:rPr/>
        <w:t>本公司以</w:t>
      </w:r>
      <w:r>
        <w:rPr>
          <w:spacing w:val="-3"/>
        </w:rPr>
        <w:t>定</w:t>
      </w:r>
      <w:r>
        <w:rPr/>
        <w:t>向发行的方式向</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9</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名激励</w:t>
      </w:r>
      <w:r>
        <w:rPr>
          <w:spacing w:val="-3"/>
        </w:rPr>
        <w:t>对</w:t>
      </w:r>
      <w:r>
        <w:rPr/>
        <w:t>象授予限制性人民币普通</w:t>
      </w:r>
      <w:r>
        <w:rPr>
          <w:spacing w:val="-80"/>
        </w:rPr>
        <w:t>股</w:t>
      </w:r>
      <w:r>
        <w:rPr/>
        <w:t>（</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t>股）</w:t>
      </w:r>
    </w:p>
    <w:p>
      <w:pPr>
        <w:spacing w:after="0" w:line="240" w:lineRule="auto"/>
        <w:jc w:val="left"/>
        <w:sectPr>
          <w:pgSz w:w="11910" w:h="16840"/>
          <w:pgMar w:header="745" w:footer="979"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t>，授予价格</w:t>
      </w:r>
      <w:r>
        <w:rPr>
          <w:spacing w:val="-44"/>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rPr>
        <w:t>/</w:t>
      </w:r>
      <w:r>
        <w:rPr/>
        <w:t>股。募集</w:t>
      </w:r>
      <w:r>
        <w:rPr>
          <w:spacing w:val="-3"/>
        </w:rPr>
        <w:t>资</w:t>
      </w:r>
      <w:r>
        <w:rPr/>
        <w:t>金总额为</w:t>
      </w:r>
      <w:r>
        <w:rPr>
          <w:spacing w:val="-45"/>
        </w:rPr>
        <w:t> </w:t>
      </w:r>
      <w:r>
        <w:rPr>
          <w:rFonts w:ascii="Times New Roman" w:hAnsi="Times New Roman" w:cs="Times New Roman" w:eastAsia="Times New Roman" w:hint="default"/>
          <w:spacing w:val="1"/>
        </w:rPr>
        <w:t>80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r>
        <w:rPr>
          <w:spacing w:val="-3"/>
        </w:rPr>
        <w:t>其</w:t>
      </w:r>
      <w:r>
        <w:rPr/>
        <w:t>中，记入股本</w:t>
      </w:r>
      <w:r>
        <w:rPr>
          <w:spacing w:val="-44"/>
        </w:rPr>
        <w:t> </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w:t>
      </w:r>
      <w:r>
        <w:rPr>
          <w:spacing w:val="-3"/>
        </w:rPr>
        <w:t>记</w:t>
      </w:r>
      <w:r>
        <w:rPr/>
        <w:t>入</w:t>
      </w:r>
    </w:p>
    <w:p>
      <w:pPr>
        <w:pStyle w:val="BodyText"/>
        <w:spacing w:line="240" w:lineRule="auto" w:before="63"/>
        <w:ind w:right="0"/>
        <w:jc w:val="both"/>
      </w:pPr>
      <w:r>
        <w:rPr/>
        <w:t>资本公积（股本溢价）</w:t>
      </w:r>
      <w:r>
        <w:rPr>
          <w:rFonts w:ascii="Times New Roman" w:hAnsi="Times New Roman" w:cs="Times New Roman" w:eastAsia="Times New Roman" w:hint="default"/>
        </w:rPr>
        <w:t>71,299,000.00</w:t>
      </w:r>
      <w:r>
        <w:rPr>
          <w:rFonts w:ascii="Times New Roman" w:hAnsi="Times New Roman" w:cs="Times New Roman" w:eastAsia="Times New Roman" w:hint="default"/>
          <w:spacing w:val="-1"/>
        </w:rPr>
        <w:t> </w:t>
      </w:r>
      <w:r>
        <w:rPr/>
        <w:t>元；同时记入库存股</w:t>
      </w:r>
      <w:r>
        <w:rPr>
          <w:spacing w:val="-48"/>
        </w:rPr>
        <w:t> </w:t>
      </w:r>
      <w:r>
        <w:rPr>
          <w:rFonts w:ascii="Times New Roman" w:hAnsi="Times New Roman" w:cs="Times New Roman" w:eastAsia="Times New Roman" w:hint="default"/>
        </w:rPr>
        <w:t>80,934,000.00</w:t>
      </w:r>
      <w:r>
        <w:rPr>
          <w:rFonts w:ascii="Times New Roman" w:hAnsi="Times New Roman" w:cs="Times New Roman" w:eastAsia="Times New Roman" w:hint="default"/>
          <w:spacing w:val="-1"/>
        </w:rPr>
        <w:t> </w:t>
      </w:r>
      <w:r>
        <w:rPr/>
        <w:t>元，记入其他应付款</w:t>
      </w:r>
      <w:r>
        <w:rPr>
          <w:spacing w:val="-50"/>
        </w:rPr>
        <w:t> </w:t>
      </w:r>
      <w:r>
        <w:rPr>
          <w:rFonts w:ascii="Times New Roman" w:hAnsi="Times New Roman" w:cs="Times New Roman" w:eastAsia="Times New Roman" w:hint="default"/>
        </w:rPr>
        <w:t>80,934,000.00</w:t>
      </w:r>
      <w:r>
        <w:rPr>
          <w:rFonts w:ascii="Times New Roman" w:hAnsi="Times New Roman" w:cs="Times New Roman" w:eastAsia="Times New Roman" w:hint="default"/>
          <w:spacing w:val="-1"/>
        </w:rPr>
        <w:t> </w:t>
      </w:r>
      <w:r>
        <w:rPr/>
        <w:t>元。</w:t>
      </w:r>
    </w:p>
    <w:p>
      <w:pPr>
        <w:pStyle w:val="BodyText"/>
        <w:spacing w:line="300" w:lineRule="auto" w:before="103"/>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1"/>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年，公司按照股权激励计划的规定回购了</w:t>
      </w:r>
      <w:r>
        <w:rPr>
          <w:spacing w:val="-47"/>
        </w:rPr>
        <w:t> </w:t>
      </w:r>
      <w:r>
        <w:rPr>
          <w:rFonts w:ascii="Times New Roman" w:hAnsi="Times New Roman" w:cs="Times New Roman" w:eastAsia="Times New Roman" w:hint="default"/>
        </w:rPr>
        <w:t>97,500</w:t>
      </w:r>
      <w:r>
        <w:rPr>
          <w:rFonts w:ascii="Times New Roman" w:hAnsi="Times New Roman" w:cs="Times New Roman" w:eastAsia="Times New Roman" w:hint="default"/>
          <w:spacing w:val="-1"/>
        </w:rPr>
        <w:t> </w:t>
      </w:r>
      <w:r>
        <w:rPr/>
        <w:t>股已授予的限制性股票，共计出资</w:t>
      </w:r>
      <w:r>
        <w:rPr>
          <w:spacing w:val="-47"/>
        </w:rPr>
        <w:t> </w:t>
      </w:r>
      <w:r>
        <w:rPr>
          <w:rFonts w:ascii="Times New Roman" w:hAnsi="Times New Roman" w:cs="Times New Roman" w:eastAsia="Times New Roman" w:hint="default"/>
        </w:rPr>
        <w:t>544,000.00</w:t>
      </w:r>
      <w:r>
        <w:rPr>
          <w:rFonts w:ascii="Times New Roman" w:hAnsi="Times New Roman" w:cs="Times New Roman" w:eastAsia="Times New Roman" w:hint="default"/>
          <w:spacing w:val="-1"/>
        </w:rPr>
        <w:t> </w:t>
      </w:r>
      <w:r>
        <w:rPr/>
        <w:t>元，冲减其他应付款。</w:t>
      </w:r>
    </w:p>
    <w:p>
      <w:pPr>
        <w:pStyle w:val="BodyText"/>
        <w:spacing w:line="240" w:lineRule="auto" w:before="103"/>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6 </w:t>
      </w:r>
      <w:r>
        <w:rPr>
          <w:rFonts w:ascii="Times New Roman" w:hAnsi="Times New Roman" w:cs="Times New Roman" w:eastAsia="Times New Roman" w:hint="default"/>
          <w:spacing w:val="2"/>
        </w:rPr>
        <w:t> </w:t>
      </w:r>
      <w:r>
        <w:rPr/>
        <w:t>日，公司按</w:t>
      </w:r>
      <w:r>
        <w:rPr>
          <w:spacing w:val="-3"/>
        </w:rPr>
        <w:t>照</w:t>
      </w:r>
      <w:r>
        <w:rPr/>
        <w:t>股权激励计划的规定解锁第一期限制性股票，共</w:t>
      </w:r>
      <w:r>
        <w:rPr>
          <w:spacing w:val="-44"/>
        </w:rPr>
        <w:t> </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股</w:t>
      </w:r>
      <w:r>
        <w:rPr/>
        <w:t>（转增前</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5</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92"/>
        </w:rPr>
        <w:t>）</w:t>
      </w:r>
      <w:r>
        <w:rPr/>
        <w:t>。</w:t>
      </w:r>
    </w:p>
    <w:p>
      <w:pPr>
        <w:pStyle w:val="BodyText"/>
        <w:spacing w:line="240" w:lineRule="auto" w:before="103"/>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3"/>
        </w:rPr>
        <w:t>年，公司按照股权激励计划的规定回购了</w:t>
      </w:r>
      <w:r>
        <w:rPr>
          <w:spacing w:val="-41"/>
        </w:rPr>
        <w:t> </w:t>
      </w:r>
      <w:r>
        <w:rPr>
          <w:rFonts w:ascii="Times New Roman" w:hAnsi="Times New Roman" w:cs="Times New Roman" w:eastAsia="Times New Roman" w:hint="default"/>
        </w:rPr>
        <w:t>437,416</w:t>
      </w:r>
      <w:r>
        <w:rPr>
          <w:rFonts w:ascii="Times New Roman" w:hAnsi="Times New Roman" w:cs="Times New Roman" w:eastAsia="Times New Roman" w:hint="default"/>
          <w:spacing w:val="5"/>
        </w:rPr>
        <w:t> </w:t>
      </w:r>
      <w:r>
        <w:rPr>
          <w:spacing w:val="-4"/>
        </w:rPr>
        <w:t>股已授予的限制性股票，共计出资</w:t>
      </w:r>
      <w:r>
        <w:rPr>
          <w:spacing w:val="-41"/>
        </w:rPr>
        <w:t> </w:t>
      </w:r>
      <w:r>
        <w:rPr>
          <w:rFonts w:ascii="Times New Roman" w:hAnsi="Times New Roman" w:cs="Times New Roman" w:eastAsia="Times New Roman" w:hint="default"/>
        </w:rPr>
        <w:t>1,172,022.00</w:t>
      </w:r>
      <w:r>
        <w:rPr>
          <w:rFonts w:ascii="Times New Roman" w:hAnsi="Times New Roman" w:cs="Times New Roman" w:eastAsia="Times New Roman" w:hint="default"/>
          <w:spacing w:val="6"/>
        </w:rPr>
        <w:t> </w:t>
      </w:r>
      <w:r>
        <w:rPr>
          <w:spacing w:val="-5"/>
        </w:rPr>
        <w:t>元，冲减其他应付款。</w:t>
      </w:r>
    </w:p>
    <w:p>
      <w:pPr>
        <w:pStyle w:val="BodyText"/>
        <w:spacing w:line="240" w:lineRule="auto" w:before="101"/>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日，公司按照</w:t>
      </w:r>
      <w:r>
        <w:rPr>
          <w:spacing w:val="-3"/>
        </w:rPr>
        <w:t>股</w:t>
      </w:r>
      <w:r>
        <w:rPr/>
        <w:t>权激励计划的规定解锁第二期限制性股票，共</w:t>
      </w:r>
      <w:r>
        <w:rPr>
          <w:spacing w:val="-45"/>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股</w:t>
      </w:r>
      <w:r>
        <w:rPr>
          <w:spacing w:val="-3"/>
        </w:rPr>
        <w:t>（</w:t>
      </w:r>
      <w:r>
        <w:rPr/>
        <w:t>转增前</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92"/>
        </w:rPr>
        <w:t>）</w:t>
      </w:r>
      <w:r>
        <w:rPr/>
        <w:t>。</w:t>
      </w:r>
    </w:p>
    <w:p>
      <w:pPr>
        <w:pStyle w:val="BodyText"/>
        <w:spacing w:line="300" w:lineRule="auto" w:before="103"/>
        <w:ind w:right="193"/>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年，公司按照股权激励计划的规定回购了</w:t>
      </w:r>
      <w:r>
        <w:rPr>
          <w:spacing w:val="-49"/>
        </w:rPr>
        <w:t> </w:t>
      </w:r>
      <w:r>
        <w:rPr>
          <w:rFonts w:ascii="Times New Roman" w:hAnsi="Times New Roman" w:cs="Times New Roman" w:eastAsia="Times New Roman" w:hint="default"/>
        </w:rPr>
        <w:t>375,184</w:t>
      </w:r>
      <w:r>
        <w:rPr>
          <w:rFonts w:ascii="Times New Roman" w:hAnsi="Times New Roman" w:cs="Times New Roman" w:eastAsia="Times New Roman" w:hint="default"/>
          <w:spacing w:val="-3"/>
        </w:rPr>
        <w:t> </w:t>
      </w:r>
      <w:r>
        <w:rPr>
          <w:spacing w:val="-3"/>
        </w:rPr>
        <w:t>股（转增前）已授予的限制性股票，共计出资</w:t>
      </w:r>
      <w:r>
        <w:rPr>
          <w:spacing w:val="-49"/>
        </w:rPr>
        <w:t> </w:t>
      </w:r>
      <w:r>
        <w:rPr>
          <w:rFonts w:ascii="Times New Roman" w:hAnsi="Times New Roman" w:cs="Times New Roman" w:eastAsia="Times New Roman" w:hint="default"/>
        </w:rPr>
        <w:t>670,182.46</w:t>
      </w:r>
      <w:r>
        <w:rPr>
          <w:rFonts w:ascii="Times New Roman" w:hAnsi="Times New Roman" w:cs="Times New Roman" w:eastAsia="Times New Roman" w:hint="default"/>
          <w:spacing w:val="-3"/>
        </w:rPr>
        <w:t> </w:t>
      </w:r>
      <w:r>
        <w:rPr>
          <w:spacing w:val="-4"/>
        </w:rPr>
        <w:t>元，冲减其</w:t>
      </w:r>
      <w:r>
        <w:rPr/>
        <w:t> 他应付款。</w:t>
      </w:r>
    </w:p>
    <w:p>
      <w:pPr>
        <w:pStyle w:val="BodyText"/>
        <w:spacing w:line="240" w:lineRule="auto" w:before="73"/>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 </w:t>
      </w:r>
      <w:r>
        <w:rPr/>
        <w:t>年度股权激励</w:t>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3"/>
        </w:rPr>
        <w:t> </w:t>
      </w:r>
      <w:r>
        <w:rPr/>
        <w:t>年</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43"/>
        </w:rPr>
        <w:t> </w:t>
      </w:r>
      <w:r>
        <w:rPr/>
        <w:t>日审议批准，本公司以定向发行的方式向</w:t>
      </w:r>
      <w:r>
        <w:rPr>
          <w:spacing w:val="-43"/>
        </w:rPr>
        <w:t> </w:t>
      </w:r>
      <w:r>
        <w:rPr>
          <w:rFonts w:ascii="Times New Roman" w:hAnsi="Times New Roman" w:cs="Times New Roman" w:eastAsia="Times New Roman" w:hint="default"/>
        </w:rPr>
        <w:t>231</w:t>
      </w:r>
      <w:r>
        <w:rPr>
          <w:rFonts w:ascii="Times New Roman" w:hAnsi="Times New Roman" w:cs="Times New Roman" w:eastAsia="Times New Roman" w:hint="default"/>
          <w:spacing w:val="3"/>
        </w:rPr>
        <w:t> </w:t>
      </w:r>
      <w:r>
        <w:rPr/>
        <w:t>名激励对象授予限制性人民币普通股（</w:t>
      </w:r>
      <w:r>
        <w:rPr>
          <w:rFonts w:ascii="Times New Roman" w:hAnsi="Times New Roman" w:cs="Times New Roman" w:eastAsia="Times New Roman" w:hint="default"/>
        </w:rPr>
        <w:t>A</w:t>
      </w:r>
    </w:p>
    <w:p>
      <w:pPr>
        <w:pStyle w:val="BodyText"/>
        <w:spacing w:line="240" w:lineRule="auto" w:before="63"/>
        <w:ind w:right="0"/>
        <w:jc w:val="both"/>
      </w:pPr>
      <w:r>
        <w:rPr/>
        <w:t>股）</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股（每股面值</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t>，授予价格</w:t>
      </w:r>
      <w:r>
        <w:rPr>
          <w:spacing w:val="-45"/>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r>
        <w:rPr>
          <w:spacing w:val="-3"/>
        </w:rPr>
        <w:t>募</w:t>
      </w:r>
      <w:r>
        <w:rPr/>
        <w:t>集资金总额为</w:t>
      </w:r>
      <w:r>
        <w:rPr>
          <w:spacing w:val="-45"/>
        </w:rPr>
        <w:t> </w:t>
      </w:r>
      <w:r>
        <w:rPr>
          <w:rFonts w:ascii="Times New Roman" w:hAnsi="Times New Roman" w:cs="Times New Roman" w:eastAsia="Times New Roman" w:hint="default"/>
          <w:spacing w:val="1"/>
        </w:rPr>
        <w:t>43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t>，其中，记入股本</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0" w:lineRule="auto" w:before="63"/>
        <w:ind w:right="0"/>
        <w:jc w:val="both"/>
      </w:pPr>
      <w:r>
        <w:rPr/>
        <w:t>记入资本公积（股本溢价）</w:t>
      </w:r>
      <w:r>
        <w:rPr>
          <w:rFonts w:ascii="Times New Roman" w:hAnsi="Times New Roman" w:cs="Times New Roman" w:eastAsia="Times New Roman" w:hint="default"/>
        </w:rPr>
        <w:t>37,687,320.00</w:t>
      </w:r>
      <w:r>
        <w:rPr>
          <w:rFonts w:ascii="Times New Roman" w:hAnsi="Times New Roman" w:cs="Times New Roman" w:eastAsia="Times New Roman" w:hint="default"/>
          <w:spacing w:val="-1"/>
        </w:rPr>
        <w:t> </w:t>
      </w:r>
      <w:r>
        <w:rPr/>
        <w:t>元。同时记入库存股</w:t>
      </w:r>
      <w:r>
        <w:rPr>
          <w:spacing w:val="-49"/>
        </w:rPr>
        <w:t> </w:t>
      </w:r>
      <w:r>
        <w:rPr>
          <w:rFonts w:ascii="Times New Roman" w:hAnsi="Times New Roman" w:cs="Times New Roman" w:eastAsia="Times New Roman" w:hint="default"/>
        </w:rPr>
        <w:t>43,213,320.00</w:t>
      </w:r>
      <w:r>
        <w:rPr>
          <w:rFonts w:ascii="Times New Roman" w:hAnsi="Times New Roman" w:cs="Times New Roman" w:eastAsia="Times New Roman" w:hint="default"/>
          <w:spacing w:val="-2"/>
        </w:rPr>
        <w:t> </w:t>
      </w:r>
      <w:r>
        <w:rPr/>
        <w:t>元，记入其他应付款</w:t>
      </w:r>
      <w:r>
        <w:rPr>
          <w:spacing w:val="-48"/>
        </w:rPr>
        <w:t> </w:t>
      </w:r>
      <w:r>
        <w:rPr>
          <w:rFonts w:ascii="Times New Roman" w:hAnsi="Times New Roman" w:cs="Times New Roman" w:eastAsia="Times New Roman" w:hint="default"/>
        </w:rPr>
        <w:t>43,213,320.00</w:t>
      </w:r>
      <w:r>
        <w:rPr>
          <w:rFonts w:ascii="Times New Roman" w:hAnsi="Times New Roman" w:cs="Times New Roman" w:eastAsia="Times New Roman" w:hint="default"/>
          <w:spacing w:val="-2"/>
        </w:rPr>
        <w:t> </w:t>
      </w:r>
      <w:r>
        <w:rPr/>
        <w:t>元。</w:t>
      </w:r>
    </w:p>
    <w:p>
      <w:pPr>
        <w:pStyle w:val="BodyText"/>
        <w:spacing w:line="300" w:lineRule="auto" w:before="103"/>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3"/>
        </w:rPr>
        <w:t>年，公司按照股权激励计划的规定回购了</w:t>
      </w:r>
      <w:r>
        <w:rPr>
          <w:spacing w:val="-41"/>
        </w:rPr>
        <w:t> </w:t>
      </w:r>
      <w:r>
        <w:rPr>
          <w:rFonts w:ascii="Times New Roman" w:hAnsi="Times New Roman" w:cs="Times New Roman" w:eastAsia="Times New Roman" w:hint="default"/>
        </w:rPr>
        <w:t>353,348</w:t>
      </w:r>
      <w:r>
        <w:rPr>
          <w:rFonts w:ascii="Times New Roman" w:hAnsi="Times New Roman" w:cs="Times New Roman" w:eastAsia="Times New Roman" w:hint="default"/>
          <w:spacing w:val="5"/>
        </w:rPr>
        <w:t> </w:t>
      </w:r>
      <w:r>
        <w:rPr>
          <w:spacing w:val="-4"/>
        </w:rPr>
        <w:t>股已授予的限制性股票，共计出资</w:t>
      </w:r>
      <w:r>
        <w:rPr>
          <w:spacing w:val="-41"/>
        </w:rPr>
        <w:t> </w:t>
      </w:r>
      <w:r>
        <w:rPr>
          <w:rFonts w:ascii="Times New Roman" w:hAnsi="Times New Roman" w:cs="Times New Roman" w:eastAsia="Times New Roman" w:hint="default"/>
        </w:rPr>
        <w:t>1,368,614.00</w:t>
      </w:r>
      <w:r>
        <w:rPr>
          <w:rFonts w:ascii="Times New Roman" w:hAnsi="Times New Roman" w:cs="Times New Roman" w:eastAsia="Times New Roman" w:hint="default"/>
          <w:spacing w:val="6"/>
        </w:rPr>
        <w:t> </w:t>
      </w:r>
      <w:r>
        <w:rPr>
          <w:spacing w:val="-5"/>
        </w:rPr>
        <w:t>元，冲减其他应付款。</w:t>
      </w:r>
    </w:p>
    <w:p>
      <w:pPr>
        <w:pStyle w:val="BodyText"/>
        <w:spacing w:line="240" w:lineRule="auto" w:before="101"/>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日，公司按</w:t>
      </w:r>
      <w:r>
        <w:rPr>
          <w:spacing w:val="-3"/>
        </w:rPr>
        <w:t>照</w:t>
      </w:r>
      <w:r>
        <w:rPr/>
        <w:t>股权激励计划的规定解锁第一期限制性股票，共</w:t>
      </w:r>
      <w:r>
        <w:rPr>
          <w:spacing w:val="-44"/>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3"/>
        </w:rPr>
        <w:t>股</w:t>
      </w:r>
      <w:r>
        <w:rPr/>
        <w:t>（转增前</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92"/>
        </w:rPr>
        <w:t>）</w:t>
      </w:r>
      <w:r>
        <w:rPr/>
        <w:t>。</w:t>
      </w:r>
    </w:p>
    <w:p>
      <w:pPr>
        <w:pStyle w:val="BodyText"/>
        <w:spacing w:line="300" w:lineRule="auto" w:before="103"/>
        <w:ind w:right="193"/>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年，公司按照股权激励计划的规定回购了</w:t>
      </w:r>
      <w:r>
        <w:rPr>
          <w:spacing w:val="-50"/>
        </w:rPr>
        <w:t> </w:t>
      </w:r>
      <w:r>
        <w:rPr>
          <w:rFonts w:ascii="Times New Roman" w:hAnsi="Times New Roman" w:cs="Times New Roman" w:eastAsia="Times New Roman" w:hint="default"/>
        </w:rPr>
        <w:t>246,151</w:t>
      </w:r>
      <w:r>
        <w:rPr>
          <w:rFonts w:ascii="Times New Roman" w:hAnsi="Times New Roman" w:cs="Times New Roman" w:eastAsia="Times New Roman" w:hint="default"/>
          <w:spacing w:val="-3"/>
        </w:rPr>
        <w:t> </w:t>
      </w:r>
      <w:r>
        <w:rPr>
          <w:spacing w:val="-3"/>
        </w:rPr>
        <w:t>股（转增前）已授予的限制性股票，共计出资</w:t>
      </w:r>
      <w:r>
        <w:rPr>
          <w:spacing w:val="-49"/>
        </w:rPr>
        <w:t> </w:t>
      </w:r>
      <w:r>
        <w:rPr>
          <w:rFonts w:ascii="Times New Roman" w:hAnsi="Times New Roman" w:cs="Times New Roman" w:eastAsia="Times New Roman" w:hint="default"/>
        </w:rPr>
        <w:t>736,141.42</w:t>
      </w:r>
      <w:r>
        <w:rPr>
          <w:rFonts w:ascii="Times New Roman" w:hAnsi="Times New Roman" w:cs="Times New Roman" w:eastAsia="Times New Roman" w:hint="default"/>
          <w:spacing w:val="-3"/>
        </w:rPr>
        <w:t> </w:t>
      </w:r>
      <w:r>
        <w:rPr>
          <w:spacing w:val="-4"/>
        </w:rPr>
        <w:t>元，冲减其</w:t>
      </w:r>
      <w:r>
        <w:rPr/>
        <w:t> 他应付款。</w:t>
      </w:r>
    </w:p>
    <w:p>
      <w:pPr>
        <w:pStyle w:val="BodyText"/>
        <w:spacing w:line="240" w:lineRule="auto" w:before="72"/>
        <w:ind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 </w:t>
      </w:r>
      <w:r>
        <w:rPr/>
        <w:t>年度股权激励</w:t>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43"/>
        </w:rPr>
        <w:t> </w:t>
      </w:r>
      <w:r>
        <w:rPr>
          <w:rFonts w:ascii="Times New Roman" w:hAnsi="Times New Roman" w:cs="Times New Roman" w:eastAsia="Times New Roman" w:hint="default"/>
        </w:rPr>
        <w:t>2014 </w:t>
      </w:r>
      <w:r>
        <w:rPr>
          <w:rFonts w:ascii="Times New Roman" w:hAnsi="Times New Roman" w:cs="Times New Roman" w:eastAsia="Times New Roman" w:hint="default"/>
          <w:spacing w:val="4"/>
        </w:rPr>
        <w:t> </w:t>
      </w:r>
      <w:r>
        <w:rPr/>
        <w:t>年</w:t>
      </w:r>
      <w:r>
        <w:rPr>
          <w:spacing w:val="-43"/>
        </w:rPr>
        <w:t> </w:t>
      </w:r>
      <w:r>
        <w:rPr>
          <w:rFonts w:ascii="Times New Roman" w:hAnsi="Times New Roman" w:cs="Times New Roman" w:eastAsia="Times New Roman" w:hint="default"/>
        </w:rPr>
        <w:t>10 </w:t>
      </w:r>
      <w:r>
        <w:rPr>
          <w:rFonts w:ascii="Times New Roman" w:hAnsi="Times New Roman" w:cs="Times New Roman" w:eastAsia="Times New Roman" w:hint="default"/>
          <w:spacing w:val="4"/>
        </w:rPr>
        <w:t> </w:t>
      </w:r>
      <w:r>
        <w:rPr/>
        <w:t>月</w:t>
      </w:r>
      <w:r>
        <w:rPr>
          <w:spacing w:val="-43"/>
        </w:rPr>
        <w:t> </w:t>
      </w:r>
      <w:r>
        <w:rPr>
          <w:rFonts w:ascii="Times New Roman" w:hAnsi="Times New Roman" w:cs="Times New Roman" w:eastAsia="Times New Roman" w:hint="default"/>
        </w:rPr>
        <w:t>30 </w:t>
      </w:r>
      <w:r>
        <w:rPr>
          <w:rFonts w:ascii="Times New Roman" w:hAnsi="Times New Roman" w:cs="Times New Roman" w:eastAsia="Times New Roman" w:hint="default"/>
          <w:spacing w:val="4"/>
        </w:rPr>
        <w:t> </w:t>
      </w:r>
      <w:r>
        <w:rPr>
          <w:spacing w:val="-3"/>
        </w:rPr>
        <w:t>日审议批准，本公司以定向发行的方式向</w:t>
      </w:r>
      <w:r>
        <w:rPr>
          <w:spacing w:val="-43"/>
        </w:rPr>
        <w:t> </w:t>
      </w:r>
      <w:r>
        <w:rPr>
          <w:rFonts w:ascii="Times New Roman" w:hAnsi="Times New Roman" w:cs="Times New Roman" w:eastAsia="Times New Roman" w:hint="default"/>
        </w:rPr>
        <w:t>556</w:t>
      </w:r>
      <w:r>
        <w:rPr>
          <w:rFonts w:ascii="Times New Roman" w:hAnsi="Times New Roman" w:cs="Times New Roman" w:eastAsia="Times New Roman" w:hint="default"/>
          <w:spacing w:val="3"/>
        </w:rPr>
        <w:t> </w:t>
      </w:r>
      <w:r>
        <w:rPr>
          <w:spacing w:val="-3"/>
        </w:rPr>
        <w:t>名激励对象授予限制性人民币普通股（</w:t>
      </w:r>
      <w:r>
        <w:rPr>
          <w:rFonts w:ascii="Times New Roman" w:hAnsi="Times New Roman" w:cs="Times New Roman" w:eastAsia="Times New Roman" w:hint="default"/>
          <w:spacing w:val="-3"/>
        </w:rPr>
        <w:t>A</w:t>
      </w:r>
    </w:p>
    <w:p>
      <w:pPr>
        <w:pStyle w:val="BodyText"/>
        <w:spacing w:line="240" w:lineRule="auto" w:before="63"/>
        <w:ind w:right="0"/>
        <w:jc w:val="both"/>
        <w:rPr>
          <w:rFonts w:ascii="Times New Roman" w:hAnsi="Times New Roman" w:cs="Times New Roman" w:eastAsia="Times New Roman" w:hint="default"/>
        </w:rPr>
      </w:pPr>
      <w:r>
        <w:rPr/>
        <w:t>股）</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股（每股面值</w:t>
      </w:r>
      <w:r>
        <w:rPr>
          <w:spacing w:val="-30"/>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元</w:t>
      </w:r>
      <w:r>
        <w:rPr>
          <w:spacing w:val="-92"/>
        </w:rPr>
        <w:t>）</w:t>
      </w:r>
      <w:r>
        <w:rPr/>
        <w:t>，授予价格</w:t>
      </w:r>
      <w:r>
        <w:rPr>
          <w:spacing w:val="-28"/>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rPr>
        <w:t>0</w:t>
      </w:r>
      <w:r>
        <w:rPr>
          <w:rFonts w:ascii="Times New Roman" w:hAnsi="Times New Roman" w:cs="Times New Roman" w:eastAsia="Times New Roman" w:hint="default"/>
          <w:spacing w:val="19"/>
        </w:rPr>
        <w:t> </w:t>
      </w:r>
      <w:r>
        <w:rPr/>
        <w:t>元</w:t>
      </w:r>
      <w:r>
        <w:rPr>
          <w:rFonts w:ascii="Times New Roman" w:hAnsi="Times New Roman" w:cs="Times New Roman" w:eastAsia="Times New Roman" w:hint="default"/>
        </w:rPr>
        <w:t>/</w:t>
      </w:r>
      <w:r>
        <w:rPr/>
        <w:t>股</w:t>
      </w:r>
      <w:r>
        <w:rPr>
          <w:spacing w:val="-3"/>
        </w:rPr>
        <w:t>。</w:t>
      </w:r>
      <w:r>
        <w:rPr/>
        <w:t>募集资金总额为</w:t>
      </w:r>
      <w:r>
        <w:rPr>
          <w:spacing w:val="-28"/>
        </w:rPr>
        <w:t> </w:t>
      </w:r>
      <w:r>
        <w:rPr>
          <w:rFonts w:ascii="Times New Roman" w:hAnsi="Times New Roman" w:cs="Times New Roman" w:eastAsia="Times New Roman" w:hint="default"/>
          <w:spacing w:val="1"/>
        </w:rPr>
        <w:t>82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4</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元，其中，记入股本</w:t>
      </w:r>
      <w:r>
        <w:rPr>
          <w:spacing w:val="-28"/>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p>
    <w:p>
      <w:pPr>
        <w:pStyle w:val="BodyText"/>
        <w:spacing w:line="240" w:lineRule="auto" w:before="63"/>
        <w:ind w:right="0"/>
        <w:jc w:val="both"/>
      </w:pPr>
      <w:r>
        <w:rPr/>
        <w:t>元，记入资本公积（股本溢价）</w:t>
      </w:r>
      <w:r>
        <w:rPr>
          <w:rFonts w:ascii="Times New Roman" w:hAnsi="Times New Roman" w:cs="Times New Roman" w:eastAsia="Times New Roman" w:hint="default"/>
        </w:rPr>
        <w:t>69,828,000.00</w:t>
      </w:r>
      <w:r>
        <w:rPr>
          <w:rFonts w:ascii="Times New Roman" w:hAnsi="Times New Roman" w:cs="Times New Roman" w:eastAsia="Times New Roman" w:hint="default"/>
          <w:spacing w:val="-1"/>
        </w:rPr>
        <w:t> </w:t>
      </w:r>
      <w:r>
        <w:rPr/>
        <w:t>元。同时记入库存股</w:t>
      </w:r>
      <w:r>
        <w:rPr>
          <w:spacing w:val="-49"/>
        </w:rPr>
        <w:t> </w:t>
      </w:r>
      <w:r>
        <w:rPr>
          <w:rFonts w:ascii="Times New Roman" w:hAnsi="Times New Roman" w:cs="Times New Roman" w:eastAsia="Times New Roman" w:hint="default"/>
        </w:rPr>
        <w:t>82,524,000.00</w:t>
      </w:r>
      <w:r>
        <w:rPr>
          <w:rFonts w:ascii="Times New Roman" w:hAnsi="Times New Roman" w:cs="Times New Roman" w:eastAsia="Times New Roman" w:hint="default"/>
          <w:spacing w:val="-2"/>
        </w:rPr>
        <w:t> </w:t>
      </w:r>
      <w:r>
        <w:rPr/>
        <w:t>元，记入其他应付款</w:t>
      </w:r>
      <w:r>
        <w:rPr>
          <w:spacing w:val="-48"/>
        </w:rPr>
        <w:t> </w:t>
      </w:r>
      <w:r>
        <w:rPr>
          <w:rFonts w:ascii="Times New Roman" w:hAnsi="Times New Roman" w:cs="Times New Roman" w:eastAsia="Times New Roman" w:hint="default"/>
        </w:rPr>
        <w:t>82,524,000.00</w:t>
      </w:r>
      <w:r>
        <w:rPr>
          <w:rFonts w:ascii="Times New Roman" w:hAnsi="Times New Roman" w:cs="Times New Roman" w:eastAsia="Times New Roman" w:hint="default"/>
          <w:spacing w:val="-1"/>
        </w:rPr>
        <w:t> </w:t>
      </w:r>
      <w:r>
        <w:rPr/>
        <w:t>元。</w:t>
      </w:r>
    </w:p>
    <w:p>
      <w:pPr>
        <w:pStyle w:val="BodyText"/>
        <w:spacing w:line="300" w:lineRule="auto" w:before="103"/>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300" w:lineRule="auto" w:before="53"/>
        <w:ind w:right="9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6"/>
        </w:rPr>
        <w:t>年，公司按照股权激励计划的规定回购了</w:t>
      </w:r>
      <w:r>
        <w:rPr>
          <w:spacing w:val="-52"/>
        </w:rPr>
        <w:t> </w:t>
      </w:r>
      <w:r>
        <w:rPr>
          <w:rFonts w:ascii="Times New Roman" w:hAnsi="Times New Roman" w:cs="Times New Roman" w:eastAsia="Times New Roman" w:hint="default"/>
          <w:spacing w:val="-1"/>
        </w:rPr>
        <w:t>30,000</w:t>
      </w:r>
      <w:r>
        <w:rPr>
          <w:rFonts w:ascii="Times New Roman" w:hAnsi="Times New Roman" w:cs="Times New Roman" w:eastAsia="Times New Roman" w:hint="default"/>
          <w:spacing w:val="-6"/>
        </w:rPr>
        <w:t> </w:t>
      </w:r>
      <w:r>
        <w:rPr>
          <w:spacing w:val="-7"/>
        </w:rPr>
        <w:t>股已授予的限制性股票，共计出资</w:t>
      </w:r>
      <w:r>
        <w:rPr>
          <w:spacing w:val="-51"/>
        </w:rPr>
        <w:t> </w:t>
      </w:r>
      <w:r>
        <w:rPr>
          <w:rFonts w:ascii="Times New Roman" w:hAnsi="Times New Roman" w:cs="Times New Roman" w:eastAsia="Times New Roman" w:hint="default"/>
          <w:spacing w:val="-1"/>
        </w:rPr>
        <w:t>195,000.00</w:t>
      </w:r>
      <w:r>
        <w:rPr>
          <w:rFonts w:ascii="Times New Roman" w:hAnsi="Times New Roman" w:cs="Times New Roman" w:eastAsia="Times New Roman" w:hint="default"/>
          <w:spacing w:val="-5"/>
        </w:rPr>
        <w:t> </w:t>
      </w:r>
      <w:r>
        <w:rPr>
          <w:spacing w:val="-12"/>
        </w:rPr>
        <w:t>元，其中面值部分</w:t>
      </w:r>
      <w:r>
        <w:rPr>
          <w:spacing w:val="-52"/>
        </w:rPr>
        <w:t> </w:t>
      </w:r>
      <w:r>
        <w:rPr>
          <w:rFonts w:ascii="Times New Roman" w:hAnsi="Times New Roman" w:cs="Times New Roman" w:eastAsia="Times New Roman" w:hint="default"/>
          <w:spacing w:val="-1"/>
        </w:rPr>
        <w:t>353,348</w:t>
      </w:r>
      <w:r>
        <w:rPr>
          <w:spacing w:val="-1"/>
        </w:rPr>
        <w:t>，</w:t>
      </w:r>
      <w:r>
        <w:rPr>
          <w:spacing w:val="-86"/>
        </w:rPr>
        <w:t> </w:t>
      </w:r>
      <w:r>
        <w:rPr/>
        <w:t>冲减其他应付款。</w:t>
      </w:r>
    </w:p>
    <w:p>
      <w:pPr>
        <w:pStyle w:val="BodyText"/>
        <w:spacing w:line="240" w:lineRule="auto" w:before="70"/>
        <w:ind w:right="0"/>
        <w:jc w:val="both"/>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日，公司按</w:t>
      </w:r>
      <w:r>
        <w:rPr>
          <w:spacing w:val="-3"/>
        </w:rPr>
        <w:t>照</w:t>
      </w:r>
      <w:r>
        <w:rPr/>
        <w:t>股权激励计划的规定解锁第一期限制性股票，共</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股</w:t>
      </w:r>
      <w:r>
        <w:rPr/>
        <w:t>（转增前</w:t>
      </w:r>
      <w:r>
        <w:rPr>
          <w:spacing w:val="-45"/>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股</w:t>
      </w:r>
      <w:r>
        <w:rPr>
          <w:spacing w:val="-92"/>
        </w:rPr>
        <w:t>）</w:t>
      </w:r>
      <w:r>
        <w:rPr/>
        <w:t>。</w:t>
      </w:r>
    </w:p>
    <w:p>
      <w:pPr>
        <w:pStyle w:val="BodyText"/>
        <w:spacing w:line="300" w:lineRule="auto" w:before="104"/>
        <w:ind w:right="19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年，公司按照股权激励计划的规定回购了</w:t>
      </w:r>
      <w:r>
        <w:rPr>
          <w:spacing w:val="-53"/>
        </w:rPr>
        <w:t> </w:t>
      </w:r>
      <w:r>
        <w:rPr>
          <w:rFonts w:ascii="Times New Roman" w:hAnsi="Times New Roman" w:cs="Times New Roman" w:eastAsia="Times New Roman" w:hint="default"/>
        </w:rPr>
        <w:t>507,250</w:t>
      </w:r>
      <w:r>
        <w:rPr>
          <w:rFonts w:ascii="Times New Roman" w:hAnsi="Times New Roman" w:cs="Times New Roman" w:eastAsia="Times New Roman" w:hint="default"/>
          <w:spacing w:val="-7"/>
        </w:rPr>
        <w:t> </w:t>
      </w:r>
      <w:r>
        <w:rPr/>
        <w:t>股（转增前）已授予的限制性股票，共计出资</w:t>
      </w:r>
      <w:r>
        <w:rPr>
          <w:spacing w:val="-53"/>
        </w:rPr>
        <w:t> </w:t>
      </w:r>
      <w:r>
        <w:rPr>
          <w:rFonts w:ascii="Times New Roman" w:hAnsi="Times New Roman" w:cs="Times New Roman" w:eastAsia="Times New Roman" w:hint="default"/>
        </w:rPr>
        <w:t>2,934,750.00</w:t>
      </w:r>
      <w:r>
        <w:rPr>
          <w:rFonts w:ascii="Times New Roman" w:hAnsi="Times New Roman" w:cs="Times New Roman" w:eastAsia="Times New Roman" w:hint="default"/>
          <w:spacing w:val="-6"/>
        </w:rPr>
        <w:t> </w:t>
      </w:r>
      <w:r>
        <w:rPr>
          <w:spacing w:val="-3"/>
        </w:rPr>
        <w:t>元，冲减</w:t>
      </w:r>
      <w:r>
        <w:rPr/>
        <w:t> 其他应付款。</w:t>
      </w:r>
    </w:p>
    <w:p>
      <w:pPr>
        <w:pStyle w:val="BodyText"/>
        <w:spacing w:line="240" w:lineRule="auto" w:before="72"/>
        <w:ind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 </w:t>
      </w:r>
      <w:r>
        <w:rPr/>
        <w:t>年度股权激励</w:t>
      </w:r>
    </w:p>
    <w:p>
      <w:pPr>
        <w:pStyle w:val="BodyText"/>
        <w:spacing w:line="240" w:lineRule="auto" w:before="101"/>
        <w:ind w:right="0"/>
        <w:jc w:val="both"/>
        <w:rPr>
          <w:rFonts w:ascii="Times New Roman" w:hAnsi="Times New Roman" w:cs="Times New Roman" w:eastAsia="Times New Roman" w:hint="default"/>
        </w:rPr>
      </w:pPr>
      <w:r>
        <w:rPr/>
        <w:t>经本公司股东大会</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35"/>
        </w:rPr>
        <w:t> </w:t>
      </w:r>
      <w:r>
        <w:rPr>
          <w:rFonts w:ascii="Times New Roman" w:hAnsi="Times New Roman" w:cs="Times New Roman" w:eastAsia="Times New Roman" w:hint="default"/>
          <w:spacing w:val="-5"/>
        </w:rPr>
        <w:t>11 </w:t>
      </w:r>
      <w:r>
        <w:rPr>
          <w:rFonts w:ascii="Times New Roman" w:hAnsi="Times New Roman" w:cs="Times New Roman" w:eastAsia="Times New Roman" w:hint="default"/>
          <w:spacing w:val="5"/>
        </w:rPr>
        <w:t> </w:t>
      </w:r>
      <w:r>
        <w:rPr/>
        <w:t>月</w:t>
      </w:r>
      <w:r>
        <w:rPr>
          <w:spacing w:val="-35"/>
        </w:rPr>
        <w:t> </w:t>
      </w:r>
      <w:r>
        <w:rPr>
          <w:rFonts w:ascii="Times New Roman" w:hAnsi="Times New Roman" w:cs="Times New Roman" w:eastAsia="Times New Roman" w:hint="default"/>
        </w:rPr>
        <w:t>3 </w:t>
      </w:r>
      <w:r>
        <w:rPr>
          <w:rFonts w:ascii="Times New Roman" w:hAnsi="Times New Roman" w:cs="Times New Roman" w:eastAsia="Times New Roman" w:hint="default"/>
          <w:spacing w:val="2"/>
        </w:rPr>
        <w:t> </w:t>
      </w:r>
      <w:r>
        <w:rPr/>
        <w:t>日审议批准，本公司以定向发行的方式向</w:t>
      </w:r>
      <w:r>
        <w:rPr>
          <w:spacing w:val="-35"/>
        </w:rPr>
        <w:t> </w:t>
      </w:r>
      <w:r>
        <w:rPr>
          <w:rFonts w:ascii="Times New Roman" w:hAnsi="Times New Roman" w:cs="Times New Roman" w:eastAsia="Times New Roman" w:hint="default"/>
        </w:rPr>
        <w:t>251</w:t>
      </w:r>
      <w:r>
        <w:rPr>
          <w:rFonts w:ascii="Times New Roman" w:hAnsi="Times New Roman" w:cs="Times New Roman" w:eastAsia="Times New Roman" w:hint="default"/>
          <w:spacing w:val="11"/>
        </w:rPr>
        <w:t> </w:t>
      </w:r>
      <w:r>
        <w:rPr/>
        <w:t>名激励对象授予限制性人民币普通股（</w:t>
      </w:r>
      <w:r>
        <w:rPr>
          <w:rFonts w:ascii="Times New Roman" w:hAnsi="Times New Roman" w:cs="Times New Roman" w:eastAsia="Times New Roman" w:hint="default"/>
        </w:rPr>
        <w:t>A</w:t>
      </w:r>
    </w:p>
    <w:p>
      <w:pPr>
        <w:pStyle w:val="BodyText"/>
        <w:spacing w:line="240" w:lineRule="auto" w:before="63"/>
        <w:ind w:right="0"/>
        <w:jc w:val="both"/>
      </w:pPr>
      <w:r>
        <w:rPr/>
        <w:t>股</w:t>
      </w:r>
      <w:r>
        <w:rPr>
          <w:spacing w:val="-15"/>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spacing w:val="-15"/>
        </w:rPr>
        <w:t>股</w:t>
      </w:r>
      <w:r>
        <w:rPr/>
        <w:t>（每股面值</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2"/>
        </w:rPr>
        <w:t>）</w:t>
      </w:r>
      <w:r>
        <w:rPr>
          <w:spacing w:val="-15"/>
        </w:rPr>
        <w:t>，</w:t>
      </w:r>
      <w:r>
        <w:rPr/>
        <w:t>授予价格</w:t>
      </w:r>
      <w:r>
        <w:rPr>
          <w:spacing w:val="-45"/>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r>
        <w:rPr>
          <w:spacing w:val="-15"/>
        </w:rPr>
        <w:t>。</w:t>
      </w:r>
      <w:r>
        <w:rPr/>
        <w:t>募集资金总额为</w:t>
      </w:r>
      <w:r>
        <w:rPr>
          <w:spacing w:val="-44"/>
        </w:rPr>
        <w:t> </w:t>
      </w:r>
      <w:r>
        <w:rPr>
          <w:rFonts w:ascii="Times New Roman" w:hAnsi="Times New Roman" w:cs="Times New Roman" w:eastAsia="Times New Roman" w:hint="default"/>
          <w:spacing w:val="1"/>
        </w:rPr>
        <w:t>55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spacing w:val="-15"/>
        </w:rPr>
        <w:t>，</w:t>
      </w:r>
      <w:r>
        <w:rPr/>
        <w:t>其中</w:t>
      </w:r>
      <w:r>
        <w:rPr>
          <w:spacing w:val="-15"/>
        </w:rPr>
        <w:t>，</w:t>
      </w:r>
      <w:r>
        <w:rPr/>
        <w:t>记入股本</w:t>
      </w:r>
      <w:r>
        <w:rPr>
          <w:spacing w:val="-45"/>
        </w:rPr>
        <w:t> </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spacing w:val="-3"/>
        </w:rPr>
        <w:t>元，</w:t>
      </w:r>
      <w:r>
        <w:rPr/>
      </w:r>
    </w:p>
    <w:p>
      <w:pPr>
        <w:pStyle w:val="BodyText"/>
        <w:spacing w:line="240" w:lineRule="auto" w:before="63"/>
        <w:ind w:right="0"/>
        <w:jc w:val="both"/>
      </w:pPr>
      <w:r>
        <w:rPr/>
        <w:t>记入资本公积（股本溢价）</w:t>
      </w:r>
      <w:r>
        <w:rPr>
          <w:rFonts w:ascii="Times New Roman" w:hAnsi="Times New Roman" w:cs="Times New Roman" w:eastAsia="Times New Roman" w:hint="default"/>
        </w:rPr>
        <w:t>50,310,260.00</w:t>
      </w:r>
      <w:r>
        <w:rPr>
          <w:rFonts w:ascii="Times New Roman" w:hAnsi="Times New Roman" w:cs="Times New Roman" w:eastAsia="Times New Roman" w:hint="default"/>
          <w:spacing w:val="-1"/>
        </w:rPr>
        <w:t> </w:t>
      </w:r>
      <w:r>
        <w:rPr/>
        <w:t>元，同时记入库存股</w:t>
      </w:r>
      <w:r>
        <w:rPr>
          <w:spacing w:val="-49"/>
        </w:rPr>
        <w:t> </w:t>
      </w:r>
      <w:r>
        <w:rPr>
          <w:rFonts w:ascii="Times New Roman" w:hAnsi="Times New Roman" w:cs="Times New Roman" w:eastAsia="Times New Roman" w:hint="default"/>
        </w:rPr>
        <w:t>55,336,260.00</w:t>
      </w:r>
      <w:r>
        <w:rPr>
          <w:rFonts w:ascii="Times New Roman" w:hAnsi="Times New Roman" w:cs="Times New Roman" w:eastAsia="Times New Roman" w:hint="default"/>
          <w:spacing w:val="-2"/>
        </w:rPr>
        <w:t> </w:t>
      </w:r>
      <w:r>
        <w:rPr/>
        <w:t>元，记入其他应付款</w:t>
      </w:r>
      <w:r>
        <w:rPr>
          <w:spacing w:val="-48"/>
        </w:rPr>
        <w:t> </w:t>
      </w:r>
      <w:r>
        <w:rPr>
          <w:rFonts w:ascii="Times New Roman" w:hAnsi="Times New Roman" w:cs="Times New Roman" w:eastAsia="Times New Roman" w:hint="default"/>
        </w:rPr>
        <w:t>55,336,260.00</w:t>
      </w:r>
      <w:r>
        <w:rPr>
          <w:rFonts w:ascii="Times New Roman" w:hAnsi="Times New Roman" w:cs="Times New Roman" w:eastAsia="Times New Roman" w:hint="default"/>
          <w:spacing w:val="-2"/>
        </w:rPr>
        <w:t> </w:t>
      </w:r>
      <w:r>
        <w:rPr/>
        <w:t>元。</w:t>
      </w:r>
    </w:p>
    <w:p>
      <w:pPr>
        <w:pStyle w:val="BodyText"/>
        <w:spacing w:line="300" w:lineRule="auto" w:before="103"/>
        <w:ind w:right="188"/>
        <w:jc w:val="both"/>
      </w:pPr>
      <w:r>
        <w:rPr/>
        <w:t>根据公司股权激励计划，激励对象获授限制性股票之日起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个月内为锁定期，锁定期后</w:t>
      </w:r>
      <w:r>
        <w:rPr>
          <w:spacing w:val="-54"/>
        </w:rPr>
        <w:t> </w:t>
      </w:r>
      <w:r>
        <w:rPr>
          <w:rFonts w:ascii="Times New Roman" w:hAnsi="Times New Roman" w:cs="Times New Roman" w:eastAsia="Times New Roman" w:hint="default"/>
        </w:rPr>
        <w:t>36</w:t>
      </w:r>
      <w:r>
        <w:rPr>
          <w:rFonts w:ascii="Times New Roman" w:hAnsi="Times New Roman" w:cs="Times New Roman" w:eastAsia="Times New Roman" w:hint="default"/>
          <w:spacing w:val="-11"/>
        </w:rPr>
        <w:t> </w:t>
      </w:r>
      <w:r>
        <w:rPr>
          <w:spacing w:val="-3"/>
        </w:rPr>
        <w:t>个月为解锁期。在解锁期内，若</w:t>
      </w:r>
      <w:r>
        <w:rPr/>
        <w:t> 达到本计划规定的限制性股票的解锁条件，激励对象可在授予日起</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spacing w:val="-6"/>
        </w:rPr>
        <w:t>个月后、</w:t>
      </w:r>
      <w:r>
        <w:rPr>
          <w:rFonts w:ascii="Times New Roman" w:hAnsi="Times New Roman" w:cs="Times New Roman" w:eastAsia="Times New Roman" w:hint="default"/>
          <w:spacing w:val="-6"/>
        </w:rPr>
        <w:t>24</w:t>
      </w:r>
      <w:r>
        <w:rPr>
          <w:rFonts w:ascii="Times New Roman" w:hAnsi="Times New Roman" w:cs="Times New Roman" w:eastAsia="Times New Roman" w:hint="default"/>
          <w:spacing w:val="-5"/>
        </w:rPr>
        <w:t> </w:t>
      </w:r>
      <w:r>
        <w:rPr>
          <w:spacing w:val="-5"/>
        </w:rPr>
        <w:t>个月后、</w:t>
      </w:r>
      <w:r>
        <w:rPr>
          <w:rFonts w:ascii="Times New Roman" w:hAnsi="Times New Roman" w:cs="Times New Roman" w:eastAsia="Times New Roman" w:hint="default"/>
          <w:spacing w:val="-5"/>
        </w:rPr>
        <w:t>36 </w:t>
      </w:r>
      <w:r>
        <w:rPr/>
        <w:t>个月后分三期分别申请解锁所 获授限制性股票总量的</w:t>
      </w:r>
      <w:r>
        <w:rPr>
          <w:spacing w:val="-46"/>
        </w:rPr>
        <w:t> </w:t>
      </w:r>
      <w:r>
        <w:rPr>
          <w:rFonts w:ascii="Times New Roman" w:hAnsi="Times New Roman" w:cs="Times New Roman" w:eastAsia="Times New Roman" w:hint="default"/>
        </w:rPr>
        <w:t>30%</w:t>
      </w:r>
      <w:r>
        <w:rPr/>
        <w:t>、</w:t>
      </w:r>
      <w:r>
        <w:rPr>
          <w:rFonts w:ascii="Times New Roman" w:hAnsi="Times New Roman" w:cs="Times New Roman" w:eastAsia="Times New Roman" w:hint="default"/>
        </w:rPr>
        <w:t>30%</w:t>
      </w:r>
      <w:r>
        <w:rPr/>
        <w:t>和</w:t>
      </w:r>
      <w:r>
        <w:rPr>
          <w:spacing w:val="-46"/>
        </w:rPr>
        <w:t> </w:t>
      </w:r>
      <w:r>
        <w:rPr>
          <w:rFonts w:ascii="Times New Roman" w:hAnsi="Times New Roman" w:cs="Times New Roman" w:eastAsia="Times New Roman" w:hint="default"/>
        </w:rPr>
        <w:t>40%</w:t>
      </w:r>
      <w:r>
        <w:rPr/>
        <w:t>。</w:t>
      </w:r>
    </w:p>
    <w:p>
      <w:pPr>
        <w:pStyle w:val="BodyText"/>
        <w:spacing w:line="240" w:lineRule="auto" w:before="53"/>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年，公司按照股权激励计划的规定回购了</w:t>
      </w:r>
      <w:r>
        <w:rPr>
          <w:spacing w:val="-47"/>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
        </w:rPr>
        <w:t> </w:t>
      </w:r>
      <w:r>
        <w:rPr/>
        <w:t>股已授予的限制性股票，共计出资</w:t>
      </w:r>
      <w:r>
        <w:rPr>
          <w:spacing w:val="-47"/>
        </w:rPr>
        <w:t> </w:t>
      </w:r>
      <w:r>
        <w:rPr>
          <w:rFonts w:ascii="Times New Roman" w:hAnsi="Times New Roman" w:cs="Times New Roman" w:eastAsia="Times New Roman" w:hint="default"/>
        </w:rPr>
        <w:t>550,500.00</w:t>
      </w:r>
      <w:r>
        <w:rPr>
          <w:rFonts w:ascii="Times New Roman" w:hAnsi="Times New Roman" w:cs="Times New Roman" w:eastAsia="Times New Roman" w:hint="default"/>
          <w:spacing w:val="-1"/>
        </w:rPr>
        <w:t> </w:t>
      </w:r>
      <w:r>
        <w:rPr/>
        <w:t>元，冲减其他应付款。</w:t>
      </w:r>
    </w:p>
    <w:p>
      <w:pPr>
        <w:spacing w:after="0" w:line="240" w:lineRule="auto"/>
        <w:jc w:val="both"/>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498"/>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176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16.36 </w:t>
            </w:r>
            <w:r>
              <w:rPr>
                <w:rFonts w:ascii="宋体" w:hAnsi="宋体" w:cs="宋体" w:eastAsia="宋体" w:hint="default"/>
                <w:sz w:val="18"/>
                <w:szCs w:val="18"/>
              </w:rPr>
              <w:t>元）为基础，考虑由于限售造成的流通 性折扣得出授予日限制性股票的公允价值。银信资产评估 有限公司对上述本公司授予的限制性股票公允价值作了评 估，在授予日起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个月后解锁的 限制性股票的公允价值分别为每股</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12.25</w:t>
            </w:r>
            <w:r>
              <w:rPr>
                <w:rFonts w:ascii="Times New Roman" w:hAnsi="Times New Roman" w:cs="Times New Roman" w:eastAsia="Times New Roman" w:hint="default"/>
                <w:spacing w:val="4"/>
                <w:sz w:val="18"/>
                <w:szCs w:val="18"/>
              </w:rPr>
              <w:t> </w:t>
            </w:r>
            <w:r>
              <w:rPr>
                <w:rFonts w:ascii="宋体" w:hAnsi="宋体" w:cs="宋体" w:eastAsia="宋体" w:hint="default"/>
                <w:spacing w:val="-12"/>
                <w:sz w:val="18"/>
                <w:szCs w:val="18"/>
              </w:rPr>
              <w:t>元、</w:t>
            </w:r>
            <w:r>
              <w:rPr>
                <w:rFonts w:ascii="Times New Roman" w:hAnsi="Times New Roman" w:cs="Times New Roman" w:eastAsia="Times New Roman" w:hint="default"/>
                <w:spacing w:val="-12"/>
                <w:sz w:val="18"/>
                <w:szCs w:val="18"/>
              </w:rPr>
              <w:t>10.61</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元、</w:t>
            </w:r>
            <w:r>
              <w:rPr>
                <w:rFonts w:ascii="Times New Roman" w:hAnsi="Times New Roman" w:cs="Times New Roman" w:eastAsia="Times New Roman" w:hint="default"/>
                <w:spacing w:val="-13"/>
                <w:sz w:val="18"/>
                <w:szCs w:val="18"/>
              </w:rPr>
              <w:t>9.41</w:t>
            </w:r>
            <w:r>
              <w:rPr>
                <w:rFonts w:ascii="Times New Roman" w:hAnsi="Times New Roman" w:cs="Times New Roman" w:eastAsia="Times New Roman" w:hint="default"/>
                <w:sz w:val="18"/>
                <w:szCs w:val="18"/>
              </w:rPr>
              <w:t> </w:t>
            </w:r>
            <w:r>
              <w:rPr>
                <w:rFonts w:ascii="宋体" w:hAnsi="宋体" w:cs="宋体" w:eastAsia="宋体" w:hint="default"/>
                <w:sz w:val="18"/>
                <w:szCs w:val="18"/>
              </w:rPr>
              <w:t>元，并出具银信评财字（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032 </w:t>
            </w:r>
            <w:r>
              <w:rPr>
                <w:rFonts w:ascii="宋体" w:hAnsi="宋体" w:cs="宋体" w:eastAsia="宋体" w:hint="default"/>
                <w:sz w:val="18"/>
                <w:szCs w:val="18"/>
              </w:rPr>
              <w:t>号评估报告。授予 日限制性股票的公允价值扣除授予价格（</w:t>
            </w:r>
            <w:r>
              <w:rPr>
                <w:rFonts w:ascii="Times New Roman" w:hAnsi="Times New Roman" w:cs="Times New Roman" w:eastAsia="Times New Roman" w:hint="default"/>
                <w:sz w:val="18"/>
                <w:szCs w:val="18"/>
              </w:rPr>
              <w:t>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元）即授予 日权益工具单位公允价值。授予日权益工具单位公允价值 乘以限制性股票数量即授予日权益工具公允价值总额。具 体如下：</w:t>
            </w:r>
          </w:p>
          <w:p>
            <w:pPr>
              <w:pStyle w:val="TableParagraph"/>
              <w:tabs>
                <w:tab w:pos="3269" w:val="left" w:leader="none"/>
              </w:tabs>
              <w:spacing w:line="240" w:lineRule="auto" w:before="64"/>
              <w:ind w:left="24" w:right="0"/>
              <w:jc w:val="both"/>
              <w:rPr>
                <w:rFonts w:ascii="宋体" w:hAnsi="宋体" w:cs="宋体" w:eastAsia="宋体" w:hint="default"/>
                <w:sz w:val="18"/>
                <w:szCs w:val="18"/>
              </w:rPr>
            </w:pPr>
            <w:r>
              <w:rPr>
                <w:rFonts w:ascii="宋体" w:hAnsi="宋体" w:cs="宋体" w:eastAsia="宋体" w:hint="default"/>
                <w:sz w:val="18"/>
                <w:szCs w:val="18"/>
              </w:rPr>
              <w:t>类别</w:t>
              <w:tab/>
              <w:t>公允价值</w:t>
            </w:r>
          </w:p>
          <w:p>
            <w:pPr>
              <w:pStyle w:val="TableParagraph"/>
              <w:spacing w:line="240" w:lineRule="auto" w:before="11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第一期（授予日起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个月后解锁）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11,128,425.00</w:t>
            </w:r>
          </w:p>
          <w:p>
            <w:pPr>
              <w:pStyle w:val="TableParagraph"/>
              <w:spacing w:line="240" w:lineRule="auto" w:before="10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第二期（授予日起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6,388,005.00</w:t>
            </w:r>
          </w:p>
          <w:p>
            <w:pPr>
              <w:pStyle w:val="TableParagraph"/>
              <w:spacing w:line="240" w:lineRule="auto" w:before="10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第三期（授予日起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3,892,540.00</w:t>
            </w:r>
          </w:p>
          <w:p>
            <w:pPr>
              <w:pStyle w:val="TableParagraph"/>
              <w:tabs>
                <w:tab w:pos="2906" w:val="left" w:leader="none"/>
              </w:tabs>
              <w:spacing w:line="240" w:lineRule="auto" w:before="10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21,408,970.00</w:t>
            </w:r>
          </w:p>
          <w:p>
            <w:pPr>
              <w:pStyle w:val="TableParagraph"/>
              <w:spacing w:line="240" w:lineRule="auto" w:before="104"/>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7" w:lineRule="auto" w:before="63"/>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17.90 </w:t>
            </w:r>
            <w:r>
              <w:rPr>
                <w:rFonts w:ascii="宋体" w:hAnsi="宋体" w:cs="宋体" w:eastAsia="宋体" w:hint="default"/>
                <w:sz w:val="18"/>
                <w:szCs w:val="18"/>
              </w:rPr>
              <w:t>元）为基础，考虑由于限售造成的流通 性折扣得出授予日限制性股票的公允价值。银信资产评估 有限公司对上述本公司授予的限制性股票公允价值作了评 估，在授予日起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个月后解锁的 限制性股票的公允价值分别为每股</w:t>
            </w:r>
            <w:r>
              <w:rPr>
                <w:rFonts w:ascii="宋体" w:hAnsi="宋体" w:cs="宋体" w:eastAsia="宋体" w:hint="default"/>
                <w:spacing w:val="-62"/>
                <w:sz w:val="18"/>
                <w:szCs w:val="18"/>
              </w:rPr>
              <w:t> </w:t>
            </w:r>
            <w:r>
              <w:rPr>
                <w:rFonts w:ascii="Times New Roman" w:hAnsi="Times New Roman" w:cs="Times New Roman" w:eastAsia="Times New Roman" w:hint="default"/>
                <w:spacing w:val="-2"/>
                <w:sz w:val="18"/>
                <w:szCs w:val="18"/>
              </w:rPr>
              <w:t>11.33</w:t>
            </w:r>
            <w:r>
              <w:rPr>
                <w:rFonts w:ascii="Times New Roman" w:hAnsi="Times New Roman" w:cs="Times New Roman" w:eastAsia="Times New Roman" w:hint="default"/>
                <w:spacing w:val="-17"/>
                <w:sz w:val="18"/>
                <w:szCs w:val="18"/>
              </w:rPr>
              <w:t> </w:t>
            </w:r>
            <w:r>
              <w:rPr>
                <w:rFonts w:ascii="宋体" w:hAnsi="宋体" w:cs="宋体" w:eastAsia="宋体" w:hint="default"/>
                <w:spacing w:val="-13"/>
                <w:sz w:val="18"/>
                <w:szCs w:val="18"/>
              </w:rPr>
              <w:t>元、</w:t>
            </w:r>
            <w:r>
              <w:rPr>
                <w:rFonts w:ascii="Times New Roman" w:hAnsi="Times New Roman" w:cs="Times New Roman" w:eastAsia="Times New Roman" w:hint="default"/>
                <w:spacing w:val="-13"/>
                <w:sz w:val="18"/>
                <w:szCs w:val="18"/>
              </w:rPr>
              <w:t>10.94</w:t>
            </w:r>
            <w:r>
              <w:rPr>
                <w:rFonts w:ascii="Times New Roman" w:hAnsi="Times New Roman" w:cs="Times New Roman" w:eastAsia="Times New Roman" w:hint="default"/>
                <w:spacing w:val="-16"/>
                <w:sz w:val="18"/>
                <w:szCs w:val="18"/>
              </w:rPr>
              <w:t> </w:t>
            </w:r>
            <w:r>
              <w:rPr>
                <w:rFonts w:ascii="宋体" w:hAnsi="宋体" w:cs="宋体" w:eastAsia="宋体" w:hint="default"/>
                <w:spacing w:val="-14"/>
                <w:sz w:val="18"/>
                <w:szCs w:val="18"/>
              </w:rPr>
              <w:t>元、</w:t>
            </w:r>
            <w:r>
              <w:rPr>
                <w:rFonts w:ascii="Times New Roman" w:hAnsi="Times New Roman" w:cs="Times New Roman" w:eastAsia="Times New Roman" w:hint="default"/>
                <w:spacing w:val="-14"/>
                <w:sz w:val="18"/>
                <w:szCs w:val="18"/>
              </w:rPr>
              <w:t>10.13</w:t>
            </w:r>
            <w:r>
              <w:rPr>
                <w:rFonts w:ascii="Times New Roman" w:hAnsi="Times New Roman" w:cs="Times New Roman" w:eastAsia="Times New Roman" w:hint="default"/>
                <w:sz w:val="18"/>
                <w:szCs w:val="18"/>
              </w:rPr>
              <w:t> </w:t>
            </w:r>
            <w:r>
              <w:rPr>
                <w:rFonts w:ascii="宋体" w:hAnsi="宋体" w:cs="宋体" w:eastAsia="宋体" w:hint="default"/>
                <w:sz w:val="18"/>
                <w:szCs w:val="18"/>
              </w:rPr>
              <w:t>元，并出具银信评财字（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 </w:t>
            </w:r>
            <w:r>
              <w:rPr>
                <w:rFonts w:ascii="宋体" w:hAnsi="宋体" w:cs="宋体" w:eastAsia="宋体" w:hint="default"/>
                <w:sz w:val="18"/>
                <w:szCs w:val="18"/>
              </w:rPr>
              <w:t>号评估报告。授予 日限制性股票的公允价值扣除授予价格（</w:t>
            </w:r>
            <w:r>
              <w:rPr>
                <w:rFonts w:ascii="Times New Roman" w:hAnsi="Times New Roman" w:cs="Times New Roman" w:eastAsia="Times New Roman" w:hint="default"/>
                <w:sz w:val="18"/>
                <w:szCs w:val="18"/>
              </w:rPr>
              <w:t>7.82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元）即授予 日权益工具单位公允价值。授予日权益工具单位公允价值 乘以限制性股票数量即授予日权益工具公允价值总额。具 体如下：</w:t>
            </w:r>
          </w:p>
          <w:p>
            <w:pPr>
              <w:pStyle w:val="TableParagraph"/>
              <w:tabs>
                <w:tab w:pos="3269" w:val="left" w:leader="none"/>
              </w:tabs>
              <w:spacing w:line="240" w:lineRule="auto" w:before="65"/>
              <w:ind w:left="24" w:right="0"/>
              <w:jc w:val="both"/>
              <w:rPr>
                <w:rFonts w:ascii="宋体" w:hAnsi="宋体" w:cs="宋体" w:eastAsia="宋体" w:hint="default"/>
                <w:sz w:val="18"/>
                <w:szCs w:val="18"/>
              </w:rPr>
            </w:pPr>
            <w:r>
              <w:rPr>
                <w:rFonts w:ascii="宋体" w:hAnsi="宋体" w:cs="宋体" w:eastAsia="宋体" w:hint="default"/>
                <w:sz w:val="18"/>
                <w:szCs w:val="18"/>
              </w:rPr>
              <w:t>类别</w:t>
              <w:tab/>
              <w:t>公允价值</w:t>
            </w:r>
          </w:p>
          <w:p>
            <w:pPr>
              <w:pStyle w:val="TableParagraph"/>
              <w:spacing w:line="240" w:lineRule="auto" w:before="117"/>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第一期（授予日起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5,818,878.00</w:t>
            </w:r>
          </w:p>
          <w:p>
            <w:pPr>
              <w:pStyle w:val="TableParagraph"/>
              <w:spacing w:line="240" w:lineRule="auto" w:before="10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第二期（授予日起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5,172,336.00</w:t>
            </w:r>
          </w:p>
          <w:p>
            <w:pPr>
              <w:pStyle w:val="TableParagraph"/>
              <w:spacing w:line="240" w:lineRule="auto" w:before="101"/>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第三期（授予日起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5,106,024.00</w:t>
            </w:r>
          </w:p>
          <w:p>
            <w:pPr>
              <w:pStyle w:val="TableParagraph"/>
              <w:tabs>
                <w:tab w:pos="2906" w:val="left" w:leader="none"/>
              </w:tabs>
              <w:spacing w:line="240" w:lineRule="auto" w:before="103"/>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16,097,238.00</w:t>
            </w:r>
          </w:p>
          <w:p>
            <w:pPr>
              <w:pStyle w:val="TableParagraph"/>
              <w:spacing w:line="240" w:lineRule="auto" w:before="103"/>
              <w:ind w:left="24"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2014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309" w:lineRule="auto" w:before="63"/>
              <w:ind w:left="24" w:right="51"/>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日收盘价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13.92 </w:t>
            </w:r>
            <w:r>
              <w:rPr>
                <w:rFonts w:ascii="宋体" w:hAnsi="宋体" w:cs="宋体" w:eastAsia="宋体" w:hint="default"/>
                <w:sz w:val="18"/>
                <w:szCs w:val="18"/>
              </w:rPr>
              <w:t>元）为基础，考虑由于限售造成的流通 性折扣得出授予日限制性股票的公允价值。银信资产评估 有限公司对上述本公司授予的限制性股票公允价值作了评</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684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24" w:right="48"/>
              <w:jc w:val="both"/>
              <w:rPr>
                <w:rFonts w:ascii="宋体" w:hAnsi="宋体" w:cs="宋体" w:eastAsia="宋体" w:hint="default"/>
                <w:sz w:val="18"/>
                <w:szCs w:val="18"/>
              </w:rPr>
            </w:pPr>
            <w:r>
              <w:rPr>
                <w:rFonts w:ascii="宋体" w:hAnsi="宋体" w:cs="宋体" w:eastAsia="宋体" w:hint="default"/>
                <w:sz w:val="18"/>
                <w:szCs w:val="18"/>
              </w:rPr>
              <w:t>估，在授予日起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个月后解锁的 限制性股票的公允价值分别为每股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7.64 </w:t>
            </w:r>
            <w:r>
              <w:rPr>
                <w:rFonts w:ascii="宋体" w:hAnsi="宋体" w:cs="宋体" w:eastAsia="宋体" w:hint="default"/>
                <w:sz w:val="18"/>
                <w:szCs w:val="18"/>
              </w:rPr>
              <w:t>元，并出具银信评财字（</w:t>
            </w:r>
            <w:r>
              <w:rPr>
                <w:rFonts w:ascii="Times New Roman" w:hAnsi="Times New Roman" w:cs="Times New Roman" w:eastAsia="Times New Roman" w:hint="default"/>
                <w:sz w:val="18"/>
                <w:szCs w:val="18"/>
              </w:rPr>
              <w:t>2014</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062 </w:t>
            </w:r>
            <w:r>
              <w:rPr>
                <w:rFonts w:ascii="宋体" w:hAnsi="宋体" w:cs="宋体" w:eastAsia="宋体" w:hint="default"/>
                <w:sz w:val="18"/>
                <w:szCs w:val="18"/>
              </w:rPr>
              <w:t>号评估报告。授予 日限制性股票的公允价值扣除授予价格（</w:t>
            </w: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元）即授予 日权益工具单位公允价值。授予日权益工具单位公允价值 乘以限制性股票数量即授予日权益工具公允价值总额。具 体如下：</w:t>
            </w:r>
          </w:p>
          <w:p>
            <w:pPr>
              <w:pStyle w:val="TableParagraph"/>
              <w:tabs>
                <w:tab w:pos="3449" w:val="left" w:leader="none"/>
              </w:tabs>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类别</w:t>
              <w:tab/>
              <w:t>公允价值</w:t>
            </w:r>
          </w:p>
          <w:p>
            <w:pPr>
              <w:pStyle w:val="TableParagraph"/>
              <w:tabs>
                <w:tab w:pos="3086" w:val="left" w:leader="none"/>
              </w:tabs>
              <w:spacing w:line="240" w:lineRule="auto" w:before="11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12,530,952.00</w:t>
            </w:r>
          </w:p>
          <w:p>
            <w:pPr>
              <w:pStyle w:val="TableParagraph"/>
              <w:tabs>
                <w:tab w:pos="3178" w:val="left" w:leader="none"/>
              </w:tabs>
              <w:spacing w:line="240" w:lineRule="auto" w:before="10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6,589,224.00</w:t>
            </w:r>
          </w:p>
          <w:p>
            <w:pPr>
              <w:pStyle w:val="TableParagraph"/>
              <w:tabs>
                <w:tab w:pos="3178" w:val="left" w:leader="none"/>
              </w:tabs>
              <w:spacing w:line="240" w:lineRule="auto" w:before="10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第三期（授予日起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tab/>
            </w:r>
            <w:r>
              <w:rPr>
                <w:rFonts w:ascii="Times New Roman" w:hAnsi="Times New Roman" w:cs="Times New Roman" w:eastAsia="Times New Roman" w:hint="default"/>
                <w:sz w:val="18"/>
                <w:szCs w:val="18"/>
              </w:rPr>
              <w:t>5,789,376.00</w:t>
            </w:r>
          </w:p>
          <w:p>
            <w:pPr>
              <w:pStyle w:val="TableParagraph"/>
              <w:tabs>
                <w:tab w:pos="3086" w:val="left" w:leader="none"/>
              </w:tabs>
              <w:spacing w:line="240" w:lineRule="auto" w:before="10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24,909,552.00</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年度股权激励以授予日的市场价格（</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304" w:lineRule="auto" w:before="6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日收盘价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17.35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元）为基础，考虑由于限售造成的流通性</w:t>
            </w:r>
            <w:r>
              <w:rPr>
                <w:rFonts w:ascii="宋体" w:hAnsi="宋体" w:cs="宋体" w:eastAsia="宋体" w:hint="default"/>
                <w:sz w:val="18"/>
                <w:szCs w:val="18"/>
              </w:rPr>
              <w:t> 折扣得出授予日限制性股票的公允价值。银信资产评估有 限公司对上述本公司授予的限制性股票公允价值作了评 估，在授予日起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个月后、</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个月后解锁的 限制性股票的公允价值分别为每股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8.21 </w:t>
            </w:r>
            <w:r>
              <w:rPr>
                <w:rFonts w:ascii="宋体" w:hAnsi="宋体" w:cs="宋体" w:eastAsia="宋体" w:hint="default"/>
                <w:sz w:val="18"/>
                <w:szCs w:val="18"/>
              </w:rPr>
              <w:t>元，并出具银信财报字（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096 </w:t>
            </w:r>
            <w:r>
              <w:rPr>
                <w:rFonts w:ascii="宋体" w:hAnsi="宋体" w:cs="宋体" w:eastAsia="宋体" w:hint="default"/>
                <w:sz w:val="18"/>
                <w:szCs w:val="18"/>
              </w:rPr>
              <w:t>号评估报告。授予 日限制性股票的公允价值扣除授予价格（</w:t>
            </w:r>
            <w:r>
              <w:rPr>
                <w:rFonts w:ascii="Times New Roman" w:hAnsi="Times New Roman" w:cs="Times New Roman" w:eastAsia="Times New Roman" w:hint="default"/>
                <w:sz w:val="18"/>
                <w:szCs w:val="18"/>
              </w:rPr>
              <w:t>11.01</w:t>
            </w:r>
            <w:r>
              <w:rPr>
                <w:rFonts w:ascii="Times New Roman" w:hAnsi="Times New Roman" w:cs="Times New Roman" w:eastAsia="Times New Roman" w:hint="default"/>
                <w:spacing w:val="-24"/>
                <w:sz w:val="18"/>
                <w:szCs w:val="18"/>
              </w:rPr>
              <w:t> </w:t>
            </w:r>
            <w:r>
              <w:rPr>
                <w:rFonts w:ascii="宋体" w:hAnsi="宋体" w:cs="宋体" w:eastAsia="宋体" w:hint="default"/>
                <w:spacing w:val="-6"/>
                <w:sz w:val="18"/>
                <w:szCs w:val="18"/>
              </w:rPr>
              <w:t>元）已低于</w:t>
            </w:r>
            <w:r>
              <w:rPr>
                <w:rFonts w:ascii="宋体" w:hAnsi="宋体" w:cs="宋体" w:eastAsia="宋体" w:hint="default"/>
                <w:sz w:val="18"/>
                <w:szCs w:val="18"/>
              </w:rPr>
              <w:t> 授予日权益工具单位公允价值，按零计算。</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62,415,760.00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spacing w:line="547" w:lineRule="auto" w:before="0"/>
        <w:ind w:left="153" w:right="69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6"/>
        <w:ind w:left="153" w:right="73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2"/>
        <w:ind w:right="498"/>
        <w:jc w:val="left"/>
      </w:pPr>
      <w:r>
        <w:rPr/>
        <w:t>资产负债表日存在的重要承诺</w:t>
      </w:r>
    </w:p>
    <w:p>
      <w:pPr>
        <w:pStyle w:val="BodyText"/>
        <w:spacing w:line="240" w:lineRule="auto" w:before="117"/>
        <w:ind w:right="498"/>
        <w:jc w:val="left"/>
      </w:pPr>
      <w:r>
        <w:rPr>
          <w:rFonts w:ascii="Times New Roman" w:hAnsi="Times New Roman" w:cs="Times New Roman" w:eastAsia="Times New Roman" w:hint="default"/>
        </w:rPr>
        <w:t>1</w:t>
      </w:r>
      <w:r>
        <w:rPr/>
        <w:t>、</w:t>
      </w:r>
      <w:r>
        <w:rPr>
          <w:spacing w:val="56"/>
        </w:rPr>
        <w:t> </w:t>
      </w: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日，公司已签订尚未结算的远期结售汇协议如下：</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2494"/>
        <w:gridCol w:w="1248"/>
        <w:gridCol w:w="2266"/>
        <w:gridCol w:w="1249"/>
        <w:gridCol w:w="2403"/>
      </w:tblGrid>
      <w:tr>
        <w:trPr>
          <w:trHeight w:val="348" w:hRule="exact"/>
        </w:trPr>
        <w:tc>
          <w:tcPr>
            <w:tcW w:w="24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委托日期</w:t>
            </w:r>
          </w:p>
        </w:tc>
        <w:tc>
          <w:tcPr>
            <w:tcW w:w="12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交易币种</w:t>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交易金额</w:t>
            </w:r>
          </w:p>
        </w:tc>
        <w:tc>
          <w:tcPr>
            <w:tcW w:w="12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56" w:right="0"/>
              <w:jc w:val="left"/>
              <w:rPr>
                <w:rFonts w:ascii="宋体" w:hAnsi="宋体" w:cs="宋体" w:eastAsia="宋体" w:hint="default"/>
                <w:sz w:val="18"/>
                <w:szCs w:val="18"/>
              </w:rPr>
            </w:pPr>
            <w:r>
              <w:rPr>
                <w:rFonts w:ascii="宋体" w:hAnsi="宋体" w:cs="宋体" w:eastAsia="宋体" w:hint="default"/>
                <w:sz w:val="18"/>
                <w:szCs w:val="18"/>
              </w:rPr>
              <w:t>约定汇率</w:t>
            </w: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交割日期</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2494"/>
        <w:gridCol w:w="1248"/>
        <w:gridCol w:w="2266"/>
        <w:gridCol w:w="1249"/>
        <w:gridCol w:w="2403"/>
      </w:tblGrid>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0.051415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6"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0.050726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0.053506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0.053752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0.052989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6"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0.052824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日元</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100,000,000.00</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0.054598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r>
      <w:tr>
        <w:trPr>
          <w:trHeight w:val="348" w:hRule="exact"/>
        </w:trPr>
        <w:tc>
          <w:tcPr>
            <w:tcW w:w="2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 w:right="0"/>
              <w:jc w:val="center"/>
              <w:rPr>
                <w:rFonts w:ascii="宋体" w:hAnsi="宋体" w:cs="宋体" w:eastAsia="宋体" w:hint="default"/>
                <w:sz w:val="18"/>
                <w:szCs w:val="18"/>
              </w:rPr>
            </w:pPr>
            <w:r>
              <w:rPr>
                <w:rFonts w:ascii="宋体"/>
                <w:sz w:val="18"/>
              </w:rPr>
              <w:t> </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700,000,000.00</w:t>
            </w:r>
          </w:p>
        </w:tc>
        <w:tc>
          <w:tcPr>
            <w:tcW w:w="1249"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223"/>
        <w:jc w:val="left"/>
      </w:pPr>
      <w:r>
        <w:rPr>
          <w:rFonts w:ascii="Times New Roman" w:hAnsi="Times New Roman" w:cs="Times New Roman" w:eastAsia="Times New Roman" w:hint="default"/>
        </w:rPr>
        <w:t>2</w:t>
      </w:r>
      <w:r>
        <w:rPr/>
        <w:t>、</w:t>
      </w:r>
      <w:r>
        <w:rPr>
          <w:spacing w:val="56"/>
        </w:rPr>
        <w:t> </w:t>
      </w: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日，公司已签订尚未到期的保函如下：</w:t>
      </w:r>
    </w:p>
    <w:p>
      <w:pPr>
        <w:spacing w:line="240" w:lineRule="auto" w:before="1"/>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644"/>
        <w:gridCol w:w="1589"/>
        <w:gridCol w:w="2228"/>
        <w:gridCol w:w="2230"/>
        <w:gridCol w:w="1968"/>
      </w:tblGrid>
      <w:tr>
        <w:trPr>
          <w:trHeight w:val="348" w:hRule="exact"/>
        </w:trPr>
        <w:tc>
          <w:tcPr>
            <w:tcW w:w="16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53" w:right="0"/>
              <w:jc w:val="left"/>
              <w:rPr>
                <w:rFonts w:ascii="宋体" w:hAnsi="宋体" w:cs="宋体" w:eastAsia="宋体" w:hint="default"/>
                <w:sz w:val="18"/>
                <w:szCs w:val="18"/>
              </w:rPr>
            </w:pPr>
            <w:r>
              <w:rPr>
                <w:rFonts w:ascii="宋体" w:hAnsi="宋体" w:cs="宋体" w:eastAsia="宋体" w:hint="default"/>
                <w:sz w:val="18"/>
                <w:szCs w:val="18"/>
              </w:rPr>
              <w:t>保函号码</w:t>
            </w:r>
          </w:p>
        </w:tc>
        <w:tc>
          <w:tcPr>
            <w:tcW w:w="158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24" w:right="0"/>
              <w:jc w:val="left"/>
              <w:rPr>
                <w:rFonts w:ascii="宋体" w:hAnsi="宋体" w:cs="宋体" w:eastAsia="宋体" w:hint="default"/>
                <w:sz w:val="18"/>
                <w:szCs w:val="18"/>
              </w:rPr>
            </w:pPr>
            <w:r>
              <w:rPr>
                <w:rFonts w:ascii="宋体" w:hAnsi="宋体" w:cs="宋体" w:eastAsia="宋体" w:hint="default"/>
                <w:sz w:val="18"/>
                <w:szCs w:val="18"/>
              </w:rPr>
              <w:t>保函种类</w:t>
            </w:r>
          </w:p>
        </w:tc>
        <w:tc>
          <w:tcPr>
            <w:tcW w:w="22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66" w:right="0"/>
              <w:jc w:val="left"/>
              <w:rPr>
                <w:rFonts w:ascii="宋体" w:hAnsi="宋体" w:cs="宋体" w:eastAsia="宋体" w:hint="default"/>
                <w:sz w:val="18"/>
                <w:szCs w:val="18"/>
              </w:rPr>
            </w:pPr>
            <w:r>
              <w:rPr>
                <w:rFonts w:ascii="宋体" w:hAnsi="宋体" w:cs="宋体" w:eastAsia="宋体" w:hint="default"/>
                <w:sz w:val="18"/>
                <w:szCs w:val="18"/>
              </w:rPr>
              <w:t>保函开立日期</w:t>
            </w:r>
          </w:p>
        </w:tc>
        <w:tc>
          <w:tcPr>
            <w:tcW w:w="22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57" w:right="0"/>
              <w:jc w:val="left"/>
              <w:rPr>
                <w:rFonts w:ascii="宋体" w:hAnsi="宋体" w:cs="宋体" w:eastAsia="宋体" w:hint="default"/>
                <w:sz w:val="18"/>
                <w:szCs w:val="18"/>
              </w:rPr>
            </w:pPr>
            <w:r>
              <w:rPr>
                <w:rFonts w:ascii="宋体" w:hAnsi="宋体" w:cs="宋体" w:eastAsia="宋体" w:hint="default"/>
                <w:sz w:val="18"/>
                <w:szCs w:val="18"/>
              </w:rPr>
              <w:t>保函到期日</w:t>
            </w:r>
          </w:p>
        </w:tc>
        <w:tc>
          <w:tcPr>
            <w:tcW w:w="1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19" w:right="0"/>
              <w:jc w:val="left"/>
              <w:rPr>
                <w:rFonts w:ascii="宋体" w:hAnsi="宋体" w:cs="宋体" w:eastAsia="宋体" w:hint="default"/>
                <w:sz w:val="18"/>
                <w:szCs w:val="18"/>
              </w:rPr>
            </w:pPr>
            <w:r>
              <w:rPr>
                <w:rFonts w:ascii="宋体" w:hAnsi="宋体" w:cs="宋体" w:eastAsia="宋体" w:hint="default"/>
                <w:sz w:val="18"/>
                <w:szCs w:val="18"/>
              </w:rPr>
              <w:t>保函余额</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3805150902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1,016,000.00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sz w:val="18"/>
              </w:rPr>
              <w:t>3805151101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405,600.00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3805150907</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361,100.00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3805150908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244,000.00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sz w:val="18"/>
              </w:rPr>
              <w:t>3804151105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234,255.00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3805150901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75,600.00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sz w:val="18"/>
              </w:rPr>
              <w:t>3805151113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61,964.00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3805151114</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185,000.00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62"/>
              <w:jc w:val="right"/>
              <w:rPr>
                <w:rFonts w:ascii="Times New Roman" w:hAnsi="Times New Roman" w:cs="Times New Roman" w:eastAsia="Times New Roman" w:hint="default"/>
                <w:sz w:val="18"/>
                <w:szCs w:val="18"/>
              </w:rPr>
            </w:pPr>
            <w:r>
              <w:rPr>
                <w:rFonts w:ascii="Times New Roman"/>
                <w:spacing w:val="-1"/>
                <w:sz w:val="18"/>
              </w:rPr>
              <w:t>3805141102</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1,832,039.70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3805151205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702,000.00</w:t>
            </w:r>
          </w:p>
        </w:tc>
      </w:tr>
      <w:tr>
        <w:trPr>
          <w:trHeight w:val="346"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62"/>
              <w:jc w:val="right"/>
              <w:rPr>
                <w:rFonts w:ascii="Times New Roman" w:hAnsi="Times New Roman" w:cs="Times New Roman" w:eastAsia="Times New Roman" w:hint="default"/>
                <w:sz w:val="18"/>
                <w:szCs w:val="18"/>
              </w:rPr>
            </w:pPr>
            <w:r>
              <w:rPr>
                <w:rFonts w:ascii="Times New Roman"/>
                <w:spacing w:val="-1"/>
                <w:sz w:val="18"/>
              </w:rPr>
              <w:t>3805151201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非融资类</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7</w:t>
            </w:r>
            <w:r>
              <w:rPr>
                <w:rFonts w:ascii="宋体" w:hAnsi="宋体" w:cs="宋体" w:eastAsia="宋体" w:hint="default"/>
                <w:sz w:val="18"/>
                <w:szCs w:val="18"/>
              </w:rPr>
              <w:t>日</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85,321.40</w:t>
            </w:r>
          </w:p>
        </w:tc>
      </w:tr>
      <w:tr>
        <w:trPr>
          <w:trHeight w:val="348" w:hRule="exact"/>
        </w:trPr>
        <w:tc>
          <w:tcPr>
            <w:tcW w:w="16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 </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 </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 </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5,202,880.10</w:t>
            </w:r>
          </w:p>
        </w:tc>
      </w:tr>
    </w:tbl>
    <w:p>
      <w:pPr>
        <w:spacing w:line="240" w:lineRule="auto" w:before="3"/>
        <w:rPr>
          <w:rFonts w:ascii="宋体" w:hAnsi="宋体" w:cs="宋体" w:eastAsia="宋体" w:hint="default"/>
          <w:sz w:val="19"/>
          <w:szCs w:val="19"/>
        </w:rPr>
      </w:pPr>
    </w:p>
    <w:p>
      <w:pPr>
        <w:pStyle w:val="Heading4"/>
        <w:spacing w:line="240" w:lineRule="auto" w:before="36"/>
        <w:ind w:right="22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22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223"/>
        <w:jc w:val="left"/>
      </w:pPr>
      <w:r>
        <w:rPr/>
        <w:t>未决诉讼及仲裁</w:t>
      </w:r>
    </w:p>
    <w:p>
      <w:pPr>
        <w:pStyle w:val="BodyText"/>
        <w:spacing w:line="240" w:lineRule="auto" w:before="117"/>
        <w:ind w:right="93"/>
        <w:jc w:val="left"/>
      </w:pPr>
      <w:r>
        <w:rPr>
          <w:rFonts w:ascii="Times New Roman" w:hAnsi="Times New Roman" w:cs="Times New Roman" w:eastAsia="Times New Roman" w:hint="default"/>
        </w:rPr>
        <w:t>1</w:t>
      </w:r>
      <w:r>
        <w:rPr/>
        <w:t>、本公司于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18  </w:t>
      </w:r>
      <w:r>
        <w:rPr>
          <w:rFonts w:ascii="Times New Roman" w:hAnsi="Times New Roman" w:cs="Times New Roman" w:eastAsia="Times New Roman" w:hint="default"/>
          <w:spacing w:val="33"/>
        </w:rPr>
        <w:t> </w:t>
      </w:r>
      <w:r>
        <w:rPr/>
        <w:t>日委托上海瑞富律师事务所陆炜律师就丰联酒业控股集团有限公司所拖欠的服务费人民币</w:t>
      </w:r>
    </w:p>
    <w:p>
      <w:pPr>
        <w:pStyle w:val="BodyText"/>
        <w:spacing w:line="240" w:lineRule="auto" w:before="63"/>
        <w:ind w:right="93"/>
        <w:jc w:val="left"/>
      </w:pPr>
      <w:r>
        <w:rPr>
          <w:rFonts w:ascii="Times New Roman" w:hAnsi="Times New Roman" w:cs="Times New Roman" w:eastAsia="Times New Roman" w:hint="default"/>
        </w:rPr>
        <w:t>2,882,383.00</w:t>
      </w:r>
      <w:r>
        <w:rPr>
          <w:rFonts w:ascii="Times New Roman" w:hAnsi="Times New Roman" w:cs="Times New Roman" w:eastAsia="Times New Roman" w:hint="default"/>
          <w:spacing w:val="5"/>
        </w:rPr>
        <w:t> </w:t>
      </w:r>
      <w:r>
        <w:rPr/>
        <w:t>元向北京市海淀区人民法院提起诉讼，请求判令丰联洒业控股集团有限公司支付拖欠的《实施咨询服务框架合</w:t>
      </w:r>
    </w:p>
    <w:p>
      <w:pPr>
        <w:pStyle w:val="BodyText"/>
        <w:spacing w:line="240" w:lineRule="auto" w:before="63"/>
        <w:ind w:right="0"/>
        <w:jc w:val="left"/>
      </w:pPr>
      <w:r>
        <w:rPr/>
        <w:t>同》服务费用。截止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日，公司账面应收该项目款项</w:t>
      </w:r>
      <w:r>
        <w:rPr>
          <w:spacing w:val="-48"/>
        </w:rPr>
        <w:t> </w:t>
      </w:r>
      <w:r>
        <w:rPr>
          <w:rFonts w:ascii="Times New Roman" w:hAnsi="Times New Roman" w:cs="Times New Roman" w:eastAsia="Times New Roman" w:hint="default"/>
        </w:rPr>
        <w:t>2,882,383.00</w:t>
      </w:r>
      <w:r>
        <w:rPr>
          <w:rFonts w:ascii="Times New Roman" w:hAnsi="Times New Roman" w:cs="Times New Roman" w:eastAsia="Times New Roman" w:hint="default"/>
          <w:spacing w:val="-1"/>
        </w:rPr>
        <w:t> </w:t>
      </w:r>
      <w:r>
        <w:rPr/>
        <w:t>元，账龄为</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年，已全额计提坏账准备。</w:t>
      </w:r>
    </w:p>
    <w:p>
      <w:pPr>
        <w:pStyle w:val="BodyText"/>
        <w:spacing w:line="240" w:lineRule="auto" w:before="101"/>
        <w:ind w:right="93"/>
        <w:jc w:val="left"/>
      </w:pPr>
      <w:r>
        <w:rPr>
          <w:rFonts w:ascii="Times New Roman" w:hAnsi="Times New Roman" w:cs="Times New Roman" w:eastAsia="Times New Roman" w:hint="default"/>
        </w:rPr>
        <w:t>2</w:t>
      </w:r>
      <w:r>
        <w:rPr/>
        <w:t>、本公司于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日委托上海瑞富律师事务所陆炜律师就戴尔信息技术（昆山）有限公司所拖欠的服务费人民币</w:t>
      </w:r>
    </w:p>
    <w:p>
      <w:pPr>
        <w:pStyle w:val="BodyText"/>
        <w:spacing w:line="240" w:lineRule="auto" w:before="63"/>
        <w:ind w:right="93"/>
        <w:jc w:val="left"/>
        <w:rPr>
          <w:rFonts w:ascii="Times New Roman" w:hAnsi="Times New Roman" w:cs="Times New Roman" w:eastAsia="Times New Roman" w:hint="default"/>
        </w:rPr>
      </w:pPr>
      <w:r>
        <w:rPr>
          <w:rFonts w:ascii="Times New Roman" w:hAnsi="Times New Roman" w:cs="Times New Roman" w:eastAsia="Times New Roman" w:hint="default"/>
        </w:rPr>
        <w:t>862,840.00  </w:t>
      </w:r>
      <w:r>
        <w:rPr/>
        <w:t>元向中国国际经济贸易仲裁委员会申请仲裁，请求戴尔信息技术（昆山）有限公司支付拖欠的《中国石油</w:t>
      </w:r>
      <w:r>
        <w:rPr>
          <w:spacing w:val="30"/>
        </w:rPr>
        <w:t> </w:t>
      </w:r>
      <w:r>
        <w:rPr>
          <w:rFonts w:ascii="Times New Roman" w:hAnsi="Times New Roman" w:cs="Times New Roman" w:eastAsia="Times New Roman" w:hint="default"/>
        </w:rPr>
        <w:t>ERP</w:t>
      </w:r>
    </w:p>
    <w:p>
      <w:pPr>
        <w:pStyle w:val="BodyText"/>
        <w:spacing w:line="240" w:lineRule="auto" w:before="63"/>
        <w:ind w:right="0"/>
        <w:jc w:val="left"/>
      </w:pPr>
      <w:r>
        <w:rPr/>
        <w:t>应用集成项目》服务费用及为办理本案支出的相关费用。截止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spacing w:val="-3"/>
        </w:rPr>
        <w:t>日，公司账面应收该项目款项</w:t>
      </w:r>
      <w:r>
        <w:rPr>
          <w:spacing w:val="-51"/>
        </w:rPr>
        <w:t> </w:t>
      </w:r>
      <w:r>
        <w:rPr>
          <w:rFonts w:ascii="Times New Roman" w:hAnsi="Times New Roman" w:cs="Times New Roman" w:eastAsia="Times New Roman" w:hint="default"/>
        </w:rPr>
        <w:t>862,840.00</w:t>
      </w:r>
      <w:r>
        <w:rPr>
          <w:rFonts w:ascii="Times New Roman" w:hAnsi="Times New Roman" w:cs="Times New Roman" w:eastAsia="Times New Roman" w:hint="default"/>
          <w:spacing w:val="-7"/>
        </w:rPr>
        <w:t> </w:t>
      </w:r>
      <w:r>
        <w:rPr/>
        <w:t>元，</w:t>
      </w:r>
    </w:p>
    <w:p>
      <w:pPr>
        <w:pStyle w:val="BodyText"/>
        <w:spacing w:line="240" w:lineRule="auto" w:before="63"/>
        <w:ind w:right="223"/>
        <w:jc w:val="left"/>
      </w:pPr>
      <w:r>
        <w:rPr/>
        <w:t>账龄为</w:t>
      </w:r>
      <w:r>
        <w:rPr>
          <w:spacing w:val="-46"/>
        </w:rPr>
        <w:t> </w:t>
      </w:r>
      <w:r>
        <w:rPr>
          <w:rFonts w:ascii="Times New Roman" w:hAnsi="Times New Roman" w:cs="Times New Roman" w:eastAsia="Times New Roman" w:hint="default"/>
        </w:rPr>
        <w:t>2-3 </w:t>
      </w:r>
      <w:r>
        <w:rPr/>
        <w:t>年，已全额计提坏账准备。</w:t>
      </w:r>
    </w:p>
    <w:p>
      <w:pPr>
        <w:pStyle w:val="BodyText"/>
        <w:spacing w:line="240" w:lineRule="auto" w:before="103"/>
        <w:ind w:right="93"/>
        <w:jc w:val="left"/>
      </w:pPr>
      <w:r>
        <w:rPr>
          <w:rFonts w:ascii="Times New Roman" w:hAnsi="Times New Roman" w:cs="Times New Roman" w:eastAsia="Times New Roman" w:hint="default"/>
          <w:spacing w:val="4"/>
        </w:rPr>
        <w:t>3</w:t>
      </w:r>
      <w:r>
        <w:rPr>
          <w:spacing w:val="4"/>
        </w:rPr>
        <w:t>、本公司于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18  </w:t>
      </w:r>
      <w:r>
        <w:rPr>
          <w:rFonts w:ascii="Times New Roman" w:hAnsi="Times New Roman" w:cs="Times New Roman" w:eastAsia="Times New Roman" w:hint="default"/>
          <w:spacing w:val="21"/>
        </w:rPr>
        <w:t> </w:t>
      </w:r>
      <w:r>
        <w:rPr>
          <w:spacing w:val="4"/>
        </w:rPr>
        <w:t>日委托上海瑞富律师事务所陆炜律师就埃森哲（中国）有限公司所拖欠的服务费人民币</w:t>
      </w:r>
    </w:p>
    <w:p>
      <w:pPr>
        <w:pStyle w:val="BodyText"/>
        <w:spacing w:line="240" w:lineRule="auto" w:before="63"/>
        <w:ind w:right="93"/>
        <w:jc w:val="left"/>
      </w:pPr>
      <w:r>
        <w:rPr>
          <w:rFonts w:ascii="Times New Roman" w:hAnsi="Times New Roman" w:cs="Times New Roman" w:eastAsia="Times New Roman" w:hint="default"/>
        </w:rPr>
        <w:t>1,908,800.00</w:t>
      </w:r>
      <w:r>
        <w:rPr>
          <w:rFonts w:ascii="Times New Roman" w:hAnsi="Times New Roman" w:cs="Times New Roman" w:eastAsia="Times New Roman" w:hint="default"/>
          <w:spacing w:val="1"/>
        </w:rPr>
        <w:t> </w:t>
      </w:r>
      <w:r>
        <w:rPr/>
        <w:t>元向中国国际经济贸易仲裁委员会申请仲裁，请求埃森哲（中国）有限公司支付拖欠的《江铜</w:t>
      </w:r>
      <w:r>
        <w:rPr>
          <w:spacing w:val="-44"/>
        </w:rPr>
        <w:t> </w:t>
      </w:r>
      <w:r>
        <w:rPr>
          <w:rFonts w:ascii="Times New Roman" w:hAnsi="Times New Roman" w:cs="Times New Roman" w:eastAsia="Times New Roman" w:hint="default"/>
        </w:rPr>
        <w:t>JT185</w:t>
      </w:r>
      <w:r>
        <w:rPr>
          <w:rFonts w:ascii="Times New Roman" w:hAnsi="Times New Roman" w:cs="Times New Roman" w:eastAsia="Times New Roman" w:hint="default"/>
          <w:spacing w:val="1"/>
        </w:rPr>
        <w:t> </w:t>
      </w:r>
      <w:r>
        <w:rPr/>
        <w:t>工程二期</w:t>
      </w:r>
    </w:p>
    <w:p>
      <w:pPr>
        <w:pStyle w:val="BodyText"/>
        <w:spacing w:line="240" w:lineRule="auto" w:before="63"/>
        <w:ind w:right="93"/>
        <w:jc w:val="left"/>
        <w:rPr>
          <w:rFonts w:ascii="Times New Roman" w:hAnsi="Times New Roman" w:cs="Times New Roman" w:eastAsia="Times New Roman" w:hint="default"/>
        </w:rPr>
      </w:pPr>
      <w:r>
        <w:rPr>
          <w:rFonts w:ascii="Times New Roman" w:hAnsi="Times New Roman" w:cs="Times New Roman" w:eastAsia="Times New Roman" w:hint="default"/>
        </w:rPr>
        <w:t>-ERP </w:t>
      </w:r>
      <w:r>
        <w:rPr>
          <w:spacing w:val="-5"/>
        </w:rPr>
        <w:t>推广项目》及《埃森哲</w:t>
      </w:r>
      <w:r>
        <w:rPr>
          <w:rFonts w:ascii="Times New Roman" w:hAnsi="Times New Roman" w:cs="Times New Roman" w:eastAsia="Times New Roman" w:hint="default"/>
          <w:spacing w:val="-5"/>
        </w:rPr>
        <w:t>-</w:t>
      </w:r>
      <w:r>
        <w:rPr>
          <w:spacing w:val="-5"/>
        </w:rPr>
        <w:t>江西铜业二期 </w:t>
      </w:r>
      <w:r>
        <w:rPr>
          <w:rFonts w:ascii="Times New Roman" w:hAnsi="Times New Roman" w:cs="Times New Roman" w:eastAsia="Times New Roman" w:hint="default"/>
        </w:rPr>
        <w:t>ERP </w:t>
      </w:r>
      <w:r>
        <w:rPr>
          <w:spacing w:val="-3"/>
        </w:rPr>
        <w:t>系统实施项目</w:t>
      </w:r>
      <w:r>
        <w:rPr>
          <w:rFonts w:ascii="Times New Roman" w:hAnsi="Times New Roman" w:cs="Times New Roman" w:eastAsia="Times New Roman" w:hint="default"/>
          <w:spacing w:val="-3"/>
        </w:rPr>
        <w:t>-PM-0603</w:t>
      </w:r>
      <w:r>
        <w:rPr>
          <w:spacing w:val="-3"/>
        </w:rPr>
        <w:t>》服务费用及为办理本案支出的相关费用。截止</w:t>
      </w:r>
      <w:r>
        <w:rPr>
          <w:spacing w:val="-64"/>
        </w:rPr>
        <w:t> </w:t>
      </w:r>
      <w:r>
        <w:rPr>
          <w:rFonts w:ascii="Times New Roman" w:hAnsi="Times New Roman" w:cs="Times New Roman" w:eastAsia="Times New Roman" w:hint="default"/>
        </w:rPr>
        <w:t>2015</w:t>
      </w:r>
    </w:p>
    <w:p>
      <w:pPr>
        <w:pStyle w:val="BodyText"/>
        <w:spacing w:line="240" w:lineRule="auto" w:before="63"/>
        <w:ind w:right="93"/>
        <w:jc w:val="left"/>
      </w:pP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日，公司账面应收埃森哲（中国）有限公司上述项目款为</w:t>
      </w:r>
      <w:r>
        <w:rPr>
          <w:spacing w:val="-48"/>
        </w:rPr>
        <w:t> </w:t>
      </w:r>
      <w:r>
        <w:rPr>
          <w:rFonts w:ascii="Times New Roman" w:hAnsi="Times New Roman" w:cs="Times New Roman" w:eastAsia="Times New Roman" w:hint="default"/>
        </w:rPr>
        <w:t>1,851,000.00</w:t>
      </w:r>
      <w:r>
        <w:rPr>
          <w:rFonts w:ascii="Times New Roman" w:hAnsi="Times New Roman" w:cs="Times New Roman" w:eastAsia="Times New Roman" w:hint="default"/>
          <w:spacing w:val="-1"/>
        </w:rPr>
        <w:t> </w:t>
      </w:r>
      <w:r>
        <w:rPr/>
        <w:t>元，账龄为</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年，已计提坏账准备的金</w:t>
      </w:r>
    </w:p>
    <w:p>
      <w:pPr>
        <w:pStyle w:val="BodyText"/>
        <w:spacing w:line="240" w:lineRule="auto" w:before="63"/>
        <w:ind w:right="223"/>
        <w:jc w:val="left"/>
      </w:pPr>
      <w:r>
        <w:rPr/>
        <w:t>额为</w:t>
      </w:r>
      <w:r>
        <w:rPr>
          <w:spacing w:val="-48"/>
        </w:rPr>
        <w:t> </w:t>
      </w:r>
      <w:r>
        <w:rPr>
          <w:rFonts w:ascii="Times New Roman" w:hAnsi="Times New Roman" w:cs="Times New Roman" w:eastAsia="Times New Roman" w:hint="default"/>
        </w:rPr>
        <w:t>925,500.00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3" w:right="6713"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498"/>
        <w:jc w:val="left"/>
        <w:rPr>
          <w:b w:val="0"/>
          <w:bCs w:val="0"/>
        </w:rPr>
      </w:pPr>
      <w:r>
        <w:rPr>
          <w:rFonts w:ascii="Times New Roman" w:hAnsi="Times New Roman" w:cs="Times New Roman" w:eastAsia="Times New Roman" w:hint="default"/>
        </w:rPr>
        <w:t>1</w:t>
      </w:r>
      <w:r>
        <w:rPr/>
        <w:t>、</w:t>
      </w:r>
      <w:r>
        <w:rPr>
          <w:spacing w:val="-59"/>
        </w:rPr>
        <w:t> </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498"/>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25,061,239.02</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2</w:t>
      </w:r>
      <w:r>
        <w:rPr/>
        <w:t>、</w:t>
      </w:r>
      <w:r>
        <w:rPr>
          <w:spacing w:val="-61"/>
        </w:rPr>
        <w:t> </w:t>
      </w:r>
      <w:r>
        <w:rPr/>
        <w:t>销售退回</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1.</w:t>
      </w:r>
      <w:r>
        <w:rPr/>
        <w:t>发行股份收购资产</w:t>
      </w:r>
    </w:p>
    <w:p>
      <w:pPr>
        <w:pStyle w:val="BodyText"/>
        <w:spacing w:line="240" w:lineRule="auto" w:before="103"/>
        <w:ind w:right="0"/>
        <w:jc w:val="left"/>
        <w:rPr>
          <w:rFonts w:ascii="Times New Roman" w:hAnsi="Times New Roman" w:cs="Times New Roman" w:eastAsia="Times New Roman" w:hint="default"/>
        </w:rPr>
      </w:pPr>
      <w:r>
        <w:rPr>
          <w:spacing w:val="-7"/>
        </w:rPr>
        <w:t>经公司股东大会决议通过、证监会核准，公司以每股</w:t>
      </w:r>
      <w:r>
        <w:rPr>
          <w:spacing w:val="-44"/>
        </w:rPr>
        <w:t> </w:t>
      </w:r>
      <w:r>
        <w:rPr>
          <w:rFonts w:ascii="Times New Roman" w:hAnsi="Times New Roman" w:cs="Times New Roman" w:eastAsia="Times New Roman" w:hint="default"/>
        </w:rPr>
        <w:t>8.19</w:t>
      </w:r>
      <w:r>
        <w:rPr>
          <w:rFonts w:ascii="Times New Roman" w:hAnsi="Times New Roman" w:cs="Times New Roman" w:eastAsia="Times New Roman" w:hint="default"/>
          <w:spacing w:val="2"/>
        </w:rPr>
        <w:t> </w:t>
      </w:r>
      <w:r>
        <w:rPr/>
        <w:t>元的价格发行</w:t>
      </w:r>
      <w:r>
        <w:rPr>
          <w:spacing w:val="-45"/>
        </w:rPr>
        <w:t> </w:t>
      </w:r>
      <w:r>
        <w:rPr>
          <w:rFonts w:ascii="Times New Roman" w:hAnsi="Times New Roman" w:cs="Times New Roman" w:eastAsia="Times New Roman" w:hint="default"/>
        </w:rPr>
        <w:t>6,750,000</w:t>
      </w:r>
      <w:r>
        <w:rPr>
          <w:rFonts w:ascii="Times New Roman" w:hAnsi="Times New Roman" w:cs="Times New Roman" w:eastAsia="Times New Roman" w:hint="default"/>
          <w:spacing w:val="2"/>
        </w:rPr>
        <w:t> </w:t>
      </w:r>
      <w:r>
        <w:rPr>
          <w:spacing w:val="-10"/>
        </w:rPr>
        <w:t>股股份、支付现金</w:t>
      </w:r>
      <w:r>
        <w:rPr>
          <w:spacing w:val="-44"/>
        </w:rPr>
        <w:t> </w:t>
      </w:r>
      <w:r>
        <w:rPr>
          <w:rFonts w:ascii="Times New Roman" w:hAnsi="Times New Roman" w:cs="Times New Roman" w:eastAsia="Times New Roman" w:hint="default"/>
        </w:rPr>
        <w:t>7,400</w:t>
      </w:r>
      <w:r>
        <w:rPr>
          <w:rFonts w:ascii="Times New Roman" w:hAnsi="Times New Roman" w:cs="Times New Roman" w:eastAsia="Times New Roman" w:hint="default"/>
          <w:spacing w:val="2"/>
        </w:rPr>
        <w:t> </w:t>
      </w:r>
      <w:r>
        <w:rPr/>
        <w:t>万元合计</w:t>
      </w:r>
      <w:r>
        <w:rPr>
          <w:spacing w:val="-44"/>
        </w:rPr>
        <w:t> </w:t>
      </w:r>
      <w:r>
        <w:rPr>
          <w:rFonts w:ascii="Times New Roman" w:hAnsi="Times New Roman" w:cs="Times New Roman" w:eastAsia="Times New Roman" w:hint="default"/>
        </w:rPr>
        <w:t>12,928.25</w:t>
      </w:r>
    </w:p>
    <w:p>
      <w:pPr>
        <w:pStyle w:val="BodyText"/>
        <w:spacing w:line="300" w:lineRule="auto" w:before="63"/>
        <w:ind w:right="146"/>
        <w:jc w:val="left"/>
      </w:pPr>
      <w:r>
        <w:rPr/>
        <w:t>万元的对价，直接和间接取得上海达美</w:t>
      </w:r>
      <w:r>
        <w:rPr>
          <w:spacing w:val="-37"/>
        </w:rPr>
        <w:t> </w:t>
      </w:r>
      <w:r>
        <w:rPr>
          <w:rFonts w:ascii="Times New Roman" w:hAnsi="Times New Roman" w:cs="Times New Roman" w:eastAsia="Times New Roman" w:hint="default"/>
        </w:rPr>
        <w:t>100%</w:t>
      </w:r>
      <w:r>
        <w:rPr/>
        <w:t>的股权。截止</w:t>
      </w:r>
      <w:r>
        <w:rPr>
          <w:spacing w:val="-3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37"/>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日，公司已发行</w:t>
      </w:r>
      <w:r>
        <w:rPr>
          <w:spacing w:val="-37"/>
        </w:rPr>
        <w:t> </w:t>
      </w:r>
      <w:r>
        <w:rPr>
          <w:rFonts w:ascii="Times New Roman" w:hAnsi="Times New Roman" w:cs="Times New Roman" w:eastAsia="Times New Roman" w:hint="default"/>
        </w:rPr>
        <w:t>6,750,000</w:t>
      </w:r>
      <w:r>
        <w:rPr>
          <w:rFonts w:ascii="Times New Roman" w:hAnsi="Times New Roman" w:cs="Times New Roman" w:eastAsia="Times New Roman" w:hint="default"/>
          <w:spacing w:val="10"/>
        </w:rPr>
        <w:t> </w:t>
      </w:r>
      <w:r>
        <w:rPr/>
        <w:t>股股份并完成股份登 记。</w:t>
      </w:r>
    </w:p>
    <w:p>
      <w:pPr>
        <w:pStyle w:val="BodyText"/>
        <w:spacing w:line="240" w:lineRule="auto" w:before="70"/>
        <w:ind w:right="498"/>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2"/>
        </w:rPr>
        <w:t> </w:t>
      </w:r>
      <w:r>
        <w:rPr/>
        <w:t>注销子公司</w:t>
      </w:r>
    </w:p>
    <w:p>
      <w:pPr>
        <w:pStyle w:val="BodyText"/>
        <w:spacing w:line="300" w:lineRule="auto" w:before="103"/>
        <w:ind w:right="143"/>
        <w:jc w:val="left"/>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6"/>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t>日，公司召开第二届董事会第四十一次（临时）会议，审议通过了《关于注销位于美国俄亥俄州全资子公司 </w:t>
      </w:r>
      <w:r>
        <w:rPr>
          <w:spacing w:val="-7"/>
        </w:rPr>
        <w:t>的议案》》，董事会同意注销位于美国俄亥俄州的全资子公司</w:t>
      </w:r>
      <w:r>
        <w:rPr/>
        <w:t> </w:t>
      </w:r>
      <w:r>
        <w:rPr>
          <w:rFonts w:ascii="Times New Roman" w:hAnsi="Times New Roman" w:cs="Times New Roman" w:eastAsia="Times New Roman" w:hint="default"/>
          <w:spacing w:val="-1"/>
          <w:w w:val="99"/>
        </w:rPr>
        <w:t>HAND</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ENTERPRISE </w:t>
      </w:r>
      <w:r>
        <w:rPr>
          <w:rFonts w:ascii="Times New Roman" w:hAnsi="Times New Roman" w:cs="Times New Roman" w:eastAsia="Times New Roman" w:hint="default"/>
          <w:spacing w:val="-1"/>
          <w:w w:val="99"/>
        </w:rPr>
        <w:t>SOLUTIONS</w:t>
      </w:r>
      <w:r>
        <w:rPr>
          <w:rFonts w:ascii="Times New Roman" w:hAnsi="Times New Roman" w:cs="Times New Roman" w:eastAsia="Times New Roman" w:hint="default"/>
          <w:spacing w:val="-23"/>
          <w:w w:val="99"/>
        </w:rPr>
        <w:t> </w:t>
      </w:r>
      <w:r>
        <w:rPr>
          <w:rFonts w:ascii="Times New Roman" w:hAnsi="Times New Roman" w:cs="Times New Roman" w:eastAsia="Times New Roman" w:hint="default"/>
          <w:spacing w:val="-3"/>
          <w:w w:val="99"/>
        </w:rPr>
        <w:t>USA.LTD.</w:t>
      </w:r>
      <w:r>
        <w:rPr>
          <w:spacing w:val="-3"/>
          <w:w w:val="99"/>
        </w:rPr>
        <w:t>。</w:t>
      </w:r>
    </w:p>
    <w:p>
      <w:pPr>
        <w:spacing w:line="240" w:lineRule="auto" w:before="5"/>
        <w:rPr>
          <w:rFonts w:ascii="宋体" w:hAnsi="宋体" w:cs="宋体" w:eastAsia="宋体" w:hint="default"/>
          <w:sz w:val="20"/>
          <w:szCs w:val="20"/>
        </w:rPr>
      </w:pPr>
    </w:p>
    <w:p>
      <w:pPr>
        <w:spacing w:line="506" w:lineRule="auto" w:before="0"/>
        <w:ind w:left="153" w:right="7604" w:firstLine="0"/>
        <w:jc w:val="left"/>
        <w:rPr>
          <w:rFonts w:ascii="宋体" w:hAnsi="宋体" w:cs="宋体" w:eastAsia="宋体" w:hint="default"/>
          <w:sz w:val="18"/>
          <w:szCs w:val="18"/>
        </w:rPr>
      </w:pP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无</w:t>
      </w:r>
    </w:p>
    <w:p>
      <w:pPr>
        <w:pStyle w:val="Heading4"/>
        <w:spacing w:line="240" w:lineRule="auto" w:before="156"/>
        <w:ind w:right="498"/>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3"/>
        <w:rPr>
          <w:rFonts w:ascii="宋体" w:hAnsi="宋体" w:cs="宋体" w:eastAsia="宋体" w:hint="default"/>
          <w:sz w:val="25"/>
          <w:szCs w:val="25"/>
        </w:rPr>
      </w:pPr>
    </w:p>
    <w:p>
      <w:pPr>
        <w:pStyle w:val="Heading2"/>
        <w:spacing w:line="240" w:lineRule="auto"/>
        <w:ind w:right="498"/>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50,230,6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65.71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9,805,26</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1.84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19.52%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40,425,40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3.87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40,695,</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781.90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4,459,553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10.96%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36,236,228.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592,744,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166.18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92.19%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127,309,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742.30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465,434,4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23.88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497,959</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,359.26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92.44%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77,352,04</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420,607,31</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2.90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3"/>
        <w:gridCol w:w="764"/>
        <w:gridCol w:w="761"/>
        <w:gridCol w:w="763"/>
        <w:gridCol w:w="764"/>
        <w:gridCol w:w="787"/>
        <w:gridCol w:w="655"/>
        <w:gridCol w:w="761"/>
        <w:gridCol w:w="814"/>
        <w:gridCol w:w="934"/>
        <w:gridCol w:w="932"/>
      </w:tblGrid>
      <w:tr>
        <w:trPr>
          <w:trHeight w:val="716"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642,974,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831.89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137,115,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004.14</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505,859,8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27.75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538,655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,141.16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81,811,59</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9.56</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456,843,54</w:t>
            </w:r>
          </w:p>
          <w:p>
            <w:pPr>
              <w:pStyle w:val="TableParagraph"/>
              <w:spacing w:line="240" w:lineRule="auto" w:before="105"/>
              <w:ind w:left="586" w:right="0"/>
              <w:jc w:val="left"/>
              <w:rPr>
                <w:rFonts w:ascii="Times New Roman" w:hAnsi="Times New Roman" w:cs="Times New Roman" w:eastAsia="Times New Roman" w:hint="default"/>
                <w:sz w:val="18"/>
                <w:szCs w:val="18"/>
              </w:rPr>
            </w:pPr>
            <w:r>
              <w:rPr>
                <w:rFonts w:ascii="Times New Roman"/>
                <w:sz w:val="18"/>
              </w:rPr>
              <w:t>1.60</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9" w:top="106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18,843,418.16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25,671,290.39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9,805,261.84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5,715,957.16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50,230,665.71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9,805,261.84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160" w:left="980" w:right="98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4" w:space="4715"/>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443,140,798.93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22,157,039.95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88,901,329.80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44,450,664.90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43,504,089.21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43,504,089.21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17,197,948.24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17,197,948.24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592,744,166.18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127,309,742.30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498"/>
        <w:jc w:val="left"/>
      </w:pPr>
      <w:r>
        <w:rPr/>
        <w:t>组合中，采用余额百分比法计提坏账准备的应收账款：</w:t>
      </w:r>
    </w:p>
    <w:p>
      <w:pPr>
        <w:pStyle w:val="BodyText"/>
        <w:spacing w:line="240" w:lineRule="auto" w:before="117"/>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本期计提坏账准备金额</w:t>
      </w:r>
      <w:r>
        <w:rPr>
          <w:spacing w:val="-47"/>
        </w:rPr>
        <w:t> </w:t>
      </w:r>
      <w:r>
        <w:rPr>
          <w:rFonts w:ascii="Times New Roman" w:hAnsi="Times New Roman" w:cs="Times New Roman" w:eastAsia="Times New Roman" w:hint="default"/>
        </w:rPr>
        <w:t>55,303,404.58 </w:t>
      </w:r>
      <w:r>
        <w:rPr/>
        <w:t>元。</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36" w:type="dxa"/>
        <w:tblLayout w:type="fixed"/>
        <w:tblCellMar>
          <w:top w:w="0" w:type="dxa"/>
          <w:left w:w="0" w:type="dxa"/>
          <w:bottom w:w="0" w:type="dxa"/>
          <w:right w:w="0" w:type="dxa"/>
        </w:tblCellMar>
        <w:tblLook w:val="01E0"/>
      </w:tblPr>
      <w:tblGrid>
        <w:gridCol w:w="3975"/>
        <w:gridCol w:w="1832"/>
        <w:gridCol w:w="1769"/>
        <w:gridCol w:w="2084"/>
      </w:tblGrid>
      <w:tr>
        <w:trPr>
          <w:trHeight w:val="346" w:hRule="exact"/>
        </w:trPr>
        <w:tc>
          <w:tcPr>
            <w:tcW w:w="397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68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0" w:hRule="exact"/>
        </w:trPr>
        <w:tc>
          <w:tcPr>
            <w:tcW w:w="3975" w:type="dxa"/>
            <w:vMerge/>
            <w:tcBorders>
              <w:left w:val="single" w:sz="6" w:space="0" w:color="000000"/>
              <w:bottom w:val="single" w:sz="6" w:space="0" w:color="000000"/>
              <w:right w:val="single" w:sz="6" w:space="0" w:color="000000"/>
            </w:tcBorders>
            <w:shd w:val="clear" w:color="auto" w:fill="D9D9D9"/>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561" w:right="65"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20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6"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汉得信息技术（新加坡）有限公司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25,671,290.39</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3.99</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9,805,261.84</w:t>
            </w:r>
          </w:p>
        </w:tc>
      </w:tr>
      <w:tr>
        <w:trPr>
          <w:trHeight w:val="348"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埃森哲（中国）有限公司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21,777,841.27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3.39</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5,443,036.98</w:t>
            </w:r>
          </w:p>
        </w:tc>
      </w:tr>
      <w:tr>
        <w:trPr>
          <w:trHeight w:val="346"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18,843,418.16</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2.93</w:t>
            </w:r>
          </w:p>
        </w:tc>
        <w:tc>
          <w:tcPr>
            <w:tcW w:w="208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广东美的制冷设备有限公司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10,360,626.27</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1.61</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518,031.31</w:t>
            </w:r>
          </w:p>
        </w:tc>
      </w:tr>
      <w:tr>
        <w:trPr>
          <w:trHeight w:val="348"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中远集装箱运输有限公司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9,681,614.64</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1.51</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484,080.73</w:t>
            </w:r>
          </w:p>
        </w:tc>
      </w:tr>
      <w:tr>
        <w:trPr>
          <w:trHeight w:val="346" w:hRule="exact"/>
        </w:trPr>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86,334,790.73</w:t>
            </w:r>
          </w:p>
        </w:tc>
        <w:tc>
          <w:tcPr>
            <w:tcW w:w="17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13.43</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16,250,410.86</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4"/>
        <w:gridCol w:w="764"/>
        <w:gridCol w:w="761"/>
        <w:gridCol w:w="763"/>
        <w:gridCol w:w="764"/>
        <w:gridCol w:w="787"/>
        <w:gridCol w:w="655"/>
        <w:gridCol w:w="761"/>
        <w:gridCol w:w="814"/>
        <w:gridCol w:w="934"/>
        <w:gridCol w:w="932"/>
      </w:tblGrid>
      <w:tr>
        <w:trPr>
          <w:trHeight w:val="398"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31,780,8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40.22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52.90%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2,224,02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3.58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29,556,81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6.64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33,242,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381.51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56.72%</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546,679.3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32,695,702.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22,005,1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04.69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36.63%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4,542,65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6.75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20.64%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17,462,44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7.94</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21,786,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455.12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8,513,534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13,272,920.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6,293,29</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4.10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6" w:right="0"/>
              <w:jc w:val="center"/>
              <w:rPr>
                <w:rFonts w:ascii="Times New Roman" w:hAnsi="Times New Roman" w:cs="Times New Roman" w:eastAsia="Times New Roman" w:hint="default"/>
                <w:sz w:val="18"/>
                <w:szCs w:val="18"/>
              </w:rPr>
            </w:pPr>
            <w:r>
              <w:rPr>
                <w:rFonts w:ascii="Times New Roman"/>
                <w:sz w:val="18"/>
              </w:rPr>
              <w:t>10.47%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3,193,98</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7.87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3,099,306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3,574,7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43.78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1,640,526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1,934,217.6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60,079,2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39.01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9,960,66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8.20</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50,118,57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58,603,</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580.41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10,700,73</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9.95</w:t>
            </w:r>
          </w:p>
        </w:tc>
        <w:tc>
          <w:tcPr>
            <w:tcW w:w="934"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47,902,840.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9" w:top="1060" w:bottom="1160" w:left="980" w:right="980"/>
        </w:sectPr>
      </w:pPr>
    </w:p>
    <w:p>
      <w:pPr>
        <w:spacing w:line="240" w:lineRule="auto" w:before="1"/>
        <w:rPr>
          <w:rFonts w:ascii="宋体" w:hAnsi="宋体" w:cs="宋体" w:eastAsia="宋体" w:hint="default"/>
          <w:sz w:val="16"/>
          <w:szCs w:val="16"/>
        </w:rPr>
      </w:pPr>
    </w:p>
    <w:p>
      <w:pPr>
        <w:pStyle w:val="BodyText"/>
        <w:spacing w:line="240" w:lineRule="auto"/>
        <w:ind w:right="-20"/>
        <w:jc w:val="left"/>
      </w:pPr>
      <w:r>
        <w:rPr/>
        <w:t>期末单项金额重大并单项计提坏账准备的其他应收款：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4" w:space="4355"/>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3,654,950.88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10,163,345.94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2,224,023.58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17,962,543.40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按会计政策</w:t>
            </w:r>
          </w:p>
        </w:tc>
      </w:tr>
      <w:tr>
        <w:trPr>
          <w:trHeight w:val="40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31,780,840.22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2,224,023.58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type w:val="continuous"/>
          <w:pgSz w:w="11910" w:h="16840"/>
          <w:pgMar w:top="1060" w:bottom="1160" w:left="980" w:right="980"/>
        </w:sectPr>
      </w:pPr>
    </w:p>
    <w:p>
      <w:pPr>
        <w:pStyle w:val="BodyText"/>
        <w:spacing w:line="240" w:lineRule="auto" w:before="44"/>
        <w:ind w:right="-20"/>
        <w:jc w:val="left"/>
      </w:pPr>
      <w:r>
        <w:rPr/>
        <w:t>组合中，按账龄分析法计提坏账准备的其他应收款：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4" w:space="4535"/>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206" w:hRule="exact"/>
        </w:trPr>
        <w:tc>
          <w:tcPr>
            <w:tcW w:w="2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249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17,725,755.84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886,287.79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1,245,959.79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622,979.90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967,037.50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967,037.50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2,066,351.56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2,066,351.56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22,005,104.69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4,542,656.75</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27"/>
          <w:szCs w:val="27"/>
        </w:rPr>
      </w:pPr>
    </w:p>
    <w:p>
      <w:pPr>
        <w:pStyle w:val="BodyText"/>
        <w:spacing w:line="240" w:lineRule="auto" w:before="44"/>
        <w:ind w:right="498"/>
        <w:jc w:val="left"/>
      </w:pPr>
      <w:r>
        <w:rPr/>
        <w:t>组合中，采用余额百分比法计提坏账准备的其他应收款：</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498"/>
        <w:jc w:val="left"/>
      </w:pPr>
      <w:r>
        <w:rPr/>
        <w:t>组合中，采用其他方法计提坏账准备的其他应收款：</w:t>
      </w:r>
    </w:p>
    <w:p>
      <w:pPr>
        <w:pStyle w:val="BodyText"/>
        <w:spacing w:line="240" w:lineRule="auto" w:before="115"/>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本期计提坏账准备金额元；本期收回或转回坏账准备金额</w:t>
      </w:r>
      <w:r>
        <w:rPr>
          <w:spacing w:val="-46"/>
        </w:rPr>
        <w:t> </w:t>
      </w:r>
      <w:r>
        <w:rPr>
          <w:rFonts w:ascii="Times New Roman" w:hAnsi="Times New Roman" w:cs="Times New Roman" w:eastAsia="Times New Roman" w:hint="default"/>
        </w:rPr>
        <w:t>740,071.75</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4"/>
        <w:spacing w:line="240" w:lineRule="auto"/>
        <w:ind w:right="498"/>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2"/>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38,074,134.32</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36,817,125.29</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其他企业往来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8,039,851.60</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3,149,538.87</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457,013.08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1,069,633.77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12,183,104.63</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16,539,985.01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1,325,135.38</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1,027,297.47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60,079,239.01</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58,603,580.41</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0"/>
        <w:gridCol w:w="1616"/>
        <w:gridCol w:w="1616"/>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17,962,543.40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29.90%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10,160,994.74</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16.91%</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384"/>
              <w:jc w:val="left"/>
              <w:rPr>
                <w:rFonts w:ascii="Times New Roman" w:hAnsi="Times New Roman" w:cs="Times New Roman" w:eastAsia="Times New Roman" w:hint="default"/>
                <w:sz w:val="18"/>
                <w:szCs w:val="18"/>
              </w:rPr>
            </w:pPr>
            <w:r>
              <w:rPr>
                <w:rFonts w:ascii="Times New Roman"/>
                <w:sz w:val="18"/>
              </w:rPr>
              <w:t>BEYOND</w:t>
            </w:r>
            <w:r>
              <w:rPr>
                <w:rFonts w:ascii="Times New Roman"/>
                <w:w w:val="99"/>
                <w:sz w:val="18"/>
              </w:rPr>
              <w:t> </w:t>
            </w:r>
            <w:r>
              <w:rPr>
                <w:rFonts w:ascii="Times New Roman"/>
                <w:sz w:val="18"/>
              </w:rPr>
              <w:t>PRECISION</w:t>
            </w:r>
            <w:r>
              <w:rPr>
                <w:rFonts w:ascii="Times New Roman"/>
                <w:w w:val="99"/>
                <w:sz w:val="18"/>
              </w:rPr>
              <w:t> </w:t>
            </w:r>
            <w:r>
              <w:rPr>
                <w:rFonts w:ascii="Times New Roman"/>
                <w:spacing w:val="-4"/>
                <w:sz w:val="18"/>
              </w:rPr>
              <w:t>HOLDING.</w:t>
            </w:r>
            <w:r>
              <w:rPr>
                <w:rFonts w:ascii="Times New Roman"/>
                <w:spacing w:val="8"/>
                <w:sz w:val="18"/>
              </w:rPr>
              <w:t> </w:t>
            </w:r>
            <w:r>
              <w:rPr>
                <w:rFonts w:ascii="Times New Roman"/>
                <w:spacing w:val="-5"/>
                <w:sz w:val="18"/>
              </w:rPr>
              <w:t>LTD.</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代扣代缴税款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5,974,000.00</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298,700.00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汉得知云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3,654,950.88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汉得新加坡</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3,193,987.88</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40,946,476.90</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68.15%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298,700.00</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1"/>
        <w:ind w:right="498"/>
        <w:jc w:val="left"/>
        <w:rPr>
          <w:b w:val="0"/>
          <w:bCs w:val="0"/>
        </w:rPr>
      </w:pP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9"/>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201,545,056.89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201,545,056.89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93,082,131.89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93,082,131.89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201,545,056.89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201,545,056.89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93,082,131.89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93,082,131.89</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7"/>
        <w:gridCol w:w="1337"/>
        <w:gridCol w:w="1334"/>
        <w:gridCol w:w="1335"/>
        <w:gridCol w:w="1335"/>
        <w:gridCol w:w="1390"/>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00"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夏尔软件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61,873,283.21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61,873,283.21</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4" w:right="63"/>
              <w:jc w:val="left"/>
              <w:rPr>
                <w:rFonts w:ascii="Times New Roman" w:hAnsi="Times New Roman" w:cs="Times New Roman" w:eastAsia="Times New Roman" w:hint="default"/>
                <w:sz w:val="18"/>
                <w:szCs w:val="18"/>
              </w:rPr>
            </w:pPr>
            <w:r>
              <w:rPr>
                <w:rFonts w:ascii="Times New Roman"/>
                <w:sz w:val="18"/>
              </w:rPr>
              <w:t>HAND</w:t>
            </w:r>
            <w:r>
              <w:rPr>
                <w:rFonts w:ascii="Times New Roman"/>
                <w:spacing w:val="-1"/>
                <w:w w:val="99"/>
                <w:sz w:val="18"/>
              </w:rPr>
              <w:t> </w:t>
            </w:r>
            <w:r>
              <w:rPr>
                <w:rFonts w:ascii="Times New Roman"/>
                <w:sz w:val="18"/>
              </w:rPr>
              <w:t>ENTERPRISE</w:t>
            </w:r>
            <w:r>
              <w:rPr>
                <w:rFonts w:ascii="Times New Roman"/>
                <w:w w:val="99"/>
                <w:sz w:val="18"/>
              </w:rPr>
              <w:t> </w:t>
            </w:r>
            <w:r>
              <w:rPr>
                <w:rFonts w:ascii="Times New Roman"/>
                <w:sz w:val="18"/>
              </w:rPr>
              <w:t>SOLUTIONS(SIN</w:t>
            </w:r>
            <w:r>
              <w:rPr>
                <w:rFonts w:ascii="Times New Roman"/>
                <w:w w:val="99"/>
                <w:sz w:val="18"/>
              </w:rPr>
              <w:t> </w:t>
            </w:r>
            <w:r>
              <w:rPr>
                <w:rFonts w:ascii="Times New Roman"/>
                <w:spacing w:val="-2"/>
                <w:sz w:val="18"/>
              </w:rPr>
              <w:t>GAPORE)PTE.LT</w:t>
            </w:r>
            <w:r>
              <w:rPr>
                <w:rFonts w:ascii="Times New Roman"/>
                <w:spacing w:val="-40"/>
                <w:sz w:val="18"/>
              </w:rPr>
              <w:t> </w:t>
            </w:r>
            <w:r>
              <w:rPr>
                <w:rFonts w:ascii="Times New Roman"/>
                <w:spacing w:val="-40"/>
                <w:sz w:val="18"/>
              </w:rPr>
            </w:r>
            <w:r>
              <w:rPr>
                <w:rFonts w:ascii="Times New Roman"/>
                <w:sz w:val="18"/>
              </w:rPr>
              <w:t>D.</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2,533,960.00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2,533,960.00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随身科技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5,000,002.00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5,000,002.00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汉得融晶</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汉得日本</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574,886.68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574,886.68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汉得欧俊</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汉得美国</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6,462,925.00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6,462,925.00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汉得保理</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汉得微扬</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93,082,131.89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108,462,925.00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201,545,056.89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18"/>
        <w:ind w:right="498"/>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5"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1,128,697,106.57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691,354,090.07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952,491,000.82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578,468,201.58</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2,299,484.26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2,336,948.61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1,130,996,590.83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691,354,090.07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954,827,949.43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578,468,201.58</w:t>
            </w:r>
          </w:p>
        </w:tc>
      </w:tr>
    </w:tbl>
    <w:p>
      <w:pPr>
        <w:spacing w:line="240" w:lineRule="auto" w:before="3"/>
        <w:rPr>
          <w:rFonts w:ascii="宋体" w:hAnsi="宋体" w:cs="宋体" w:eastAsia="宋体" w:hint="default"/>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0"/>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1,627,250.00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-1,546,489.00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1,627,250.00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-1,546,489.00</w:t>
            </w:r>
          </w:p>
        </w:tc>
      </w:tr>
    </w:tbl>
    <w:p>
      <w:pPr>
        <w:spacing w:line="240" w:lineRule="auto" w:before="1"/>
        <w:rPr>
          <w:rFonts w:ascii="宋体" w:hAnsi="宋体" w:cs="宋体" w:eastAsia="宋体" w:hint="default"/>
          <w:sz w:val="18"/>
          <w:szCs w:val="18"/>
        </w:rPr>
      </w:pPr>
    </w:p>
    <w:p>
      <w:pPr>
        <w:pStyle w:val="Heading2"/>
        <w:spacing w:line="240" w:lineRule="auto" w:before="26"/>
        <w:ind w:right="498"/>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498"/>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left="0" w:right="15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6"/>
      </w:tblGrid>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-97,604.17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27,186,759.43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372,291.98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4,104,895.34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585,189.86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22,771,362.04</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498"/>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r>
      <w:tr>
        <w:trPr>
          <w:trHeight w:val="71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spacing w:line="240" w:lineRule="auto" w:before="3"/>
        <w:rPr>
          <w:rFonts w:ascii="宋体" w:hAnsi="宋体" w:cs="宋体" w:eastAsia="宋体" w:hint="default"/>
          <w:b/>
          <w:bCs/>
          <w:sz w:val="19"/>
          <w:szCs w:val="19"/>
        </w:rPr>
      </w:pPr>
    </w:p>
    <w:p>
      <w:pPr>
        <w:pStyle w:val="Heading4"/>
        <w:spacing w:line="240" w:lineRule="auto" w:before="36"/>
        <w:ind w:right="498"/>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498"/>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4"/>
        <w:spacing w:line="240" w:lineRule="auto" w:before="36"/>
        <w:ind w:right="498"/>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4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2"/>
        </w:rPr>
        <w:t> </w:t>
      </w:r>
      <w:r>
        <w:rPr>
          <w:spacing w:val="-62"/>
        </w:rPr>
      </w:r>
      <w:r>
        <w:rPr/>
        <w:t>明该境外机构的名称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498"/>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498"/>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498"/>
        <w:jc w:val="left"/>
      </w:pPr>
      <w:r>
        <w:rPr/>
        <w:t>会计政策变更相关补充资料</w:t>
      </w:r>
    </w:p>
    <w:p>
      <w:pPr>
        <w:pStyle w:val="BodyText"/>
        <w:spacing w:line="300" w:lineRule="auto" w:before="118"/>
        <w:ind w:right="141"/>
        <w:jc w:val="left"/>
      </w:pPr>
      <w:r>
        <w:rPr>
          <w:spacing w:val="-1"/>
        </w:rPr>
        <w:t>本公司根据《企业会计准则解释</w:t>
      </w:r>
      <w:r>
        <w:rPr>
          <w:spacing w:val="-34"/>
        </w:rPr>
        <w:t> </w:t>
      </w:r>
      <w:r>
        <w:rPr>
          <w:rFonts w:ascii="Times New Roman" w:hAnsi="Times New Roman" w:cs="Times New Roman" w:eastAsia="Times New Roman" w:hint="default"/>
          <w:spacing w:val="-1"/>
        </w:rPr>
        <w:t>7</w:t>
      </w:r>
      <w:r>
        <w:rPr>
          <w:spacing w:val="-1"/>
        </w:rPr>
        <w:t>》等会计准则及相关规定变更了相关会计政策并对比较财务报表进行了追溯重述，重述后</w:t>
      </w:r>
      <w:r>
        <w:rPr>
          <w:spacing w:val="-88"/>
        </w:rPr>
        <w:t> </w:t>
      </w:r>
      <w:r>
        <w:rPr>
          <w:spacing w:val="-88"/>
        </w:rPr>
      </w:r>
      <w:r>
        <w:rPr/>
        <w:t>的</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spacing w:line="240" w:lineRule="auto" w:before="10"/>
        <w:rPr>
          <w:rFonts w:ascii="宋体" w:hAnsi="宋体" w:cs="宋体" w:eastAsia="宋体" w:hint="default"/>
          <w:sz w:val="3"/>
          <w:szCs w:val="3"/>
        </w:rPr>
      </w:pPr>
    </w:p>
    <w:tbl>
      <w:tblPr>
        <w:tblW w:w="0" w:type="auto"/>
        <w:jc w:val="left"/>
        <w:tblInd w:w="136" w:type="dxa"/>
        <w:tblLayout w:type="fixed"/>
        <w:tblCellMar>
          <w:top w:w="0" w:type="dxa"/>
          <w:left w:w="0" w:type="dxa"/>
          <w:bottom w:w="0" w:type="dxa"/>
          <w:right w:w="0" w:type="dxa"/>
        </w:tblCellMar>
        <w:tblLook w:val="01E0"/>
      </w:tblPr>
      <w:tblGrid>
        <w:gridCol w:w="2744"/>
        <w:gridCol w:w="2307"/>
        <w:gridCol w:w="2305"/>
        <w:gridCol w:w="2304"/>
      </w:tblGrid>
      <w:tr>
        <w:trPr>
          <w:trHeight w:val="342"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6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3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07" w:type="dxa"/>
            <w:tcBorders>
              <w:top w:val="single" w:sz="10" w:space="0" w:color="000000"/>
              <w:left w:val="single" w:sz="6" w:space="0" w:color="000000"/>
              <w:bottom w:val="single" w:sz="6" w:space="0" w:color="000000"/>
              <w:right w:val="single" w:sz="6" w:space="0" w:color="000000"/>
            </w:tcBorders>
          </w:tcPr>
          <w:p>
            <w:pPr/>
          </w:p>
        </w:tc>
        <w:tc>
          <w:tcPr>
            <w:tcW w:w="2305" w:type="dxa"/>
            <w:tcBorders>
              <w:top w:val="single" w:sz="10" w:space="0" w:color="000000"/>
              <w:left w:val="single" w:sz="6" w:space="0" w:color="000000"/>
              <w:bottom w:val="single" w:sz="6" w:space="0" w:color="000000"/>
              <w:right w:val="single" w:sz="6" w:space="0" w:color="000000"/>
            </w:tcBorders>
          </w:tcPr>
          <w:p>
            <w:pPr/>
          </w:p>
        </w:tc>
        <w:tc>
          <w:tcPr>
            <w:tcW w:w="2304" w:type="dxa"/>
            <w:tcBorders>
              <w:top w:val="single" w:sz="10"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787,085,397.56</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798,621,501.84</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944,594,525.37</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 w:right="60" w:firstLine="14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5,867,649.00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
              <w:jc w:val="right"/>
              <w:rPr>
                <w:rFonts w:ascii="Times New Roman" w:hAnsi="Times New Roman" w:cs="Times New Roman" w:eastAsia="Times New Roman" w:hint="default"/>
                <w:sz w:val="18"/>
                <w:szCs w:val="18"/>
              </w:rPr>
            </w:pPr>
            <w:r>
              <w:rPr>
                <w:rFonts w:ascii="Times New Roman"/>
                <w:spacing w:val="-1"/>
                <w:sz w:val="18"/>
              </w:rPr>
              <w:t>4,075,050.00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603,500.00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14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10,363,500.00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18,904,795.00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35,672,795.69</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337,190,201.46</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459,581,915.45</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512,239,606.37</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20,963,428.25</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25,967,140.82</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40,528,120.00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5,210,571.72</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1,967,671.74</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1,787,466.96</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13,540,471.00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15,628,073.46</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20,573,112.34</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z w:val="18"/>
              </w:rPr>
              <w:t>780,868.58</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z w:val="18"/>
              </w:rPr>
              <w:t>1,046,199.79</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z w:val="18"/>
              </w:rPr>
              <w:t>1,055,840.80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8,650,500.00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7,838,000.00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6,811,000.00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12,000,000.00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24,321,623.98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16,313,711.60</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1,201,652,587.57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1,357,951,972.08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1,580,179,679.13</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1,000,000.00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13,500,000.00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355" w:hRule="exact"/>
        </w:trPr>
        <w:tc>
          <w:tcPr>
            <w:tcW w:w="274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07" w:type="dxa"/>
            <w:tcBorders>
              <w:top w:val="single" w:sz="6" w:space="0" w:color="000000"/>
              <w:left w:val="single" w:sz="6" w:space="0" w:color="000000"/>
              <w:bottom w:val="single" w:sz="12" w:space="0" w:color="000000"/>
              <w:right w:val="single" w:sz="6" w:space="0" w:color="000000"/>
            </w:tcBorders>
          </w:tcPr>
          <w:p>
            <w:pPr/>
          </w:p>
        </w:tc>
        <w:tc>
          <w:tcPr>
            <w:tcW w:w="2305" w:type="dxa"/>
            <w:tcBorders>
              <w:top w:val="single" w:sz="6" w:space="0" w:color="000000"/>
              <w:left w:val="single" w:sz="6" w:space="0" w:color="000000"/>
              <w:bottom w:val="single" w:sz="12" w:space="0" w:color="000000"/>
              <w:right w:val="single" w:sz="6" w:space="0" w:color="000000"/>
            </w:tcBorders>
          </w:tcPr>
          <w:p>
            <w:pPr/>
          </w:p>
        </w:tc>
        <w:tc>
          <w:tcPr>
            <w:tcW w:w="2304" w:type="dxa"/>
            <w:tcBorders>
              <w:top w:val="single" w:sz="6" w:space="0" w:color="000000"/>
              <w:left w:val="single" w:sz="6" w:space="0" w:color="000000"/>
              <w:bottom w:val="single" w:sz="12" w:space="0" w:color="000000"/>
              <w:right w:val="single" w:sz="6"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744"/>
        <w:gridCol w:w="2307"/>
        <w:gridCol w:w="2305"/>
        <w:gridCol w:w="2304"/>
      </w:tblGrid>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16,129,655.57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265,463,285.27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299,871,683.76</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149,965,558.08</w:t>
            </w: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41,959,134.55</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42,409,818.80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59,843,826.02</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4,754,532.00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10,283,982.78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14,659,092.10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45,026,716.36</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45,026,716.36</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45,026,716.36</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1,729,517.87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1,217,111.27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764,798.37</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4,971,575.93</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8,900,982.42</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29,029,211.57</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8,566,392.67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14,181,224.00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43,005,157.40</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274,103,083.03</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400,983,120.90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528,200,485.58</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1,475,755,670.60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1,758,935,092.98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2,108,380,164.71</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7"/>
              <w:ind w:left="2" w:right="60" w:firstLine="14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20,057,713.89</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14,022,431.89</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11,688,333.61</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16,230,119.80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12,482,912.37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43,041,370.46</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66,747,558.86</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73,797,679.55</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100,433,060.22</w:t>
            </w:r>
          </w:p>
        </w:tc>
      </w:tr>
      <w:tr>
        <w:trPr>
          <w:trHeight w:val="349"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12,036,214.22</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19,940,896.67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23,607,972.72</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4,728.47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4,728.47</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106,190,606.06</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188,416,503.28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180,542,179.15</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55" w:hRule="exact"/>
        </w:trPr>
        <w:tc>
          <w:tcPr>
            <w:tcW w:w="274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307" w:type="dxa"/>
            <w:tcBorders>
              <w:top w:val="single" w:sz="6" w:space="0" w:color="000000"/>
              <w:left w:val="single" w:sz="6" w:space="0" w:color="000000"/>
              <w:bottom w:val="single" w:sz="12" w:space="0" w:color="000000"/>
              <w:right w:val="single" w:sz="6" w:space="0" w:color="000000"/>
            </w:tcBorders>
          </w:tcPr>
          <w:p>
            <w:pPr/>
          </w:p>
        </w:tc>
        <w:tc>
          <w:tcPr>
            <w:tcW w:w="2305" w:type="dxa"/>
            <w:tcBorders>
              <w:top w:val="single" w:sz="6" w:space="0" w:color="000000"/>
              <w:left w:val="single" w:sz="6" w:space="0" w:color="000000"/>
              <w:bottom w:val="single" w:sz="12" w:space="0" w:color="000000"/>
              <w:right w:val="single" w:sz="6" w:space="0" w:color="000000"/>
            </w:tcBorders>
          </w:tcPr>
          <w:p>
            <w:pPr/>
          </w:p>
        </w:tc>
        <w:tc>
          <w:tcPr>
            <w:tcW w:w="2304" w:type="dxa"/>
            <w:tcBorders>
              <w:top w:val="single" w:sz="6" w:space="0" w:color="000000"/>
              <w:left w:val="single" w:sz="6" w:space="0" w:color="000000"/>
              <w:bottom w:val="single" w:sz="12" w:space="0" w:color="000000"/>
              <w:right w:val="single" w:sz="6"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2744"/>
        <w:gridCol w:w="2307"/>
        <w:gridCol w:w="2305"/>
        <w:gridCol w:w="2304"/>
      </w:tblGrid>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221,262,212.83</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308,665,152.23</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359,317,644.63</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57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2,879,166.67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6,819,166.67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6,531,250.00</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586,764.90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407,505.00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60,350.00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3,465,931.57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7,226,671.67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6,591,600.00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224,728,144.40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315,891,823.90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365,909,244.63</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266,171,661.00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549,065,756.00</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828,624,634.00</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7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749,838,220.97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597,110,387.64</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395,187,864.71</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107,624,985.49</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182,469,080.49</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177,735,274.12</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-325,147.62</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-426,288.49</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-216,928.88</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41,686,648.37</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59,176,446.43</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80,104,990.51</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307" w:type="dxa"/>
            <w:tcBorders>
              <w:top w:val="single" w:sz="6" w:space="0" w:color="000000"/>
              <w:left w:val="single" w:sz="6" w:space="0" w:color="000000"/>
              <w:bottom w:val="single" w:sz="6" w:space="0" w:color="000000"/>
              <w:right w:val="single" w:sz="6" w:space="0" w:color="000000"/>
            </w:tcBorders>
          </w:tcPr>
          <w:p>
            <w:pPr/>
          </w:p>
        </w:tc>
        <w:tc>
          <w:tcPr>
            <w:tcW w:w="2305" w:type="dxa"/>
            <w:tcBorders>
              <w:top w:val="single" w:sz="6" w:space="0" w:color="000000"/>
              <w:left w:val="single" w:sz="6" w:space="0" w:color="000000"/>
              <w:bottom w:val="single" w:sz="6" w:space="0" w:color="000000"/>
              <w:right w:val="single" w:sz="6" w:space="0" w:color="000000"/>
            </w:tcBorders>
          </w:tcPr>
          <w:p>
            <w:pPr/>
          </w:p>
        </w:tc>
        <w:tc>
          <w:tcPr>
            <w:tcW w:w="230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292,745,453.15</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412,632,266.97</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605,943,744.54</w:t>
            </w:r>
          </w:p>
        </w:tc>
      </w:tr>
      <w:tr>
        <w:trPr>
          <w:trHeight w:val="346"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14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1,242,491,850.38</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1,435,089,488.06</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52" w:right="0"/>
              <w:jc w:val="left"/>
              <w:rPr>
                <w:rFonts w:ascii="Times New Roman" w:hAnsi="Times New Roman" w:cs="Times New Roman" w:eastAsia="Times New Roman" w:hint="default"/>
                <w:sz w:val="18"/>
                <w:szCs w:val="18"/>
              </w:rPr>
            </w:pPr>
            <w:r>
              <w:rPr>
                <w:rFonts w:ascii="Times New Roman"/>
                <w:sz w:val="18"/>
              </w:rPr>
              <w:t>1,731,909,030.76</w:t>
            </w:r>
          </w:p>
        </w:tc>
      </w:tr>
      <w:tr>
        <w:trPr>
          <w:trHeight w:val="348"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8,535,675.82</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z w:val="18"/>
              </w:rPr>
              <w:t>7,953,781.02</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10,561,889.32</w:t>
            </w:r>
          </w:p>
        </w:tc>
      </w:tr>
      <w:tr>
        <w:trPr>
          <w:trHeight w:val="349" w:hRule="exact"/>
        </w:trPr>
        <w:tc>
          <w:tcPr>
            <w:tcW w:w="27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c>
          <w:tcPr>
            <w:tcW w:w="2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1,251,027,526.20</w:t>
            </w:r>
          </w:p>
        </w:tc>
        <w:tc>
          <w:tcPr>
            <w:tcW w:w="2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1,443,043,269.08</w:t>
            </w:r>
          </w:p>
        </w:tc>
        <w:tc>
          <w:tcPr>
            <w:tcW w:w="2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1,742,470,920.08</w:t>
            </w:r>
          </w:p>
        </w:tc>
      </w:tr>
      <w:tr>
        <w:trPr>
          <w:trHeight w:val="355" w:hRule="exact"/>
        </w:trPr>
        <w:tc>
          <w:tcPr>
            <w:tcW w:w="2744"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b/>
                <w:bCs/>
                <w:sz w:val="18"/>
                <w:szCs w:val="18"/>
              </w:rPr>
              <w:t>负债和所有者权益总计</w:t>
            </w:r>
            <w:r>
              <w:rPr>
                <w:rFonts w:ascii="宋体" w:hAnsi="宋体" w:cs="宋体" w:eastAsia="宋体" w:hint="default"/>
                <w:sz w:val="18"/>
                <w:szCs w:val="18"/>
              </w:rPr>
            </w:r>
          </w:p>
        </w:tc>
        <w:tc>
          <w:tcPr>
            <w:tcW w:w="23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1,475,755,670.60</w:t>
            </w:r>
          </w:p>
        </w:tc>
        <w:tc>
          <w:tcPr>
            <w:tcW w:w="23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1,758,935,092.98</w:t>
            </w:r>
          </w:p>
        </w:tc>
        <w:tc>
          <w:tcPr>
            <w:tcW w:w="23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2,108,380,164.71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left="3285" w:right="95"/>
        <w:jc w:val="left"/>
        <w:rPr>
          <w:b w:val="0"/>
          <w:bCs w:val="0"/>
        </w:rPr>
      </w:pPr>
      <w:bookmarkStart w:name="_TOC_250000" w:id="11"/>
      <w:r>
        <w:rPr/>
        <w:t>第十一节</w:t>
      </w:r>
      <w:r>
        <w:rPr>
          <w:spacing w:val="-5"/>
        </w:rPr>
        <w:t> </w:t>
      </w:r>
      <w:r>
        <w:rPr/>
        <w:t>备查文件目录</w:t>
      </w:r>
      <w:bookmarkEnd w:id="11"/>
      <w:r>
        <w:rPr>
          <w:b w:val="0"/>
          <w:bCs w:val="0"/>
        </w:rPr>
      </w:r>
    </w:p>
    <w:p>
      <w:pPr>
        <w:spacing w:line="240" w:lineRule="auto" w:before="11"/>
        <w:rPr>
          <w:rFonts w:ascii="宋体" w:hAnsi="宋体" w:cs="宋体" w:eastAsia="宋体" w:hint="default"/>
          <w:b/>
          <w:bCs/>
          <w:sz w:val="44"/>
          <w:szCs w:val="44"/>
        </w:rPr>
      </w:pPr>
    </w:p>
    <w:p>
      <w:pPr>
        <w:pStyle w:val="Heading3"/>
        <w:spacing w:line="381" w:lineRule="auto" w:before="0"/>
        <w:ind w:right="95"/>
        <w:jc w:val="left"/>
      </w:pPr>
      <w:r>
        <w:rPr/>
        <w:t>一、载有法定代表人陈迪清先生、主管会计工作负责人、会计机构负责人王辛夷女士签名并</w:t>
      </w:r>
      <w:r>
        <w:rPr>
          <w:spacing w:val="-91"/>
        </w:rPr>
        <w:t> </w:t>
      </w:r>
      <w:r>
        <w:rPr>
          <w:spacing w:val="-91"/>
        </w:rPr>
      </w:r>
      <w:r>
        <w:rPr/>
        <w:t>盖章的财务报告文本； 二、载有会计师事务所盖章、注册会计师签名并盖章的审计报告原件； 三、报告期内在中国证监会指定网站上公开披露过的所有公司文件的正本及公告的原稿； 四、经公司法定代表人陈迪清先生签名的</w:t>
      </w:r>
      <w:r>
        <w:rPr>
          <w:rFonts w:ascii="Times New Roman" w:hAnsi="Times New Roman" w:cs="Times New Roman" w:eastAsia="Times New Roman" w:hint="default"/>
        </w:rPr>
        <w:t>2015</w:t>
      </w:r>
      <w:r>
        <w:rPr/>
        <w:t>年年度报告原件；</w:t>
      </w:r>
    </w:p>
    <w:p>
      <w:pPr>
        <w:pStyle w:val="Heading3"/>
        <w:spacing w:line="240" w:lineRule="auto" w:before="20"/>
        <w:ind w:right="95"/>
        <w:jc w:val="left"/>
        <w:rPr>
          <w:rFonts w:ascii="宋体" w:hAnsi="宋体" w:cs="宋体" w:eastAsia="宋体" w:hint="default"/>
        </w:rPr>
      </w:pPr>
      <w:r>
        <w:rPr/>
        <w:t>五、其他有关资料。</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before="26"/>
        <w:ind w:left="6432" w:right="95"/>
        <w:jc w:val="left"/>
        <w:rPr>
          <w:rFonts w:ascii="宋体" w:hAnsi="宋体" w:cs="宋体" w:eastAsia="宋体" w:hint="default"/>
        </w:rPr>
      </w:pPr>
      <w:r>
        <w:rPr/>
        <w:t>上海汉得信息技术股份有限公司</w:t>
      </w:r>
      <w:r>
        <w:rPr>
          <w:rFonts w:ascii="宋体" w:hAnsi="宋体" w:cs="宋体" w:eastAsia="宋体" w:hint="default"/>
        </w:rPr>
        <w:t> </w:t>
      </w:r>
    </w:p>
    <w:p>
      <w:pPr>
        <w:pStyle w:val="Heading3"/>
        <w:spacing w:line="388" w:lineRule="auto" w:before="194"/>
        <w:ind w:left="7153" w:right="95" w:firstLine="480"/>
        <w:jc w:val="left"/>
      </w:pPr>
      <w:r>
        <w:rPr/>
        <w:t>法定代表人：陈迪清</w:t>
      </w:r>
      <w:r>
        <w:rPr>
          <w:rFonts w:ascii="宋体" w:hAnsi="宋体" w:cs="宋体" w:eastAsia="宋体" w:hint="default"/>
        </w:rPr>
        <w:t> </w:t>
      </w:r>
      <w:r>
        <w:rPr/>
        <w:t>二〇一六年四月二十五日</w:t>
      </w:r>
    </w:p>
    <w:sectPr>
      <w:pgSz w:w="11910" w:h="16840"/>
      <w:pgMar w:header="745" w:footer="979" w:top="1060" w:bottom="116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995pt;margin-top:795.637939pt;width:6.5pt;height:11pt;mso-position-horizontal-relative:page;mso-position-vertical-relative:page;z-index:-8302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79993pt;margin-top:781.957947pt;width:13.15pt;height:11pt;mso-position-horizontal-relative:page;mso-position-vertical-relative:page;z-index:-8301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83015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995pt;margin-top:781.957947pt;width:15.7pt;height:11pt;mso-position-horizontal-relative:page;mso-position-vertical-relative:page;z-index:-8301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301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102</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957947pt;width:17.3pt;height:11pt;mso-position-horizontal-relative:page;mso-position-vertical-relative:page;z-index:-83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995pt;margin-top:781.957947pt;width:17.7pt;height:11pt;mso-position-horizontal-relative:page;mso-position-vertical-relative:page;z-index:-8300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830224" type="#_x0000_t202" filled="false" stroked="false">
          <v:textbox inset="0,0,0,0">
            <w:txbxContent>
              <w:p>
                <w:pPr>
                  <w:pStyle w:val="BodyText"/>
                  <w:spacing w:line="214" w:lineRule="exact"/>
                  <w:ind w:left="20" w:right="0"/>
                  <w:jc w:val="left"/>
                </w:pPr>
                <w:r>
                  <w:rPr/>
                  <w:t>上海汉得信息技术股份有限公司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ind w:left="67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spacing w:before="36"/>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spacing w:before="36"/>
      <w:ind w:left="153"/>
      <w:outlineLvl w:val="5"/>
    </w:pPr>
    <w:rPr>
      <w:rFonts w:ascii="宋体" w:hAnsi="宋体" w:eastAsia="宋体"/>
      <w:sz w:val="21"/>
      <w:szCs w:val="21"/>
    </w:rPr>
  </w:style>
  <w:style w:styleId="Heading6" w:type="paragraph">
    <w:name w:val="Heading 6"/>
    <w:basedOn w:val="Normal"/>
    <w:uiPriority w:val="1"/>
    <w:qFormat/>
    <w:pPr>
      <w:ind w:left="15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and-china.com/" TargetMode="External"/><Relationship Id="rId10" Type="http://schemas.openxmlformats.org/officeDocument/2006/relationships/hyperlink" Target="mailto:investors@vip.hand-china.com" TargetMode="External"/><Relationship Id="rId11" Type="http://schemas.openxmlformats.org/officeDocument/2006/relationships/hyperlink" Target="mailto:mars.zhang@hand-china.com" TargetMode="External"/><Relationship Id="rId12" Type="http://schemas.openxmlformats.org/officeDocument/2006/relationships/hyperlink" Target="http://www.cninfo.com.cn/" TargetMode="External"/><Relationship Id="rId13" Type="http://schemas.openxmlformats.org/officeDocument/2006/relationships/hyperlink" Target="http://irm.p5w.net/ssgs/S300170/" TargetMode="Externa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上海汉得信息技术股份有限公司</dc:creator>
  <dc:title>上海汉得信息技术股份有限公司2015年年度报告全文</dc:title>
  <dcterms:created xsi:type="dcterms:W3CDTF">2020-05-04T16:05:43Z</dcterms:created>
  <dcterms:modified xsi:type="dcterms:W3CDTF">2020-05-04T16:05:43Z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2016-04-22T00:00:00Z</vt:filetime>
  </property>
  <property fmtid="{D5CDD505-2E9C-101B-9397-08002B2CF9AE}" pid="3" name="Creator">
    <vt:lpwstr>Microsoft® Word 2010</vt:lpwstr>
  </property>
  <property fmtid="{D5CDD505-2E9C-101B-9397-08002B2CF9AE}" pid="4" name="LastSaved">
    <vt:filetime>2020-05-04T00:00:00Z</vt:filetime>
  </property>
</Properties>
</file>