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40" w:lineRule="auto"/>
        <w:ind w:left="3680" w:right="0" w:firstLine="0"/>
        <w:jc w:val="left"/>
        <w:rPr>
          <w:sz w:val="24"/>
          <w:szCs w:val="24"/>
        </w:rPr>
      </w:pPr>
      <w:r>
        <w:rPr>
          <w:rFonts w:ascii="Times New Roman" w:eastAsia="Times New Roman" w:hAnsi="Times New Roman" w:cs="Times New Roman"/>
          <w:b/>
          <w:bCs/>
          <w:color w:val="000000"/>
          <w:spacing w:val="0"/>
          <w:w w:val="100"/>
          <w:position w:val="0"/>
          <w:sz w:val="24"/>
          <w:szCs w:val="24"/>
        </w:rPr>
        <w:t xml:space="preserve">Ft </w:t>
      </w:r>
      <w:r>
        <w:rPr>
          <w:rFonts w:ascii="Arial" w:eastAsia="Arial" w:hAnsi="Arial" w:cs="Arial"/>
          <w:smallCaps/>
          <w:color w:val="1B1B1B"/>
          <w:spacing w:val="0"/>
          <w:w w:val="100"/>
          <w:position w:val="0"/>
          <w:sz w:val="24"/>
          <w:szCs w:val="24"/>
        </w:rPr>
        <w:t>a</w:t>
      </w:r>
    </w:p>
    <w:p>
      <w:pPr>
        <w:pStyle w:val="Style2"/>
        <w:keepNext w:val="0"/>
        <w:keepLines w:val="0"/>
        <w:widowControl w:val="0"/>
        <w:shd w:val="clear" w:color="auto" w:fill="auto"/>
        <w:bidi w:val="0"/>
        <w:spacing w:before="0" w:after="240" w:line="240" w:lineRule="auto"/>
        <w:ind w:left="4780" w:right="0" w:firstLine="0"/>
        <w:jc w:val="left"/>
        <w:rPr>
          <w:sz w:val="14"/>
          <w:szCs w:val="14"/>
        </w:rPr>
      </w:pPr>
      <w:r>
        <w:rPr>
          <w:rFonts w:ascii="Arial" w:eastAsia="Arial" w:hAnsi="Arial" w:cs="Arial"/>
          <w:b/>
          <w:bCs/>
          <w:color w:val="478D90"/>
          <w:spacing w:val="0"/>
          <w:w w:val="100"/>
          <w:position w:val="0"/>
          <w:sz w:val="14"/>
          <w:szCs w:val="14"/>
        </w:rPr>
        <w:t>SeEtef Expenence</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上海汉得信息技术股份有限公司</w:t>
      </w:r>
    </w:p>
    <w:p>
      <w:pPr>
        <w:pStyle w:val="Style12"/>
        <w:keepNext/>
        <w:keepLines/>
        <w:widowControl w:val="0"/>
        <w:shd w:val="clear" w:color="auto" w:fill="auto"/>
        <w:bidi w:val="0"/>
        <w:spacing w:before="0" w:after="60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2"/>
        <w:keepNext/>
        <w:keepLines/>
        <w:widowControl w:val="0"/>
        <w:shd w:val="clear" w:color="auto" w:fill="auto"/>
        <w:bidi w:val="0"/>
        <w:spacing w:before="0" w:after="32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722" w:right="1112" w:bottom="2722" w:left="1107" w:header="0" w:footer="3" w:gutter="0"/>
          <w:pgNumType w:start="1"/>
          <w:cols w:space="720"/>
          <w:noEndnote/>
          <w:rtlGutter w:val="0"/>
          <w:docGrid w:linePitch="360"/>
        </w:sectP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3"/>
      <w:bookmarkEnd w:id="4"/>
      <w:bookmarkEnd w:id="5"/>
    </w:p>
    <w:p>
      <w:pPr>
        <w:pStyle w:val="Style12"/>
        <w:keepNext/>
        <w:keepLines/>
        <w:widowControl w:val="0"/>
        <w:shd w:val="clear" w:color="auto" w:fill="auto"/>
        <w:bidi w:val="0"/>
        <w:spacing w:before="68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公司负责人陈迪清、主管会计工作负责人王辛夷及会计机构负责人（会计主 管人员）王辛夷声明：保证年度报告中财务报告的真实、准确、完整。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tabs>
          <w:tab w:pos="1424" w:val="left"/>
        </w:tabs>
        <w:bidi w:val="0"/>
        <w:spacing w:before="0"/>
        <w:ind w:left="0" w:right="0"/>
        <w:jc w:val="both"/>
      </w:pPr>
      <w:bookmarkStart w:id="9" w:name="bookmark9"/>
      <w:r>
        <w:rPr>
          <w:color w:val="000000"/>
          <w:spacing w:val="0"/>
          <w:w w:val="100"/>
          <w:position w:val="0"/>
        </w:rPr>
        <w:t>（</w:t>
      </w:r>
      <w:bookmarkEnd w:id="9"/>
      <w:r>
        <w:rPr>
          <w:color w:val="000000"/>
          <w:spacing w:val="0"/>
          <w:w w:val="100"/>
          <w:position w:val="0"/>
        </w:rPr>
        <w:t>一）</w:t>
        <w:tab/>
        <w:t>宏观经济波动的风险。宏观经济的波动会一定程度影响公司客户自 身的经营状况和对未来的预期，从而影响客户在</w:t>
      </w:r>
      <w:r>
        <w:rPr>
          <w:color w:val="000000"/>
          <w:spacing w:val="0"/>
          <w:w w:val="100"/>
          <w:position w:val="0"/>
        </w:rPr>
        <w:t>IT</w:t>
      </w:r>
      <w:r>
        <w:rPr>
          <w:color w:val="000000"/>
          <w:spacing w:val="0"/>
          <w:w w:val="100"/>
          <w:position w:val="0"/>
        </w:rPr>
        <w:t>咨询，</w:t>
      </w:r>
      <w:r>
        <w:rPr>
          <w:color w:val="000000"/>
          <w:spacing w:val="0"/>
          <w:w w:val="100"/>
          <w:position w:val="0"/>
        </w:rPr>
        <w:t>ERP</w:t>
      </w:r>
      <w:r>
        <w:rPr>
          <w:color w:val="000000"/>
          <w:spacing w:val="0"/>
          <w:w w:val="100"/>
          <w:position w:val="0"/>
        </w:rPr>
        <w:t>系统建设方面 的预算。公司的客户主要为具有较强实力的跨国公司和企业集团，</w:t>
      </w:r>
      <w:r>
        <w:rPr>
          <w:color w:val="000000"/>
          <w:spacing w:val="0"/>
          <w:w w:val="100"/>
          <w:position w:val="0"/>
        </w:rPr>
        <w:t>ERP</w:t>
      </w:r>
      <w:r>
        <w:rPr>
          <w:color w:val="000000"/>
          <w:spacing w:val="0"/>
          <w:w w:val="100"/>
          <w:position w:val="0"/>
        </w:rPr>
        <w:t>系统对 于客户公司的运营和管理至关重要。在行业低潮期，一部分公司会推迟</w:t>
      </w:r>
      <w:r>
        <w:rPr>
          <w:color w:val="000000"/>
          <w:spacing w:val="0"/>
          <w:w w:val="100"/>
          <w:position w:val="0"/>
        </w:rPr>
        <w:t>IT</w:t>
      </w:r>
      <w:r>
        <w:rPr>
          <w:color w:val="000000"/>
          <w:spacing w:val="0"/>
          <w:w w:val="100"/>
          <w:position w:val="0"/>
        </w:rPr>
        <w:t>的投 入，但也有一些公司需要通过</w:t>
      </w:r>
      <w:r>
        <w:rPr>
          <w:color w:val="000000"/>
          <w:spacing w:val="0"/>
          <w:w w:val="100"/>
          <w:position w:val="0"/>
        </w:rPr>
        <w:t>ERP</w:t>
      </w:r>
      <w:r>
        <w:rPr>
          <w:color w:val="000000"/>
          <w:spacing w:val="0"/>
          <w:w w:val="100"/>
          <w:position w:val="0"/>
        </w:rPr>
        <w:t>等</w:t>
      </w:r>
      <w:r>
        <w:rPr>
          <w:color w:val="000000"/>
          <w:spacing w:val="0"/>
          <w:w w:val="100"/>
          <w:position w:val="0"/>
        </w:rPr>
        <w:t>IT</w:t>
      </w:r>
      <w:r>
        <w:rPr>
          <w:color w:val="000000"/>
          <w:spacing w:val="0"/>
          <w:w w:val="100"/>
          <w:position w:val="0"/>
        </w:rPr>
        <w:t>系统提升公司运营效率，降低综合成 本来对抗危机的负面影响，另一方面，由于公司的客户数量众多，行业分布广 泛，单个行业的景气周期对于公司的影响较弱。但从长远来看，宏观及行业经 济周期的变化仍与公司所在行业的市场景气程度存在一定的关联性。因此，如 果未来宏观经济景气度出现大幅下滑，有可能对</w:t>
      </w:r>
      <w:r>
        <w:rPr>
          <w:color w:val="000000"/>
          <w:spacing w:val="0"/>
          <w:w w:val="100"/>
          <w:position w:val="0"/>
        </w:rPr>
        <w:t>ERP</w:t>
      </w:r>
      <w:r>
        <w:rPr>
          <w:color w:val="000000"/>
          <w:spacing w:val="0"/>
          <w:w w:val="100"/>
          <w:position w:val="0"/>
        </w:rPr>
        <w:t>实施服务行业需求的增长 带来不利的影响。</w:t>
      </w:r>
    </w:p>
    <w:p>
      <w:pPr>
        <w:pStyle w:val="Style15"/>
        <w:keepNext w:val="0"/>
        <w:keepLines w:val="0"/>
        <w:widowControl w:val="0"/>
        <w:shd w:val="clear" w:color="auto" w:fill="auto"/>
        <w:tabs>
          <w:tab w:pos="1419" w:val="left"/>
        </w:tabs>
        <w:bidi w:val="0"/>
        <w:spacing w:before="0" w:after="0" w:line="636" w:lineRule="exact"/>
        <w:ind w:left="0" w:right="0"/>
        <w:jc w:val="both"/>
      </w:pPr>
      <w:bookmarkStart w:id="10" w:name="bookmark10"/>
      <w:r>
        <w:rPr>
          <w:color w:val="000000"/>
          <w:spacing w:val="0"/>
          <w:w w:val="100"/>
          <w:position w:val="0"/>
        </w:rPr>
        <w:t>（</w:t>
      </w:r>
      <w:bookmarkEnd w:id="10"/>
      <w:r>
        <w:rPr>
          <w:color w:val="000000"/>
          <w:spacing w:val="0"/>
          <w:w w:val="100"/>
          <w:position w:val="0"/>
        </w:rPr>
        <w:t>二）</w:t>
        <w:tab/>
        <w:t>人力成本上升的风险。</w:t>
      </w:r>
      <w:r>
        <w:rPr>
          <w:color w:val="000000"/>
          <w:spacing w:val="0"/>
          <w:w w:val="100"/>
          <w:position w:val="0"/>
        </w:rPr>
        <w:t>ERP</w:t>
      </w:r>
      <w:r>
        <w:rPr>
          <w:color w:val="000000"/>
          <w:spacing w:val="0"/>
          <w:w w:val="100"/>
          <w:position w:val="0"/>
        </w:rPr>
        <w:t>实施行业属于人才密集型行业，公司最 主要的经营成本是人力成本，因此如果平均人力成本的上升速度快于</w:t>
      </w:r>
      <w:r>
        <w:rPr>
          <w:color w:val="000000"/>
          <w:spacing w:val="0"/>
          <w:w w:val="100"/>
          <w:position w:val="0"/>
        </w:rPr>
        <w:t>ERP</w:t>
      </w:r>
      <w:r>
        <w:rPr>
          <w:color w:val="000000"/>
          <w:spacing w:val="0"/>
          <w:w w:val="100"/>
          <w:position w:val="0"/>
        </w:rPr>
        <w:t xml:space="preserve">实施 顾问人均产值的增长速度，则公司的毛利率水平将会有下降的风险。为应对该 </w:t>
      </w:r>
      <w:r>
        <w:rPr>
          <w:color w:val="000000"/>
          <w:spacing w:val="0"/>
          <w:w w:val="100"/>
          <w:position w:val="0"/>
        </w:rPr>
        <w:t>项风险，公司一方面将通过进一步提高服务质量和提升客户体验来推动</w:t>
      </w:r>
      <w:r>
        <w:rPr>
          <w:color w:val="000000"/>
          <w:spacing w:val="0"/>
          <w:w w:val="100"/>
          <w:position w:val="0"/>
        </w:rPr>
        <w:t>ERP</w:t>
      </w:r>
      <w:r>
        <w:rPr>
          <w:color w:val="000000"/>
          <w:spacing w:val="0"/>
          <w:w w:val="100"/>
          <w:position w:val="0"/>
        </w:rPr>
        <w:t>实 施顾问人均产值的持续增长，另一方面，公司凭借总结行业整体解决方案、立 足于自主培养人才、研发远程化开发支持技术等手段来加速</w:t>
      </w:r>
      <w:r>
        <w:rPr>
          <w:color w:val="000000"/>
          <w:spacing w:val="0"/>
          <w:w w:val="100"/>
          <w:position w:val="0"/>
        </w:rPr>
        <w:t>ERP</w:t>
      </w:r>
      <w:r>
        <w:rPr>
          <w:color w:val="000000"/>
          <w:spacing w:val="0"/>
          <w:w w:val="100"/>
          <w:position w:val="0"/>
        </w:rPr>
        <w:t>实施顾问的成 长，维系核心人员的稳定，提高人员利用率，从而缓解人力成本上升的压力。</w:t>
      </w:r>
    </w:p>
    <w:p>
      <w:pPr>
        <w:pStyle w:val="Style15"/>
        <w:keepNext w:val="0"/>
        <w:keepLines w:val="0"/>
        <w:widowControl w:val="0"/>
        <w:shd w:val="clear" w:color="auto" w:fill="auto"/>
        <w:bidi w:val="0"/>
        <w:spacing w:before="0" w:line="624" w:lineRule="exact"/>
        <w:ind w:left="0" w:right="0" w:firstLine="0"/>
        <w:jc w:val="both"/>
      </w:pPr>
      <w:r>
        <w:rPr>
          <w:color w:val="000000"/>
          <w:spacing w:val="0"/>
          <w:w w:val="100"/>
          <w:position w:val="0"/>
        </w:rPr>
        <w:t>虽然如此，但未来随着经济的发展、生活成本的上升、竞争对手对专业人才的 争夺以及政府部门对社会保障体系相关政策的调整，公司的人力成本可能存在 大幅增加的风险。</w:t>
      </w:r>
    </w:p>
    <w:p>
      <w:pPr>
        <w:pStyle w:val="Style15"/>
        <w:keepNext w:val="0"/>
        <w:keepLines w:val="0"/>
        <w:widowControl w:val="0"/>
        <w:shd w:val="clear" w:color="auto" w:fill="auto"/>
        <w:bidi w:val="0"/>
        <w:spacing w:before="0" w:after="0" w:line="629" w:lineRule="exact"/>
        <w:ind w:left="0" w:right="0"/>
        <w:jc w:val="both"/>
        <w:sectPr>
          <w:headerReference w:type="default" r:id="rId7"/>
          <w:footerReference w:type="default" r:id="rId8"/>
          <w:footnotePr>
            <w:pos w:val="pageBottom"/>
            <w:numFmt w:val="decimal"/>
            <w:numRestart w:val="continuous"/>
          </w:footnotePr>
          <w:pgSz w:w="11900" w:h="16840"/>
          <w:pgMar w:top="1287" w:right="1112" w:bottom="1849" w:left="1107" w:header="0" w:footer="3" w:gutter="0"/>
          <w:cols w:space="720"/>
          <w:noEndnote/>
          <w:rtlGutter w:val="0"/>
          <w:docGrid w:linePitch="360"/>
        </w:sectPr>
      </w:pPr>
      <w:r>
        <w:rPr>
          <w:color w:val="000000"/>
          <w:spacing w:val="0"/>
          <w:w w:val="100"/>
          <w:position w:val="0"/>
        </w:rPr>
        <w:t>公司经本次董事会审议通过的利润分配预案为：以857,887,869为基数，向 全体股东每10股派发现金红利</w:t>
      </w:r>
      <w:r>
        <w:rPr>
          <w:color w:val="000000"/>
          <w:spacing w:val="0"/>
          <w:w w:val="100"/>
          <w:position w:val="0"/>
        </w:rPr>
        <w:t>0.50</w:t>
      </w:r>
      <w:r>
        <w:rPr>
          <w:color w:val="000000"/>
          <w:spacing w:val="0"/>
          <w:w w:val="100"/>
          <w:position w:val="0"/>
        </w:rPr>
        <w:t>元（含税）。</w:t>
      </w:r>
    </w:p>
    <w:p>
      <w:pPr>
        <w:pStyle w:val="Style2"/>
        <w:keepNext w:val="0"/>
        <w:keepLines w:val="0"/>
        <w:widowControl w:val="0"/>
        <w:shd w:val="clear" w:color="auto" w:fill="auto"/>
        <w:bidi w:val="0"/>
        <w:spacing w:before="1460" w:after="156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25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39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39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5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494"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5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55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7"/>
        <w:keepNext w:val="0"/>
        <w:keepLines w:val="0"/>
        <w:widowControl w:val="0"/>
        <w:shd w:val="clear" w:color="auto" w:fill="auto"/>
        <w:tabs>
          <w:tab w:leader="dot" w:pos="9614" w:val="right"/>
        </w:tabs>
        <w:bidi w:val="0"/>
        <w:spacing w:before="0" w:line="240" w:lineRule="auto"/>
        <w:ind w:left="0" w:right="0" w:firstLine="0"/>
        <w:jc w:val="left"/>
      </w:pPr>
      <w:hyperlink w:anchor="bookmark1821"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182</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1" w:name="bookmark11"/>
      <w:bookmarkStart w:id="12" w:name="bookmark12"/>
      <w:bookmarkStart w:id="13" w:name="bookmark13"/>
      <w:r>
        <w:rPr>
          <w:color w:val="000000"/>
          <w:spacing w:val="0"/>
          <w:w w:val="100"/>
          <w:position w:val="0"/>
        </w:rPr>
        <w:t>释义</w:t>
      </w:r>
      <w:bookmarkEnd w:id="11"/>
      <w:bookmarkEnd w:id="12"/>
      <w:bookmarkEnd w:id="13"/>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公司、本公司、汉得信息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上海汉得信息技术股份有限公司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公司股票获准在交易所上市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上海汉得信息技术股份有限公司章程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上海汉得信息技术股份有限公司股东大会、董事会、监事会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Oracle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美国甲骨文软件系统股份有限公司，</w:t>
            </w:r>
            <w:r>
              <w:rPr>
                <w:rFonts w:ascii="Times New Roman" w:eastAsia="Times New Roman" w:hAnsi="Times New Roman" w:cs="Times New Roman"/>
                <w:color w:val="000000"/>
                <w:spacing w:val="0"/>
                <w:w w:val="100"/>
                <w:position w:val="0"/>
              </w:rPr>
              <w:t>1989</w:t>
            </w:r>
            <w:r>
              <w:rPr>
                <w:color w:val="000000"/>
                <w:spacing w:val="0"/>
                <w:w w:val="100"/>
                <w:position w:val="0"/>
              </w:rPr>
              <w:t>年正式进入中国市场成立甲 骨文（中国）软件系统有限公司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总部位于德国的 </w:t>
            </w:r>
            <w:r>
              <w:rPr>
                <w:rFonts w:ascii="Times New Roman" w:eastAsia="Times New Roman" w:hAnsi="Times New Roman" w:cs="Times New Roman"/>
                <w:color w:val="000000"/>
                <w:spacing w:val="0"/>
                <w:w w:val="100"/>
                <w:position w:val="0"/>
              </w:rPr>
              <w:t xml:space="preserve">SAP </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SAP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Systems Applications and Products </w:t>
            </w:r>
            <w:r>
              <w:rPr>
                <w:color w:val="000000"/>
                <w:spacing w:val="0"/>
                <w:w w:val="100"/>
                <w:position w:val="0"/>
              </w:rPr>
              <w:t>的缩写，既是其公司简称，也是其主要</w:t>
            </w:r>
            <w:r>
              <w:rPr>
                <w:rFonts w:ascii="Times New Roman" w:eastAsia="Times New Roman" w:hAnsi="Times New Roman" w:cs="Times New Roman"/>
                <w:color w:val="000000"/>
                <w:spacing w:val="0"/>
                <w:w w:val="100"/>
                <w:position w:val="0"/>
              </w:rPr>
              <w:t>ERP</w:t>
            </w:r>
            <w:r>
              <w:rPr>
                <w:color w:val="000000"/>
                <w:spacing w:val="0"/>
                <w:w w:val="100"/>
                <w:position w:val="0"/>
              </w:rPr>
              <w:t>软件产品的简称。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ERP</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Enterprises Resource Planning</w:t>
            </w:r>
            <w:r>
              <w:rPr>
                <w:color w:val="000000"/>
                <w:spacing w:val="0"/>
                <w:w w:val="100"/>
                <w:position w:val="0"/>
              </w:rPr>
              <w:t>的缩写，中文意思为企业资源计划</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BPO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是指企业将一些标准化的、非决策性的业务流程外包给第三方服务供 应商，以降低成本，同时提高作业质量的业务模式</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Hybris</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SAP</w:t>
            </w:r>
            <w:r>
              <w:rPr>
                <w:color w:val="000000"/>
                <w:spacing w:val="0"/>
                <w:w w:val="100"/>
                <w:position w:val="0"/>
              </w:rPr>
              <w:t>旗下产品，主要提供全渠道客户互动与商务解决方案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Dynamics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微软</w:t>
            </w:r>
            <w:r>
              <w:rPr>
                <w:rFonts w:ascii="Times New Roman" w:eastAsia="Times New Roman" w:hAnsi="Times New Roman" w:cs="Times New Roman"/>
                <w:color w:val="000000"/>
                <w:spacing w:val="0"/>
                <w:w w:val="100"/>
                <w:position w:val="0"/>
              </w:rPr>
              <w:t>Dynamics</w:t>
            </w:r>
            <w:r>
              <w:rPr>
                <w:color w:val="000000"/>
                <w:spacing w:val="0"/>
                <w:w w:val="100"/>
                <w:position w:val="0"/>
              </w:rPr>
              <w:t>主要为企业提供可自行调整的集成式商务应用程序和 可定制的集成商务管理解决方案。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十三五规划纲要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中华人民共和国国民经济和社会发展第十三个五年规划纲要，简称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供应链金融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围绕核心企业，管理上下游中小企业的资金流和物流，并把单个企业 的不可控风险转变为供应链企业整体的可控风险，通过立体获取各类 信息，将风险控制在最低的金融服务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汇联易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公司自主研发产品，致力于企业商旅及费用管控报销的云产品</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4" w:name="bookmark14"/>
      <w:bookmarkStart w:id="15" w:name="bookmark15"/>
      <w:bookmarkStart w:id="16" w:name="bookmark16"/>
      <w:r>
        <w:rPr>
          <w:color w:val="000000"/>
          <w:spacing w:val="0"/>
          <w:w w:val="100"/>
          <w:position w:val="0"/>
        </w:rPr>
        <w:t>第二节公司简介和主要财务指标</w:t>
      </w:r>
      <w:bookmarkEnd w:id="14"/>
      <w:bookmarkEnd w:id="15"/>
      <w:bookmarkEnd w:id="16"/>
    </w:p>
    <w:p>
      <w:pPr>
        <w:pStyle w:val="Style21"/>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一</w:t>
      </w:r>
      <w:bookmarkEnd w:id="19"/>
      <w:r>
        <w:rPr>
          <w:color w:val="000000"/>
          <w:spacing w:val="0"/>
          <w:w w:val="100"/>
          <w:position w:val="0"/>
          <w:sz w:val="24"/>
          <w:szCs w:val="24"/>
        </w:rPr>
        <w:t>、公司信息</w:t>
      </w:r>
      <w:bookmarkEnd w:id="17"/>
      <w:bookmarkEnd w:id="18"/>
      <w:bookmarkEnd w:id="20"/>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汉得信息</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HAND ENTERPRISE SOLUTIONS CO., LTD.</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上海市青浦工业园区外青松公路</w:t>
            </w:r>
            <w:r>
              <w:rPr>
                <w:rFonts w:ascii="Times New Roman" w:eastAsia="Times New Roman" w:hAnsi="Times New Roman" w:cs="Times New Roman"/>
                <w:color w:val="000000"/>
                <w:spacing w:val="0"/>
                <w:w w:val="100"/>
                <w:position w:val="0"/>
              </w:rPr>
              <w:t>5500</w:t>
            </w:r>
            <w:r>
              <w:rPr>
                <w:color w:val="000000"/>
                <w:spacing w:val="0"/>
                <w:w w:val="100"/>
                <w:position w:val="0"/>
              </w:rPr>
              <w:t>号</w:t>
            </w:r>
            <w:r>
              <w:rPr>
                <w:rFonts w:ascii="Times New Roman" w:eastAsia="Times New Roman" w:hAnsi="Times New Roman" w:cs="Times New Roman"/>
                <w:color w:val="000000"/>
                <w:spacing w:val="0"/>
                <w:w w:val="100"/>
                <w:position w:val="0"/>
              </w:rPr>
              <w:t>303</w:t>
            </w:r>
            <w:r>
              <w:rPr>
                <w:color w:val="000000"/>
                <w:spacing w:val="0"/>
                <w:w w:val="100"/>
                <w:position w:val="0"/>
              </w:rPr>
              <w:t>室</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上海市青浦区汇联路</w:t>
            </w:r>
            <w:r>
              <w:rPr>
                <w:rFonts w:ascii="Times New Roman" w:eastAsia="Times New Roman" w:hAnsi="Times New Roman" w:cs="Times New Roman"/>
                <w:color w:val="000000"/>
                <w:spacing w:val="0"/>
                <w:w w:val="100"/>
                <w:position w:val="0"/>
              </w:rPr>
              <w:t>33</w:t>
            </w:r>
            <w:r>
              <w:rPr>
                <w:color w:val="000000"/>
                <w:spacing w:val="0"/>
                <w:w w:val="100"/>
                <w:position w:val="0"/>
              </w:rPr>
              <w:t>号</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"http://www.hand-china" </w:instrText>
            </w:r>
            <w:r>
              <w:fldChar w:fldCharType="separate"/>
            </w:r>
            <w:r>
              <w:rPr>
                <w:rFonts w:ascii="Times New Roman" w:eastAsia="Times New Roman" w:hAnsi="Times New Roman" w:cs="Times New Roman"/>
                <w:color w:val="000000"/>
                <w:spacing w:val="0"/>
                <w:w w:val="100"/>
                <w:position w:val="0"/>
              </w:rPr>
              <w:t>http://www.hand-china</w:t>
            </w:r>
            <w:r>
              <w:fldChar w:fldCharType="end"/>
            </w:r>
            <w:r>
              <w:rPr>
                <w:rFonts w:ascii="Times New Roman" w:eastAsia="Times New Roman" w:hAnsi="Times New Roman" w:cs="Times New Roman"/>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rPr>
              <w:t>investors@vip.hand-china.com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李西平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上海市青浦区汇联路</w:t>
            </w:r>
            <w:r>
              <w:rPr>
                <w:rFonts w:ascii="Times New Roman" w:eastAsia="Times New Roman" w:hAnsi="Times New Roman" w:cs="Times New Roman"/>
                <w:color w:val="000000"/>
                <w:spacing w:val="0"/>
                <w:w w:val="100"/>
                <w:position w:val="0"/>
              </w:rPr>
              <w:t>33</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上海市青浦区汇联路</w:t>
            </w:r>
            <w:r>
              <w:rPr>
                <w:rFonts w:ascii="Times New Roman" w:eastAsia="Times New Roman" w:hAnsi="Times New Roman" w:cs="Times New Roman"/>
                <w:color w:val="000000"/>
                <w:spacing w:val="0"/>
                <w:w w:val="100"/>
                <w:position w:val="0"/>
              </w:rPr>
              <w:t>33</w:t>
            </w:r>
            <w:r>
              <w:rPr>
                <w:color w:val="000000"/>
                <w:spacing w:val="0"/>
                <w:w w:val="100"/>
                <w:position w:val="0"/>
              </w:rPr>
              <w:t>号</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021-67002300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021-50177372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021-59800969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021-59800969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sherry.li@hand-china. com</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"mailto:investors@vip.hand-china.com" </w:instrText>
            </w:r>
            <w:r>
              <w:fldChar w:fldCharType="separate"/>
            </w:r>
            <w:r>
              <w:rPr>
                <w:rFonts w:ascii="Times New Roman" w:eastAsia="Times New Roman" w:hAnsi="Times New Roman" w:cs="Times New Roman"/>
                <w:color w:val="000000"/>
                <w:spacing w:val="0"/>
                <w:w w:val="100"/>
                <w:position w:val="0"/>
              </w:rPr>
              <w:t>investors@vip.hand-china.com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上海市青浦区汇联路</w:t>
            </w:r>
            <w:r>
              <w:rPr>
                <w:rFonts w:ascii="Times New Roman" w:eastAsia="Times New Roman" w:hAnsi="Times New Roman" w:cs="Times New Roman"/>
                <w:color w:val="000000"/>
                <w:spacing w:val="0"/>
                <w:w w:val="100"/>
                <w:position w:val="0"/>
              </w:rPr>
              <w:t>33</w:t>
            </w:r>
            <w:r>
              <w:rPr>
                <w:color w:val="000000"/>
                <w:spacing w:val="0"/>
                <w:w w:val="100"/>
                <w:position w:val="0"/>
              </w:rPr>
              <w:t>号</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上海市四川中路</w:t>
            </w:r>
            <w:r>
              <w:rPr>
                <w:rFonts w:ascii="Times New Roman" w:eastAsia="Times New Roman" w:hAnsi="Times New Roman" w:cs="Times New Roman"/>
                <w:color w:val="000000"/>
                <w:spacing w:val="0"/>
                <w:w w:val="100"/>
                <w:position w:val="0"/>
              </w:rPr>
              <w:t>213</w:t>
            </w:r>
            <w:r>
              <w:rPr>
                <w:color w:val="000000"/>
                <w:spacing w:val="0"/>
                <w:w w:val="100"/>
                <w:position w:val="0"/>
              </w:rPr>
              <w:t>号久事商务大厦</w:t>
            </w:r>
            <w:r>
              <w:rPr>
                <w:rFonts w:ascii="Times New Roman" w:eastAsia="Times New Roman" w:hAnsi="Times New Roman" w:cs="Times New Roman"/>
                <w:color w:val="000000"/>
                <w:spacing w:val="0"/>
                <w:w w:val="100"/>
                <w:position w:val="0"/>
              </w:rPr>
              <w:t>6</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顾雪峰、何剑</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2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1,710,218,028.51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1,218,798,082.68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1,009,023,906.20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241,382,013.60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214,240,021.65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177,302,356.33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220,244,766.13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191,468,659.61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160,644,345.43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-270,460,681.06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206,128,153.69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60,535,594.27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2,637,265,339.69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2,108,380,164.71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1,758,935,092.98</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2,064,546,600.18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1,731,909,030.76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1,435,089,488.06</w:t>
            </w:r>
          </w:p>
        </w:tc>
      </w:tr>
    </w:tbl>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0.2814</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295,340,586.69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426,408,559.93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439,782,541.33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548,686,340.56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41,693,825.12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63,450,106.90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60,635,903.63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75,602,177.95</w:t>
            </w:r>
          </w:p>
        </w:tc>
      </w:tr>
    </w:tbl>
    <w:p>
      <w:pPr>
        <w:spacing w:lineRule="exact" w:line="1"/>
        <w:rPr>
          <w:sz w:val="2"/>
          <w:szCs w:val="2"/>
        </w:rPr>
      </w:pPr>
      <w:r>
        <w:br w:type="page"/>
      </w:r>
    </w:p>
    <w:tbl>
      <w:tblPr>
        <w:tblOverlap w:val="never"/>
        <w:jc w:val="center"/>
        <w:tblLayout w:type="fixed"/>
      </w:tblPr>
      <w:tblGrid>
        <w:gridCol w:w="2626"/>
        <w:gridCol w:w="1738"/>
        <w:gridCol w:w="1738"/>
        <w:gridCol w:w="1742"/>
        <w:gridCol w:w="1738"/>
      </w:tblGrid>
      <w:tr>
        <w:trPr>
          <w:trHeight w:val="72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36,163,504.87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57,623,912.72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57,274,711.64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69,182,636.90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-225,029,817.86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5,082,618.13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-30,289,221.84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-20,224,259.49</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tabs>
          <w:tab w:pos="526"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26"/>
        <w:keepNext/>
        <w:keepLines/>
        <w:widowControl w:val="0"/>
        <w:shd w:val="clear" w:color="auto" w:fill="auto"/>
        <w:tabs>
          <w:tab w:pos="408"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8" w:val="left"/>
        </w:tabs>
        <w:bidi w:val="0"/>
        <w:spacing w:before="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6"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-39,226.23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-97,604.17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-138,780.14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30,177,441.18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27,186,759.43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16,129,888.78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-5,377,499.81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2,528,561.00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361,505.38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372,291.98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3,882,446.79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4,104,895.34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1,874,573.24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102,526.26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585,189.86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8,374.90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21,137,247.47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22,771,362.04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16,658,010.90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号——非经常性损益》中列举的非经常性损益项目界定为经常性损益的项目，应 </w:t>
      </w:r>
      <w:r>
        <w:rPr>
          <w:color w:val="000000"/>
          <w:spacing w:val="0"/>
          <w:w w:val="100"/>
          <w:position w:val="0"/>
        </w:rPr>
        <w:t>说明原因</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83" w:right="1123" w:bottom="1527"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80" w:after="36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1"/>
        <w:keepNext/>
        <w:keepLines/>
        <w:widowControl w:val="0"/>
        <w:shd w:val="clear" w:color="auto" w:fill="auto"/>
        <w:bidi w:val="0"/>
        <w:spacing w:before="0" w:after="360" w:line="472" w:lineRule="exact"/>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472" w:lineRule="exact"/>
        <w:ind w:left="0" w:right="0" w:firstLine="0"/>
        <w:jc w:val="left"/>
      </w:pPr>
      <w:bookmarkStart w:id="64" w:name="bookmark64"/>
      <w:r>
        <w:rPr>
          <w:color w:val="000000"/>
          <w:spacing w:val="0"/>
          <w:w w:val="100"/>
          <w:position w:val="0"/>
          <w:sz w:val="24"/>
          <w:szCs w:val="24"/>
        </w:rPr>
        <w:t>（</w:t>
      </w:r>
      <w:bookmarkEnd w:id="64"/>
      <w:r>
        <w:rPr>
          <w:color w:val="000000"/>
          <w:spacing w:val="0"/>
          <w:w w:val="100"/>
          <w:position w:val="0"/>
          <w:sz w:val="24"/>
          <w:szCs w:val="24"/>
        </w:rPr>
        <w:t>一）公司的主要产品和服务：</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公司是国内最早从事</w:t>
      </w:r>
      <w:r>
        <w:rPr>
          <w:color w:val="000000"/>
          <w:spacing w:val="0"/>
          <w:w w:val="100"/>
          <w:position w:val="0"/>
          <w:sz w:val="24"/>
          <w:szCs w:val="24"/>
        </w:rPr>
        <w:t>ERP</w:t>
      </w:r>
      <w:r>
        <w:rPr>
          <w:color w:val="000000"/>
          <w:spacing w:val="0"/>
          <w:w w:val="100"/>
          <w:position w:val="0"/>
          <w:sz w:val="24"/>
          <w:szCs w:val="24"/>
        </w:rPr>
        <w:t>实施服务的专业咨询公司之一，多年来专注于高端</w:t>
      </w:r>
      <w:r>
        <w:rPr>
          <w:color w:val="000000"/>
          <w:spacing w:val="0"/>
          <w:w w:val="100"/>
          <w:position w:val="0"/>
          <w:sz w:val="24"/>
          <w:szCs w:val="24"/>
        </w:rPr>
        <w:t>ERP</w:t>
      </w:r>
      <w:r>
        <w:rPr>
          <w:color w:val="000000"/>
          <w:spacing w:val="0"/>
          <w:w w:val="100"/>
          <w:position w:val="0"/>
          <w:sz w:val="24"/>
          <w:szCs w:val="24"/>
        </w:rPr>
        <w:t>实施服 务领域，通过多年的技术创新和市场开拓，公司</w:t>
      </w:r>
      <w:r>
        <w:rPr>
          <w:color w:val="000000"/>
          <w:spacing w:val="0"/>
          <w:w w:val="100"/>
          <w:position w:val="0"/>
          <w:sz w:val="24"/>
          <w:szCs w:val="24"/>
        </w:rPr>
        <w:t>ERP</w:t>
      </w:r>
      <w:r>
        <w:rPr>
          <w:color w:val="000000"/>
          <w:spacing w:val="0"/>
          <w:w w:val="100"/>
          <w:position w:val="0"/>
          <w:sz w:val="24"/>
          <w:szCs w:val="24"/>
        </w:rPr>
        <w:t>实施经验、专业技术和服务能力已居于国 内领先水平。近几年随着智能制造、云计算、大数据、移动互联网等技术的兴起和发展，以 及</w:t>
      </w:r>
      <w:r>
        <w:rPr>
          <w:color w:val="000000"/>
          <w:spacing w:val="0"/>
          <w:w w:val="100"/>
          <w:position w:val="0"/>
          <w:sz w:val="24"/>
          <w:szCs w:val="24"/>
        </w:rPr>
        <w:t>SAP Hybris、</w:t>
      </w:r>
      <w:r>
        <w:rPr>
          <w:color w:val="000000"/>
          <w:spacing w:val="0"/>
          <w:w w:val="100"/>
          <w:position w:val="0"/>
          <w:sz w:val="24"/>
          <w:szCs w:val="24"/>
        </w:rPr>
        <w:t>微软</w:t>
      </w:r>
      <w:r>
        <w:rPr>
          <w:color w:val="000000"/>
          <w:spacing w:val="0"/>
          <w:w w:val="100"/>
          <w:position w:val="0"/>
          <w:sz w:val="24"/>
          <w:szCs w:val="24"/>
        </w:rPr>
        <w:t>Dynamics</w:t>
      </w:r>
      <w:r>
        <w:rPr>
          <w:color w:val="000000"/>
          <w:spacing w:val="0"/>
          <w:w w:val="100"/>
          <w:position w:val="0"/>
          <w:sz w:val="24"/>
          <w:szCs w:val="24"/>
        </w:rPr>
        <w:t>等非</w:t>
      </w:r>
      <w:r>
        <w:rPr>
          <w:color w:val="000000"/>
          <w:spacing w:val="0"/>
          <w:w w:val="100"/>
          <w:position w:val="0"/>
          <w:sz w:val="24"/>
          <w:szCs w:val="24"/>
        </w:rPr>
        <w:t>ERP</w:t>
      </w:r>
      <w:r>
        <w:rPr>
          <w:color w:val="000000"/>
          <w:spacing w:val="0"/>
          <w:w w:val="100"/>
          <w:position w:val="0"/>
          <w:sz w:val="24"/>
          <w:szCs w:val="24"/>
        </w:rPr>
        <w:t>套装软件的应用，公司为适应企业客户不断发展的</w:t>
      </w:r>
      <w:r>
        <w:rPr>
          <w:color w:val="000000"/>
          <w:spacing w:val="0"/>
          <w:w w:val="100"/>
          <w:position w:val="0"/>
          <w:sz w:val="24"/>
          <w:szCs w:val="24"/>
        </w:rPr>
        <w:t xml:space="preserve">IT </w:t>
      </w:r>
      <w:r>
        <w:rPr>
          <w:color w:val="000000"/>
          <w:spacing w:val="0"/>
          <w:w w:val="100"/>
          <w:position w:val="0"/>
          <w:sz w:val="24"/>
          <w:szCs w:val="24"/>
        </w:rPr>
        <w:t>需求而持续丰富完善自身信息化咨询服务能力，在这些新兴领域和新兴产品上加大了研发和 资源投入，使得公司的服务领域也随之不断延伸。</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报告期内，公司提供的主要产品及服务如下：</w:t>
      </w:r>
    </w:p>
    <w:p>
      <w:pPr>
        <w:pStyle w:val="Style30"/>
        <w:keepNext w:val="0"/>
        <w:keepLines w:val="0"/>
        <w:widowControl w:val="0"/>
        <w:shd w:val="clear" w:color="auto" w:fill="auto"/>
        <w:tabs>
          <w:tab w:pos="1127" w:val="left"/>
        </w:tabs>
        <w:bidi w:val="0"/>
        <w:spacing w:before="0" w:after="0" w:line="472" w:lineRule="exact"/>
        <w:ind w:left="0" w:right="0" w:firstLine="480"/>
        <w:jc w:val="both"/>
      </w:pPr>
      <w:bookmarkStart w:id="65" w:name="bookmark65"/>
      <w:r>
        <w:rPr>
          <w:color w:val="000000"/>
          <w:spacing w:val="0"/>
          <w:w w:val="100"/>
          <w:position w:val="0"/>
          <w:sz w:val="24"/>
          <w:szCs w:val="24"/>
        </w:rPr>
        <w:t>（</w:t>
      </w:r>
      <w:bookmarkEnd w:id="65"/>
      <w:r>
        <w:rPr>
          <w:color w:val="000000"/>
          <w:spacing w:val="0"/>
          <w:w w:val="100"/>
          <w:position w:val="0"/>
          <w:sz w:val="24"/>
          <w:szCs w:val="24"/>
        </w:rPr>
        <w:t>1）</w:t>
        <w:tab/>
        <w:t>高端</w:t>
      </w:r>
      <w:r>
        <w:rPr>
          <w:color w:val="000000"/>
          <w:spacing w:val="0"/>
          <w:w w:val="100"/>
          <w:position w:val="0"/>
          <w:sz w:val="24"/>
          <w:szCs w:val="24"/>
        </w:rPr>
        <w:t>ERP</w:t>
      </w:r>
      <w:r>
        <w:rPr>
          <w:color w:val="000000"/>
          <w:spacing w:val="0"/>
          <w:w w:val="100"/>
          <w:position w:val="0"/>
          <w:sz w:val="24"/>
          <w:szCs w:val="24"/>
        </w:rPr>
        <w:t>实施服务。主要是以</w:t>
      </w:r>
      <w:r>
        <w:rPr>
          <w:color w:val="000000"/>
          <w:spacing w:val="0"/>
          <w:w w:val="100"/>
          <w:position w:val="0"/>
          <w:sz w:val="24"/>
          <w:szCs w:val="24"/>
        </w:rPr>
        <w:t>SAP</w:t>
      </w:r>
      <w:r>
        <w:rPr>
          <w:color w:val="000000"/>
          <w:spacing w:val="0"/>
          <w:w w:val="100"/>
          <w:position w:val="0"/>
          <w:sz w:val="24"/>
          <w:szCs w:val="24"/>
        </w:rPr>
        <w:t>和</w:t>
      </w:r>
      <w:r>
        <w:rPr>
          <w:color w:val="000000"/>
          <w:spacing w:val="0"/>
          <w:w w:val="100"/>
          <w:position w:val="0"/>
          <w:sz w:val="24"/>
          <w:szCs w:val="24"/>
        </w:rPr>
        <w:t>Oracle</w:t>
      </w:r>
      <w:r>
        <w:rPr>
          <w:color w:val="000000"/>
          <w:spacing w:val="0"/>
          <w:w w:val="100"/>
          <w:position w:val="0"/>
          <w:sz w:val="24"/>
          <w:szCs w:val="24"/>
        </w:rPr>
        <w:t>为代表的大型</w:t>
      </w:r>
      <w:r>
        <w:rPr>
          <w:color w:val="000000"/>
          <w:spacing w:val="0"/>
          <w:w w:val="100"/>
          <w:position w:val="0"/>
          <w:sz w:val="24"/>
          <w:szCs w:val="24"/>
        </w:rPr>
        <w:t>ERP</w:t>
      </w:r>
      <w:r>
        <w:rPr>
          <w:color w:val="000000"/>
          <w:spacing w:val="0"/>
          <w:w w:val="100"/>
          <w:position w:val="0"/>
          <w:sz w:val="24"/>
          <w:szCs w:val="24"/>
        </w:rPr>
        <w:t xml:space="preserve">软件的实施服务，包括 </w:t>
      </w:r>
      <w:r>
        <w:rPr>
          <w:color w:val="000000"/>
          <w:spacing w:val="0"/>
          <w:w w:val="100"/>
          <w:position w:val="0"/>
          <w:sz w:val="24"/>
          <w:szCs w:val="24"/>
        </w:rPr>
        <w:t>ERP</w:t>
      </w:r>
      <w:r>
        <w:rPr>
          <w:color w:val="000000"/>
          <w:spacing w:val="0"/>
          <w:w w:val="100"/>
          <w:position w:val="0"/>
          <w:sz w:val="24"/>
          <w:szCs w:val="24"/>
        </w:rPr>
        <w:t>软件相关的系统规划、流程梳理、业务蓝图设计、软件部署、上线以及实施过程中的培训、 配置、开发等工作。</w:t>
      </w:r>
    </w:p>
    <w:p>
      <w:pPr>
        <w:pStyle w:val="Style30"/>
        <w:keepNext w:val="0"/>
        <w:keepLines w:val="0"/>
        <w:widowControl w:val="0"/>
        <w:shd w:val="clear" w:color="auto" w:fill="auto"/>
        <w:tabs>
          <w:tab w:pos="1118" w:val="left"/>
        </w:tabs>
        <w:bidi w:val="0"/>
        <w:spacing w:before="0" w:after="0" w:line="472" w:lineRule="exact"/>
        <w:ind w:left="0" w:right="0" w:firstLine="480"/>
        <w:jc w:val="both"/>
      </w:pPr>
      <w:bookmarkStart w:id="66" w:name="bookmark66"/>
      <w:r>
        <w:rPr>
          <w:color w:val="000000"/>
          <w:spacing w:val="0"/>
          <w:w w:val="100"/>
          <w:position w:val="0"/>
          <w:sz w:val="24"/>
          <w:szCs w:val="24"/>
        </w:rPr>
        <w:t>（</w:t>
      </w:r>
      <w:bookmarkEnd w:id="66"/>
      <w:r>
        <w:rPr>
          <w:color w:val="000000"/>
          <w:spacing w:val="0"/>
          <w:w w:val="100"/>
          <w:position w:val="0"/>
          <w:sz w:val="24"/>
          <w:szCs w:val="24"/>
        </w:rPr>
        <w:t>2）</w:t>
        <w:tab/>
        <w:t>其他套装软件实施服务。除高端</w:t>
      </w:r>
      <w:r>
        <w:rPr>
          <w:color w:val="000000"/>
          <w:spacing w:val="0"/>
          <w:w w:val="100"/>
          <w:position w:val="0"/>
          <w:sz w:val="24"/>
          <w:szCs w:val="24"/>
        </w:rPr>
        <w:t>ERP</w:t>
      </w:r>
      <w:r>
        <w:rPr>
          <w:color w:val="000000"/>
          <w:spacing w:val="0"/>
          <w:w w:val="100"/>
          <w:position w:val="0"/>
          <w:sz w:val="24"/>
          <w:szCs w:val="24"/>
        </w:rPr>
        <w:t>软件外，企业信息化往往还需要应用其他套装 软件，比如</w:t>
      </w:r>
      <w:r>
        <w:rPr>
          <w:color w:val="000000"/>
          <w:spacing w:val="0"/>
          <w:w w:val="100"/>
          <w:position w:val="0"/>
          <w:sz w:val="24"/>
          <w:szCs w:val="24"/>
        </w:rPr>
        <w:t>CRM</w:t>
      </w:r>
      <w:r>
        <w:rPr>
          <w:color w:val="000000"/>
          <w:spacing w:val="0"/>
          <w:w w:val="100"/>
          <w:position w:val="0"/>
          <w:sz w:val="24"/>
          <w:szCs w:val="24"/>
        </w:rPr>
        <w:t>客户关系管理</w:t>
      </w:r>
      <w:r>
        <w:rPr>
          <w:color w:val="000000"/>
          <w:spacing w:val="0"/>
          <w:w w:val="100"/>
          <w:position w:val="0"/>
          <w:sz w:val="24"/>
          <w:szCs w:val="24"/>
        </w:rPr>
        <w:t>、HR</w:t>
      </w:r>
      <w:r>
        <w:rPr>
          <w:color w:val="000000"/>
          <w:spacing w:val="0"/>
          <w:w w:val="100"/>
          <w:position w:val="0"/>
          <w:sz w:val="24"/>
          <w:szCs w:val="24"/>
        </w:rPr>
        <w:t>人力资源管理、</w:t>
      </w:r>
      <w:r>
        <w:rPr>
          <w:color w:val="000000"/>
          <w:spacing w:val="0"/>
          <w:w w:val="100"/>
          <w:position w:val="0"/>
          <w:sz w:val="24"/>
          <w:szCs w:val="24"/>
        </w:rPr>
        <w:t>EPM</w:t>
      </w:r>
      <w:r>
        <w:rPr>
          <w:color w:val="000000"/>
          <w:spacing w:val="0"/>
          <w:w w:val="100"/>
          <w:position w:val="0"/>
          <w:sz w:val="24"/>
          <w:szCs w:val="24"/>
        </w:rPr>
        <w:t>企业绩效管理系统</w:t>
      </w:r>
      <w:r>
        <w:rPr>
          <w:color w:val="000000"/>
          <w:spacing w:val="0"/>
          <w:w w:val="100"/>
          <w:position w:val="0"/>
          <w:sz w:val="24"/>
          <w:szCs w:val="24"/>
        </w:rPr>
        <w:t>、BI</w:t>
      </w:r>
      <w:r>
        <w:rPr>
          <w:color w:val="000000"/>
          <w:spacing w:val="0"/>
          <w:w w:val="100"/>
          <w:position w:val="0"/>
          <w:sz w:val="24"/>
          <w:szCs w:val="24"/>
        </w:rPr>
        <w:t>商务智能分析系 统等，公司也提供这一类套装软件的实施服务，上述实施服务的套装软件中部分为</w:t>
      </w:r>
      <w:r>
        <w:rPr>
          <w:color w:val="000000"/>
          <w:spacing w:val="0"/>
          <w:w w:val="100"/>
          <w:position w:val="0"/>
          <w:sz w:val="24"/>
          <w:szCs w:val="24"/>
        </w:rPr>
        <w:t>oracle、 SAP</w:t>
      </w:r>
      <w:r>
        <w:rPr>
          <w:color w:val="000000"/>
          <w:spacing w:val="0"/>
          <w:w w:val="100"/>
          <w:position w:val="0"/>
          <w:sz w:val="24"/>
          <w:szCs w:val="24"/>
        </w:rPr>
        <w:t>等国际软件厂商的产品，部分为公司自主研发的产品。</w:t>
      </w:r>
    </w:p>
    <w:p>
      <w:pPr>
        <w:pStyle w:val="Style30"/>
        <w:keepNext w:val="0"/>
        <w:keepLines w:val="0"/>
        <w:widowControl w:val="0"/>
        <w:shd w:val="clear" w:color="auto" w:fill="auto"/>
        <w:tabs>
          <w:tab w:pos="1123" w:val="left"/>
        </w:tabs>
        <w:bidi w:val="0"/>
        <w:spacing w:before="0" w:after="0" w:line="472" w:lineRule="exact"/>
        <w:ind w:left="0" w:right="0" w:firstLine="480"/>
        <w:jc w:val="both"/>
      </w:pPr>
      <w:bookmarkStart w:id="67" w:name="bookmark67"/>
      <w:r>
        <w:rPr>
          <w:color w:val="000000"/>
          <w:spacing w:val="0"/>
          <w:w w:val="100"/>
          <w:position w:val="0"/>
          <w:sz w:val="24"/>
          <w:szCs w:val="24"/>
        </w:rPr>
        <w:t>（</w:t>
      </w:r>
      <w:bookmarkEnd w:id="67"/>
      <w:r>
        <w:rPr>
          <w:color w:val="000000"/>
          <w:spacing w:val="0"/>
          <w:w w:val="100"/>
          <w:position w:val="0"/>
          <w:sz w:val="24"/>
          <w:szCs w:val="24"/>
        </w:rPr>
        <w:t>3）</w:t>
        <w:tab/>
      </w:r>
      <w:r>
        <w:rPr>
          <w:color w:val="000000"/>
          <w:spacing w:val="0"/>
          <w:w w:val="100"/>
          <w:position w:val="0"/>
          <w:sz w:val="24"/>
          <w:szCs w:val="24"/>
        </w:rPr>
        <w:t>ERP</w:t>
      </w:r>
      <w:r>
        <w:rPr>
          <w:color w:val="000000"/>
          <w:spacing w:val="0"/>
          <w:w w:val="100"/>
          <w:position w:val="0"/>
          <w:sz w:val="24"/>
          <w:szCs w:val="24"/>
        </w:rPr>
        <w:t>软件外包服务。主要是以基于</w:t>
      </w:r>
      <w:r>
        <w:rPr>
          <w:color w:val="000000"/>
          <w:spacing w:val="0"/>
          <w:w w:val="100"/>
          <w:position w:val="0"/>
          <w:sz w:val="24"/>
          <w:szCs w:val="24"/>
        </w:rPr>
        <w:t>Oracle、SAP</w:t>
      </w:r>
      <w:r>
        <w:rPr>
          <w:color w:val="000000"/>
          <w:spacing w:val="0"/>
          <w:w w:val="100"/>
          <w:position w:val="0"/>
          <w:sz w:val="24"/>
          <w:szCs w:val="24"/>
        </w:rPr>
        <w:t>等软件平台的二次开发为主，业务涵 盖财务、制造、供应链、人力资源等企业应用领域；此外，还包括一些</w:t>
      </w:r>
      <w:r>
        <w:rPr>
          <w:color w:val="000000"/>
          <w:spacing w:val="0"/>
          <w:w w:val="100"/>
          <w:position w:val="0"/>
          <w:sz w:val="24"/>
          <w:szCs w:val="24"/>
        </w:rPr>
        <w:t xml:space="preserve">Java、RPG、Intramart </w:t>
      </w:r>
      <w:r>
        <w:rPr>
          <w:color w:val="000000"/>
          <w:spacing w:val="0"/>
          <w:w w:val="100"/>
          <w:position w:val="0"/>
          <w:sz w:val="24"/>
          <w:szCs w:val="24"/>
        </w:rPr>
        <w:t>等开发语言的技术外包工作。</w:t>
      </w:r>
    </w:p>
    <w:p>
      <w:pPr>
        <w:pStyle w:val="Style30"/>
        <w:keepNext w:val="0"/>
        <w:keepLines w:val="0"/>
        <w:widowControl w:val="0"/>
        <w:shd w:val="clear" w:color="auto" w:fill="auto"/>
        <w:tabs>
          <w:tab w:pos="1123" w:val="left"/>
        </w:tabs>
        <w:bidi w:val="0"/>
        <w:spacing w:before="0" w:after="0" w:line="472" w:lineRule="exact"/>
        <w:ind w:left="0" w:right="0" w:firstLine="480"/>
        <w:jc w:val="both"/>
      </w:pPr>
      <w:bookmarkStart w:id="68" w:name="bookmark68"/>
      <w:r>
        <w:rPr>
          <w:color w:val="000000"/>
          <w:spacing w:val="0"/>
          <w:w w:val="100"/>
          <w:position w:val="0"/>
          <w:sz w:val="24"/>
          <w:szCs w:val="24"/>
        </w:rPr>
        <w:t>（</w:t>
      </w:r>
      <w:bookmarkEnd w:id="68"/>
      <w:r>
        <w:rPr>
          <w:color w:val="000000"/>
          <w:spacing w:val="0"/>
          <w:w w:val="100"/>
          <w:position w:val="0"/>
          <w:sz w:val="24"/>
          <w:szCs w:val="24"/>
        </w:rPr>
        <w:t>4）</w:t>
        <w:tab/>
      </w:r>
      <w:r>
        <w:rPr>
          <w:color w:val="000000"/>
          <w:spacing w:val="0"/>
          <w:w w:val="100"/>
          <w:position w:val="0"/>
          <w:sz w:val="24"/>
          <w:szCs w:val="24"/>
        </w:rPr>
        <w:t>IT</w:t>
      </w:r>
      <w:r>
        <w:rPr>
          <w:color w:val="000000"/>
          <w:spacing w:val="0"/>
          <w:w w:val="100"/>
          <w:position w:val="0"/>
          <w:sz w:val="24"/>
          <w:szCs w:val="24"/>
        </w:rPr>
        <w:t>资源外包服务。主要是面向日本客户和部分国内大型企业客户，提供纯</w:t>
      </w:r>
      <w:r>
        <w:rPr>
          <w:color w:val="000000"/>
          <w:spacing w:val="0"/>
          <w:w w:val="100"/>
          <w:position w:val="0"/>
          <w:sz w:val="24"/>
          <w:szCs w:val="24"/>
        </w:rPr>
        <w:t>IT</w:t>
      </w:r>
      <w:r>
        <w:rPr>
          <w:color w:val="000000"/>
          <w:spacing w:val="0"/>
          <w:w w:val="100"/>
          <w:position w:val="0"/>
          <w:sz w:val="24"/>
          <w:szCs w:val="24"/>
        </w:rPr>
        <w:t>人力资 源的外包服务。</w:t>
      </w:r>
    </w:p>
    <w:p>
      <w:pPr>
        <w:pStyle w:val="Style30"/>
        <w:keepNext w:val="0"/>
        <w:keepLines w:val="0"/>
        <w:widowControl w:val="0"/>
        <w:shd w:val="clear" w:color="auto" w:fill="auto"/>
        <w:tabs>
          <w:tab w:pos="1123" w:val="left"/>
        </w:tabs>
        <w:bidi w:val="0"/>
        <w:spacing w:before="0" w:after="360" w:line="475" w:lineRule="exact"/>
        <w:ind w:left="0" w:right="0" w:firstLine="480"/>
        <w:jc w:val="both"/>
      </w:pPr>
      <w:bookmarkStart w:id="69" w:name="bookmark69"/>
      <w:r>
        <w:rPr>
          <w:color w:val="000000"/>
          <w:spacing w:val="0"/>
          <w:w w:val="100"/>
          <w:position w:val="0"/>
          <w:sz w:val="24"/>
          <w:szCs w:val="24"/>
        </w:rPr>
        <w:t>（</w:t>
      </w:r>
      <w:bookmarkEnd w:id="69"/>
      <w:r>
        <w:rPr>
          <w:color w:val="000000"/>
          <w:spacing w:val="0"/>
          <w:w w:val="100"/>
          <w:position w:val="0"/>
          <w:sz w:val="24"/>
          <w:szCs w:val="24"/>
        </w:rPr>
        <w:t>5）</w:t>
        <w:tab/>
        <w:t>应用系统运营和维护服务。通常大中型企业客户在进行了大规模的的</w:t>
      </w:r>
      <w:r>
        <w:rPr>
          <w:color w:val="000000"/>
          <w:spacing w:val="0"/>
          <w:w w:val="100"/>
          <w:position w:val="0"/>
          <w:sz w:val="24"/>
          <w:szCs w:val="24"/>
        </w:rPr>
        <w:t>ERP</w:t>
      </w:r>
      <w:r>
        <w:rPr>
          <w:color w:val="000000"/>
          <w:spacing w:val="0"/>
          <w:w w:val="100"/>
          <w:position w:val="0"/>
          <w:sz w:val="24"/>
          <w:szCs w:val="24"/>
        </w:rPr>
        <w:t>系统信息 化建设后，由于</w:t>
      </w:r>
      <w:r>
        <w:rPr>
          <w:color w:val="000000"/>
          <w:spacing w:val="0"/>
          <w:w w:val="100"/>
          <w:position w:val="0"/>
          <w:sz w:val="24"/>
          <w:szCs w:val="24"/>
        </w:rPr>
        <w:t>ERP</w:t>
      </w:r>
      <w:r>
        <w:rPr>
          <w:color w:val="000000"/>
          <w:spacing w:val="0"/>
          <w:w w:val="100"/>
          <w:position w:val="0"/>
          <w:sz w:val="24"/>
          <w:szCs w:val="24"/>
        </w:rPr>
        <w:t>等相关企业信息平台的专业性和复杂性，这些客户往往需要</w:t>
      </w:r>
      <w:r>
        <w:rPr>
          <w:color w:val="000000"/>
          <w:spacing w:val="0"/>
          <w:w w:val="100"/>
          <w:position w:val="0"/>
          <w:sz w:val="24"/>
          <w:szCs w:val="24"/>
        </w:rPr>
        <w:t>IT</w:t>
      </w:r>
      <w:r>
        <w:rPr>
          <w:color w:val="000000"/>
          <w:spacing w:val="0"/>
          <w:w w:val="100"/>
          <w:position w:val="0"/>
          <w:sz w:val="24"/>
          <w:szCs w:val="24"/>
        </w:rPr>
        <w:t>服务商提供 长期的系统运维支持。公司设立专业的团队，以面向全球市场，提供</w:t>
      </w:r>
      <w:r>
        <w:rPr>
          <w:color w:val="000000"/>
          <w:spacing w:val="0"/>
          <w:w w:val="100"/>
          <w:position w:val="0"/>
          <w:sz w:val="24"/>
          <w:szCs w:val="24"/>
        </w:rPr>
        <w:t>7*24</w:t>
      </w:r>
      <w:r>
        <w:rPr>
          <w:color w:val="000000"/>
          <w:spacing w:val="0"/>
          <w:w w:val="100"/>
          <w:position w:val="0"/>
          <w:sz w:val="24"/>
          <w:szCs w:val="24"/>
        </w:rPr>
        <w:t>小时的、基于服务 级别的信息化整体运营和维护服务。</w:t>
      </w:r>
    </w:p>
    <w:p>
      <w:pPr>
        <w:pStyle w:val="Style30"/>
        <w:keepNext w:val="0"/>
        <w:keepLines w:val="0"/>
        <w:widowControl w:val="0"/>
        <w:shd w:val="clear" w:color="auto" w:fill="auto"/>
        <w:tabs>
          <w:tab w:pos="1115" w:val="left"/>
        </w:tabs>
        <w:bidi w:val="0"/>
        <w:spacing w:before="0" w:after="0" w:line="471" w:lineRule="exact"/>
        <w:ind w:left="0" w:right="0" w:firstLine="480"/>
        <w:jc w:val="both"/>
      </w:pPr>
      <w:bookmarkStart w:id="70" w:name="bookmark70"/>
      <w:r>
        <w:rPr>
          <w:color w:val="000000"/>
          <w:spacing w:val="0"/>
          <w:w w:val="100"/>
          <w:position w:val="0"/>
          <w:sz w:val="24"/>
          <w:szCs w:val="24"/>
        </w:rPr>
        <w:t>（</w:t>
      </w:r>
      <w:bookmarkEnd w:id="70"/>
      <w:r>
        <w:rPr>
          <w:color w:val="000000"/>
          <w:spacing w:val="0"/>
          <w:w w:val="100"/>
          <w:position w:val="0"/>
          <w:sz w:val="24"/>
          <w:szCs w:val="24"/>
        </w:rPr>
        <w:t>6）</w:t>
        <w:tab/>
        <w:t>自主研发产品及创新业务。在为企业客户提供信息化服务的过程中，公司基于对企 业管理痛点和信息化需求的深刻理解，形成了丰富的可落地的解决方案，积累了大量的产品 研发和业务创新经验，并初步形成了内部孵化的创新模式。公司目前的创新业务主要包括供 应链金融、汇联易、共享服务等。</w:t>
      </w:r>
    </w:p>
    <w:p>
      <w:pPr>
        <w:pStyle w:val="Style30"/>
        <w:keepNext w:val="0"/>
        <w:keepLines w:val="0"/>
        <w:widowControl w:val="0"/>
        <w:shd w:val="clear" w:color="auto" w:fill="auto"/>
        <w:tabs>
          <w:tab w:pos="1115" w:val="left"/>
        </w:tabs>
        <w:bidi w:val="0"/>
        <w:spacing w:before="0" w:after="0" w:line="471" w:lineRule="exact"/>
        <w:ind w:left="0" w:right="0" w:firstLine="480"/>
        <w:jc w:val="both"/>
      </w:pPr>
      <w:bookmarkStart w:id="71" w:name="bookmark71"/>
      <w:r>
        <w:rPr>
          <w:color w:val="000000"/>
          <w:spacing w:val="0"/>
          <w:w w:val="100"/>
          <w:position w:val="0"/>
          <w:sz w:val="24"/>
          <w:szCs w:val="24"/>
        </w:rPr>
        <w:t>（</w:t>
      </w:r>
      <w:bookmarkEnd w:id="71"/>
      <w:r>
        <w:rPr>
          <w:color w:val="000000"/>
          <w:spacing w:val="0"/>
          <w:w w:val="100"/>
          <w:position w:val="0"/>
          <w:sz w:val="24"/>
          <w:szCs w:val="24"/>
        </w:rPr>
        <w:t>7）</w:t>
        <w:tab/>
      </w:r>
      <w:r>
        <w:rPr>
          <w:color w:val="000000"/>
          <w:spacing w:val="0"/>
          <w:w w:val="100"/>
          <w:position w:val="0"/>
          <w:sz w:val="24"/>
          <w:szCs w:val="24"/>
        </w:rPr>
        <w:t>BPO</w:t>
      </w:r>
      <w:r>
        <w:rPr>
          <w:color w:val="000000"/>
          <w:spacing w:val="0"/>
          <w:w w:val="100"/>
          <w:position w:val="0"/>
          <w:sz w:val="24"/>
          <w:szCs w:val="24"/>
        </w:rPr>
        <w:t>及数据存储服务。全资子公司夏尔的扫描加工外包服务</w:t>
      </w:r>
      <w:r>
        <w:rPr>
          <w:color w:val="000000"/>
          <w:spacing w:val="0"/>
          <w:w w:val="100"/>
          <w:position w:val="0"/>
          <w:sz w:val="24"/>
          <w:szCs w:val="24"/>
        </w:rPr>
        <w:t>（BP0）</w:t>
      </w:r>
      <w:r>
        <w:rPr>
          <w:color w:val="000000"/>
          <w:spacing w:val="0"/>
          <w:w w:val="100"/>
          <w:position w:val="0"/>
          <w:sz w:val="24"/>
          <w:szCs w:val="24"/>
        </w:rPr>
        <w:t>，</w:t>
      </w:r>
      <w:r>
        <w:rPr>
          <w:color w:val="000000"/>
          <w:spacing w:val="0"/>
          <w:w w:val="100"/>
          <w:position w:val="0"/>
          <w:sz w:val="24"/>
          <w:szCs w:val="24"/>
        </w:rPr>
        <w:t>ECM</w:t>
      </w:r>
      <w:r>
        <w:rPr>
          <w:color w:val="000000"/>
          <w:spacing w:val="0"/>
          <w:w w:val="100"/>
          <w:position w:val="0"/>
          <w:sz w:val="24"/>
          <w:szCs w:val="24"/>
        </w:rPr>
        <w:t xml:space="preserve">系列产品， </w:t>
      </w:r>
      <w:r>
        <w:rPr>
          <w:color w:val="000000"/>
          <w:spacing w:val="0"/>
          <w:w w:val="100"/>
          <w:position w:val="0"/>
          <w:sz w:val="24"/>
          <w:szCs w:val="24"/>
        </w:rPr>
        <w:t>iCAS</w:t>
      </w:r>
      <w:r>
        <w:rPr>
          <w:color w:val="000000"/>
          <w:spacing w:val="0"/>
          <w:w w:val="100"/>
          <w:position w:val="0"/>
          <w:sz w:val="24"/>
          <w:szCs w:val="24"/>
        </w:rPr>
        <w:t>大容量非结构化数据存储等，主要为客户提供内容管理系统平台，存储设备、文档数字 化集中处理、文档安全管理以及系统集成的整体解决方案。</w:t>
      </w:r>
    </w:p>
    <w:p>
      <w:pPr>
        <w:pStyle w:val="Style30"/>
        <w:keepNext w:val="0"/>
        <w:keepLines w:val="0"/>
        <w:widowControl w:val="0"/>
        <w:shd w:val="clear" w:color="auto" w:fill="auto"/>
        <w:tabs>
          <w:tab w:pos="1110" w:val="left"/>
        </w:tabs>
        <w:bidi w:val="0"/>
        <w:spacing w:before="0" w:after="0" w:line="471" w:lineRule="exact"/>
        <w:ind w:left="0" w:right="0" w:firstLine="480"/>
        <w:jc w:val="both"/>
      </w:pPr>
      <w:bookmarkStart w:id="72" w:name="bookmark72"/>
      <w:r>
        <w:rPr>
          <w:color w:val="000000"/>
          <w:spacing w:val="0"/>
          <w:w w:val="100"/>
          <w:position w:val="0"/>
          <w:sz w:val="24"/>
          <w:szCs w:val="24"/>
        </w:rPr>
        <w:t>（</w:t>
      </w:r>
      <w:bookmarkEnd w:id="72"/>
      <w:r>
        <w:rPr>
          <w:color w:val="000000"/>
          <w:spacing w:val="0"/>
          <w:w w:val="100"/>
          <w:position w:val="0"/>
          <w:sz w:val="24"/>
          <w:szCs w:val="24"/>
        </w:rPr>
        <w:t>8）</w:t>
        <w:tab/>
        <w:t>软件代理销售。代理销售</w:t>
      </w:r>
      <w:r>
        <w:rPr>
          <w:color w:val="000000"/>
          <w:spacing w:val="0"/>
          <w:w w:val="100"/>
          <w:position w:val="0"/>
          <w:sz w:val="24"/>
          <w:szCs w:val="24"/>
        </w:rPr>
        <w:t>ERP</w:t>
      </w:r>
      <w:r>
        <w:rPr>
          <w:color w:val="000000"/>
          <w:spacing w:val="0"/>
          <w:w w:val="100"/>
          <w:position w:val="0"/>
          <w:sz w:val="24"/>
          <w:szCs w:val="24"/>
        </w:rPr>
        <w:t>软件是公司主营业务</w:t>
      </w:r>
      <w:r>
        <w:rPr>
          <w:color w:val="000000"/>
          <w:spacing w:val="0"/>
          <w:w w:val="100"/>
          <w:position w:val="0"/>
          <w:sz w:val="24"/>
          <w:szCs w:val="24"/>
        </w:rPr>
        <w:t>ERP</w:t>
      </w:r>
      <w:r>
        <w:rPr>
          <w:color w:val="000000"/>
          <w:spacing w:val="0"/>
          <w:w w:val="100"/>
          <w:position w:val="0"/>
          <w:sz w:val="24"/>
          <w:szCs w:val="24"/>
        </w:rPr>
        <w:t>实施服务的一项派生业务，主 要是在实施服务前期，公司参考客户自身意愿、结合客户的业务特点向客户代理销售</w:t>
      </w:r>
      <w:r>
        <w:rPr>
          <w:color w:val="000000"/>
          <w:spacing w:val="0"/>
          <w:w w:val="100"/>
          <w:position w:val="0"/>
          <w:sz w:val="24"/>
          <w:szCs w:val="24"/>
        </w:rPr>
        <w:t xml:space="preserve">Oracle </w:t>
      </w:r>
      <w:r>
        <w:rPr>
          <w:color w:val="000000"/>
          <w:spacing w:val="0"/>
          <w:w w:val="100"/>
          <w:position w:val="0"/>
          <w:sz w:val="24"/>
          <w:szCs w:val="24"/>
        </w:rPr>
        <w:t>或</w:t>
      </w:r>
      <w:r>
        <w:rPr>
          <w:color w:val="000000"/>
          <w:spacing w:val="0"/>
          <w:w w:val="100"/>
          <w:position w:val="0"/>
          <w:sz w:val="24"/>
          <w:szCs w:val="24"/>
        </w:rPr>
        <w:t>SAP</w:t>
      </w:r>
      <w:r>
        <w:rPr>
          <w:color w:val="000000"/>
          <w:spacing w:val="0"/>
          <w:w w:val="100"/>
          <w:position w:val="0"/>
          <w:sz w:val="24"/>
          <w:szCs w:val="24"/>
        </w:rPr>
        <w:t>等软件产品。</w:t>
      </w:r>
    </w:p>
    <w:p>
      <w:pPr>
        <w:pStyle w:val="Style30"/>
        <w:keepNext w:val="0"/>
        <w:keepLines w:val="0"/>
        <w:widowControl w:val="0"/>
        <w:shd w:val="clear" w:color="auto" w:fill="auto"/>
        <w:bidi w:val="0"/>
        <w:spacing w:before="0" w:after="0" w:line="471" w:lineRule="exact"/>
        <w:ind w:left="0" w:right="0" w:firstLine="0"/>
        <w:jc w:val="left"/>
      </w:pPr>
      <w:bookmarkStart w:id="73" w:name="bookmark73"/>
      <w:r>
        <w:rPr>
          <w:color w:val="000000"/>
          <w:spacing w:val="0"/>
          <w:w w:val="100"/>
          <w:position w:val="0"/>
          <w:sz w:val="24"/>
          <w:szCs w:val="24"/>
        </w:rPr>
        <w:t>（</w:t>
      </w:r>
      <w:bookmarkEnd w:id="73"/>
      <w:r>
        <w:rPr>
          <w:color w:val="000000"/>
          <w:spacing w:val="0"/>
          <w:w w:val="100"/>
          <w:position w:val="0"/>
          <w:sz w:val="24"/>
          <w:szCs w:val="24"/>
        </w:rPr>
        <w:t>二）主要的业绩驱动因素：</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报告期内，公司实现营业收入</w:t>
      </w:r>
      <w:r>
        <w:rPr>
          <w:color w:val="000000"/>
          <w:spacing w:val="0"/>
          <w:w w:val="100"/>
          <w:position w:val="0"/>
          <w:sz w:val="24"/>
          <w:szCs w:val="24"/>
        </w:rPr>
        <w:t>1,710,218,028.51</w:t>
      </w:r>
      <w:r>
        <w:rPr>
          <w:color w:val="000000"/>
          <w:spacing w:val="0"/>
          <w:w w:val="100"/>
          <w:position w:val="0"/>
          <w:sz w:val="24"/>
          <w:szCs w:val="24"/>
        </w:rPr>
        <w:t>元，较上年同期增长40.32% ；归属于上 市公司股东的净利润</w:t>
      </w:r>
      <w:r>
        <w:rPr>
          <w:color w:val="000000"/>
          <w:spacing w:val="0"/>
          <w:w w:val="100"/>
          <w:position w:val="0"/>
          <w:sz w:val="24"/>
          <w:szCs w:val="24"/>
        </w:rPr>
        <w:t>241,382,013.6</w:t>
      </w:r>
      <w:r>
        <w:rPr>
          <w:color w:val="000000"/>
          <w:spacing w:val="0"/>
          <w:w w:val="100"/>
          <w:position w:val="0"/>
          <w:sz w:val="24"/>
          <w:szCs w:val="24"/>
        </w:rPr>
        <w:t>0元，较上年同期增长12.67%。主要的业绩驱动因素来源 于以下几方面：</w:t>
      </w:r>
    </w:p>
    <w:p>
      <w:pPr>
        <w:pStyle w:val="Style30"/>
        <w:keepNext w:val="0"/>
        <w:keepLines w:val="0"/>
        <w:widowControl w:val="0"/>
        <w:shd w:val="clear" w:color="auto" w:fill="auto"/>
        <w:tabs>
          <w:tab w:pos="1014" w:val="left"/>
        </w:tabs>
        <w:bidi w:val="0"/>
        <w:spacing w:before="0" w:after="0" w:line="471" w:lineRule="exact"/>
        <w:ind w:left="0" w:right="0" w:firstLine="480"/>
        <w:jc w:val="both"/>
      </w:pPr>
      <w:bookmarkStart w:id="74" w:name="bookmark74"/>
      <w:r>
        <w:rPr>
          <w:color w:val="000000"/>
          <w:spacing w:val="0"/>
          <w:w w:val="100"/>
          <w:position w:val="0"/>
          <w:sz w:val="24"/>
          <w:szCs w:val="24"/>
        </w:rPr>
        <w:t>（</w:t>
      </w:r>
      <w:bookmarkEnd w:id="74"/>
      <w:r>
        <w:rPr>
          <w:color w:val="000000"/>
          <w:spacing w:val="0"/>
          <w:w w:val="100"/>
          <w:position w:val="0"/>
          <w:sz w:val="24"/>
          <w:szCs w:val="24"/>
        </w:rPr>
        <w:t>1）</w:t>
        <w:tab/>
        <w:t>公司自身竞争力优势。</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公司经过多年努力，已成功积累了丰富客户资源和实施经验、领先的技术储备以及良好 的市场口碑，并聚集了行业内优秀的业务、技术、营销和管理团队。</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报告期内，公司继续保持主营业务在国内领先地位的同时，积极探索业务和管理提升的 方法，通过包括行业精细化、解决方案产品化和标准化、项目管理透明化等手段提升交付质 量和效率，在组织架构和资源上加强整合，以实现内部资源更加便捷的共享，方案和业务更 加高效的集成。</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从内部经营的角度看，公司近年一直在努力优化利润中心即事业部的绩效管理和考核， 报告期内公司进一步明确了对各事业部经营管理水平的要求，强化毛利考核指标，较好的改 善了成本控制水平。</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同时，公司也尝试将比较通用的业务转移至远程交付中心，以实现集中交付，降低差旅 成本，也有利于保障公司层面整体的交付质量。</w:t>
      </w:r>
    </w:p>
    <w:p>
      <w:pPr>
        <w:pStyle w:val="Style30"/>
        <w:keepNext w:val="0"/>
        <w:keepLines w:val="0"/>
        <w:widowControl w:val="0"/>
        <w:shd w:val="clear" w:color="auto" w:fill="auto"/>
        <w:tabs>
          <w:tab w:pos="1014" w:val="left"/>
        </w:tabs>
        <w:bidi w:val="0"/>
        <w:spacing w:before="0" w:after="0" w:line="471" w:lineRule="exact"/>
        <w:ind w:left="0" w:right="0" w:firstLine="440"/>
        <w:jc w:val="both"/>
      </w:pPr>
      <w:bookmarkStart w:id="75" w:name="bookmark75"/>
      <w:r>
        <w:rPr>
          <w:color w:val="000000"/>
          <w:spacing w:val="0"/>
          <w:w w:val="100"/>
          <w:position w:val="0"/>
          <w:sz w:val="24"/>
          <w:szCs w:val="24"/>
        </w:rPr>
        <w:t>（</w:t>
      </w:r>
      <w:bookmarkEnd w:id="75"/>
      <w:r>
        <w:rPr>
          <w:color w:val="000000"/>
          <w:spacing w:val="0"/>
          <w:w w:val="100"/>
          <w:position w:val="0"/>
          <w:sz w:val="24"/>
          <w:szCs w:val="24"/>
        </w:rPr>
        <w:t>2）</w:t>
        <w:tab/>
        <w:t>政策及市场推动因素。</w:t>
      </w:r>
    </w:p>
    <w:p>
      <w:pPr>
        <w:pStyle w:val="Style30"/>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 xml:space="preserve">近几年国家对诸如智能制造、大数据、云计算、互联网+等新兴技术出台了一系列的相关 政策，政策变化带来最直接的效应是客户信息化需求的变化，企业不断寻求新技术的应用以 </w:t>
      </w:r>
      <w:r>
        <w:rPr>
          <w:color w:val="000000"/>
          <w:spacing w:val="0"/>
          <w:w w:val="100"/>
          <w:position w:val="0"/>
          <w:sz w:val="24"/>
          <w:szCs w:val="24"/>
        </w:rPr>
        <w:t>促进企业转型，使得公司的业务从原来较为标准的套装产品实施扩展到了行业和整体解决方 案设计实施，并带来了较好的市场机会。</w:t>
      </w:r>
    </w:p>
    <w:p>
      <w:pPr>
        <w:pStyle w:val="Style30"/>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在智能制造成为制造行业转型的关键路径之一的背景下，高端制造企业在持续进行信息 化投资，公司在制造业长期深耕细作，积累了丰富的行业知识和实施经验，报告期内以精益 制造为核心的团队取得了快速发展的机遇。</w:t>
      </w:r>
    </w:p>
    <w:p>
      <w:pPr>
        <w:pStyle w:val="Style30"/>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在万众创新的环境之下，互联网以及互联网+企业的市场份额逐渐扩大，而且随着越来越 多的传统企业向互联网转型，互联网市场的增长非常快，对公司在互联网行业和企业电子商 务领域的业务发展和财务回报带来了积极影响。</w:t>
      </w:r>
    </w:p>
    <w:p>
      <w:pPr>
        <w:pStyle w:val="Style30"/>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随着社会化生产方式的不断深入，市场竞争已经从单一客户之间的竞争转变为供应链与 供应链之间的竞争，同一供应链内部各方相互依存，这样的变化给公司的供应链金融业务带 来了较好的发展机会。</w:t>
      </w:r>
    </w:p>
    <w:p>
      <w:pPr>
        <w:pStyle w:val="Style30"/>
        <w:keepNext w:val="0"/>
        <w:keepLines w:val="0"/>
        <w:widowControl w:val="0"/>
        <w:shd w:val="clear" w:color="auto" w:fill="auto"/>
        <w:bidi w:val="0"/>
        <w:spacing w:before="0" w:after="0" w:line="470" w:lineRule="exact"/>
        <w:ind w:left="0" w:right="0" w:firstLine="0"/>
        <w:jc w:val="both"/>
      </w:pPr>
      <w:bookmarkStart w:id="76" w:name="bookmark76"/>
      <w:r>
        <w:rPr>
          <w:color w:val="000000"/>
          <w:spacing w:val="0"/>
          <w:w w:val="100"/>
          <w:position w:val="0"/>
          <w:sz w:val="24"/>
          <w:szCs w:val="24"/>
        </w:rPr>
        <w:t>（</w:t>
      </w:r>
      <w:bookmarkEnd w:id="76"/>
      <w:r>
        <w:rPr>
          <w:color w:val="000000"/>
          <w:spacing w:val="0"/>
          <w:w w:val="100"/>
          <w:position w:val="0"/>
          <w:sz w:val="24"/>
          <w:szCs w:val="24"/>
        </w:rPr>
        <w:t>三）行业发展阶段、周期性特点及公司所处地位：</w:t>
      </w:r>
    </w:p>
    <w:p>
      <w:pPr>
        <w:pStyle w:val="Style30"/>
        <w:keepNext w:val="0"/>
        <w:keepLines w:val="0"/>
        <w:widowControl w:val="0"/>
        <w:shd w:val="clear" w:color="auto" w:fill="auto"/>
        <w:bidi w:val="0"/>
        <w:spacing w:before="0" w:after="400" w:line="470" w:lineRule="exact"/>
        <w:ind w:left="0" w:right="0" w:firstLine="460"/>
        <w:jc w:val="both"/>
      </w:pPr>
      <w:r>
        <w:rPr>
          <w:color w:val="000000"/>
          <w:spacing w:val="0"/>
          <w:w w:val="100"/>
          <w:position w:val="0"/>
          <w:sz w:val="24"/>
          <w:szCs w:val="24"/>
        </w:rPr>
        <w:t>IT</w:t>
      </w:r>
      <w:r>
        <w:rPr>
          <w:color w:val="000000"/>
          <w:spacing w:val="0"/>
          <w:w w:val="100"/>
          <w:position w:val="0"/>
          <w:sz w:val="24"/>
          <w:szCs w:val="24"/>
        </w:rPr>
        <w:t>咨询服务行业与科技发展和企业信息化建设密切相关，并无明显的周期性特点，而目 前国内</w:t>
      </w:r>
      <w:r>
        <w:rPr>
          <w:color w:val="000000"/>
          <w:spacing w:val="0"/>
          <w:w w:val="100"/>
          <w:position w:val="0"/>
          <w:sz w:val="24"/>
          <w:szCs w:val="24"/>
        </w:rPr>
        <w:t>IT</w:t>
      </w:r>
      <w:r>
        <w:rPr>
          <w:color w:val="000000"/>
          <w:spacing w:val="0"/>
          <w:w w:val="100"/>
          <w:position w:val="0"/>
          <w:sz w:val="24"/>
          <w:szCs w:val="24"/>
        </w:rPr>
        <w:t>咨询服务行业整体仍处于稳定增长中，这几年公司在行业内的竞争优势越来越明显， 主要得益于自身竞争力的提升和相对竞争优势的变化、以及服务结构的升级，公司的竞争能 力、品牌影响力和自身价值在提升，同时和国际竞争对手的差距在缩小。从</w:t>
      </w:r>
      <w:r>
        <w:rPr>
          <w:color w:val="000000"/>
          <w:spacing w:val="0"/>
          <w:w w:val="100"/>
          <w:position w:val="0"/>
          <w:sz w:val="24"/>
          <w:szCs w:val="24"/>
        </w:rPr>
        <w:t>ERP</w:t>
      </w:r>
      <w:r>
        <w:rPr>
          <w:color w:val="000000"/>
          <w:spacing w:val="0"/>
          <w:w w:val="100"/>
          <w:position w:val="0"/>
          <w:sz w:val="24"/>
          <w:szCs w:val="24"/>
        </w:rPr>
        <w:t>延伸出来的新 兴业务来看，企业信息化整体架构已经开始发生变化，企业不但需要稳定可靠的后台，还需 要打造全渠道接入的前台，和灵活应变的中台。目前来看企业在信息化的前台和中台的投入 有显著增加，而公司具有大量优质的客户基础，在新的</w:t>
      </w:r>
      <w:r>
        <w:rPr>
          <w:color w:val="000000"/>
          <w:spacing w:val="0"/>
          <w:w w:val="100"/>
          <w:position w:val="0"/>
          <w:sz w:val="24"/>
          <w:szCs w:val="24"/>
        </w:rPr>
        <w:t>IT</w:t>
      </w:r>
      <w:r>
        <w:rPr>
          <w:color w:val="000000"/>
          <w:spacing w:val="0"/>
          <w:w w:val="100"/>
          <w:position w:val="0"/>
          <w:sz w:val="24"/>
          <w:szCs w:val="24"/>
        </w:rPr>
        <w:t>架构方面走在了行业前列，也较好 的抓住了市场机会。</w:t>
      </w:r>
    </w:p>
    <w:p>
      <w:pPr>
        <w:pStyle w:val="Style30"/>
        <w:keepNext w:val="0"/>
        <w:keepLines w:val="0"/>
        <w:widowControl w:val="0"/>
        <w:shd w:val="clear" w:color="auto" w:fill="auto"/>
        <w:bidi w:val="0"/>
        <w:spacing w:before="0" w:after="360" w:line="240" w:lineRule="auto"/>
        <w:ind w:left="0" w:right="0" w:firstLine="0"/>
        <w:jc w:val="both"/>
      </w:pPr>
      <w:bookmarkStart w:id="77" w:name="bookmark77"/>
      <w:r>
        <w:rPr>
          <w:b/>
          <w:bCs/>
          <w:color w:val="000000"/>
          <w:spacing w:val="0"/>
          <w:w w:val="100"/>
          <w:position w:val="0"/>
          <w:sz w:val="24"/>
          <w:szCs w:val="24"/>
        </w:rPr>
        <w:t>二</w:t>
      </w:r>
      <w:bookmarkEnd w:id="77"/>
      <w:r>
        <w:rPr>
          <w:b/>
          <w:bCs/>
          <w:color w:val="000000"/>
          <w:spacing w:val="0"/>
          <w:w w:val="100"/>
          <w:position w:val="0"/>
          <w:sz w:val="24"/>
          <w:szCs w:val="24"/>
        </w:rPr>
        <w:t>、主要资产重大变化情况</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固定资产本期增加主要为青浦园区办公用房建设以及电子设备、办公设备的购入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报告期末，汉得保理应收账款余额为</w:t>
            </w:r>
            <w:r>
              <w:rPr>
                <w:rFonts w:ascii="Times New Roman" w:eastAsia="Times New Roman" w:hAnsi="Times New Roman" w:cs="Times New Roman"/>
                <w:color w:val="000000"/>
                <w:spacing w:val="0"/>
                <w:w w:val="100"/>
                <w:position w:val="0"/>
              </w:rPr>
              <w:t>3.55</w:t>
            </w:r>
            <w:r>
              <w:rPr>
                <w:color w:val="000000"/>
                <w:spacing w:val="0"/>
                <w:w w:val="100"/>
                <w:position w:val="0"/>
              </w:rPr>
              <w:t>亿，较上年年末增加</w:t>
            </w:r>
            <w:r>
              <w:rPr>
                <w:rFonts w:ascii="Times New Roman" w:eastAsia="Times New Roman" w:hAnsi="Times New Roman" w:cs="Times New Roman"/>
                <w:color w:val="000000"/>
                <w:spacing w:val="0"/>
                <w:w w:val="100"/>
                <w:position w:val="0"/>
              </w:rPr>
              <w:t>3.48</w:t>
            </w:r>
            <w:r>
              <w:rPr>
                <w:color w:val="000000"/>
                <w:spacing w:val="0"/>
                <w:w w:val="100"/>
                <w:position w:val="0"/>
              </w:rPr>
              <w:t>亿，导致应收 账款总额增长</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汉得新加坡于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月委托高盛（亚洲）有限责任公司进行委托理财，出资金 额</w:t>
            </w:r>
            <w:r>
              <w:rPr>
                <w:rFonts w:ascii="Times New Roman" w:eastAsia="Times New Roman" w:hAnsi="Times New Roman" w:cs="Times New Roman"/>
                <w:color w:val="000000"/>
                <w:spacing w:val="0"/>
                <w:w w:val="100"/>
                <w:position w:val="0"/>
              </w:rPr>
              <w:t>920</w:t>
            </w:r>
            <w:r>
              <w:rPr>
                <w:color w:val="000000"/>
                <w:spacing w:val="0"/>
                <w:w w:val="100"/>
                <w:position w:val="0"/>
              </w:rPr>
              <w:t>万美元，折合人民币</w:t>
            </w:r>
            <w:r>
              <w:rPr>
                <w:rFonts w:ascii="Times New Roman" w:eastAsia="Times New Roman" w:hAnsi="Times New Roman" w:cs="Times New Roman"/>
                <w:color w:val="000000"/>
                <w:spacing w:val="0"/>
                <w:w w:val="100"/>
                <w:position w:val="0"/>
              </w:rPr>
              <w:t>6,087.70</w:t>
            </w:r>
            <w:r>
              <w:rPr>
                <w:color w:val="000000"/>
                <w:spacing w:val="0"/>
                <w:w w:val="100"/>
                <w:position w:val="0"/>
              </w:rPr>
              <w:t>万元，计入其他流动资产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汉得信息本报告期收购上海达美及扬州达美产生商誉合计</w:t>
            </w:r>
            <w:r>
              <w:rPr>
                <w:rFonts w:ascii="Times New Roman" w:eastAsia="Times New Roman" w:hAnsi="Times New Roman" w:cs="Times New Roman"/>
                <w:color w:val="000000"/>
                <w:spacing w:val="0"/>
                <w:w w:val="100"/>
                <w:position w:val="0"/>
              </w:rPr>
              <w:t>5,180.3</w:t>
            </w:r>
            <w:r>
              <w:rPr>
                <w:color w:val="000000"/>
                <w:spacing w:val="0"/>
                <w:w w:val="100"/>
                <w:position w:val="0"/>
              </w:rPr>
              <w:t>万元，同时，对</w:t>
            </w:r>
          </w:p>
        </w:tc>
      </w:tr>
    </w:tbl>
    <w:tbl>
      <w:tblPr>
        <w:tblOverlap w:val="never"/>
        <w:jc w:val="center"/>
        <w:tblLayout w:type="fixed"/>
      </w:tblPr>
      <w:tblGrid>
        <w:gridCol w:w="3053"/>
        <w:gridCol w:w="652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收购随身科技产生的商誉</w:t>
            </w:r>
            <w:r>
              <w:rPr>
                <w:rFonts w:ascii="Times New Roman" w:eastAsia="Times New Roman" w:hAnsi="Times New Roman" w:cs="Times New Roman"/>
                <w:color w:val="000000"/>
                <w:spacing w:val="0"/>
                <w:w w:val="100"/>
                <w:position w:val="0"/>
              </w:rPr>
              <w:t>286.98</w:t>
            </w:r>
            <w:r>
              <w:rPr>
                <w:color w:val="000000"/>
                <w:spacing w:val="0"/>
                <w:w w:val="100"/>
                <w:position w:val="0"/>
              </w:rPr>
              <w:t>万元计提了减值准备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年年末预付了收购上海达美股权款项</w:t>
            </w:r>
            <w:r>
              <w:rPr>
                <w:rFonts w:ascii="Times New Roman" w:eastAsia="Times New Roman" w:hAnsi="Times New Roman" w:cs="Times New Roman"/>
                <w:color w:val="000000"/>
                <w:spacing w:val="0"/>
                <w:w w:val="100"/>
                <w:position w:val="0"/>
              </w:rPr>
              <w:t>3,808.82</w:t>
            </w:r>
            <w:r>
              <w:rPr>
                <w:color w:val="000000"/>
                <w:spacing w:val="0"/>
                <w:w w:val="100"/>
                <w:position w:val="0"/>
              </w:rPr>
              <w:t>万元，计入其他非流动资产，本 年已完成收购并转出</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79" w:line="1" w:lineRule="exact"/>
      </w:pP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80" w:line="469" w:lineRule="exact"/>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bookmarkStart w:id="82" w:name="bookmark82"/>
      <w:r>
        <w:rPr>
          <w:color w:val="000000"/>
          <w:spacing w:val="0"/>
          <w:w w:val="100"/>
          <w:position w:val="0"/>
          <w:sz w:val="24"/>
          <w:szCs w:val="24"/>
        </w:rPr>
        <w:t>（</w:t>
      </w:r>
      <w:bookmarkEnd w:id="82"/>
      <w:r>
        <w:rPr>
          <w:color w:val="000000"/>
          <w:spacing w:val="0"/>
          <w:w w:val="100"/>
          <w:position w:val="0"/>
          <w:sz w:val="24"/>
          <w:szCs w:val="24"/>
        </w:rPr>
        <w:t>一）丰富的实施服务经验和全面的信息化服务能力</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公司长期从事</w:t>
      </w:r>
      <w:r>
        <w:rPr>
          <w:color w:val="000000"/>
          <w:spacing w:val="0"/>
          <w:w w:val="100"/>
          <w:position w:val="0"/>
          <w:sz w:val="24"/>
          <w:szCs w:val="24"/>
        </w:rPr>
        <w:t>ERP</w:t>
      </w:r>
      <w:r>
        <w:rPr>
          <w:color w:val="000000"/>
          <w:spacing w:val="0"/>
          <w:w w:val="100"/>
          <w:position w:val="0"/>
          <w:sz w:val="24"/>
          <w:szCs w:val="24"/>
        </w:rPr>
        <w:t>实施服务业务，自成立开始，公司就非常重视实施方法和解决方案的系 统总结和应用，并通过有序引进、持续培训等方式逐步完善项目服务团队，为项目的正常运 行和质量提供了保障。公司致力于为企业提供业务和管理信息化全生命周期一站式服务，实 施的软件产品进一步扩展到市场主流的管理信息化软件平台。</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在传统业务上，公司主要针对</w:t>
      </w:r>
      <w:r>
        <w:rPr>
          <w:color w:val="000000"/>
          <w:spacing w:val="0"/>
          <w:w w:val="100"/>
          <w:position w:val="0"/>
          <w:sz w:val="24"/>
          <w:szCs w:val="24"/>
        </w:rPr>
        <w:t>Oracle、SAP</w:t>
      </w:r>
      <w:r>
        <w:rPr>
          <w:color w:val="000000"/>
          <w:spacing w:val="0"/>
          <w:w w:val="100"/>
          <w:position w:val="0"/>
          <w:sz w:val="24"/>
          <w:szCs w:val="24"/>
        </w:rPr>
        <w:t>等高端</w:t>
      </w:r>
      <w:r>
        <w:rPr>
          <w:color w:val="000000"/>
          <w:spacing w:val="0"/>
          <w:w w:val="100"/>
          <w:position w:val="0"/>
          <w:sz w:val="24"/>
          <w:szCs w:val="24"/>
        </w:rPr>
        <w:t>ERP</w:t>
      </w:r>
      <w:r>
        <w:rPr>
          <w:color w:val="000000"/>
          <w:spacing w:val="0"/>
          <w:w w:val="100"/>
          <w:position w:val="0"/>
          <w:sz w:val="24"/>
          <w:szCs w:val="24"/>
        </w:rPr>
        <w:t>软件提供实施服务，公司在长期的 实施过程中经过不断的消化、提炼、整合和完善解决方案，对其产品内容形成了十分深刻的 理解，并在其实施服务领域中积累了丰富的实战经验。与国内同行相比，由于公司的客户众 多，行业分布广泛，加之公司自身的知识库和方法论整理及时有效，因此公司在高端</w:t>
      </w:r>
      <w:r>
        <w:rPr>
          <w:color w:val="000000"/>
          <w:spacing w:val="0"/>
          <w:w w:val="100"/>
          <w:position w:val="0"/>
          <w:sz w:val="24"/>
          <w:szCs w:val="24"/>
        </w:rPr>
        <w:t>ERP</w:t>
      </w:r>
      <w:r>
        <w:rPr>
          <w:color w:val="000000"/>
          <w:spacing w:val="0"/>
          <w:w w:val="100"/>
          <w:position w:val="0"/>
          <w:sz w:val="24"/>
          <w:szCs w:val="24"/>
        </w:rPr>
        <w:t>实施 服务的经验方面具有明显的优势。公司基于对不同</w:t>
      </w:r>
      <w:r>
        <w:rPr>
          <w:color w:val="000000"/>
          <w:spacing w:val="0"/>
          <w:w w:val="100"/>
          <w:position w:val="0"/>
          <w:sz w:val="24"/>
          <w:szCs w:val="24"/>
        </w:rPr>
        <w:t>ERP</w:t>
      </w:r>
      <w:r>
        <w:rPr>
          <w:color w:val="000000"/>
          <w:spacing w:val="0"/>
          <w:w w:val="100"/>
          <w:position w:val="0"/>
          <w:sz w:val="24"/>
          <w:szCs w:val="24"/>
        </w:rPr>
        <w:t>软件产品内容的理解，结合客户差异化 的经营业务内容以及流程为国内大量企业提供了量身定制的</w:t>
      </w:r>
      <w:r>
        <w:rPr>
          <w:color w:val="000000"/>
          <w:spacing w:val="0"/>
          <w:w w:val="100"/>
          <w:position w:val="0"/>
          <w:sz w:val="24"/>
          <w:szCs w:val="24"/>
        </w:rPr>
        <w:t>ERP</w:t>
      </w:r>
      <w:r>
        <w:rPr>
          <w:color w:val="000000"/>
          <w:spacing w:val="0"/>
          <w:w w:val="100"/>
          <w:position w:val="0"/>
          <w:sz w:val="24"/>
          <w:szCs w:val="24"/>
        </w:rPr>
        <w:t>实施服务，并通过大量成功实 施服务经验的总结形成了自己的</w:t>
      </w:r>
      <w:r>
        <w:rPr>
          <w:color w:val="000000"/>
          <w:spacing w:val="0"/>
          <w:w w:val="100"/>
          <w:position w:val="0"/>
          <w:sz w:val="24"/>
          <w:szCs w:val="24"/>
        </w:rPr>
        <w:t>Quick-HAND ERP</w:t>
      </w:r>
      <w:r>
        <w:rPr>
          <w:color w:val="000000"/>
          <w:spacing w:val="0"/>
          <w:w w:val="100"/>
          <w:position w:val="0"/>
          <w:sz w:val="24"/>
          <w:szCs w:val="24"/>
        </w:rPr>
        <w:t>实施方法论和多项业内领先、适应性强的</w:t>
      </w:r>
      <w:r>
        <w:rPr>
          <w:color w:val="000000"/>
          <w:spacing w:val="0"/>
          <w:w w:val="100"/>
          <w:position w:val="0"/>
          <w:sz w:val="24"/>
          <w:szCs w:val="24"/>
        </w:rPr>
        <w:t xml:space="preserve">ERP </w:t>
      </w:r>
      <w:r>
        <w:rPr>
          <w:color w:val="000000"/>
          <w:spacing w:val="0"/>
          <w:w w:val="100"/>
          <w:position w:val="0"/>
          <w:sz w:val="24"/>
          <w:szCs w:val="24"/>
        </w:rPr>
        <w:t>实施行业解决方案。经过多年实施服务经验的积累，公司目前具备为客户提供全面而先进的 高端</w:t>
      </w:r>
      <w:r>
        <w:rPr>
          <w:color w:val="000000"/>
          <w:spacing w:val="0"/>
          <w:w w:val="100"/>
          <w:position w:val="0"/>
          <w:sz w:val="24"/>
          <w:szCs w:val="24"/>
        </w:rPr>
        <w:t>ERP</w:t>
      </w:r>
      <w:r>
        <w:rPr>
          <w:color w:val="000000"/>
          <w:spacing w:val="0"/>
          <w:w w:val="100"/>
          <w:position w:val="0"/>
          <w:sz w:val="24"/>
          <w:szCs w:val="24"/>
        </w:rPr>
        <w:t>实施服务的能力，可有效保障企业管理信息化建设，提升企业的管理与经营效率。</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在企业信息化管理的新兴领域上，公司通过</w:t>
      </w:r>
      <w:r>
        <w:rPr>
          <w:color w:val="000000"/>
          <w:spacing w:val="0"/>
          <w:w w:val="100"/>
          <w:position w:val="0"/>
          <w:sz w:val="24"/>
          <w:szCs w:val="24"/>
        </w:rPr>
        <w:t>ERP</w:t>
      </w:r>
      <w:r>
        <w:rPr>
          <w:color w:val="000000"/>
          <w:spacing w:val="0"/>
          <w:w w:val="100"/>
          <w:position w:val="0"/>
          <w:sz w:val="24"/>
          <w:szCs w:val="24"/>
        </w:rPr>
        <w:t>实施服务派生出来很多其他产品的实施服 务经验。目前企业的业务和需求愈发呈现出多样化和个性化的特点，单一的</w:t>
      </w:r>
      <w:r>
        <w:rPr>
          <w:color w:val="000000"/>
          <w:spacing w:val="0"/>
          <w:w w:val="100"/>
          <w:position w:val="0"/>
          <w:sz w:val="24"/>
          <w:szCs w:val="24"/>
        </w:rPr>
        <w:t>ERP</w:t>
      </w:r>
      <w:r>
        <w:rPr>
          <w:color w:val="000000"/>
          <w:spacing w:val="0"/>
          <w:w w:val="100"/>
          <w:position w:val="0"/>
          <w:sz w:val="24"/>
          <w:szCs w:val="24"/>
        </w:rPr>
        <w:t>软件已较难满 足企业全面信息化建设的需求。因此，近年来公司服务的软件平台从</w:t>
      </w:r>
      <w:r>
        <w:rPr>
          <w:color w:val="000000"/>
          <w:spacing w:val="0"/>
          <w:w w:val="100"/>
          <w:position w:val="0"/>
          <w:sz w:val="24"/>
          <w:szCs w:val="24"/>
        </w:rPr>
        <w:t>ERP</w:t>
      </w:r>
      <w:r>
        <w:rPr>
          <w:color w:val="000000"/>
          <w:spacing w:val="0"/>
          <w:w w:val="100"/>
          <w:position w:val="0"/>
          <w:sz w:val="24"/>
          <w:szCs w:val="24"/>
        </w:rPr>
        <w:t>为主进一步扩展到了 企业信息化其他相关领域，比如</w:t>
      </w:r>
      <w:r>
        <w:rPr>
          <w:color w:val="000000"/>
          <w:spacing w:val="0"/>
          <w:w w:val="100"/>
          <w:position w:val="0"/>
          <w:sz w:val="24"/>
          <w:szCs w:val="24"/>
        </w:rPr>
        <w:t>CRM</w:t>
      </w:r>
      <w:r>
        <w:rPr>
          <w:color w:val="000000"/>
          <w:spacing w:val="0"/>
          <w:w w:val="100"/>
          <w:position w:val="0"/>
          <w:sz w:val="24"/>
          <w:szCs w:val="24"/>
        </w:rPr>
        <w:t>客户关系管理、</w:t>
      </w:r>
      <w:r>
        <w:rPr>
          <w:color w:val="000000"/>
          <w:spacing w:val="0"/>
          <w:w w:val="100"/>
          <w:position w:val="0"/>
          <w:sz w:val="24"/>
          <w:szCs w:val="24"/>
        </w:rPr>
        <w:t>HR</w:t>
      </w:r>
      <w:r>
        <w:rPr>
          <w:color w:val="000000"/>
          <w:spacing w:val="0"/>
          <w:w w:val="100"/>
          <w:position w:val="0"/>
          <w:sz w:val="24"/>
          <w:szCs w:val="24"/>
        </w:rPr>
        <w:t>人力资源管理</w:t>
      </w:r>
      <w:r>
        <w:rPr>
          <w:color w:val="000000"/>
          <w:spacing w:val="0"/>
          <w:w w:val="100"/>
          <w:position w:val="0"/>
          <w:sz w:val="24"/>
          <w:szCs w:val="24"/>
        </w:rPr>
        <w:t>ERP、</w:t>
      </w:r>
      <w:r>
        <w:rPr>
          <w:color w:val="000000"/>
          <w:spacing w:val="0"/>
          <w:w w:val="100"/>
          <w:position w:val="0"/>
          <w:sz w:val="24"/>
          <w:szCs w:val="24"/>
        </w:rPr>
        <w:t xml:space="preserve">企业绩效管理系统、 </w:t>
      </w:r>
      <w:r>
        <w:rPr>
          <w:color w:val="000000"/>
          <w:spacing w:val="0"/>
          <w:w w:val="100"/>
          <w:position w:val="0"/>
          <w:sz w:val="24"/>
          <w:szCs w:val="24"/>
        </w:rPr>
        <w:t>BI</w:t>
      </w:r>
      <w:r>
        <w:rPr>
          <w:color w:val="000000"/>
          <w:spacing w:val="0"/>
          <w:w w:val="100"/>
          <w:position w:val="0"/>
          <w:sz w:val="24"/>
          <w:szCs w:val="24"/>
        </w:rPr>
        <w:t xml:space="preserve">商务智能分析系统等新兴领域。公司通过自身的人才培养体系和方案整合能力、产品化能 力、业务咨询服务能力、技术开发能力，在项目实施过程中逐渐积累了这些专业产品的实施 经验，形成了跨产品线、跨产品体系的全面解决方案，能够为客户提供端到端的全面信息化 </w:t>
      </w:r>
      <w:r>
        <w:rPr>
          <w:color w:val="000000"/>
          <w:spacing w:val="0"/>
          <w:w w:val="100"/>
          <w:position w:val="0"/>
          <w:sz w:val="24"/>
          <w:szCs w:val="24"/>
        </w:rPr>
        <w:t>服务。</w:t>
      </w:r>
    </w:p>
    <w:p>
      <w:pPr>
        <w:pStyle w:val="Style30"/>
        <w:keepNext w:val="0"/>
        <w:keepLines w:val="0"/>
        <w:widowControl w:val="0"/>
        <w:shd w:val="clear" w:color="auto" w:fill="auto"/>
        <w:tabs>
          <w:tab w:pos="613" w:val="left"/>
        </w:tabs>
        <w:bidi w:val="0"/>
        <w:spacing w:before="0" w:after="0" w:line="470" w:lineRule="exact"/>
        <w:ind w:left="0" w:right="0" w:firstLine="0"/>
        <w:jc w:val="left"/>
      </w:pPr>
      <w:bookmarkStart w:id="83" w:name="bookmark83"/>
      <w:r>
        <w:rPr>
          <w:color w:val="000000"/>
          <w:spacing w:val="0"/>
          <w:w w:val="100"/>
          <w:position w:val="0"/>
          <w:sz w:val="24"/>
          <w:szCs w:val="24"/>
        </w:rPr>
        <w:t>（</w:t>
      </w:r>
      <w:bookmarkEnd w:id="83"/>
      <w:r>
        <w:rPr>
          <w:color w:val="000000"/>
          <w:spacing w:val="0"/>
          <w:w w:val="100"/>
          <w:position w:val="0"/>
          <w:sz w:val="24"/>
          <w:szCs w:val="24"/>
        </w:rPr>
        <w:t>二）</w:t>
        <w:tab/>
        <w:t>客户资源优势</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目前，公司以国内市场为主，并积极开拓全球市场，为大中型企业客户提供专业的信息 化咨询服务，涉及到了各行各业企业管理的主要领域。自公司成立以来，始终坚持以客户为 中心的战略，高度关注客户满意度和黏着度，通过优质和全面的服务与客户建立了长期稳定 的合作关系。公司在</w:t>
      </w:r>
      <w:r>
        <w:rPr>
          <w:color w:val="000000"/>
          <w:spacing w:val="0"/>
          <w:w w:val="100"/>
          <w:position w:val="0"/>
          <w:sz w:val="24"/>
          <w:szCs w:val="24"/>
        </w:rPr>
        <w:t>Oracle</w:t>
      </w:r>
      <w:r>
        <w:rPr>
          <w:color w:val="000000"/>
          <w:spacing w:val="0"/>
          <w:w w:val="100"/>
          <w:position w:val="0"/>
          <w:sz w:val="24"/>
          <w:szCs w:val="24"/>
        </w:rPr>
        <w:t>和</w:t>
      </w:r>
      <w:r>
        <w:rPr>
          <w:color w:val="000000"/>
          <w:spacing w:val="0"/>
          <w:w w:val="100"/>
          <w:position w:val="0"/>
          <w:sz w:val="24"/>
          <w:szCs w:val="24"/>
        </w:rPr>
        <w:t>SAP</w:t>
      </w:r>
      <w:r>
        <w:rPr>
          <w:color w:val="000000"/>
          <w:spacing w:val="0"/>
          <w:w w:val="100"/>
          <w:position w:val="0"/>
          <w:sz w:val="24"/>
          <w:szCs w:val="24"/>
        </w:rPr>
        <w:t>等高端</w:t>
      </w:r>
      <w:r>
        <w:rPr>
          <w:color w:val="000000"/>
          <w:spacing w:val="0"/>
          <w:w w:val="100"/>
          <w:position w:val="0"/>
          <w:sz w:val="24"/>
          <w:szCs w:val="24"/>
        </w:rPr>
        <w:t>ERP</w:t>
      </w:r>
      <w:r>
        <w:rPr>
          <w:color w:val="000000"/>
          <w:spacing w:val="0"/>
          <w:w w:val="100"/>
          <w:position w:val="0"/>
          <w:sz w:val="24"/>
          <w:szCs w:val="24"/>
        </w:rPr>
        <w:t>实施服务市场中均拥有稳定的客户基础和持久的 客户关系，在行业内形成了较好的口碑和较强的品牌影响力。近年来公司主营业务收入60% 以上来自于老客户，较高的客户黏性是公司主营业务收入保持稳定增长的重要原因，同时， 公司高黏性的客户也是其他新的业务方向潜在的优质客户资源，公司将在这些老客户上深耕 细作，推出更多的创新产品和创新服务。随着企业信息化的不断深入，原有的客户资源为公 司的业务扩展和创新提供了良好的平台。</w:t>
      </w:r>
    </w:p>
    <w:p>
      <w:pPr>
        <w:pStyle w:val="Style30"/>
        <w:keepNext w:val="0"/>
        <w:keepLines w:val="0"/>
        <w:widowControl w:val="0"/>
        <w:shd w:val="clear" w:color="auto" w:fill="auto"/>
        <w:tabs>
          <w:tab w:pos="613" w:val="left"/>
        </w:tabs>
        <w:bidi w:val="0"/>
        <w:spacing w:before="0" w:after="0" w:line="470" w:lineRule="exact"/>
        <w:ind w:left="0" w:right="0" w:firstLine="0"/>
        <w:jc w:val="both"/>
      </w:pPr>
      <w:bookmarkStart w:id="84" w:name="bookmark84"/>
      <w:r>
        <w:rPr>
          <w:color w:val="000000"/>
          <w:spacing w:val="0"/>
          <w:w w:val="100"/>
          <w:position w:val="0"/>
          <w:sz w:val="24"/>
          <w:szCs w:val="24"/>
        </w:rPr>
        <w:t>（</w:t>
      </w:r>
      <w:bookmarkEnd w:id="84"/>
      <w:r>
        <w:rPr>
          <w:color w:val="000000"/>
          <w:spacing w:val="0"/>
          <w:w w:val="100"/>
          <w:position w:val="0"/>
          <w:sz w:val="24"/>
          <w:szCs w:val="24"/>
        </w:rPr>
        <w:t>三）</w:t>
        <w:tab/>
        <w:t>人才优势</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咨询行业本身是人才密集型行业，从成立以来，公司就高度重视人才培养和团队建设， 聚集了行业内优秀的业务、技术、营销和管理团队。公司设立专门的汉得学院，从事各行业 信息化人才的挖掘、筛选、评估、培训、选拔工作，其培养体系受到业界内外的广泛认可， 是公司长期以来快速成长和扩充的基础保证。作为具备人力资本密集特性的现代高科技服务 类企业，公司十分重视企业文化的建设，注重提高员工的积极性，倡导“</w:t>
      </w:r>
      <w:r>
        <w:rPr>
          <w:color w:val="000000"/>
          <w:spacing w:val="0"/>
          <w:w w:val="100"/>
          <w:position w:val="0"/>
          <w:sz w:val="24"/>
          <w:szCs w:val="24"/>
        </w:rPr>
        <w:t xml:space="preserve">Better Experience， </w:t>
      </w:r>
      <w:r>
        <w:rPr>
          <w:color w:val="000000"/>
          <w:spacing w:val="0"/>
          <w:w w:val="100"/>
          <w:position w:val="0"/>
          <w:sz w:val="24"/>
          <w:szCs w:val="24"/>
        </w:rPr>
        <w:t>更好体验”的经营理念，构建企业感恩文化，努力为客户提供更好的服务体验，为员工提供 更好的工作体验。公司在人才招聘、人才培养和激励等方面采取了一系列的措施，包括：</w:t>
      </w:r>
    </w:p>
    <w:p>
      <w:pPr>
        <w:pStyle w:val="Style30"/>
        <w:keepNext w:val="0"/>
        <w:keepLines w:val="0"/>
        <w:widowControl w:val="0"/>
        <w:shd w:val="clear" w:color="auto" w:fill="auto"/>
        <w:tabs>
          <w:tab w:pos="973" w:val="left"/>
        </w:tabs>
        <w:bidi w:val="0"/>
        <w:spacing w:before="0" w:after="0" w:line="470" w:lineRule="exact"/>
        <w:ind w:left="0" w:right="0" w:firstLine="480"/>
        <w:jc w:val="both"/>
      </w:pPr>
      <w:bookmarkStart w:id="85" w:name="bookmark85"/>
      <w:r>
        <w:rPr>
          <w:color w:val="000000"/>
          <w:spacing w:val="0"/>
          <w:w w:val="100"/>
          <w:position w:val="0"/>
          <w:sz w:val="24"/>
          <w:szCs w:val="24"/>
        </w:rPr>
        <w:t>（</w:t>
      </w:r>
      <w:bookmarkEnd w:id="85"/>
      <w:r>
        <w:rPr>
          <w:color w:val="000000"/>
          <w:spacing w:val="0"/>
          <w:w w:val="100"/>
          <w:position w:val="0"/>
          <w:sz w:val="24"/>
          <w:szCs w:val="24"/>
        </w:rPr>
        <w:t>1）</w:t>
        <w:tab/>
        <w:t>股权激励计划的实施，使其得以共享企业发展带来的收益；</w:t>
      </w:r>
    </w:p>
    <w:p>
      <w:pPr>
        <w:pStyle w:val="Style30"/>
        <w:keepNext w:val="0"/>
        <w:keepLines w:val="0"/>
        <w:widowControl w:val="0"/>
        <w:shd w:val="clear" w:color="auto" w:fill="auto"/>
        <w:tabs>
          <w:tab w:pos="973" w:val="left"/>
        </w:tabs>
        <w:bidi w:val="0"/>
        <w:spacing w:before="0" w:after="0" w:line="470" w:lineRule="exact"/>
        <w:ind w:left="0" w:right="0" w:firstLine="480"/>
        <w:jc w:val="both"/>
      </w:pPr>
      <w:bookmarkStart w:id="86" w:name="bookmark86"/>
      <w:r>
        <w:rPr>
          <w:color w:val="000000"/>
          <w:spacing w:val="0"/>
          <w:w w:val="100"/>
          <w:position w:val="0"/>
          <w:sz w:val="24"/>
          <w:szCs w:val="24"/>
        </w:rPr>
        <w:t>（</w:t>
      </w:r>
      <w:bookmarkEnd w:id="86"/>
      <w:r>
        <w:rPr>
          <w:color w:val="000000"/>
          <w:spacing w:val="0"/>
          <w:w w:val="100"/>
          <w:position w:val="0"/>
          <w:sz w:val="24"/>
          <w:szCs w:val="24"/>
        </w:rPr>
        <w:t>2）</w:t>
        <w:tab/>
        <w:t>具有完善的培训与考核体制，为人才的进一步发展提供良好的平台；</w:t>
      </w:r>
    </w:p>
    <w:p>
      <w:pPr>
        <w:pStyle w:val="Style30"/>
        <w:keepNext w:val="0"/>
        <w:keepLines w:val="0"/>
        <w:widowControl w:val="0"/>
        <w:shd w:val="clear" w:color="auto" w:fill="auto"/>
        <w:tabs>
          <w:tab w:pos="973" w:val="left"/>
        </w:tabs>
        <w:bidi w:val="0"/>
        <w:spacing w:before="0" w:after="0" w:line="470" w:lineRule="exact"/>
        <w:ind w:left="0" w:right="0" w:firstLine="480"/>
        <w:jc w:val="both"/>
      </w:pPr>
      <w:bookmarkStart w:id="87" w:name="bookmark87"/>
      <w:r>
        <w:rPr>
          <w:color w:val="000000"/>
          <w:spacing w:val="0"/>
          <w:w w:val="100"/>
          <w:position w:val="0"/>
          <w:sz w:val="24"/>
          <w:szCs w:val="24"/>
        </w:rPr>
        <w:t>（</w:t>
      </w:r>
      <w:bookmarkEnd w:id="87"/>
      <w:r>
        <w:rPr>
          <w:color w:val="000000"/>
          <w:spacing w:val="0"/>
          <w:w w:val="100"/>
          <w:position w:val="0"/>
          <w:sz w:val="24"/>
          <w:szCs w:val="24"/>
        </w:rPr>
        <w:t>3）</w:t>
        <w:tab/>
        <w:t>加强企业文化建设，为员工提供良好的工作氛围。</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通过上述一系列措施的实施，公司的高级顾问和核心员工的稳定度高，新进员工的成长 快速，为企业的持续发展提供了有力的保障。并形成了公平、竞争、激励的人力资源管理体 系，构建了良好向上的发展氛围。</w:t>
      </w:r>
    </w:p>
    <w:p>
      <w:pPr>
        <w:pStyle w:val="Style30"/>
        <w:keepNext w:val="0"/>
        <w:keepLines w:val="0"/>
        <w:widowControl w:val="0"/>
        <w:shd w:val="clear" w:color="auto" w:fill="auto"/>
        <w:tabs>
          <w:tab w:pos="613" w:val="left"/>
        </w:tabs>
        <w:bidi w:val="0"/>
        <w:spacing w:before="0" w:after="0" w:line="470" w:lineRule="exact"/>
        <w:ind w:left="0" w:right="0" w:firstLine="0"/>
        <w:jc w:val="both"/>
      </w:pPr>
      <w:bookmarkStart w:id="88" w:name="bookmark88"/>
      <w:r>
        <w:rPr>
          <w:color w:val="000000"/>
          <w:spacing w:val="0"/>
          <w:w w:val="100"/>
          <w:position w:val="0"/>
          <w:sz w:val="24"/>
          <w:szCs w:val="24"/>
        </w:rPr>
        <w:t>（</w:t>
      </w:r>
      <w:bookmarkEnd w:id="88"/>
      <w:r>
        <w:rPr>
          <w:color w:val="000000"/>
          <w:spacing w:val="0"/>
          <w:w w:val="100"/>
          <w:position w:val="0"/>
          <w:sz w:val="24"/>
          <w:szCs w:val="24"/>
        </w:rPr>
        <w:t>四）</w:t>
        <w:tab/>
        <w:t>品牌优势</w:t>
      </w:r>
    </w:p>
    <w:p>
      <w:pPr>
        <w:pStyle w:val="Style30"/>
        <w:keepNext w:val="0"/>
        <w:keepLines w:val="0"/>
        <w:widowControl w:val="0"/>
        <w:shd w:val="clear" w:color="auto" w:fill="auto"/>
        <w:bidi w:val="0"/>
        <w:spacing w:before="0" w:after="80" w:line="470" w:lineRule="exact"/>
        <w:ind w:left="0" w:right="0" w:firstLine="480"/>
        <w:jc w:val="both"/>
      </w:pPr>
      <w:r>
        <w:rPr>
          <w:color w:val="000000"/>
          <w:spacing w:val="0"/>
          <w:w w:val="100"/>
          <w:position w:val="0"/>
          <w:sz w:val="24"/>
          <w:szCs w:val="24"/>
        </w:rPr>
        <w:t>基于多年</w:t>
      </w:r>
      <w:r>
        <w:rPr>
          <w:color w:val="000000"/>
          <w:spacing w:val="0"/>
          <w:w w:val="100"/>
          <w:position w:val="0"/>
          <w:sz w:val="24"/>
          <w:szCs w:val="24"/>
        </w:rPr>
        <w:t>ERP</w:t>
      </w:r>
      <w:r>
        <w:rPr>
          <w:color w:val="000000"/>
          <w:spacing w:val="0"/>
          <w:w w:val="100"/>
          <w:position w:val="0"/>
          <w:sz w:val="24"/>
          <w:szCs w:val="24"/>
        </w:rPr>
        <w:t>实施经验的累积，公司已逐渐发展成为国内信息化综合实力领先的咨询服务 公司，自上市以后，公司的品牌影响力也在不断提升。目前，公司已在国内广州、北京、武 汉、成都、西安、青岛、长沙等地设有分支机构，在日本、新加坡、美国设有子公司，已具</w:t>
        <w:br w:type="page"/>
      </w:r>
      <w:r>
        <w:rPr>
          <w:color w:val="000000"/>
          <w:spacing w:val="0"/>
          <w:w w:val="100"/>
          <w:position w:val="0"/>
          <w:sz w:val="24"/>
          <w:szCs w:val="24"/>
        </w:rPr>
        <w:t>备更强的能力参与更广泛的市场拓展，服务的企业数量和项目数量都居于行业前列，公司的 服务能力及市场也在不断扩展及延伸。近几年公司获得的荣誉资质如下：</w:t>
      </w:r>
    </w:p>
    <w:tbl>
      <w:tblPr>
        <w:tblOverlap w:val="never"/>
        <w:jc w:val="center"/>
        <w:tblLayout w:type="fixed"/>
      </w:tblPr>
      <w:tblGrid>
        <w:gridCol w:w="720"/>
        <w:gridCol w:w="1714"/>
        <w:gridCol w:w="4507"/>
        <w:gridCol w:w="2736"/>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年份</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荣誉资质</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颁布机构</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2007-2014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国家规划布局内重点软件企业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中华人民共和国国家发展和 改革委员会</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2008-2017</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国家高新技术企业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上海市科学技术委员会</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r>
              <w:rPr>
                <w:color w:val="000000"/>
                <w:spacing w:val="0"/>
                <w:w w:val="100"/>
                <w:position w:val="0"/>
                <w:sz w:val="20"/>
                <w:szCs w:val="20"/>
              </w:rPr>
              <w:t>年</w:t>
            </w:r>
            <w:r>
              <w:rPr>
                <w:color w:val="000000"/>
                <w:spacing w:val="0"/>
                <w:w w:val="100"/>
                <w:position w:val="0"/>
                <w:sz w:val="20"/>
                <w:szCs w:val="20"/>
              </w:rPr>
              <w:t>-2017</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上海市软件企业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上海市软件行业协会</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2010-2015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上海市软件和信息技术服务出口重点企业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上海市商务委员会</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上海市级企业技术中心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上海市经济和信息化委员会</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青浦区服务业重点企业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上海市青浦区经济委员会</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质量管理体系认证证书</w:t>
            </w:r>
            <w:r>
              <w:rPr>
                <w:color w:val="000000"/>
                <w:spacing w:val="0"/>
                <w:w w:val="100"/>
                <w:position w:val="0"/>
                <w:sz w:val="20"/>
                <w:szCs w:val="20"/>
              </w:rPr>
              <w:t>GB/T19001-2008/ISO</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9001： 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上海质量体系审核中心</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2014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信息安全管理体系认证证书</w:t>
            </w:r>
            <w:r>
              <w:rPr>
                <w:color w:val="000000"/>
                <w:spacing w:val="0"/>
                <w:w w:val="100"/>
                <w:position w:val="0"/>
                <w:sz w:val="20"/>
                <w:szCs w:val="20"/>
              </w:rPr>
              <w:t xml:space="preserve">ISO/IEC </w:t>
            </w:r>
            <w:r>
              <w:rPr>
                <w:color w:val="000000"/>
                <w:spacing w:val="0"/>
                <w:w w:val="100"/>
                <w:position w:val="0"/>
                <w:sz w:val="20"/>
                <w:szCs w:val="20"/>
              </w:rPr>
              <w:t>27001： 2013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上海质量体系审核中心</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青浦区认定企业技术中心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青浦区经济委员会</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CMMI </w:t>
            </w:r>
            <w:r>
              <w:rPr>
                <w:color w:val="000000"/>
                <w:spacing w:val="0"/>
                <w:w w:val="100"/>
                <w:position w:val="0"/>
                <w:sz w:val="20"/>
                <w:szCs w:val="20"/>
              </w:rPr>
              <w:t>3</w:t>
            </w:r>
            <w:r>
              <w:rPr>
                <w:color w:val="000000"/>
                <w:spacing w:val="0"/>
                <w:w w:val="100"/>
                <w:position w:val="0"/>
                <w:sz w:val="20"/>
                <w:szCs w:val="20"/>
              </w:rPr>
              <w:t>级证书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SEI</w:t>
            </w:r>
          </w:p>
        </w:tc>
      </w:tr>
    </w:tbl>
    <w:p>
      <w:pPr>
        <w:sectPr>
          <w:footnotePr>
            <w:pos w:val="pageBottom"/>
            <w:numFmt w:val="decimal"/>
            <w:numRestart w:val="continuous"/>
          </w:footnotePr>
          <w:pgSz w:w="11900" w:h="16840"/>
          <w:pgMar w:top="1330" w:right="999" w:bottom="1464" w:left="1099" w:header="0" w:footer="3" w:gutter="0"/>
          <w:cols w:space="720"/>
          <w:noEndnote/>
          <w:rtlGutter w:val="0"/>
          <w:docGrid w:linePitch="360"/>
        </w:sectPr>
      </w:pPr>
    </w:p>
    <w:p>
      <w:pPr>
        <w:pStyle w:val="Style12"/>
        <w:keepNext/>
        <w:keepLines/>
        <w:widowControl w:val="0"/>
        <w:shd w:val="clear" w:color="auto" w:fill="auto"/>
        <w:bidi w:val="0"/>
        <w:spacing w:before="620" w:after="34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1"/>
        <w:keepNext/>
        <w:keepLines/>
        <w:widowControl w:val="0"/>
        <w:shd w:val="clear" w:color="auto" w:fill="auto"/>
        <w:bidi w:val="0"/>
        <w:spacing w:before="0" w:after="200" w:line="469" w:lineRule="exact"/>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p>
    <w:p>
      <w:pPr>
        <w:pStyle w:val="Style30"/>
        <w:keepNext w:val="0"/>
        <w:keepLines w:val="0"/>
        <w:widowControl w:val="0"/>
        <w:shd w:val="clear" w:color="auto" w:fill="auto"/>
        <w:bidi w:val="0"/>
        <w:spacing w:before="0" w:after="0" w:line="469" w:lineRule="exact"/>
        <w:ind w:left="0" w:right="0" w:firstLine="480"/>
        <w:jc w:val="both"/>
      </w:pPr>
      <w:bookmarkStart w:id="96" w:name="bookmark96"/>
      <w:r>
        <w:rPr>
          <w:color w:val="000000"/>
          <w:spacing w:val="0"/>
          <w:w w:val="100"/>
          <w:position w:val="0"/>
          <w:sz w:val="24"/>
          <w:szCs w:val="24"/>
        </w:rPr>
        <w:t>（</w:t>
      </w:r>
      <w:bookmarkEnd w:id="96"/>
      <w:r>
        <w:rPr>
          <w:color w:val="000000"/>
          <w:spacing w:val="0"/>
          <w:w w:val="100"/>
          <w:position w:val="0"/>
          <w:sz w:val="24"/>
          <w:szCs w:val="24"/>
        </w:rPr>
        <w:t>一）公司经营业绩：</w:t>
      </w:r>
    </w:p>
    <w:p>
      <w:pPr>
        <w:pStyle w:val="Style3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报告期内，公司实现营业收入</w:t>
      </w:r>
      <w:r>
        <w:rPr>
          <w:color w:val="000000"/>
          <w:spacing w:val="0"/>
          <w:w w:val="100"/>
          <w:position w:val="0"/>
          <w:sz w:val="24"/>
          <w:szCs w:val="24"/>
        </w:rPr>
        <w:t>1,710,218,028.51</w:t>
      </w:r>
      <w:r>
        <w:rPr>
          <w:color w:val="000000"/>
          <w:spacing w:val="0"/>
          <w:w w:val="100"/>
          <w:position w:val="0"/>
          <w:sz w:val="24"/>
          <w:szCs w:val="24"/>
        </w:rPr>
        <w:t>元，较上年同期增长40.32%；归属于上 市公司股东的净利润</w:t>
      </w:r>
      <w:r>
        <w:rPr>
          <w:color w:val="000000"/>
          <w:spacing w:val="0"/>
          <w:w w:val="100"/>
          <w:position w:val="0"/>
          <w:sz w:val="24"/>
          <w:szCs w:val="24"/>
        </w:rPr>
        <w:t>241,382,013.6</w:t>
      </w:r>
      <w:r>
        <w:rPr>
          <w:color w:val="000000"/>
          <w:spacing w:val="0"/>
          <w:w w:val="100"/>
          <w:position w:val="0"/>
          <w:sz w:val="24"/>
          <w:szCs w:val="24"/>
        </w:rPr>
        <w:t>0元，较上年同期增长12.67%。报告期内总体经营业绩分 析如下：</w:t>
      </w:r>
    </w:p>
    <w:p>
      <w:pPr>
        <w:pStyle w:val="Style3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报告期内，公司积极贯彻年初制定的年度经营计划，不断补充和完善覆盖全行业的信息 化解决方案，加强人才团队的培养，持续提高服务交付能力，巩固公司在国内高端</w:t>
      </w:r>
      <w:r>
        <w:rPr>
          <w:color w:val="000000"/>
          <w:spacing w:val="0"/>
          <w:w w:val="100"/>
          <w:position w:val="0"/>
          <w:sz w:val="24"/>
          <w:szCs w:val="24"/>
        </w:rPr>
        <w:t>ERP</w:t>
      </w:r>
      <w:r>
        <w:rPr>
          <w:color w:val="000000"/>
          <w:spacing w:val="0"/>
          <w:w w:val="100"/>
          <w:position w:val="0"/>
          <w:sz w:val="24"/>
          <w:szCs w:val="24"/>
        </w:rPr>
        <w:t>实施服 务领域领先地位，致力于实现在企业信息化领域更加全面和完整的服务能力。同时公司密切 关注信息技术的发展，积极探索引进新技术在企业信息化领域的应用实践，拓展智能制造、 移动互联网和电商等新兴信息化领域，开拓供应链金融、商旅费用管控、共享服务等创新业 务。报告期内的业绩增长主要得益于以下几方面：</w:t>
      </w:r>
    </w:p>
    <w:p>
      <w:pPr>
        <w:pStyle w:val="Style3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企业应用和信息化建设的范畴扩大。随着信息技术的演进，客户信息化需求增加且变得 更加多样化、个性化，体现在信息化项目的广度和深度上都有所增加。在国内经济整体下行 压力较大的宏观形势下，部分企业也在积极寻找转型机会，包括在自身传统业务领域进行横 向的业务延伸，在产业链上下游进行纵向的业务资源整合及并购，寻找新的利润增长点和商 业模式；特别是信息时代来临的背景下，企业无论是业务转型，还是管理变革，都离不开信 息技术的支持，因此信息化的市场需求在持续增长。在企业进入新兴的或相对其自身传统业 务并不熟悉或擅长的业务领域时，其对于信息化手段及具备丰富行业经验和较强交付能力的 信息服务提供商的依赖，则体现得更为明显。</w:t>
      </w:r>
    </w:p>
    <w:p>
      <w:pPr>
        <w:pStyle w:val="Style3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公司自身竞争能力的增强。公司在企业信息化服务领域的经验积累显现出更强的比较优 势，经过多年的发展公司已具备较为完善和全面的信息化解决方案，拥有充足的人才储备及 优质的交付能力，能够为客户提供全行业、多领域的全面综合的信息化服务；另一方面，近 年来部分国内企业在积极寻找“走出去”的机会或国际化的发展方向，公司伴随客户信息化 需求的海外延伸，自2007年起陆续在日本、新加坡、美国设立全资子公司，努力在海外市场 实现交付团队本地化，在满足客户海外信息化需求的背景下，公司也逐渐基本具备了在海外 市场为客户提供本地化实施和运维的能力，从而也逐渐具备了在海外独立进行市场开拓的能 </w:t>
      </w:r>
      <w:r>
        <w:rPr>
          <w:color w:val="000000"/>
          <w:spacing w:val="0"/>
          <w:w w:val="100"/>
          <w:position w:val="0"/>
          <w:sz w:val="24"/>
          <w:szCs w:val="24"/>
        </w:rPr>
        <w:t>力，进一步拓宽了公司的业务分布范围，也为公司盈利能力的稳定提升提供了一定的保障。</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公司品牌影响力的提升。企业级</w:t>
      </w:r>
      <w:r>
        <w:rPr>
          <w:color w:val="000000"/>
          <w:spacing w:val="0"/>
          <w:w w:val="100"/>
          <w:position w:val="0"/>
          <w:sz w:val="24"/>
          <w:szCs w:val="24"/>
        </w:rPr>
        <w:t>IT</w:t>
      </w:r>
      <w:r>
        <w:rPr>
          <w:color w:val="000000"/>
          <w:spacing w:val="0"/>
          <w:w w:val="100"/>
          <w:position w:val="0"/>
          <w:sz w:val="24"/>
          <w:szCs w:val="24"/>
        </w:rPr>
        <w:t>服务市场对公司服务能力和品牌认可度的提高，不但 有助于公司的业务开拓，也促进了公司在某些优势领域竞争力的进一步提升，比如在精益制 造、互联网企业服务等一些新兴的领域上，公司已逐渐形成一定的核心竞争力，所以能够获 得比较好的市场回报。</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公司内部管控的规范合理。从内部经营的角度看，公司近年来一直在优化利润中心即事 业部的绩效管理和考核，报告期内公司进一步明确了对各个事业部经营管理水平的要求，强 化毛利考核指标，较好的改善了成本控制水平。同时，公司也尝试将比较通用的业务集中转 移至远程交付中心，以实现集中交付，降低差旅成本，同时也有利于保障公司层面整体的交 付质量。</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技术开发能力和自主创新能力的提升。公司秉承“技术驱动未来”理念，坚持持续的技 术研发投入，坚持产品与服务创新，并根据信息技术发展趋势、市场变化及发展需求，及时 调整技术研发方向及产品与服务规划格局，在现有技术优势的基础上，继续加大资金和人员 投入。在信息技术、国家政策及市场的推动下，公司在云计算、移动互联网和电商等新兴技 术上进行不断尝试，以提高服务能力、拓宽业务范围，新技术新应用的推广也有利于吸引更 广大的客户群。</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正是基于公司多年积累的优质客户群体以及不断提升的交付能力、不断完善的行业解决 方案，在整体经济形势较为低迷的情况下，公司业务订单仍然较为充足，主营业务收入较上 年同期增长40.32%，保持了较高的增长水平。</w:t>
      </w:r>
    </w:p>
    <w:p>
      <w:pPr>
        <w:pStyle w:val="Style30"/>
        <w:keepNext w:val="0"/>
        <w:keepLines w:val="0"/>
        <w:widowControl w:val="0"/>
        <w:shd w:val="clear" w:color="auto" w:fill="auto"/>
        <w:bidi w:val="0"/>
        <w:spacing w:before="0" w:after="0" w:line="467" w:lineRule="exact"/>
        <w:ind w:left="0" w:right="0" w:firstLine="480"/>
        <w:jc w:val="both"/>
      </w:pPr>
      <w:bookmarkStart w:id="97" w:name="bookmark97"/>
      <w:r>
        <w:rPr>
          <w:color w:val="000000"/>
          <w:spacing w:val="0"/>
          <w:w w:val="100"/>
          <w:position w:val="0"/>
          <w:sz w:val="24"/>
          <w:szCs w:val="24"/>
        </w:rPr>
        <w:t>（</w:t>
      </w:r>
      <w:bookmarkEnd w:id="97"/>
      <w:r>
        <w:rPr>
          <w:color w:val="000000"/>
          <w:spacing w:val="0"/>
          <w:w w:val="100"/>
          <w:position w:val="0"/>
          <w:sz w:val="24"/>
          <w:szCs w:val="24"/>
        </w:rPr>
        <w:t>二）报告期内主要经营情况：</w:t>
      </w:r>
    </w:p>
    <w:p>
      <w:pPr>
        <w:pStyle w:val="Style30"/>
        <w:keepNext w:val="0"/>
        <w:keepLines w:val="0"/>
        <w:widowControl w:val="0"/>
        <w:shd w:val="clear" w:color="auto" w:fill="auto"/>
        <w:bidi w:val="0"/>
        <w:spacing w:before="0" w:after="0" w:line="467" w:lineRule="exact"/>
        <w:ind w:left="0" w:right="0" w:firstLine="360"/>
        <w:jc w:val="both"/>
      </w:pPr>
      <w:bookmarkStart w:id="98" w:name="bookmark98"/>
      <w:r>
        <w:rPr>
          <w:color w:val="000000"/>
          <w:spacing w:val="0"/>
          <w:w w:val="100"/>
          <w:position w:val="0"/>
          <w:sz w:val="24"/>
          <w:szCs w:val="24"/>
        </w:rPr>
        <w:t>（</w:t>
      </w:r>
      <w:bookmarkEnd w:id="98"/>
      <w:r>
        <w:rPr>
          <w:color w:val="000000"/>
          <w:spacing w:val="0"/>
          <w:w w:val="100"/>
          <w:position w:val="0"/>
          <w:sz w:val="24"/>
          <w:szCs w:val="24"/>
        </w:rPr>
        <w:t>1）核心主业增长较快，行业整体解决方案能力有较大提升。</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Oracle</w:t>
      </w:r>
      <w:r>
        <w:rPr>
          <w:color w:val="000000"/>
          <w:spacing w:val="0"/>
          <w:w w:val="100"/>
          <w:position w:val="0"/>
          <w:sz w:val="24"/>
          <w:szCs w:val="24"/>
        </w:rPr>
        <w:t>和</w:t>
      </w:r>
      <w:r>
        <w:rPr>
          <w:color w:val="000000"/>
          <w:spacing w:val="0"/>
          <w:w w:val="100"/>
          <w:position w:val="0"/>
          <w:sz w:val="24"/>
          <w:szCs w:val="24"/>
        </w:rPr>
        <w:t>SAP</w:t>
      </w:r>
      <w:r>
        <w:rPr>
          <w:color w:val="000000"/>
          <w:spacing w:val="0"/>
          <w:w w:val="100"/>
          <w:position w:val="0"/>
          <w:sz w:val="24"/>
          <w:szCs w:val="24"/>
        </w:rPr>
        <w:t>业务作为公司核心主业，对业绩增长做出较大贡献，在财务绩效增长同时， 解决方案能力和创新能力也得到了长足发展，并在报告期内支撑了很多创新业务的开拓。报 告期内，公司对核心主业的组织架构和业务范围进行了调整，根据业务范围、行业特性、需 求共性等对行业做了整合，进一步提高整体解决方案能力。报告期内，核心主业在部分重点 行业取得了突破，包括公用事业、军工、时尚和零售等领域，服务能力也有了较大提升。同 时公司积极推进实施方法的标准化和规范化，通过标准化和规范化使得公司在客户满意、时 间可控、成本可控的前提下顺利完成项目。</w:t>
      </w:r>
    </w:p>
    <w:p>
      <w:pPr>
        <w:pStyle w:val="Style30"/>
        <w:keepNext w:val="0"/>
        <w:keepLines w:val="0"/>
        <w:widowControl w:val="0"/>
        <w:shd w:val="clear" w:color="auto" w:fill="auto"/>
        <w:bidi w:val="0"/>
        <w:spacing w:before="0" w:after="0" w:line="467" w:lineRule="exact"/>
        <w:ind w:left="0" w:right="0" w:firstLine="4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2）运维服务收入增长迅速，积极尝试企业</w:t>
      </w:r>
      <w:r>
        <w:rPr>
          <w:color w:val="000000"/>
          <w:spacing w:val="0"/>
          <w:w w:val="100"/>
          <w:position w:val="0"/>
          <w:sz w:val="24"/>
          <w:szCs w:val="24"/>
        </w:rPr>
        <w:t>IT</w:t>
      </w:r>
      <w:r>
        <w:rPr>
          <w:color w:val="000000"/>
          <w:spacing w:val="0"/>
          <w:w w:val="100"/>
          <w:position w:val="0"/>
          <w:sz w:val="24"/>
          <w:szCs w:val="24"/>
        </w:rPr>
        <w:t>整体运维服务。</w:t>
      </w:r>
    </w:p>
    <w:p>
      <w:pPr>
        <w:pStyle w:val="Style3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报告期内，公司积极开拓运维服务市场，运维业务的收入增长迅速，为公司贡献了 10% 左右的收入。运维业务收入的增长，一方面得益于市场规模的扩大，随着企业信息化建设的 持续投入，信息化资产的高效运营越来越为企业所关注，特别是企业的观念也在逐渐转变， 专业化外包正在逐渐成为企业</w:t>
      </w:r>
      <w:r>
        <w:rPr>
          <w:color w:val="000000"/>
          <w:spacing w:val="0"/>
          <w:w w:val="100"/>
          <w:position w:val="0"/>
          <w:sz w:val="24"/>
          <w:szCs w:val="24"/>
        </w:rPr>
        <w:t>IT</w:t>
      </w:r>
      <w:r>
        <w:rPr>
          <w:color w:val="000000"/>
          <w:spacing w:val="0"/>
          <w:w w:val="100"/>
          <w:position w:val="0"/>
          <w:sz w:val="24"/>
          <w:szCs w:val="24"/>
        </w:rPr>
        <w:t>服务的趋势，由此带来运维服务市场的规模持续增长；另一 方面得益于公司整体服务外包策略和能力，公司在</w:t>
      </w:r>
      <w:r>
        <w:rPr>
          <w:color w:val="000000"/>
          <w:spacing w:val="0"/>
          <w:w w:val="100"/>
          <w:position w:val="0"/>
          <w:sz w:val="24"/>
          <w:szCs w:val="24"/>
        </w:rPr>
        <w:t>ERP</w:t>
      </w:r>
      <w:r>
        <w:rPr>
          <w:color w:val="000000"/>
          <w:spacing w:val="0"/>
          <w:w w:val="100"/>
          <w:position w:val="0"/>
          <w:sz w:val="24"/>
          <w:szCs w:val="24"/>
        </w:rPr>
        <w:t>实施服务领域包括</w:t>
      </w:r>
      <w:r>
        <w:rPr>
          <w:color w:val="000000"/>
          <w:spacing w:val="0"/>
          <w:w w:val="100"/>
          <w:position w:val="0"/>
          <w:sz w:val="24"/>
          <w:szCs w:val="24"/>
        </w:rPr>
        <w:t>ERP</w:t>
      </w:r>
      <w:r>
        <w:rPr>
          <w:color w:val="000000"/>
          <w:spacing w:val="0"/>
          <w:w w:val="100"/>
          <w:position w:val="0"/>
          <w:sz w:val="24"/>
          <w:szCs w:val="24"/>
        </w:rPr>
        <w:t>系统的运维服务 方面均具有较强的业务和技术能力，为进一步增强公司整体的服务价值，公司的运维服务业 务范围逐渐延伸到非</w:t>
      </w:r>
      <w:r>
        <w:rPr>
          <w:color w:val="000000"/>
          <w:spacing w:val="0"/>
          <w:w w:val="100"/>
          <w:position w:val="0"/>
          <w:sz w:val="24"/>
          <w:szCs w:val="24"/>
        </w:rPr>
        <w:t>ERP</w:t>
      </w:r>
      <w:r>
        <w:rPr>
          <w:color w:val="000000"/>
          <w:spacing w:val="0"/>
          <w:w w:val="100"/>
          <w:position w:val="0"/>
          <w:sz w:val="24"/>
          <w:szCs w:val="24"/>
        </w:rPr>
        <w:t>领域，尝试企业信息化整体运维或整体服务外包。另外，从服务方式 上，传统的运维服务更多是依赖专业的运维人员来提供，报告期内公司开始尝试基于标准化 服务平台的方式提供服务，以达到提高服务质量和效率，降低人力成本的目的。</w:t>
      </w:r>
    </w:p>
    <w:p>
      <w:pPr>
        <w:pStyle w:val="Style30"/>
        <w:keepNext w:val="0"/>
        <w:keepLines w:val="0"/>
        <w:widowControl w:val="0"/>
        <w:shd w:val="clear" w:color="auto" w:fill="auto"/>
        <w:tabs>
          <w:tab w:pos="953" w:val="left"/>
        </w:tabs>
        <w:bidi w:val="0"/>
        <w:spacing w:before="0" w:after="0" w:line="468" w:lineRule="exact"/>
        <w:ind w:left="0" w:right="0" w:firstLine="480"/>
        <w:jc w:val="left"/>
      </w:pPr>
      <w:bookmarkStart w:id="100" w:name="bookmark100"/>
      <w:r>
        <w:rPr>
          <w:color w:val="000000"/>
          <w:spacing w:val="0"/>
          <w:w w:val="100"/>
          <w:position w:val="0"/>
          <w:sz w:val="24"/>
          <w:szCs w:val="24"/>
        </w:rPr>
        <w:t>（</w:t>
      </w:r>
      <w:bookmarkEnd w:id="100"/>
      <w:r>
        <w:rPr>
          <w:color w:val="000000"/>
          <w:spacing w:val="0"/>
          <w:w w:val="100"/>
          <w:position w:val="0"/>
          <w:sz w:val="24"/>
          <w:szCs w:val="24"/>
        </w:rPr>
        <w:t>3）</w:t>
        <w:tab/>
        <w:t>其他套装软件实施服务持续增长，并逐渐形成了跨产品线的全面解决方案。</w:t>
      </w:r>
    </w:p>
    <w:p>
      <w:pPr>
        <w:pStyle w:val="Style30"/>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由于现在企业的业务和管理需求都愈发呈现出多样化、个性化的特点，单一的</w:t>
      </w:r>
      <w:r>
        <w:rPr>
          <w:color w:val="000000"/>
          <w:spacing w:val="0"/>
          <w:w w:val="100"/>
          <w:position w:val="0"/>
          <w:sz w:val="24"/>
          <w:szCs w:val="24"/>
        </w:rPr>
        <w:t>ERP</w:t>
      </w:r>
      <w:r>
        <w:rPr>
          <w:color w:val="000000"/>
          <w:spacing w:val="0"/>
          <w:w w:val="100"/>
          <w:position w:val="0"/>
          <w:sz w:val="24"/>
          <w:szCs w:val="24"/>
        </w:rPr>
        <w:t>很难满 足企业全面信息化建设的需求。因此除了高端</w:t>
      </w:r>
      <w:r>
        <w:rPr>
          <w:color w:val="000000"/>
          <w:spacing w:val="0"/>
          <w:w w:val="100"/>
          <w:position w:val="0"/>
          <w:sz w:val="24"/>
          <w:szCs w:val="24"/>
        </w:rPr>
        <w:t>ERP</w:t>
      </w:r>
      <w:r>
        <w:rPr>
          <w:color w:val="000000"/>
          <w:spacing w:val="0"/>
          <w:w w:val="100"/>
          <w:position w:val="0"/>
          <w:sz w:val="24"/>
          <w:szCs w:val="24"/>
        </w:rPr>
        <w:t>软件外，公司还提供其他套装软件的实施服 务，比如</w:t>
      </w:r>
      <w:r>
        <w:rPr>
          <w:color w:val="000000"/>
          <w:spacing w:val="0"/>
          <w:w w:val="100"/>
          <w:position w:val="0"/>
          <w:sz w:val="24"/>
          <w:szCs w:val="24"/>
        </w:rPr>
        <w:t>CRM</w:t>
      </w:r>
      <w:r>
        <w:rPr>
          <w:color w:val="000000"/>
          <w:spacing w:val="0"/>
          <w:w w:val="100"/>
          <w:position w:val="0"/>
          <w:sz w:val="24"/>
          <w:szCs w:val="24"/>
        </w:rPr>
        <w:t>客户关系管理</w:t>
      </w:r>
      <w:r>
        <w:rPr>
          <w:color w:val="000000"/>
          <w:spacing w:val="0"/>
          <w:w w:val="100"/>
          <w:position w:val="0"/>
          <w:sz w:val="24"/>
          <w:szCs w:val="24"/>
        </w:rPr>
        <w:t>、HR</w:t>
      </w:r>
      <w:r>
        <w:rPr>
          <w:color w:val="000000"/>
          <w:spacing w:val="0"/>
          <w:w w:val="100"/>
          <w:position w:val="0"/>
          <w:sz w:val="24"/>
          <w:szCs w:val="24"/>
        </w:rPr>
        <w:t>人力资源管理、</w:t>
      </w:r>
      <w:r>
        <w:rPr>
          <w:color w:val="000000"/>
          <w:spacing w:val="0"/>
          <w:w w:val="100"/>
          <w:position w:val="0"/>
          <w:sz w:val="24"/>
          <w:szCs w:val="24"/>
        </w:rPr>
        <w:t>EPM</w:t>
      </w:r>
      <w:r>
        <w:rPr>
          <w:color w:val="000000"/>
          <w:spacing w:val="0"/>
          <w:w w:val="100"/>
          <w:position w:val="0"/>
          <w:sz w:val="24"/>
          <w:szCs w:val="24"/>
        </w:rPr>
        <w:t>企业绩效管理系统</w:t>
      </w:r>
      <w:r>
        <w:rPr>
          <w:color w:val="000000"/>
          <w:spacing w:val="0"/>
          <w:w w:val="100"/>
          <w:position w:val="0"/>
          <w:sz w:val="24"/>
          <w:szCs w:val="24"/>
        </w:rPr>
        <w:t>、BI</w:t>
      </w:r>
      <w:r>
        <w:rPr>
          <w:color w:val="000000"/>
          <w:spacing w:val="0"/>
          <w:w w:val="100"/>
          <w:position w:val="0"/>
          <w:sz w:val="24"/>
          <w:szCs w:val="24"/>
        </w:rPr>
        <w:t>商务智能分析系统 等。公司在项目实施过程中逐渐积累和总结专业化产品的实施经验，并进行跨产品体系的业 务和应用设计，形成跨产品线的一体化解决方案。</w:t>
      </w:r>
    </w:p>
    <w:p>
      <w:pPr>
        <w:pStyle w:val="Style30"/>
        <w:keepNext w:val="0"/>
        <w:keepLines w:val="0"/>
        <w:widowControl w:val="0"/>
        <w:shd w:val="clear" w:color="auto" w:fill="auto"/>
        <w:tabs>
          <w:tab w:pos="953" w:val="left"/>
        </w:tabs>
        <w:bidi w:val="0"/>
        <w:spacing w:before="0" w:after="0" w:line="468" w:lineRule="exact"/>
        <w:ind w:left="0" w:right="0" w:firstLine="48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4）</w:t>
        <w:tab/>
        <w:t>积极布局智能制造、移动互联网和电商等新兴领域。</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报告期内，伴随云计算、大数据、互联网等为核心的新兴信息技术趋势的发展国家也出 台了各种政策支持创新，而企业客户为满足企业未来发展需要，响应国家政策号召，积极寻 求互联网转型、智能制造升级、电商渠道开拓，企业信息化领域在不断拓展业务和管理模式 创新带来更多的信息技术需求。公司为适应市场趋势和客户需求的变化，也在高度关注和积 极引入新技术新产品，特别是基于长期服务于企业信息化的经验和能力，为客户的互联网转 型、智能制造升级和电商业务开拓提供信息化服务。报告期内，公司在新兴领域的客户拓展 方面取得了较大的进步。</w:t>
      </w:r>
    </w:p>
    <w:p>
      <w:pPr>
        <w:pStyle w:val="Style30"/>
        <w:keepNext w:val="0"/>
        <w:keepLines w:val="0"/>
        <w:widowControl w:val="0"/>
        <w:shd w:val="clear" w:color="auto" w:fill="auto"/>
        <w:bidi w:val="0"/>
        <w:spacing w:before="0" w:after="0" w:line="467" w:lineRule="exact"/>
        <w:ind w:left="0" w:right="0" w:firstLine="480"/>
        <w:jc w:val="both"/>
      </w:pPr>
      <w:bookmarkStart w:id="102" w:name="bookmark102"/>
      <w:r>
        <w:rPr>
          <w:color w:val="000000"/>
          <w:spacing w:val="0"/>
          <w:w w:val="100"/>
          <w:position w:val="0"/>
          <w:sz w:val="24"/>
          <w:szCs w:val="24"/>
        </w:rPr>
        <w:t>（</w:t>
      </w:r>
      <w:bookmarkEnd w:id="102"/>
      <w:r>
        <w:rPr>
          <w:color w:val="000000"/>
          <w:spacing w:val="0"/>
          <w:w w:val="100"/>
          <w:position w:val="0"/>
          <w:sz w:val="24"/>
          <w:szCs w:val="24"/>
        </w:rPr>
        <w:t>三）报告期内公司创新业务经营情况：</w:t>
      </w:r>
    </w:p>
    <w:p>
      <w:pPr>
        <w:pStyle w:val="Style30"/>
        <w:keepNext w:val="0"/>
        <w:keepLines w:val="0"/>
        <w:widowControl w:val="0"/>
        <w:shd w:val="clear" w:color="auto" w:fill="auto"/>
        <w:bidi w:val="0"/>
        <w:spacing w:before="0" w:after="0" w:line="467" w:lineRule="exact"/>
        <w:ind w:left="0" w:right="0" w:firstLine="600"/>
        <w:jc w:val="left"/>
      </w:pPr>
      <w:r>
        <w:rPr>
          <w:color w:val="000000"/>
          <w:spacing w:val="0"/>
          <w:w w:val="100"/>
          <w:position w:val="0"/>
          <w:sz w:val="24"/>
          <w:szCs w:val="24"/>
        </w:rPr>
        <w:t>报告期内，公司主要的创新业务有供应链金融、汇联易以及共享服务业务。</w:t>
      </w:r>
    </w:p>
    <w:p>
      <w:pPr>
        <w:pStyle w:val="Style30"/>
        <w:keepNext w:val="0"/>
        <w:keepLines w:val="0"/>
        <w:widowControl w:val="0"/>
        <w:shd w:val="clear" w:color="auto" w:fill="auto"/>
        <w:bidi w:val="0"/>
        <w:spacing w:before="0" w:after="0" w:line="467" w:lineRule="exact"/>
        <w:ind w:left="0" w:right="0" w:firstLine="480"/>
        <w:jc w:val="both"/>
      </w:pPr>
      <w:bookmarkStart w:id="103" w:name="bookmark103"/>
      <w:r>
        <w:rPr>
          <w:color w:val="000000"/>
          <w:spacing w:val="0"/>
          <w:w w:val="100"/>
          <w:position w:val="0"/>
          <w:sz w:val="24"/>
          <w:szCs w:val="24"/>
        </w:rPr>
        <w:t>（</w:t>
      </w:r>
      <w:bookmarkEnd w:id="103"/>
      <w:r>
        <w:rPr>
          <w:color w:val="000000"/>
          <w:spacing w:val="0"/>
          <w:w w:val="100"/>
          <w:position w:val="0"/>
          <w:sz w:val="24"/>
          <w:szCs w:val="24"/>
        </w:rPr>
        <w:t>1）供应链金融业务发展较快，初步形成了自有特色的服务模式。</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自2015年5月，公司设立全资子公司即上海汉得商业保理有限公司（以下简称“汉得保理”） 以来，依托传统</w:t>
      </w:r>
      <w:r>
        <w:rPr>
          <w:color w:val="000000"/>
          <w:spacing w:val="0"/>
          <w:w w:val="100"/>
          <w:position w:val="0"/>
          <w:sz w:val="24"/>
          <w:szCs w:val="24"/>
        </w:rPr>
        <w:t>ERP</w:t>
      </w:r>
      <w:r>
        <w:rPr>
          <w:color w:val="000000"/>
          <w:spacing w:val="0"/>
          <w:w w:val="100"/>
          <w:position w:val="0"/>
          <w:sz w:val="24"/>
          <w:szCs w:val="24"/>
        </w:rPr>
        <w:t>实施服务领域的核心客户资源，将公司自主研发的中小企业供应链金融云 平台，对接核心客户</w:t>
      </w:r>
      <w:r>
        <w:rPr>
          <w:color w:val="000000"/>
          <w:spacing w:val="0"/>
          <w:w w:val="100"/>
          <w:position w:val="0"/>
          <w:sz w:val="24"/>
          <w:szCs w:val="24"/>
        </w:rPr>
        <w:t>ERP</w:t>
      </w:r>
      <w:r>
        <w:rPr>
          <w:color w:val="000000"/>
          <w:spacing w:val="0"/>
          <w:w w:val="100"/>
          <w:position w:val="0"/>
          <w:sz w:val="24"/>
          <w:szCs w:val="24"/>
        </w:rPr>
        <w:t xml:space="preserve">系统的供应链模块，以获取交易、采购、发货、开票等真实数据；且 </w:t>
      </w:r>
      <w:r>
        <w:rPr>
          <w:color w:val="000000"/>
          <w:spacing w:val="0"/>
          <w:w w:val="100"/>
          <w:position w:val="0"/>
          <w:sz w:val="24"/>
          <w:szCs w:val="24"/>
        </w:rPr>
        <w:t>基于这些</w:t>
      </w:r>
      <w:r>
        <w:rPr>
          <w:color w:val="000000"/>
          <w:spacing w:val="0"/>
          <w:w w:val="100"/>
          <w:position w:val="0"/>
          <w:sz w:val="24"/>
          <w:szCs w:val="24"/>
        </w:rPr>
        <w:t>ERP</w:t>
      </w:r>
      <w:r>
        <w:rPr>
          <w:color w:val="000000"/>
          <w:spacing w:val="0"/>
          <w:w w:val="100"/>
          <w:position w:val="0"/>
          <w:sz w:val="24"/>
          <w:szCs w:val="24"/>
        </w:rPr>
        <w:t>系统内真实的交易数据，以优质应收账款为依据，向核心客户的上游供应商提供 保理服务。截止报告期末，汉得保理放款余额突破3亿，实现将近600万的利息收入。</w:t>
      </w:r>
    </w:p>
    <w:p>
      <w:pPr>
        <w:pStyle w:val="Style30"/>
        <w:keepNext w:val="0"/>
        <w:keepLines w:val="0"/>
        <w:widowControl w:val="0"/>
        <w:shd w:val="clear" w:color="auto" w:fill="auto"/>
        <w:tabs>
          <w:tab w:pos="1026" w:val="left"/>
        </w:tabs>
        <w:bidi w:val="0"/>
        <w:spacing w:before="0" w:after="0" w:line="464" w:lineRule="exact"/>
        <w:ind w:left="0" w:right="0" w:firstLine="500"/>
        <w:jc w:val="both"/>
      </w:pPr>
      <w:bookmarkStart w:id="104" w:name="bookmark104"/>
      <w:r>
        <w:rPr>
          <w:color w:val="000000"/>
          <w:spacing w:val="0"/>
          <w:w w:val="100"/>
          <w:position w:val="0"/>
          <w:sz w:val="24"/>
          <w:szCs w:val="24"/>
        </w:rPr>
        <w:t>（</w:t>
      </w:r>
      <w:bookmarkEnd w:id="104"/>
      <w:r>
        <w:rPr>
          <w:color w:val="000000"/>
          <w:spacing w:val="0"/>
          <w:w w:val="100"/>
          <w:position w:val="0"/>
          <w:sz w:val="24"/>
          <w:szCs w:val="24"/>
        </w:rPr>
        <w:t>2）</w:t>
        <w:tab/>
        <w:t>汇联易业务拓展较为顺利。</w:t>
      </w:r>
    </w:p>
    <w:p>
      <w:pPr>
        <w:pStyle w:val="Style30"/>
        <w:keepNext w:val="0"/>
        <w:keepLines w:val="0"/>
        <w:widowControl w:val="0"/>
        <w:shd w:val="clear" w:color="auto" w:fill="auto"/>
        <w:bidi w:val="0"/>
        <w:spacing w:before="0" w:after="0" w:line="464" w:lineRule="exact"/>
        <w:ind w:left="0" w:right="0" w:firstLine="500"/>
        <w:jc w:val="left"/>
      </w:pPr>
      <w:r>
        <w:rPr>
          <w:color w:val="000000"/>
          <w:spacing w:val="0"/>
          <w:w w:val="100"/>
          <w:position w:val="0"/>
          <w:sz w:val="24"/>
          <w:szCs w:val="24"/>
        </w:rPr>
        <w:t>报告期内，基于对企业差旅和费用报销管理的深刻理解，公司内部孵化了一站式差旅及 费用报销管理产品即汇联易，并基于该产品提供</w:t>
      </w:r>
      <w:r>
        <w:rPr>
          <w:color w:val="000000"/>
          <w:spacing w:val="0"/>
          <w:w w:val="100"/>
          <w:position w:val="0"/>
          <w:sz w:val="24"/>
          <w:szCs w:val="24"/>
        </w:rPr>
        <w:t>SaaS</w:t>
      </w:r>
      <w:r>
        <w:rPr>
          <w:color w:val="000000"/>
          <w:spacing w:val="0"/>
          <w:w w:val="100"/>
          <w:position w:val="0"/>
          <w:sz w:val="24"/>
          <w:szCs w:val="24"/>
        </w:rPr>
        <w:t>服务，秉持“透明是最好的管理”理念, 汇联易于2016年2月诞生后，报告期内完成了从概念验证、产品验证到市场验证的过程。截止 报告期末，汇联易已签约五十多家客户，完成签单金额300多万。</w:t>
      </w:r>
    </w:p>
    <w:p>
      <w:pPr>
        <w:pStyle w:val="Style30"/>
        <w:keepNext w:val="0"/>
        <w:keepLines w:val="0"/>
        <w:widowControl w:val="0"/>
        <w:shd w:val="clear" w:color="auto" w:fill="auto"/>
        <w:tabs>
          <w:tab w:pos="1026" w:val="left"/>
        </w:tabs>
        <w:bidi w:val="0"/>
        <w:spacing w:before="0" w:after="0" w:line="464" w:lineRule="exact"/>
        <w:ind w:left="0" w:right="0" w:firstLine="500"/>
        <w:jc w:val="both"/>
      </w:pPr>
      <w:bookmarkStart w:id="105" w:name="bookmark105"/>
      <w:r>
        <w:rPr>
          <w:color w:val="000000"/>
          <w:spacing w:val="0"/>
          <w:w w:val="100"/>
          <w:position w:val="0"/>
          <w:sz w:val="24"/>
          <w:szCs w:val="24"/>
        </w:rPr>
        <w:t>（</w:t>
      </w:r>
      <w:bookmarkEnd w:id="105"/>
      <w:r>
        <w:rPr>
          <w:color w:val="000000"/>
          <w:spacing w:val="0"/>
          <w:w w:val="100"/>
          <w:position w:val="0"/>
          <w:sz w:val="24"/>
          <w:szCs w:val="24"/>
        </w:rPr>
        <w:t>3）</w:t>
        <w:tab/>
        <w:t>共享服务快速发展，构建全面共享服务平台。</w:t>
      </w:r>
    </w:p>
    <w:p>
      <w:pPr>
        <w:pStyle w:val="Style30"/>
        <w:keepNext w:val="0"/>
        <w:keepLines w:val="0"/>
        <w:widowControl w:val="0"/>
        <w:shd w:val="clear" w:color="auto" w:fill="auto"/>
        <w:bidi w:val="0"/>
        <w:spacing w:before="0" w:after="220" w:line="468" w:lineRule="exact"/>
        <w:ind w:left="0" w:right="0" w:firstLine="500"/>
        <w:jc w:val="left"/>
      </w:pPr>
      <w:r>
        <w:rPr>
          <w:color w:val="000000"/>
          <w:spacing w:val="0"/>
          <w:w w:val="100"/>
          <w:position w:val="0"/>
          <w:sz w:val="24"/>
          <w:szCs w:val="24"/>
        </w:rPr>
        <w:t>共享服务是现代企业组织结构变革的一种手段或实现方式，通过将企业内部纯操作性的、 非决策性的流程共享至共享服务中心，以降低整体运营成本；通过内控流程处理时限标准化 和全流程的实时监控，以提高流程管控效率；通过员工、供应商及客户参与自助化流程，以 达到全员关注业务流程的目的。报告期内，公司的共享服务业务已迈入构建全面共享服务的 新阶段，努力实现为企业客户提供更为全面、高效的共享服务。</w:t>
      </w:r>
    </w:p>
    <w:p>
      <w:pPr>
        <w:pStyle w:val="Style30"/>
        <w:keepNext w:val="0"/>
        <w:keepLines w:val="0"/>
        <w:widowControl w:val="0"/>
        <w:shd w:val="clear" w:color="auto" w:fill="auto"/>
        <w:bidi w:val="0"/>
        <w:spacing w:before="0" w:after="340" w:line="464" w:lineRule="exact"/>
        <w:ind w:left="0" w:right="0" w:firstLine="0"/>
        <w:jc w:val="left"/>
      </w:pPr>
      <w:bookmarkStart w:id="106" w:name="bookmark106"/>
      <w:r>
        <w:rPr>
          <w:b/>
          <w:bCs/>
          <w:color w:val="000000"/>
          <w:spacing w:val="0"/>
          <w:w w:val="100"/>
          <w:position w:val="0"/>
          <w:sz w:val="24"/>
          <w:szCs w:val="24"/>
        </w:rPr>
        <w:t>二</w:t>
      </w:r>
      <w:bookmarkEnd w:id="106"/>
      <w:r>
        <w:rPr>
          <w:b/>
          <w:bCs/>
          <w:color w:val="000000"/>
          <w:spacing w:val="0"/>
          <w:w w:val="100"/>
          <w:position w:val="0"/>
          <w:sz w:val="24"/>
          <w:szCs w:val="24"/>
        </w:rPr>
        <w:t>、主营业务分析</w:t>
      </w:r>
    </w:p>
    <w:p>
      <w:pPr>
        <w:pStyle w:val="Style2"/>
        <w:keepNext w:val="0"/>
        <w:keepLines w:val="0"/>
        <w:widowControl w:val="0"/>
        <w:shd w:val="clear" w:color="auto" w:fill="auto"/>
        <w:tabs>
          <w:tab w:pos="373" w:val="left"/>
        </w:tabs>
        <w:bidi w:val="0"/>
        <w:spacing w:before="0" w:after="220" w:line="240" w:lineRule="auto"/>
        <w:ind w:left="0" w:right="0" w:firstLine="0"/>
        <w:jc w:val="left"/>
        <w:rPr>
          <w:sz w:val="20"/>
          <w:szCs w:val="20"/>
        </w:rPr>
      </w:pPr>
      <w:bookmarkStart w:id="107" w:name="bookmark107"/>
      <w:r>
        <w:rPr>
          <w:rFonts w:ascii="Times New Roman" w:eastAsia="Times New Roman" w:hAnsi="Times New Roman" w:cs="Times New Roman"/>
          <w:b/>
          <w:bCs/>
          <w:color w:val="000000"/>
          <w:spacing w:val="0"/>
          <w:w w:val="100"/>
          <w:position w:val="0"/>
          <w:sz w:val="20"/>
          <w:szCs w:val="20"/>
        </w:rPr>
        <w:t>1</w:t>
      </w:r>
      <w:bookmarkEnd w:id="107"/>
      <w:r>
        <w:rPr>
          <w:b/>
          <w:bCs/>
          <w:color w:val="000000"/>
          <w:spacing w:val="0"/>
          <w:w w:val="100"/>
          <w:position w:val="0"/>
          <w:sz w:val="20"/>
          <w:szCs w:val="20"/>
        </w:rPr>
        <w:t>、</w:t>
        <w:tab/>
        <w:t>概述</w:t>
      </w:r>
    </w:p>
    <w:p>
      <w:pPr>
        <w:pStyle w:val="Style23"/>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
        <w:keepNext w:val="0"/>
        <w:keepLines w:val="0"/>
        <w:widowControl w:val="0"/>
        <w:shd w:val="clear" w:color="auto" w:fill="auto"/>
        <w:tabs>
          <w:tab w:pos="382" w:val="left"/>
        </w:tabs>
        <w:bidi w:val="0"/>
        <w:spacing w:before="0" w:after="340" w:line="240" w:lineRule="auto"/>
        <w:ind w:left="0" w:right="0" w:firstLine="0"/>
        <w:jc w:val="left"/>
        <w:rPr>
          <w:sz w:val="20"/>
          <w:szCs w:val="20"/>
        </w:rPr>
      </w:pPr>
      <w:bookmarkStart w:id="108" w:name="bookmark108"/>
      <w:r>
        <w:rPr>
          <w:rFonts w:ascii="Times New Roman" w:eastAsia="Times New Roman" w:hAnsi="Times New Roman" w:cs="Times New Roman"/>
          <w:b/>
          <w:bCs/>
          <w:color w:val="000000"/>
          <w:spacing w:val="0"/>
          <w:w w:val="100"/>
          <w:position w:val="0"/>
          <w:sz w:val="20"/>
          <w:szCs w:val="20"/>
        </w:rPr>
        <w:t>2</w:t>
      </w:r>
      <w:bookmarkEnd w:id="108"/>
      <w:r>
        <w:rPr>
          <w:b/>
          <w:bCs/>
          <w:color w:val="000000"/>
          <w:spacing w:val="0"/>
          <w:w w:val="100"/>
          <w:position w:val="0"/>
          <w:sz w:val="20"/>
          <w:szCs w:val="20"/>
        </w:rPr>
        <w:t>、</w:t>
        <w:tab/>
        <w:t>收入与成本</w:t>
      </w:r>
    </w:p>
    <w:p>
      <w:pPr>
        <w:pStyle w:val="Style2"/>
        <w:keepNext w:val="0"/>
        <w:keepLines w:val="0"/>
        <w:widowControl w:val="0"/>
        <w:shd w:val="clear" w:color="auto" w:fill="auto"/>
        <w:bidi w:val="0"/>
        <w:spacing w:before="0" w:after="220" w:line="240" w:lineRule="auto"/>
        <w:ind w:left="0" w:right="0" w:firstLine="0"/>
        <w:jc w:val="left"/>
        <w:rPr>
          <w:sz w:val="20"/>
          <w:szCs w:val="20"/>
        </w:rPr>
      </w:pPr>
      <w:bookmarkStart w:id="109" w:name="bookmark109"/>
      <w:r>
        <w:rPr>
          <w:b/>
          <w:bCs/>
          <w:color w:val="000000"/>
          <w:spacing w:val="0"/>
          <w:w w:val="100"/>
          <w:position w:val="0"/>
          <w:sz w:val="20"/>
          <w:szCs w:val="20"/>
        </w:rPr>
        <w:t>（</w:t>
      </w:r>
      <w:bookmarkEnd w:id="10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）营业收入构成</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产业链相关业务》的披露要求： 否</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上市公司从事医疗器械业务》的披露要求：</w:t>
      </w:r>
    </w:p>
    <w:p>
      <w:pPr>
        <w:pStyle w:val="Style23"/>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单位：元</w:t>
      </w:r>
    </w:p>
    <w:tbl>
      <w:tblPr>
        <w:tblOverlap w:val="never"/>
        <w:jc w:val="center"/>
        <w:tblLayout w:type="fixed"/>
      </w:tblPr>
      <w:tblGrid>
        <w:gridCol w:w="1598"/>
        <w:gridCol w:w="3187"/>
        <w:gridCol w:w="3187"/>
        <w:gridCol w:w="160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1,710,218,028.51</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1,218,798,082.68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1,700,926,267.15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1,217,434,458.54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5,848,962.91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107,948.01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5,318.31%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120,435.85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3,322,362.60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1,255,676.13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125,953,091.25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77,297,983.66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10,576,579.96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1,077,473.50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软件实施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1,184,102,937.34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933,152,249.30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142,598,466.85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74,018,259.76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客户支持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214,284,526.16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111,337,914.86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23,410,665.59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20,486,237.84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5,848,962.91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107,948.01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5,318.31%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3,442,798.45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1,320,015.75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1,612,938,955.29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1,093,457,824.78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20"/>
              <w:jc w:val="both"/>
            </w:pPr>
            <w:r>
              <w:rPr>
                <w:rFonts w:ascii="Times New Roman" w:eastAsia="Times New Roman" w:hAnsi="Times New Roman" w:cs="Times New Roman"/>
                <w:color w:val="000000"/>
                <w:spacing w:val="0"/>
                <w:w w:val="100"/>
                <w:position w:val="0"/>
              </w:rPr>
              <w:t>97,279,073.22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1100" w:right="0" w:firstLine="0"/>
              <w:jc w:val="both"/>
            </w:pPr>
            <w:r>
              <w:rPr>
                <w:rFonts w:ascii="Times New Roman" w:eastAsia="Times New Roman" w:hAnsi="Times New Roman" w:cs="Times New Roman"/>
                <w:color w:val="000000"/>
                <w:spacing w:val="0"/>
                <w:w w:val="100"/>
                <w:position w:val="0"/>
              </w:rPr>
              <w:t>5.69%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40"/>
              <w:jc w:val="both"/>
            </w:pPr>
            <w:r>
              <w:rPr>
                <w:rFonts w:ascii="Times New Roman" w:eastAsia="Times New Roman" w:hAnsi="Times New Roman" w:cs="Times New Roman"/>
                <w:color w:val="000000"/>
                <w:spacing w:val="0"/>
                <w:w w:val="100"/>
                <w:position w:val="0"/>
              </w:rPr>
              <w:t>125,340,257.90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10.28%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-22.39%</w:t>
            </w:r>
          </w:p>
        </w:tc>
      </w:tr>
    </w:tbl>
    <w:p>
      <w:pPr>
        <w:widowControl w:val="0"/>
        <w:spacing w:after="299" w:line="1" w:lineRule="exact"/>
      </w:pPr>
    </w:p>
    <w:p>
      <w:pPr>
        <w:pStyle w:val="Style26"/>
        <w:keepNext/>
        <w:keepLines/>
        <w:widowControl w:val="0"/>
        <w:numPr>
          <w:ilvl w:val="0"/>
          <w:numId w:val="1"/>
        </w:numPr>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1,700,926,267.15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1,039,668,160.93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1,564,396,595.94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928,445,250.37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1,612,938,955.29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956,680,146.12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pPr>
            <w:r>
              <w:rPr>
                <w:rFonts w:ascii="Times New Roman" w:eastAsia="Times New Roman" w:hAnsi="Times New Roman" w:cs="Times New Roman"/>
                <w:color w:val="000000"/>
                <w:spacing w:val="0"/>
                <w:w w:val="100"/>
                <w:position w:val="0"/>
              </w:rPr>
              <w:t>40.69%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pPr>
            <w:r>
              <w:rPr>
                <w:rFonts w:ascii="Times New Roman" w:eastAsia="Times New Roman" w:hAnsi="Times New Roman" w:cs="Times New Roman"/>
                <w:color w:val="000000"/>
                <w:spacing w:val="0"/>
                <w:w w:val="100"/>
                <w:position w:val="0"/>
              </w:rPr>
              <w:t>47.51%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780"/>
              <w:jc w:val="left"/>
            </w:pPr>
            <w:r>
              <w:rPr>
                <w:rFonts w:ascii="Times New Roman" w:eastAsia="Times New Roman" w:hAnsi="Times New Roman" w:cs="Times New Roman"/>
                <w:color w:val="000000"/>
                <w:spacing w:val="0"/>
                <w:w w:val="100"/>
                <w:position w:val="0"/>
              </w:rPr>
              <w:t>53.68%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-2.38%</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1,039,668,160.93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729,908,149.03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42.44%</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363,914.44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101,326,020.00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63,416,287.87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59.78%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9,896,890.56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851,074.69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688,331,647.25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534,772,308.16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28.71%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82,855,188.00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41,689,495.38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98.74%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137,765,552.49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73,363,813.22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87.78%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19,492,862.63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15,706,150.74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rFonts w:ascii="Times New Roman" w:eastAsia="Times New Roman" w:hAnsi="Times New Roman" w:cs="Times New Roman"/>
                <w:color w:val="000000"/>
                <w:spacing w:val="0"/>
                <w:w w:val="100"/>
                <w:position w:val="0"/>
              </w:rPr>
              <w:t>363,914.44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both"/>
            </w:pPr>
            <w:r>
              <w:rPr>
                <w:rFonts w:ascii="Times New Roman" w:eastAsia="Times New Roman" w:hAnsi="Times New Roman" w:cs="Times New Roman"/>
                <w:color w:val="000000"/>
                <w:spacing w:val="0"/>
                <w:w w:val="100"/>
                <w:position w:val="0"/>
              </w:rPr>
              <w:t>109,018.97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233.81%</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26"/>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0"/>
        <w:keepNext w:val="0"/>
        <w:keepLines w:val="0"/>
        <w:widowControl w:val="0"/>
        <w:numPr>
          <w:ilvl w:val="0"/>
          <w:numId w:val="3"/>
        </w:numPr>
        <w:shd w:val="clear" w:color="auto" w:fill="auto"/>
        <w:bidi w:val="0"/>
        <w:spacing w:before="0" w:after="360" w:line="240" w:lineRule="auto"/>
        <w:ind w:left="0" w:right="0" w:firstLine="0"/>
        <w:jc w:val="left"/>
      </w:pPr>
      <w:bookmarkStart w:id="130" w:name="bookmark130"/>
      <w:bookmarkEnd w:id="130"/>
      <w:r>
        <w:rPr>
          <w:color w:val="000000"/>
          <w:spacing w:val="0"/>
          <w:w w:val="100"/>
          <w:position w:val="0"/>
          <w:sz w:val="24"/>
          <w:szCs w:val="24"/>
        </w:rPr>
        <w:t>本期发生的非同一控制下企业合并的情况</w:t>
      </w:r>
    </w:p>
    <w:tbl>
      <w:tblPr>
        <w:tblOverlap w:val="never"/>
        <w:jc w:val="center"/>
        <w:tblLayout w:type="fixed"/>
      </w:tblPr>
      <w:tblGrid>
        <w:gridCol w:w="1152"/>
        <w:gridCol w:w="1277"/>
        <w:gridCol w:w="1277"/>
        <w:gridCol w:w="850"/>
        <w:gridCol w:w="710"/>
        <w:gridCol w:w="710"/>
        <w:gridCol w:w="854"/>
        <w:gridCol w:w="1435"/>
        <w:gridCol w:w="1411"/>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股权取得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购买方的净利润</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上海达美信息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120,526,438.91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9,504,491.77</w:t>
            </w:r>
          </w:p>
        </w:tc>
      </w:tr>
    </w:tbl>
    <w:tbl>
      <w:tblPr>
        <w:tblOverlap w:val="never"/>
        <w:jc w:val="center"/>
        <w:tblLayout w:type="fixed"/>
      </w:tblPr>
      <w:tblGrid>
        <w:gridCol w:w="1152"/>
        <w:gridCol w:w="1277"/>
        <w:gridCol w:w="1277"/>
        <w:gridCol w:w="850"/>
        <w:gridCol w:w="710"/>
        <w:gridCol w:w="710"/>
        <w:gridCol w:w="854"/>
        <w:gridCol w:w="1435"/>
        <w:gridCol w:w="1411"/>
      </w:tblGrid>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扬州达美投资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55,282,500.01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-15,623.95</w:t>
            </w:r>
          </w:p>
        </w:tc>
      </w:tr>
    </w:tbl>
    <w:p>
      <w:pPr>
        <w:widowControl w:val="0"/>
        <w:spacing w:after="99" w:line="1" w:lineRule="exact"/>
      </w:pPr>
    </w:p>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注：①股权转让协议已获得上海达美、扬州达美及本公司董事会通过。</w:t>
      </w:r>
    </w:p>
    <w:p>
      <w:pPr>
        <w:pStyle w:val="Style23"/>
        <w:keepNext w:val="0"/>
        <w:keepLines w:val="0"/>
        <w:widowControl w:val="0"/>
        <w:numPr>
          <w:ilvl w:val="0"/>
          <w:numId w:val="5"/>
        </w:numPr>
        <w:shd w:val="clear" w:color="auto" w:fill="auto"/>
        <w:tabs>
          <w:tab w:pos="753" w:val="left"/>
        </w:tabs>
        <w:bidi w:val="0"/>
        <w:spacing w:before="0" w:after="240" w:line="240" w:lineRule="auto"/>
        <w:ind w:left="0" w:right="0" w:firstLine="380"/>
        <w:jc w:val="both"/>
      </w:pPr>
      <w:bookmarkStart w:id="131" w:name="bookmark131"/>
      <w:bookmarkEnd w:id="131"/>
      <w:r>
        <w:rPr>
          <w:color w:val="000000"/>
          <w:spacing w:val="0"/>
          <w:w w:val="100"/>
          <w:position w:val="0"/>
        </w:rPr>
        <w:t>本公司和上海达美、扬州达美董事会已办理了资产交接手续。</w:t>
      </w:r>
    </w:p>
    <w:p>
      <w:pPr>
        <w:pStyle w:val="Style23"/>
        <w:keepNext w:val="0"/>
        <w:keepLines w:val="0"/>
        <w:widowControl w:val="0"/>
        <w:numPr>
          <w:ilvl w:val="0"/>
          <w:numId w:val="5"/>
        </w:numPr>
        <w:shd w:val="clear" w:color="auto" w:fill="auto"/>
        <w:tabs>
          <w:tab w:pos="753" w:val="left"/>
        </w:tabs>
        <w:bidi w:val="0"/>
        <w:spacing w:before="0" w:after="240" w:line="240" w:lineRule="auto"/>
        <w:ind w:left="0" w:right="0" w:firstLine="380"/>
        <w:jc w:val="both"/>
      </w:pPr>
      <w:bookmarkStart w:id="132" w:name="bookmark132"/>
      <w:bookmarkEnd w:id="132"/>
      <w:r>
        <w:rPr>
          <w:color w:val="000000"/>
          <w:spacing w:val="0"/>
          <w:w w:val="100"/>
          <w:position w:val="0"/>
        </w:rPr>
        <w:t>上海达美、扬州达美已办理了工商变更登记手续。</w:t>
      </w:r>
    </w:p>
    <w:p>
      <w:pPr>
        <w:pStyle w:val="Style23"/>
        <w:keepNext w:val="0"/>
        <w:keepLines w:val="0"/>
        <w:widowControl w:val="0"/>
        <w:numPr>
          <w:ilvl w:val="0"/>
          <w:numId w:val="5"/>
        </w:numPr>
        <w:shd w:val="clear" w:color="auto" w:fill="auto"/>
        <w:tabs>
          <w:tab w:pos="753" w:val="left"/>
        </w:tabs>
        <w:bidi w:val="0"/>
        <w:spacing w:before="0" w:after="240" w:line="240" w:lineRule="auto"/>
        <w:ind w:left="0" w:right="0" w:firstLine="380"/>
        <w:jc w:val="both"/>
      </w:pPr>
      <w:bookmarkStart w:id="133" w:name="bookmark133"/>
      <w:bookmarkEnd w:id="133"/>
      <w:r>
        <w:rPr>
          <w:color w:val="000000"/>
          <w:spacing w:val="0"/>
          <w:w w:val="100"/>
          <w:position w:val="0"/>
        </w:rPr>
        <w:t>本公司已按协议规定支付股权收购款的</w:t>
      </w:r>
      <w:r>
        <w:rPr>
          <w:rFonts w:ascii="Times New Roman" w:eastAsia="Times New Roman" w:hAnsi="Times New Roman" w:cs="Times New Roman"/>
          <w:color w:val="000000"/>
          <w:spacing w:val="0"/>
          <w:w w:val="100"/>
          <w:position w:val="0"/>
        </w:rPr>
        <w:t>50%</w:t>
      </w:r>
      <w:r>
        <w:rPr>
          <w:color w:val="000000"/>
          <w:spacing w:val="0"/>
          <w:w w:val="100"/>
          <w:position w:val="0"/>
        </w:rPr>
        <w:t>以上。</w:t>
      </w:r>
    </w:p>
    <w:p>
      <w:pPr>
        <w:pStyle w:val="Style23"/>
        <w:keepNext w:val="0"/>
        <w:keepLines w:val="0"/>
        <w:widowControl w:val="0"/>
        <w:numPr>
          <w:ilvl w:val="0"/>
          <w:numId w:val="5"/>
        </w:numPr>
        <w:shd w:val="clear" w:color="auto" w:fill="auto"/>
        <w:tabs>
          <w:tab w:pos="753" w:val="left"/>
        </w:tabs>
        <w:bidi w:val="0"/>
        <w:spacing w:before="0" w:after="0" w:line="240" w:lineRule="auto"/>
        <w:ind w:left="0" w:right="0" w:firstLine="380"/>
        <w:jc w:val="left"/>
      </w:pPr>
      <w:bookmarkStart w:id="134" w:name="bookmark134"/>
      <w:bookmarkEnd w:id="134"/>
      <w:r>
        <w:rPr>
          <w:color w:val="000000"/>
          <w:spacing w:val="0"/>
          <w:w w:val="100"/>
          <w:position w:val="0"/>
        </w:rPr>
        <w:t>本公司实际上已经控制了被购买方的财务和经营政策，享有相应的收益并承担相应的风险。</w:t>
      </w:r>
    </w:p>
    <w:p>
      <w:pPr>
        <w:pStyle w:val="Style30"/>
        <w:keepNext w:val="0"/>
        <w:keepLines w:val="0"/>
        <w:widowControl w:val="0"/>
        <w:numPr>
          <w:ilvl w:val="0"/>
          <w:numId w:val="3"/>
        </w:numPr>
        <w:shd w:val="clear" w:color="auto" w:fill="auto"/>
        <w:bidi w:val="0"/>
        <w:spacing w:before="0" w:after="0" w:line="469" w:lineRule="exact"/>
        <w:ind w:left="0" w:right="0" w:firstLine="0"/>
        <w:jc w:val="left"/>
      </w:pPr>
      <w:bookmarkStart w:id="135" w:name="bookmark135"/>
      <w:bookmarkEnd w:id="135"/>
      <w:r>
        <w:rPr>
          <w:color w:val="000000"/>
          <w:spacing w:val="0"/>
          <w:w w:val="100"/>
          <w:position w:val="0"/>
          <w:sz w:val="24"/>
          <w:szCs w:val="24"/>
        </w:rPr>
        <w:t>其他原因的合并范围变动</w:t>
      </w:r>
    </w:p>
    <w:p>
      <w:pPr>
        <w:pStyle w:val="Style30"/>
        <w:keepNext w:val="0"/>
        <w:keepLines w:val="0"/>
        <w:widowControl w:val="0"/>
        <w:shd w:val="clear" w:color="auto" w:fill="auto"/>
        <w:bidi w:val="0"/>
        <w:spacing w:before="0" w:after="0" w:line="469" w:lineRule="exact"/>
        <w:ind w:left="0" w:right="0" w:firstLine="0"/>
        <w:jc w:val="left"/>
      </w:pPr>
      <w:r>
        <w:rPr>
          <w:color w:val="000000"/>
          <w:spacing w:val="0"/>
          <w:w w:val="100"/>
          <w:position w:val="0"/>
          <w:sz w:val="24"/>
          <w:szCs w:val="24"/>
        </w:rPr>
        <w:t>与上年相比本年新增合并单位</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家，原因为：</w:t>
      </w:r>
    </w:p>
    <w:p>
      <w:pPr>
        <w:pStyle w:val="Style2"/>
        <w:keepNext w:val="0"/>
        <w:keepLines w:val="0"/>
        <w:widowControl w:val="0"/>
        <w:shd w:val="clear" w:color="auto" w:fill="auto"/>
        <w:tabs>
          <w:tab w:pos="666" w:val="left"/>
        </w:tabs>
        <w:bidi w:val="0"/>
        <w:spacing w:before="0" w:after="0" w:line="469" w:lineRule="exact"/>
        <w:ind w:left="0" w:right="0" w:firstLine="0"/>
        <w:jc w:val="left"/>
        <w:rPr>
          <w:sz w:val="24"/>
          <w:szCs w:val="24"/>
        </w:rPr>
      </w:pPr>
      <w:bookmarkStart w:id="136" w:name="bookmark136"/>
      <w:r>
        <w:rPr>
          <w:color w:val="000000"/>
          <w:spacing w:val="0"/>
          <w:w w:val="100"/>
          <w:position w:val="0"/>
          <w:sz w:val="24"/>
          <w:szCs w:val="24"/>
        </w:rPr>
        <w:t>（</w:t>
      </w:r>
      <w:bookmarkEnd w:id="1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月，公司出资</w:t>
      </w:r>
      <w:r>
        <w:rPr>
          <w:rFonts w:ascii="Times New Roman" w:eastAsia="Times New Roman" w:hAnsi="Times New Roman" w:cs="Times New Roman"/>
          <w:color w:val="000000"/>
          <w:spacing w:val="0"/>
          <w:w w:val="100"/>
          <w:position w:val="0"/>
          <w:sz w:val="24"/>
          <w:szCs w:val="24"/>
        </w:rPr>
        <w:t>325.85</w:t>
      </w:r>
      <w:r>
        <w:rPr>
          <w:color w:val="000000"/>
          <w:spacing w:val="0"/>
          <w:w w:val="100"/>
          <w:position w:val="0"/>
          <w:sz w:val="24"/>
          <w:szCs w:val="24"/>
        </w:rPr>
        <w:t>万元人民币，设立</w:t>
      </w:r>
      <w:r>
        <w:rPr>
          <w:rFonts w:ascii="Times New Roman" w:eastAsia="Times New Roman" w:hAnsi="Times New Roman" w:cs="Times New Roman"/>
          <w:color w:val="000000"/>
          <w:spacing w:val="0"/>
          <w:w w:val="100"/>
          <w:position w:val="0"/>
          <w:sz w:val="24"/>
          <w:szCs w:val="24"/>
        </w:rPr>
        <w:t>HAND ENTERPRISE SOLUTIONS USA.INC.</w:t>
      </w:r>
      <w:r>
        <w:rPr>
          <w:color w:val="000000"/>
          <w:spacing w:val="0"/>
          <w:w w:val="100"/>
          <w:position w:val="0"/>
          <w:sz w:val="24"/>
          <w:szCs w:val="24"/>
        </w:rPr>
        <w:t>（以下简称“汉得加州”），</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月起，汉得加州纳入合并范围。</w:t>
      </w:r>
    </w:p>
    <w:p>
      <w:pPr>
        <w:pStyle w:val="Style30"/>
        <w:keepNext w:val="0"/>
        <w:keepLines w:val="0"/>
        <w:widowControl w:val="0"/>
        <w:shd w:val="clear" w:color="auto" w:fill="auto"/>
        <w:tabs>
          <w:tab w:pos="656" w:val="left"/>
        </w:tabs>
        <w:bidi w:val="0"/>
        <w:spacing w:before="0" w:after="0" w:line="469" w:lineRule="exact"/>
        <w:ind w:left="0" w:right="0" w:firstLine="0"/>
        <w:jc w:val="left"/>
      </w:pPr>
      <w:bookmarkStart w:id="137" w:name="bookmark137"/>
      <w:r>
        <w:rPr>
          <w:color w:val="000000"/>
          <w:spacing w:val="0"/>
          <w:w w:val="100"/>
          <w:position w:val="0"/>
          <w:sz w:val="24"/>
          <w:szCs w:val="24"/>
        </w:rPr>
        <w:t>（</w:t>
      </w:r>
      <w:bookmarkEnd w:id="1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月，公司与上海汇宣企业管理咨询合伙企业（有限合伙）共同出资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万元设立 上海甄汇信息科技有限公司（以下简称“甄汇信息”），其中公司出资</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万元，占注册资本 的</w:t>
      </w:r>
      <w:r>
        <w:rPr>
          <w:rFonts w:ascii="Times New Roman" w:eastAsia="Times New Roman" w:hAnsi="Times New Roman" w:cs="Times New Roman"/>
          <w:color w:val="000000"/>
          <w:spacing w:val="0"/>
          <w:w w:val="100"/>
          <w:position w:val="0"/>
          <w:sz w:val="24"/>
          <w:szCs w:val="24"/>
        </w:rPr>
        <w:t xml:space="preserve">72% </w:t>
      </w:r>
      <w:r>
        <w:rPr>
          <w:color w:val="000000"/>
          <w:spacing w:val="0"/>
          <w:w w:val="100"/>
          <w:position w:val="0"/>
          <w:sz w:val="24"/>
          <w:szCs w:val="24"/>
        </w:rPr>
        <w:t>（软件著作权出资</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万元）；上海汇宣企业管理咨询合伙企业（有限合伙）出资</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万 元，占注册资本的</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（货币出资</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月起，甄汇信息纳入合并范围。</w:t>
      </w:r>
    </w:p>
    <w:p>
      <w:pPr>
        <w:pStyle w:val="Style30"/>
        <w:keepNext w:val="0"/>
        <w:keepLines w:val="0"/>
        <w:widowControl w:val="0"/>
        <w:shd w:val="clear" w:color="auto" w:fill="auto"/>
        <w:bidi w:val="0"/>
        <w:spacing w:before="0" w:after="160" w:line="469" w:lineRule="exact"/>
        <w:ind w:left="0" w:right="0" w:firstLine="0"/>
        <w:jc w:val="left"/>
      </w:pPr>
      <w:r>
        <w:rPr>
          <w:color w:val="000000"/>
          <w:spacing w:val="0"/>
          <w:w w:val="100"/>
          <w:position w:val="0"/>
          <w:sz w:val="24"/>
          <w:szCs w:val="24"/>
        </w:rPr>
        <w:t>本年减少合并单位</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家，原因为：</w:t>
      </w:r>
    </w:p>
    <w:p>
      <w:pPr>
        <w:pStyle w:val="Style30"/>
        <w:keepNext w:val="0"/>
        <w:keepLines w:val="0"/>
        <w:widowControl w:val="0"/>
        <w:shd w:val="clear" w:color="auto" w:fill="auto"/>
        <w:bidi w:val="0"/>
        <w:spacing w:before="0" w:after="240" w:line="408" w:lineRule="auto"/>
        <w:ind w:left="0" w:right="0" w:firstLine="0"/>
        <w:jc w:val="left"/>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日恒大汇思（北京）咨询有限公司注销，</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月起不纳入合并范围。</w:t>
      </w:r>
    </w:p>
    <w:p>
      <w:pPr>
        <w:pStyle w:val="Style26"/>
        <w:keepNext/>
        <w:keepLines/>
        <w:widowControl w:val="0"/>
        <w:shd w:val="clear" w:color="auto" w:fill="auto"/>
        <w:tabs>
          <w:tab w:pos="537"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37"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136,302,971.29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34,317,204.06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33,365,961.76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30,952,067.87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r>
    </w:tbl>
    <w:p>
      <w:pPr>
        <w:spacing w:lineRule="exact" w:line="1"/>
        <w:rPr>
          <w:sz w:val="2"/>
          <w:szCs w:val="2"/>
        </w:rPr>
      </w:pPr>
      <w:r>
        <w:br w:type="page"/>
      </w:r>
    </w:p>
    <w:tbl>
      <w:tblPr>
        <w:tblOverlap w:val="never"/>
        <w:jc w:val="center"/>
        <w:tblLayout w:type="fixed"/>
      </w:tblPr>
      <w:tblGrid>
        <w:gridCol w:w="806"/>
        <w:gridCol w:w="3298"/>
        <w:gridCol w:w="2323"/>
        <w:gridCol w:w="3154"/>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18,966,898.69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18,700,838.91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136,302,971.29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r>
    </w:tbl>
    <w:p>
      <w:pPr>
        <w:widowControl w:val="0"/>
        <w:spacing w:after="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145,829,914.44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36"/>
        <w:gridCol w:w="3168"/>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69,943,349.51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23,983,728.00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23,900,386.93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16,722,608.00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11,279,842.00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145,829,914.44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w:t>
            </w:r>
          </w:p>
        </w:tc>
      </w:tr>
    </w:tbl>
    <w:p>
      <w:pPr>
        <w:widowControl w:val="0"/>
        <w:spacing w:after="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123,277,855.35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70,376,754.09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随着业务规模的扩大、市场拓展力度 的增强，销售团队规模扩大，各项销 售费用均增长</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293,635,087.55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219,298,412.41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管理费用的增加主要是由于研发投 入同比增长</w:t>
            </w:r>
            <w:r>
              <w:rPr>
                <w:rFonts w:ascii="Times New Roman" w:eastAsia="Times New Roman" w:hAnsi="Times New Roman" w:cs="Times New Roman"/>
                <w:color w:val="000000"/>
                <w:spacing w:val="0"/>
                <w:w w:val="100"/>
                <w:position w:val="0"/>
              </w:rPr>
              <w:t>4,077.3</w:t>
            </w:r>
            <w:r>
              <w:rPr>
                <w:color w:val="000000"/>
                <w:spacing w:val="0"/>
                <w:w w:val="100"/>
                <w:position w:val="0"/>
              </w:rPr>
              <w:t>万元；此外，随 着业务规模的扩大，日常管理开支均 有所增长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-34,690,499.98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-24,395,361.80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本报告期内日币汇率有所上升，以日 币计价的资产产生了汇兑收益</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报告期内，公司积极推进技术创新和结构优化，秉承“技术驱动未来”理念，坚持投入 技术研发及产品与服务创新。根据市场变化及发展需求，及时调整技术研发方向及产品与服 务规划格局，在现有技术优势的基础上，继续加大资金、人员投入。在国家政策及市场的推 动下，公司在大数据、云技术、移动技术、物联网等新兴技术上取得了一定的成绩，如基于 </w:t>
      </w:r>
      <w:r>
        <w:rPr>
          <w:color w:val="000000"/>
          <w:spacing w:val="0"/>
          <w:w w:val="100"/>
          <w:position w:val="0"/>
          <w:sz w:val="24"/>
          <w:szCs w:val="24"/>
        </w:rPr>
        <w:t>Java</w:t>
      </w:r>
      <w:r>
        <w:rPr>
          <w:color w:val="000000"/>
          <w:spacing w:val="0"/>
          <w:w w:val="100"/>
          <w:position w:val="0"/>
          <w:sz w:val="24"/>
          <w:szCs w:val="24"/>
        </w:rPr>
        <w:t>开发技术、移动开发技术（包含微信平台）、大数据、物联网</w:t>
      </w:r>
      <w:r>
        <w:rPr>
          <w:color w:val="000000"/>
          <w:spacing w:val="0"/>
          <w:w w:val="100"/>
          <w:position w:val="0"/>
          <w:sz w:val="24"/>
          <w:szCs w:val="24"/>
        </w:rPr>
        <w:t>I0T、</w:t>
      </w:r>
      <w:r>
        <w:rPr>
          <w:color w:val="000000"/>
          <w:spacing w:val="0"/>
          <w:w w:val="100"/>
          <w:position w:val="0"/>
          <w:sz w:val="24"/>
          <w:szCs w:val="24"/>
        </w:rPr>
        <w:t>云计算等相关技术开 发的产品已为较多的企业和项目提供了更为专业化和个性化的服务，并取得了不错的市场反 响。</w:t>
      </w:r>
    </w:p>
    <w:p>
      <w:pPr>
        <w:pStyle w:val="Style30"/>
        <w:keepNext w:val="0"/>
        <w:keepLines w:val="0"/>
        <w:widowControl w:val="0"/>
        <w:shd w:val="clear" w:color="auto" w:fill="auto"/>
        <w:bidi w:val="0"/>
        <w:spacing w:before="0" w:after="180" w:line="468" w:lineRule="exact"/>
        <w:ind w:left="0" w:right="0" w:firstLine="500"/>
        <w:jc w:val="both"/>
      </w:pPr>
      <w:r>
        <w:rPr>
          <w:color w:val="000000"/>
          <w:spacing w:val="0"/>
          <w:w w:val="100"/>
          <w:position w:val="0"/>
          <w:sz w:val="24"/>
          <w:szCs w:val="24"/>
        </w:rPr>
        <w:t>报告期内，公司研发投入为</w:t>
      </w:r>
      <w:r>
        <w:rPr>
          <w:color w:val="000000"/>
          <w:spacing w:val="0"/>
          <w:w w:val="100"/>
          <w:position w:val="0"/>
          <w:sz w:val="24"/>
          <w:szCs w:val="24"/>
        </w:rPr>
        <w:t>1.73</w:t>
      </w:r>
      <w:r>
        <w:rPr>
          <w:color w:val="000000"/>
          <w:spacing w:val="0"/>
          <w:w w:val="100"/>
          <w:position w:val="0"/>
          <w:sz w:val="24"/>
          <w:szCs w:val="24"/>
        </w:rPr>
        <w:t>亿元，占营业总收入的10.13%，研发投入再创新高。截 止报告期末，公司拥有及正在申请的计算机软件著作权、发明专利48项，全资子公司上海夏 尔软件有限公司拥有的计算机软件著作权、发明专利23项，控股子公司随身科技（上海）有 限公司拥有的计算机软件著作权、发明专利15项，全资子公司上海汉得融晶信息科技有限公 司拥有的计算机软件著作权、发明专利17项。</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173,299,041.92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128,737,891.50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95,878,254.97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22,468,695.58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18,681,163.23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7,730,201.90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1,606,510,575.10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1,290,581,186.48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1,876,971,256.16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1,084,453,032.79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73.08%</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-270,460,681.06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206,128,153.69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42,542,498.16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180,913,610.68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133,675,017.24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35.34%</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-138,371,112.52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-133,675,017.24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233,813,985.00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57,336,260.00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44,375,569.32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4,938,908.41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798.49%</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189,438,415.68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52,397,351.59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261.54%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-204,440,215.96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140,637,433.13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-245.37%</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本年经营活动净现金流出为</w:t>
      </w:r>
      <w:r>
        <w:rPr>
          <w:color w:val="000000"/>
          <w:spacing w:val="0"/>
          <w:w w:val="100"/>
          <w:position w:val="0"/>
          <w:sz w:val="24"/>
          <w:szCs w:val="24"/>
        </w:rPr>
        <w:t xml:space="preserve">2.7 </w:t>
      </w:r>
      <w:r>
        <w:rPr>
          <w:color w:val="000000"/>
          <w:spacing w:val="0"/>
          <w:w w:val="100"/>
          <w:position w:val="0"/>
          <w:sz w:val="24"/>
          <w:szCs w:val="24"/>
        </w:rPr>
        <w:t>0亿元，较2015年的净现金流入</w:t>
      </w:r>
      <w:r>
        <w:rPr>
          <w:color w:val="000000"/>
          <w:spacing w:val="0"/>
          <w:w w:val="100"/>
          <w:position w:val="0"/>
          <w:sz w:val="24"/>
          <w:szCs w:val="24"/>
        </w:rPr>
        <w:t>2.06</w:t>
      </w:r>
      <w:r>
        <w:rPr>
          <w:color w:val="000000"/>
          <w:spacing w:val="0"/>
          <w:w w:val="100"/>
          <w:position w:val="0"/>
          <w:sz w:val="24"/>
          <w:szCs w:val="24"/>
        </w:rPr>
        <w:t xml:space="preserve">亿元减少了 </w:t>
      </w:r>
      <w:r>
        <w:rPr>
          <w:color w:val="000000"/>
          <w:spacing w:val="0"/>
          <w:w w:val="100"/>
          <w:position w:val="0"/>
          <w:sz w:val="24"/>
          <w:szCs w:val="24"/>
        </w:rPr>
        <w:t>4.76</w:t>
      </w:r>
      <w:r>
        <w:rPr>
          <w:color w:val="000000"/>
          <w:spacing w:val="0"/>
          <w:w w:val="100"/>
          <w:position w:val="0"/>
          <w:sz w:val="24"/>
          <w:szCs w:val="24"/>
        </w:rPr>
        <w:t>亿元, 主要是由于汉得保理的保理款项投放而导致的现金流出计</w:t>
      </w:r>
      <w:r>
        <w:rPr>
          <w:color w:val="000000"/>
          <w:spacing w:val="0"/>
          <w:w w:val="100"/>
          <w:position w:val="0"/>
          <w:sz w:val="24"/>
          <w:szCs w:val="24"/>
        </w:rPr>
        <w:t>3.49</w:t>
      </w:r>
      <w:r>
        <w:rPr>
          <w:color w:val="000000"/>
          <w:spacing w:val="0"/>
          <w:w w:val="100"/>
          <w:position w:val="0"/>
          <w:sz w:val="24"/>
          <w:szCs w:val="24"/>
        </w:rPr>
        <w:t>亿元；投资活动的净现金流出 为</w:t>
      </w:r>
      <w:r>
        <w:rPr>
          <w:color w:val="000000"/>
          <w:spacing w:val="0"/>
          <w:w w:val="100"/>
          <w:position w:val="0"/>
          <w:sz w:val="24"/>
          <w:szCs w:val="24"/>
        </w:rPr>
        <w:t>1.38</w:t>
      </w:r>
      <w:r>
        <w:rPr>
          <w:color w:val="000000"/>
          <w:spacing w:val="0"/>
          <w:w w:val="100"/>
          <w:position w:val="0"/>
          <w:sz w:val="24"/>
          <w:szCs w:val="24"/>
        </w:rPr>
        <w:t>亿，主要为收购上海达美股权以及收购汉得融晶少数股东股权而发生的现金支出；筹 资活动净现金流入为</w:t>
      </w:r>
      <w:r>
        <w:rPr>
          <w:color w:val="000000"/>
          <w:spacing w:val="0"/>
          <w:w w:val="100"/>
          <w:position w:val="0"/>
          <w:sz w:val="24"/>
          <w:szCs w:val="24"/>
        </w:rPr>
        <w:t>1.89</w:t>
      </w:r>
      <w:r>
        <w:rPr>
          <w:color w:val="000000"/>
          <w:spacing w:val="0"/>
          <w:w w:val="100"/>
          <w:position w:val="0"/>
          <w:sz w:val="24"/>
          <w:szCs w:val="24"/>
        </w:rPr>
        <w:t>亿元，其中股权激励计划筹集资金</w:t>
      </w:r>
      <w:r>
        <w:rPr>
          <w:color w:val="000000"/>
          <w:spacing w:val="0"/>
          <w:w w:val="100"/>
          <w:position w:val="0"/>
          <w:sz w:val="24"/>
          <w:szCs w:val="24"/>
        </w:rPr>
        <w:t>1.97</w:t>
      </w:r>
      <w:r>
        <w:rPr>
          <w:color w:val="000000"/>
          <w:spacing w:val="0"/>
          <w:w w:val="100"/>
          <w:position w:val="0"/>
          <w:sz w:val="24"/>
          <w:szCs w:val="24"/>
        </w:rPr>
        <w:t>亿元。</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报告期内公司实现净利润</w:t>
      </w:r>
      <w:r>
        <w:rPr>
          <w:color w:val="000000"/>
          <w:spacing w:val="0"/>
          <w:w w:val="100"/>
          <w:position w:val="0"/>
          <w:sz w:val="24"/>
          <w:szCs w:val="24"/>
        </w:rPr>
        <w:t>2.32</w:t>
      </w:r>
      <w:r>
        <w:rPr>
          <w:color w:val="000000"/>
          <w:spacing w:val="0"/>
          <w:w w:val="100"/>
          <w:position w:val="0"/>
          <w:sz w:val="24"/>
          <w:szCs w:val="24"/>
        </w:rPr>
        <w:t>亿元，而经营活动净现金流出为</w:t>
      </w:r>
      <w:r>
        <w:rPr>
          <w:color w:val="000000"/>
          <w:spacing w:val="0"/>
          <w:w w:val="100"/>
          <w:position w:val="0"/>
          <w:sz w:val="24"/>
          <w:szCs w:val="24"/>
        </w:rPr>
        <w:t>2.70</w:t>
      </w:r>
      <w:r>
        <w:rPr>
          <w:color w:val="000000"/>
          <w:spacing w:val="0"/>
          <w:w w:val="100"/>
          <w:position w:val="0"/>
          <w:sz w:val="24"/>
          <w:szCs w:val="24"/>
        </w:rPr>
        <w:t>亿元，经营活动产生 的现金净流量与本年度净利润存在较大差异，除了营运资本的增加外，主要是由于汉得保理 的保理款项投放而导致的现金流出计</w:t>
      </w:r>
      <w:r>
        <w:rPr>
          <w:color w:val="000000"/>
          <w:spacing w:val="0"/>
          <w:w w:val="100"/>
          <w:position w:val="0"/>
          <w:sz w:val="24"/>
          <w:szCs w:val="24"/>
        </w:rPr>
        <w:t>3.49</w:t>
      </w:r>
      <w:r>
        <w:rPr>
          <w:color w:val="000000"/>
          <w:spacing w:val="0"/>
          <w:w w:val="100"/>
          <w:position w:val="0"/>
          <w:sz w:val="24"/>
          <w:szCs w:val="24"/>
        </w:rPr>
        <w:t>亿元。</w:t>
      </w:r>
    </w:p>
    <w:p>
      <w:pPr>
        <w:pStyle w:val="Style21"/>
        <w:keepNext/>
        <w:keepLines/>
        <w:widowControl w:val="0"/>
        <w:shd w:val="clear" w:color="auto" w:fill="auto"/>
        <w:bidi w:val="0"/>
        <w:spacing w:before="0" w:after="360" w:line="468" w:lineRule="exact"/>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、非主营业务情况</w:t>
      </w:r>
      <w:bookmarkEnd w:id="158"/>
      <w:bookmarkEnd w:id="159"/>
      <w:bookmarkEnd w:id="161"/>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-4,676,616.01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 变动计入当期损益的金融 资产取得的收益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衍生金融工具产生的公允 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71,415,338.66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按账龄分析法计提的应收 账款、其他应收款坏账准备 以及对收购随身产生的商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26"/>
        <w:gridCol w:w="1915"/>
        <w:gridCol w:w="1622"/>
        <w:gridCol w:w="2165"/>
        <w:gridCol w:w="235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誉计提的减值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31,691,855.15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主要为政府补助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70,401.05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主要为非流动资产处置损 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w:t>
      </w:r>
      <w:bookmarkEnd w:id="162"/>
      <w:bookmarkEnd w:id="163"/>
      <w:bookmarkEnd w:id="165"/>
    </w:p>
    <w:p>
      <w:pPr>
        <w:pStyle w:val="Style26"/>
        <w:keepNext/>
        <w:keepLines/>
        <w:widowControl w:val="0"/>
        <w:shd w:val="clear" w:color="auto" w:fill="auto"/>
        <w:bidi w:val="0"/>
        <w:spacing w:before="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742,521,911.7</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944,594,525.37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1,092,028,590.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512,239,606.37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除了业务规模扩大而导致的应收账 款余额增长外，报告期末，汉得保理 应收账款余额为</w:t>
            </w:r>
            <w:r>
              <w:rPr>
                <w:rFonts w:ascii="Times New Roman" w:eastAsia="Times New Roman" w:hAnsi="Times New Roman" w:cs="Times New Roman"/>
                <w:color w:val="000000"/>
                <w:spacing w:val="0"/>
                <w:w w:val="100"/>
                <w:position w:val="0"/>
              </w:rPr>
              <w:t>3.55</w:t>
            </w:r>
            <w:r>
              <w:rPr>
                <w:color w:val="000000"/>
                <w:spacing w:val="0"/>
                <w:w w:val="100"/>
                <w:position w:val="0"/>
              </w:rPr>
              <w:t>亿，较上年年末 增加</w:t>
            </w:r>
            <w:r>
              <w:rPr>
                <w:rFonts w:ascii="Times New Roman" w:eastAsia="Times New Roman" w:hAnsi="Times New Roman" w:cs="Times New Roman"/>
                <w:color w:val="000000"/>
                <w:spacing w:val="0"/>
                <w:w w:val="100"/>
                <w:position w:val="0"/>
              </w:rPr>
              <w:t>3.48</w:t>
            </w:r>
            <w:r>
              <w:rPr>
                <w:color w:val="000000"/>
                <w:spacing w:val="0"/>
                <w:w w:val="100"/>
                <w:position w:val="0"/>
              </w:rPr>
              <w:t>亿，导致应收账款总额大幅 增长</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859,143.30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1,055,840.80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323,411,857.2</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299,871,683.76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64,684,299.55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16,313,711.60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汉得新加坡于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月委托高盛 （亚洲）有限责任公司进行委托理</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财，出资金额</w:t>
            </w:r>
            <w:r>
              <w:rPr>
                <w:rFonts w:ascii="Times New Roman" w:eastAsia="Times New Roman" w:hAnsi="Times New Roman" w:cs="Times New Roman"/>
                <w:color w:val="000000"/>
                <w:spacing w:val="0"/>
                <w:w w:val="100"/>
                <w:position w:val="0"/>
              </w:rPr>
              <w:t>920</w:t>
            </w:r>
            <w:r>
              <w:rPr>
                <w:color w:val="000000"/>
                <w:spacing w:val="0"/>
                <w:w w:val="100"/>
                <w:position w:val="0"/>
              </w:rPr>
              <w:t>万美元，折合人民 币</w:t>
            </w:r>
            <w:r>
              <w:rPr>
                <w:rFonts w:ascii="Times New Roman" w:eastAsia="Times New Roman" w:hAnsi="Times New Roman" w:cs="Times New Roman"/>
                <w:color w:val="000000"/>
                <w:spacing w:val="0"/>
                <w:w w:val="100"/>
                <w:position w:val="0"/>
              </w:rPr>
              <w:t>6,087.70</w:t>
            </w:r>
            <w:r>
              <w:rPr>
                <w:color w:val="000000"/>
                <w:spacing w:val="0"/>
                <w:w w:val="100"/>
                <w:position w:val="0"/>
              </w:rPr>
              <w:t>万元，计入其他流动资产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93,960,012.11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45,026,716.36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汉得信息本报告期收购上海达美及 扬州达美产生商誉合计</w:t>
            </w:r>
            <w:r>
              <w:rPr>
                <w:rFonts w:ascii="Times New Roman" w:eastAsia="Times New Roman" w:hAnsi="Times New Roman" w:cs="Times New Roman"/>
                <w:color w:val="000000"/>
                <w:spacing w:val="0"/>
                <w:w w:val="100"/>
                <w:position w:val="0"/>
              </w:rPr>
              <w:t>5,180.3</w:t>
            </w:r>
            <w:r>
              <w:rPr>
                <w:color w:val="000000"/>
                <w:spacing w:val="0"/>
                <w:w w:val="100"/>
                <w:position w:val="0"/>
              </w:rPr>
              <w:t xml:space="preserve">万元， 同时，对收购随身科技产生的商誉 </w:t>
            </w:r>
            <w:r>
              <w:rPr>
                <w:rFonts w:ascii="Times New Roman" w:eastAsia="Times New Roman" w:hAnsi="Times New Roman" w:cs="Times New Roman"/>
                <w:color w:val="000000"/>
                <w:spacing w:val="0"/>
                <w:w w:val="100"/>
                <w:position w:val="0"/>
              </w:rPr>
              <w:t>286.98</w:t>
            </w:r>
            <w:r>
              <w:rPr>
                <w:color w:val="000000"/>
                <w:spacing w:val="0"/>
                <w:w w:val="100"/>
                <w:position w:val="0"/>
              </w:rPr>
              <w:t>万元计提了减值准备</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6,604,849.04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43,005,157.40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年年末预付了收购上海达美股 权款项</w:t>
            </w:r>
            <w:r>
              <w:rPr>
                <w:rFonts w:ascii="Times New Roman" w:eastAsia="Times New Roman" w:hAnsi="Times New Roman" w:cs="Times New Roman"/>
                <w:color w:val="000000"/>
                <w:spacing w:val="0"/>
                <w:w w:val="100"/>
                <w:position w:val="0"/>
              </w:rPr>
              <w:t>3,808.82</w:t>
            </w:r>
            <w:r>
              <w:rPr>
                <w:color w:val="000000"/>
                <w:spacing w:val="0"/>
                <w:w w:val="100"/>
                <w:position w:val="0"/>
              </w:rPr>
              <w:t>万元，计入其他非流 动资产，本年已完成收购并转出</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300,619,367.6</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180,542,179.15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其他应付款的增加主要是由于发行 </w:t>
            </w:r>
            <w:r>
              <w:rPr>
                <w:rFonts w:ascii="Times New Roman" w:eastAsia="Times New Roman" w:hAnsi="Times New Roman" w:cs="Times New Roman"/>
                <w:color w:val="000000"/>
                <w:spacing w:val="0"/>
                <w:w w:val="100"/>
                <w:position w:val="0"/>
              </w:rPr>
              <w:t>2016</w:t>
            </w:r>
            <w:r>
              <w:rPr>
                <w:color w:val="000000"/>
                <w:spacing w:val="0"/>
                <w:w w:val="100"/>
                <w:position w:val="0"/>
              </w:rPr>
              <w:t>年度限制性股票而带来的回购 义务</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23"/>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2"/>
        <w:gridCol w:w="1157"/>
        <w:gridCol w:w="1152"/>
        <w:gridCol w:w="1157"/>
        <w:gridCol w:w="1152"/>
        <w:gridCol w:w="11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 期损益的金融资 产（不含衍生金融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lef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2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tbl>
      <w:tblPr>
        <w:tblOverlap w:val="never"/>
        <w:jc w:val="center"/>
        <w:tblLayout w:type="fixed"/>
      </w:tblPr>
      <w:tblGrid>
        <w:gridCol w:w="4138"/>
        <w:gridCol w:w="2765"/>
        <w:gridCol w:w="2774"/>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7,703,192.75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5,335,590.40</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26"/>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119,677,049.99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60,367,089.44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58"/>
        <w:gridCol w:w="662"/>
        <w:gridCol w:w="662"/>
        <w:gridCol w:w="658"/>
        <w:gridCol w:w="658"/>
        <w:gridCol w:w="658"/>
        <w:gridCol w:w="629"/>
        <w:gridCol w:w="739"/>
        <w:gridCol w:w="734"/>
        <w:gridCol w:w="734"/>
        <w:gridCol w:w="73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上海达 美信息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9,504,49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巨潮资 讯网 </w:t>
            </w:r>
            <w:r>
              <w:rPr>
                <w:rFonts w:ascii="Times New Roman" w:eastAsia="Times New Roman" w:hAnsi="Times New Roman" w:cs="Times New Roman"/>
                <w:color w:val="000000"/>
                <w:spacing w:val="0"/>
                <w:w w:val="100"/>
                <w:position w:val="0"/>
              </w:rPr>
              <w:t xml:space="preserve">2016-00 </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bl>
    <w:p>
      <w:pPr>
        <w:spacing w:lineRule="exact" w:line="1"/>
        <w:rPr>
          <w:sz w:val="2"/>
          <w:szCs w:val="2"/>
        </w:rPr>
      </w:pPr>
      <w:r>
        <w:br w:type="page"/>
      </w:r>
    </w:p>
    <w:tbl>
      <w:tblPr>
        <w:tblOverlap w:val="never"/>
        <w:jc w:val="center"/>
        <w:tblLayout w:type="fixed"/>
      </w:tblPr>
      <w:tblGrid>
        <w:gridCol w:w="696"/>
        <w:gridCol w:w="696"/>
        <w:gridCol w:w="662"/>
        <w:gridCol w:w="658"/>
        <w:gridCol w:w="662"/>
        <w:gridCol w:w="662"/>
        <w:gridCol w:w="658"/>
        <w:gridCol w:w="658"/>
        <w:gridCol w:w="658"/>
        <w:gridCol w:w="629"/>
        <w:gridCol w:w="739"/>
        <w:gridCol w:w="734"/>
        <w:gridCol w:w="734"/>
        <w:gridCol w:w="730"/>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美投资 管理有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讯网</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129,282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9,488,86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以公允价值计量的金融资产</w:t>
      </w:r>
      <w:bookmarkEnd w:id="194"/>
      <w:bookmarkEnd w:id="195"/>
      <w:bookmarkEnd w:id="19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5</w:t>
      </w:r>
      <w:bookmarkEnd w:id="200"/>
      <w:r>
        <w:rPr>
          <w:color w:val="000000"/>
          <w:spacing w:val="0"/>
          <w:w w:val="100"/>
          <w:position w:val="0"/>
        </w:rPr>
        <w:t>、</w:t>
        <w:tab/>
        <w:t>募集资金使用情况</w:t>
      </w:r>
      <w:bookmarkEnd w:id="198"/>
      <w:bookmarkEnd w:id="199"/>
      <w:bookmarkEnd w:id="201"/>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2"/>
      <w:bookmarkEnd w:id="203"/>
      <w:bookmarkEnd w:id="205"/>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闲置两年 以上募集 资金金额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网下向询 价对象配 售与网上 向社会公 众投资者 定价发行 相结合的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均存储在 本公司开 立的募集 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71,373.31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57,069.94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14,303.37</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14,303.37</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34" w:hRule="exact"/>
        </w:trPr>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日，公司本年度使用募集资金投入募投项目</w:t>
            </w:r>
            <w:r>
              <w:rPr>
                <w:rFonts w:ascii="Times New Roman" w:eastAsia="Times New Roman" w:hAnsi="Times New Roman" w:cs="Times New Roman"/>
                <w:color w:val="000000"/>
                <w:spacing w:val="0"/>
                <w:w w:val="100"/>
                <w:position w:val="0"/>
              </w:rPr>
              <w:t>6,458,099.51</w:t>
            </w:r>
            <w:r>
              <w:rPr>
                <w:color w:val="000000"/>
                <w:spacing w:val="0"/>
                <w:w w:val="100"/>
                <w:position w:val="0"/>
              </w:rPr>
              <w:t>元，全部为超募资金。募集资金投入募 投项目明细：</w:t>
            </w:r>
            <w:r>
              <w:rPr>
                <w:rFonts w:ascii="Times New Roman" w:eastAsia="Times New Roman" w:hAnsi="Times New Roman" w:cs="Times New Roman"/>
                <w:color w:val="000000"/>
                <w:spacing w:val="0"/>
                <w:w w:val="100"/>
                <w:position w:val="0"/>
              </w:rPr>
              <w:t>“ERP</w:t>
            </w:r>
            <w:r>
              <w:rPr>
                <w:color w:val="000000"/>
                <w:spacing w:val="0"/>
                <w:w w:val="100"/>
                <w:position w:val="0"/>
              </w:rPr>
              <w:t>实施服务平台建设项目</w:t>
            </w:r>
            <w:r>
              <w:rPr>
                <w:rFonts w:ascii="Times New Roman" w:eastAsia="Times New Roman" w:hAnsi="Times New Roman" w:cs="Times New Roman"/>
                <w:color w:val="000000"/>
                <w:spacing w:val="0"/>
                <w:w w:val="100"/>
                <w:position w:val="0"/>
              </w:rPr>
              <w:t>”</w:t>
            </w:r>
            <w:r>
              <w:rPr>
                <w:color w:val="000000"/>
                <w:spacing w:val="0"/>
                <w:w w:val="100"/>
                <w:position w:val="0"/>
              </w:rPr>
              <w:t>本年使用超募资金</w:t>
            </w:r>
            <w:r>
              <w:rPr>
                <w:rFonts w:ascii="Times New Roman" w:eastAsia="Times New Roman" w:hAnsi="Times New Roman" w:cs="Times New Roman"/>
                <w:color w:val="000000"/>
                <w:spacing w:val="0"/>
                <w:w w:val="100"/>
                <w:position w:val="0"/>
              </w:rPr>
              <w:t>1,850,891.32</w:t>
            </w:r>
            <w:r>
              <w:rPr>
                <w:color w:val="000000"/>
                <w:spacing w:val="0"/>
                <w:w w:val="100"/>
                <w:position w:val="0"/>
              </w:rPr>
              <w:t>元，已累计使用</w:t>
            </w:r>
            <w:r>
              <w:rPr>
                <w:rFonts w:ascii="Times New Roman" w:eastAsia="Times New Roman" w:hAnsi="Times New Roman" w:cs="Times New Roman"/>
                <w:color w:val="000000"/>
                <w:spacing w:val="0"/>
                <w:w w:val="100"/>
                <w:position w:val="0"/>
              </w:rPr>
              <w:t>130,041,778.83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海外</w:t>
            </w:r>
            <w:r>
              <w:rPr>
                <w:rFonts w:ascii="Times New Roman" w:eastAsia="Times New Roman" w:hAnsi="Times New Roman" w:cs="Times New Roman"/>
                <w:color w:val="000000"/>
                <w:spacing w:val="0"/>
                <w:w w:val="100"/>
                <w:position w:val="0"/>
              </w:rPr>
              <w:t xml:space="preserve">ERP </w:t>
            </w:r>
            <w:r>
              <w:rPr>
                <w:color w:val="000000"/>
                <w:spacing w:val="0"/>
                <w:w w:val="100"/>
                <w:position w:val="0"/>
              </w:rPr>
              <w:t>软件外包开发中心建设项目</w:t>
            </w:r>
            <w:r>
              <w:rPr>
                <w:rFonts w:ascii="Times New Roman" w:eastAsia="Times New Roman" w:hAnsi="Times New Roman" w:cs="Times New Roman"/>
                <w:color w:val="000000"/>
                <w:spacing w:val="0"/>
                <w:w w:val="100"/>
                <w:position w:val="0"/>
              </w:rPr>
              <w:t>”</w:t>
            </w:r>
            <w:r>
              <w:rPr>
                <w:color w:val="000000"/>
                <w:spacing w:val="0"/>
                <w:w w:val="100"/>
                <w:position w:val="0"/>
              </w:rPr>
              <w:t>本年使用超募资金</w:t>
            </w:r>
            <w:r>
              <w:rPr>
                <w:rFonts w:ascii="Times New Roman" w:eastAsia="Times New Roman" w:hAnsi="Times New Roman" w:cs="Times New Roman"/>
                <w:color w:val="000000"/>
                <w:spacing w:val="0"/>
                <w:w w:val="100"/>
                <w:position w:val="0"/>
              </w:rPr>
              <w:t>3,455,729.05</w:t>
            </w:r>
            <w:r>
              <w:rPr>
                <w:color w:val="000000"/>
                <w:spacing w:val="0"/>
                <w:w w:val="100"/>
                <w:position w:val="0"/>
              </w:rPr>
              <w:t>元，已累计使用</w:t>
            </w:r>
            <w:r>
              <w:rPr>
                <w:rFonts w:ascii="Times New Roman" w:eastAsia="Times New Roman" w:hAnsi="Times New Roman" w:cs="Times New Roman"/>
                <w:color w:val="000000"/>
                <w:spacing w:val="0"/>
                <w:w w:val="100"/>
                <w:position w:val="0"/>
              </w:rPr>
              <w:t>132,906,097.82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应用产品解决方案项目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本年未使用募集资金，已累计使用</w:t>
            </w:r>
            <w:r>
              <w:rPr>
                <w:rFonts w:ascii="Times New Roman" w:eastAsia="Times New Roman" w:hAnsi="Times New Roman" w:cs="Times New Roman"/>
                <w:color w:val="000000"/>
                <w:spacing w:val="0"/>
                <w:w w:val="100"/>
                <w:position w:val="0"/>
              </w:rPr>
              <w:t>30,092,626.45</w:t>
            </w:r>
            <w:r>
              <w:rPr>
                <w:color w:val="000000"/>
                <w:spacing w:val="0"/>
                <w:w w:val="100"/>
                <w:position w:val="0"/>
              </w:rPr>
              <w:t>元；</w:t>
            </w:r>
            <w:r>
              <w:rPr>
                <w:rFonts w:ascii="Times New Roman" w:eastAsia="Times New Roman" w:hAnsi="Times New Roman" w:cs="Times New Roman"/>
                <w:color w:val="000000"/>
                <w:spacing w:val="0"/>
                <w:w w:val="100"/>
                <w:position w:val="0"/>
              </w:rPr>
              <w:t>“ERP</w:t>
            </w:r>
            <w:r>
              <w:rPr>
                <w:color w:val="000000"/>
                <w:spacing w:val="0"/>
                <w:w w:val="100"/>
                <w:position w:val="0"/>
              </w:rPr>
              <w:t>运维服务中心建设项目</w:t>
            </w:r>
            <w:r>
              <w:rPr>
                <w:rFonts w:ascii="Times New Roman" w:eastAsia="Times New Roman" w:hAnsi="Times New Roman" w:cs="Times New Roman"/>
                <w:color w:val="000000"/>
                <w:spacing w:val="0"/>
                <w:w w:val="100"/>
                <w:position w:val="0"/>
              </w:rPr>
              <w:t>”</w:t>
            </w:r>
            <w:r>
              <w:rPr>
                <w:color w:val="000000"/>
                <w:spacing w:val="0"/>
                <w:w w:val="100"/>
                <w:position w:val="0"/>
              </w:rPr>
              <w:t>本年使用募集资金</w:t>
            </w:r>
            <w:r>
              <w:rPr>
                <w:rFonts w:ascii="Times New Roman" w:eastAsia="Times New Roman" w:hAnsi="Times New Roman" w:cs="Times New Roman"/>
                <w:color w:val="000000"/>
                <w:spacing w:val="0"/>
                <w:w w:val="100"/>
                <w:position w:val="0"/>
              </w:rPr>
              <w:t>1,151,479.14</w:t>
            </w:r>
            <w:r>
              <w:rPr>
                <w:color w:val="000000"/>
                <w:spacing w:val="0"/>
                <w:w w:val="100"/>
                <w:position w:val="0"/>
              </w:rPr>
              <w:t>元， 已累计使用</w:t>
            </w:r>
            <w:r>
              <w:rPr>
                <w:rFonts w:ascii="Times New Roman" w:eastAsia="Times New Roman" w:hAnsi="Times New Roman" w:cs="Times New Roman"/>
                <w:color w:val="000000"/>
                <w:spacing w:val="0"/>
                <w:w w:val="100"/>
                <w:position w:val="0"/>
              </w:rPr>
              <w:t>51,885,656.92</w:t>
            </w:r>
            <w:r>
              <w:rPr>
                <w:color w:val="000000"/>
                <w:spacing w:val="0"/>
                <w:w w:val="100"/>
                <w:position w:val="0"/>
              </w:rPr>
              <w:t>元。截止报告期已累计使用募集资金投入募投项目</w:t>
            </w:r>
            <w:r>
              <w:rPr>
                <w:rFonts w:ascii="Times New Roman" w:eastAsia="Times New Roman" w:hAnsi="Times New Roman" w:cs="Times New Roman"/>
                <w:color w:val="000000"/>
                <w:spacing w:val="0"/>
                <w:w w:val="100"/>
                <w:position w:val="0"/>
              </w:rPr>
              <w:t>344,926,160.02</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日，公司本年度使用超募资金</w:t>
            </w:r>
            <w:r>
              <w:rPr>
                <w:rFonts w:ascii="Times New Roman" w:eastAsia="Times New Roman" w:hAnsi="Times New Roman" w:cs="Times New Roman"/>
                <w:color w:val="000000"/>
                <w:spacing w:val="0"/>
                <w:w w:val="100"/>
                <w:position w:val="0"/>
              </w:rPr>
              <w:t>123,258,099.51</w:t>
            </w:r>
            <w:r>
              <w:rPr>
                <w:color w:val="000000"/>
                <w:spacing w:val="0"/>
                <w:w w:val="100"/>
                <w:position w:val="0"/>
              </w:rPr>
              <w:t>元。其中</w:t>
            </w:r>
            <w:r>
              <w:rPr>
                <w:rFonts w:ascii="Times New Roman" w:eastAsia="Times New Roman" w:hAnsi="Times New Roman" w:cs="Times New Roman"/>
                <w:color w:val="000000"/>
                <w:spacing w:val="0"/>
                <w:w w:val="100"/>
                <w:position w:val="0"/>
              </w:rPr>
              <w:t>50,000,000.00</w:t>
            </w:r>
            <w:r>
              <w:rPr>
                <w:color w:val="000000"/>
                <w:spacing w:val="0"/>
                <w:w w:val="100"/>
                <w:position w:val="0"/>
              </w:rPr>
              <w:t>元用于收购上海达美信息技术有限公司</w:t>
            </w:r>
            <w:r>
              <w:rPr>
                <w:rFonts w:ascii="Times New Roman" w:eastAsia="Times New Roman" w:hAnsi="Times New Roman" w:cs="Times New Roman"/>
                <w:color w:val="000000"/>
                <w:spacing w:val="0"/>
                <w:w w:val="100"/>
                <w:position w:val="0"/>
              </w:rPr>
              <w:t>55%</w:t>
            </w:r>
            <w:r>
              <w:rPr>
                <w:color w:val="000000"/>
                <w:spacing w:val="0"/>
                <w:w w:val="100"/>
                <w:position w:val="0"/>
              </w:rPr>
              <w:t>股权，</w:t>
            </w:r>
          </w:p>
        </w:tc>
      </w:tr>
    </w:tbl>
    <w:p>
      <w:pPr>
        <w:spacing w:lineRule="exact" w:line="1"/>
        <w:rPr>
          <w:sz w:val="2"/>
          <w:szCs w:val="2"/>
        </w:rPr>
      </w:pPr>
      <w:r>
        <w:br w:type="page"/>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left"/>
      </w:pPr>
      <w:r>
        <w:rPr>
          <w:rFonts w:ascii="Times New Roman" w:eastAsia="Times New Roman" w:hAnsi="Times New Roman" w:cs="Times New Roman"/>
          <w:color w:val="000000"/>
          <w:spacing w:val="0"/>
          <w:w w:val="100"/>
          <w:position w:val="0"/>
        </w:rPr>
        <w:t>58,800,000.00</w:t>
      </w:r>
      <w:r>
        <w:rPr>
          <w:color w:val="000000"/>
          <w:spacing w:val="0"/>
          <w:w w:val="100"/>
          <w:position w:val="0"/>
        </w:rPr>
        <w:t>元用于收购上海汉得融晶信息科技有限公司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w:t>
      </w:r>
      <w:r>
        <w:rPr>
          <w:rFonts w:ascii="Times New Roman" w:eastAsia="Times New Roman" w:hAnsi="Times New Roman" w:cs="Times New Roman"/>
          <w:color w:val="000000"/>
          <w:spacing w:val="0"/>
          <w:w w:val="100"/>
          <w:position w:val="0"/>
        </w:rPr>
        <w:t>8,000,000.00</w:t>
      </w:r>
      <w:r>
        <w:rPr>
          <w:color w:val="000000"/>
          <w:spacing w:val="0"/>
          <w:w w:val="100"/>
          <w:position w:val="0"/>
        </w:rPr>
        <w:t>元用于设立合资公司并收购上海欧俊信 息技术有限公司部分资产及业务</w:t>
      </w:r>
      <w:r>
        <w:rPr>
          <w:color w:val="000000"/>
          <w:spacing w:val="0"/>
          <w:w w:val="100"/>
          <w:position w:val="0"/>
        </w:rPr>
        <w:t>，</w:t>
      </w:r>
      <w:r>
        <w:rPr>
          <w:rFonts w:ascii="Times New Roman" w:eastAsia="Times New Roman" w:hAnsi="Times New Roman" w:cs="Times New Roman"/>
          <w:color w:val="000000"/>
          <w:spacing w:val="0"/>
          <w:w w:val="100"/>
          <w:position w:val="0"/>
        </w:rPr>
        <w:t>6,458,099.51</w:t>
      </w:r>
      <w:r>
        <w:rPr>
          <w:color w:val="000000"/>
          <w:spacing w:val="0"/>
          <w:w w:val="100"/>
          <w:position w:val="0"/>
        </w:rPr>
        <w:t>元用于补充募投项目。</w:t>
      </w:r>
    </w:p>
    <w:p>
      <w:pPr>
        <w:pStyle w:val="Style26"/>
        <w:keepNext/>
        <w:keepLines/>
        <w:widowControl w:val="0"/>
        <w:numPr>
          <w:ilvl w:val="0"/>
          <w:numId w:val="7"/>
        </w:numPr>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募集资金承诺项目情况</w:t>
      </w:r>
      <w:bookmarkEnd w:id="206"/>
      <w:bookmarkEnd w:id="207"/>
      <w:bookmarkEnd w:id="209"/>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2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实施服务平台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、海外</w:t>
            </w:r>
            <w:r>
              <w:rPr>
                <w:rFonts w:ascii="Times New Roman" w:eastAsia="Times New Roman" w:hAnsi="Times New Roman" w:cs="Times New Roman"/>
                <w:color w:val="000000"/>
                <w:spacing w:val="0"/>
                <w:w w:val="100"/>
                <w:position w:val="0"/>
              </w:rPr>
              <w:t>ERP</w:t>
            </w:r>
            <w:r>
              <w:rPr>
                <w:color w:val="000000"/>
                <w:spacing w:val="0"/>
                <w:w w:val="100"/>
                <w:position w:val="0"/>
              </w:rPr>
              <w:t>软件外包 开发中心建设项目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、应用产品解决方案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运维服务中心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31,161.05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31,081.87</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21,809.74</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收购上海夏尔软件有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6,187.33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出资设立上海汉得融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设立合资公司并收购 上海欧俊信息技术有 限公司部分资产及业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收购上海达美信息技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上海汉得信息技术股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both"/>
            </w:pPr>
            <w:r>
              <w:rPr>
                <w:rFonts w:ascii="Times New Roman" w:eastAsia="Times New Roman" w:hAnsi="Times New Roman" w:cs="Times New Roman"/>
                <w:color w:val="000000"/>
                <w:spacing w:val="0"/>
                <w:w w:val="100"/>
                <w:position w:val="0"/>
              </w:rPr>
              <w:t>6,340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both"/>
            </w:pPr>
            <w:r>
              <w:rPr>
                <w:rFonts w:ascii="Times New Roman" w:eastAsia="Times New Roman" w:hAnsi="Times New Roman" w:cs="Times New Roman"/>
                <w:color w:val="000000"/>
                <w:spacing w:val="0"/>
                <w:w w:val="100"/>
                <w:position w:val="0"/>
              </w:rPr>
              <w:t>6,340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645.81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3,410.74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78"/>
        <w:gridCol w:w="782"/>
        <w:gridCol w:w="778"/>
        <w:gridCol w:w="782"/>
        <w:gridCol w:w="778"/>
        <w:gridCol w:w="792"/>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份有限公司厂房项目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（一期）建设（注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收购上海汉得融晶信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28,917.33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25,988.07</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60,078.38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57,069.94</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21,809.74</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海外</w:t>
            </w:r>
            <w:r>
              <w:rPr>
                <w:rFonts w:ascii="Times New Roman" w:eastAsia="Times New Roman" w:hAnsi="Times New Roman" w:cs="Times New Roman"/>
                <w:color w:val="000000"/>
                <w:spacing w:val="0"/>
                <w:w w:val="100"/>
                <w:position w:val="0"/>
              </w:rPr>
              <w:t>ERP</w:t>
            </w:r>
            <w:r>
              <w:rPr>
                <w:color w:val="000000"/>
                <w:spacing w:val="0"/>
                <w:w w:val="100"/>
                <w:position w:val="0"/>
              </w:rPr>
              <w:t>软件外包开发中心建设项目分三年进行投资建设，由于项目在规划设计阶段以及施工阶段 中出现若干设计规划合规性调整和其他不可预计因素，以及基于节能减排发展目标考虑，该项目工 程造价增加</w:t>
            </w:r>
            <w:r>
              <w:rPr>
                <w:rFonts w:ascii="Times New Roman" w:eastAsia="Times New Roman" w:hAnsi="Times New Roman" w:cs="Times New Roman"/>
                <w:color w:val="000000"/>
                <w:spacing w:val="0"/>
                <w:w w:val="100"/>
                <w:position w:val="0"/>
              </w:rPr>
              <w:t>3,392.53</w:t>
            </w:r>
            <w:r>
              <w:rPr>
                <w:color w:val="000000"/>
                <w:spacing w:val="0"/>
                <w:w w:val="100"/>
                <w:position w:val="0"/>
              </w:rPr>
              <w:t>万元。海外</w:t>
            </w:r>
            <w:r>
              <w:rPr>
                <w:rFonts w:ascii="Times New Roman" w:eastAsia="Times New Roman" w:hAnsi="Times New Roman" w:cs="Times New Roman"/>
                <w:color w:val="000000"/>
                <w:spacing w:val="0"/>
                <w:w w:val="100"/>
                <w:position w:val="0"/>
              </w:rPr>
              <w:t>ERP</w:t>
            </w:r>
            <w:r>
              <w:rPr>
                <w:color w:val="000000"/>
                <w:spacing w:val="0"/>
                <w:w w:val="100"/>
                <w:position w:val="0"/>
              </w:rPr>
              <w:t>软件外包开发中心建设项目建成后是为公司原有的</w:t>
            </w:r>
            <w:r>
              <w:rPr>
                <w:rFonts w:ascii="Times New Roman" w:eastAsia="Times New Roman" w:hAnsi="Times New Roman" w:cs="Times New Roman"/>
                <w:color w:val="000000"/>
                <w:spacing w:val="0"/>
                <w:w w:val="100"/>
                <w:position w:val="0"/>
              </w:rPr>
              <w:t>ERP</w:t>
            </w:r>
            <w:r>
              <w:rPr>
                <w:color w:val="000000"/>
                <w:spacing w:val="0"/>
                <w:w w:val="100"/>
                <w:position w:val="0"/>
              </w:rPr>
              <w:t>软件 外包服务提供全面平台支持，提升原有</w:t>
            </w:r>
            <w:r>
              <w:rPr>
                <w:rFonts w:ascii="Times New Roman" w:eastAsia="Times New Roman" w:hAnsi="Times New Roman" w:cs="Times New Roman"/>
                <w:color w:val="000000"/>
                <w:spacing w:val="0"/>
                <w:w w:val="100"/>
                <w:position w:val="0"/>
              </w:rPr>
              <w:t>ERP</w:t>
            </w:r>
            <w:r>
              <w:rPr>
                <w:color w:val="000000"/>
                <w:spacing w:val="0"/>
                <w:w w:val="100"/>
                <w:position w:val="0"/>
              </w:rPr>
              <w:t>软件外包服务能力。</w:t>
            </w:r>
            <w:r>
              <w:rPr>
                <w:rFonts w:ascii="Times New Roman" w:eastAsia="Times New Roman" w:hAnsi="Times New Roman" w:cs="Times New Roman"/>
                <w:color w:val="000000"/>
                <w:spacing w:val="0"/>
                <w:w w:val="100"/>
                <w:position w:val="0"/>
              </w:rPr>
              <w:t>2016</w:t>
            </w:r>
            <w:r>
              <w:rPr>
                <w:color w:val="000000"/>
                <w:spacing w:val="0"/>
                <w:w w:val="100"/>
                <w:position w:val="0"/>
              </w:rPr>
              <w:t>年实现外包收入</w:t>
            </w:r>
            <w:r>
              <w:rPr>
                <w:rFonts w:ascii="Times New Roman" w:eastAsia="Times New Roman" w:hAnsi="Times New Roman" w:cs="Times New Roman"/>
                <w:color w:val="000000"/>
                <w:spacing w:val="0"/>
                <w:w w:val="100"/>
                <w:position w:val="0"/>
              </w:rPr>
              <w:t>7,273.07</w:t>
            </w:r>
            <w:r>
              <w:rPr>
                <w:color w:val="000000"/>
                <w:spacing w:val="0"/>
                <w:w w:val="100"/>
                <w:position w:val="0"/>
              </w:rPr>
              <w:t>万 元，实现税后利润总额</w:t>
            </w:r>
            <w:r>
              <w:rPr>
                <w:rFonts w:ascii="Times New Roman" w:eastAsia="Times New Roman" w:hAnsi="Times New Roman" w:cs="Times New Roman"/>
                <w:color w:val="000000"/>
                <w:spacing w:val="0"/>
                <w:w w:val="100"/>
                <w:position w:val="0"/>
              </w:rPr>
              <w:t>1,373.90</w:t>
            </w:r>
            <w:r>
              <w:rPr>
                <w:color w:val="000000"/>
                <w:spacing w:val="0"/>
                <w:w w:val="100"/>
                <w:position w:val="0"/>
              </w:rPr>
              <w:t>万元。目前公司海外</w:t>
            </w:r>
            <w:r>
              <w:rPr>
                <w:rFonts w:ascii="Times New Roman" w:eastAsia="Times New Roman" w:hAnsi="Times New Roman" w:cs="Times New Roman"/>
                <w:color w:val="000000"/>
                <w:spacing w:val="0"/>
                <w:w w:val="100"/>
                <w:position w:val="0"/>
              </w:rPr>
              <w:t>ERP</w:t>
            </w:r>
            <w:r>
              <w:rPr>
                <w:color w:val="000000"/>
                <w:spacing w:val="0"/>
                <w:w w:val="100"/>
                <w:position w:val="0"/>
              </w:rPr>
              <w:t>软件外包服务主要以日币计价，由于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年下半年以来日币贬值幅度巨大，</w:t>
            </w:r>
            <w:r>
              <w:rPr>
                <w:rFonts w:ascii="Times New Roman" w:eastAsia="Times New Roman" w:hAnsi="Times New Roman" w:cs="Times New Roman"/>
                <w:color w:val="000000"/>
                <w:spacing w:val="0"/>
                <w:w w:val="100"/>
                <w:position w:val="0"/>
              </w:rPr>
              <w:t>2016</w:t>
            </w:r>
            <w:r>
              <w:rPr>
                <w:color w:val="000000"/>
                <w:spacing w:val="0"/>
                <w:w w:val="100"/>
                <w:position w:val="0"/>
              </w:rPr>
              <w:t>年日币汇率虽有回升，但仍离项目投资时汇率有所差距，导 致当年度税后利润总额暂时未达到当初预计的年均税后利润。随着</w:t>
            </w:r>
            <w:r>
              <w:rPr>
                <w:rFonts w:ascii="Times New Roman" w:eastAsia="Times New Roman" w:hAnsi="Times New Roman" w:cs="Times New Roman"/>
                <w:color w:val="000000"/>
                <w:spacing w:val="0"/>
                <w:w w:val="100"/>
                <w:position w:val="0"/>
              </w:rPr>
              <w:t>ERP</w:t>
            </w:r>
            <w:r>
              <w:rPr>
                <w:color w:val="000000"/>
                <w:spacing w:val="0"/>
                <w:w w:val="100"/>
                <w:position w:val="0"/>
              </w:rPr>
              <w:t>软件外包服务能力的提升， 本公司预计以后年度实现的效益会高于预计的年平均税后利润总额，最终本项目能达到预计的效益。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55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公司募集资金净额为</w:t>
            </w:r>
            <w:r>
              <w:rPr>
                <w:rFonts w:ascii="Times New Roman" w:eastAsia="Times New Roman" w:hAnsi="Times New Roman" w:cs="Times New Roman"/>
                <w:color w:val="000000"/>
                <w:spacing w:val="0"/>
                <w:w w:val="100"/>
                <w:position w:val="0"/>
              </w:rPr>
              <w:t>71,373.31</w:t>
            </w:r>
            <w:r>
              <w:rPr>
                <w:color w:val="000000"/>
                <w:spacing w:val="0"/>
                <w:w w:val="100"/>
                <w:position w:val="0"/>
              </w:rPr>
              <w:t>万元，与预计募集资金相比，超募资金为</w:t>
            </w:r>
            <w:r>
              <w:rPr>
                <w:rFonts w:ascii="Times New Roman" w:eastAsia="Times New Roman" w:hAnsi="Times New Roman" w:cs="Times New Roman"/>
                <w:color w:val="000000"/>
                <w:spacing w:val="0"/>
                <w:w w:val="100"/>
                <w:position w:val="0"/>
              </w:rPr>
              <w:t>40,212.26</w:t>
            </w:r>
            <w:r>
              <w:rPr>
                <w:color w:val="000000"/>
                <w:spacing w:val="0"/>
                <w:w w:val="100"/>
                <w:position w:val="0"/>
              </w:rPr>
              <w:t>万元。本公司已 根据募集资金管理及使用制度与《募集资金三方监管协议》的相关约定对以上超募资金实行专户存 储与管理。根据《深圳证券交易所创业板股票上市规则》、《深圳证券交易所上市公司募集资金管理 办法》、《深圳证券交易所创业板上市公司规范运作指引》、《创业板信息披露业务备忘录第</w:t>
            </w:r>
            <w:r>
              <w:rPr>
                <w:rFonts w:ascii="Times New Roman" w:eastAsia="Times New Roman" w:hAnsi="Times New Roman" w:cs="Times New Roman"/>
                <w:color w:val="000000"/>
                <w:spacing w:val="0"/>
                <w:w w:val="100"/>
                <w:position w:val="0"/>
              </w:rPr>
              <w:t>1</w:t>
            </w:r>
            <w:r>
              <w:rPr>
                <w:color w:val="000000"/>
                <w:spacing w:val="0"/>
                <w:w w:val="100"/>
                <w:position w:val="0"/>
              </w:rPr>
              <w:t>号一 超募资金使用》等有关法律、法规、规范性文件的规定，结合公司发展战略及实际经营情况，经审 慎研究和初步论证，超募资金使用情况如下：</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日，公司第一届董事会第二十九次 （临时）会议审议通过了《关于使用部分超募资金收购上海夏尔软件有限公司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 使用部分超募资金收购上海夏尔软件有限公司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股权，已支付</w:t>
            </w:r>
            <w:r>
              <w:rPr>
                <w:rFonts w:ascii="Times New Roman" w:eastAsia="Times New Roman" w:hAnsi="Times New Roman" w:cs="Times New Roman"/>
                <w:color w:val="000000"/>
                <w:spacing w:val="0"/>
                <w:w w:val="100"/>
                <w:position w:val="0"/>
              </w:rPr>
              <w:t>6,187.33</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日，公司第一届董事会第三十四次（临时）会议及第一届监事会第二十一次（临时）会议审议通 过了《关于公司以部分超募资金设立合资公司的议案》，以超募资金出资</w:t>
            </w:r>
            <w:r>
              <w:rPr>
                <w:rFonts w:ascii="Times New Roman" w:eastAsia="Times New Roman" w:hAnsi="Times New Roman" w:cs="Times New Roman"/>
                <w:color w:val="000000"/>
                <w:spacing w:val="0"/>
                <w:w w:val="100"/>
                <w:position w:val="0"/>
              </w:rPr>
              <w:t>1,510.00</w:t>
            </w:r>
            <w:r>
              <w:rPr>
                <w:color w:val="000000"/>
                <w:spacing w:val="0"/>
                <w:w w:val="100"/>
                <w:position w:val="0"/>
              </w:rPr>
              <w:t>万元与自然人孟辉、 张凌明、邱莉莉、王盛合资设立上海汉得融晶信息科技有限公司。</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日，公司第二 届董事会第十九次（临时）会议审议通过了《关于以超募资金资金设立合资公司并收购上海欧俊信 息技术有限公司部分资产及业务的议案》，以超募资金</w:t>
            </w:r>
            <w:r>
              <w:rPr>
                <w:rFonts w:ascii="Times New Roman" w:eastAsia="Times New Roman" w:hAnsi="Times New Roman" w:cs="Times New Roman"/>
                <w:color w:val="000000"/>
                <w:spacing w:val="0"/>
                <w:w w:val="100"/>
                <w:position w:val="0"/>
              </w:rPr>
              <w:t>1,600.00</w:t>
            </w:r>
            <w:r>
              <w:rPr>
                <w:color w:val="000000"/>
                <w:spacing w:val="0"/>
                <w:w w:val="100"/>
                <w:position w:val="0"/>
              </w:rPr>
              <w:t>万元与鸿竺投资管理合伙企业（有限 合伙）合资设立一家有限公司，并通过合资公司收购上海欧俊信息技术有限公司产品生命周期管理 相关的资产和业务。本年使用超募资金支付</w:t>
            </w:r>
            <w:r>
              <w:rPr>
                <w:rFonts w:ascii="Times New Roman" w:eastAsia="Times New Roman" w:hAnsi="Times New Roman" w:cs="Times New Roman"/>
                <w:color w:val="000000"/>
                <w:spacing w:val="0"/>
                <w:w w:val="100"/>
                <w:position w:val="0"/>
              </w:rPr>
              <w:t>800.00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日，已累计使用超 募资金支付</w:t>
            </w:r>
            <w:r>
              <w:rPr>
                <w:rFonts w:ascii="Times New Roman" w:eastAsia="Times New Roman" w:hAnsi="Times New Roman" w:cs="Times New Roman"/>
                <w:color w:val="000000"/>
                <w:spacing w:val="0"/>
                <w:w w:val="100"/>
                <w:position w:val="0"/>
              </w:rPr>
              <w:t>1,600.00</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日，公司第二届董事会第二十五次（临时）会议审议 通过了《关于增加使用超募资金用于厂房项目（一期）建设的议案》，增加使用超募资金</w:t>
            </w:r>
            <w:r>
              <w:rPr>
                <w:rFonts w:ascii="Times New Roman" w:eastAsia="Times New Roman" w:hAnsi="Times New Roman" w:cs="Times New Roman"/>
                <w:color w:val="000000"/>
                <w:spacing w:val="0"/>
                <w:w w:val="100"/>
                <w:position w:val="0"/>
              </w:rPr>
              <w:t>6,340</w:t>
            </w:r>
            <w:r>
              <w:rPr>
                <w:color w:val="000000"/>
                <w:spacing w:val="0"/>
                <w:w w:val="100"/>
                <w:position w:val="0"/>
              </w:rPr>
              <w:t>万元 用于厂房项目（一期）建设。本年使用超募资金</w:t>
            </w:r>
            <w:r>
              <w:rPr>
                <w:rFonts w:ascii="Times New Roman" w:eastAsia="Times New Roman" w:hAnsi="Times New Roman" w:cs="Times New Roman"/>
                <w:color w:val="000000"/>
                <w:spacing w:val="0"/>
                <w:w w:val="100"/>
                <w:position w:val="0"/>
              </w:rPr>
              <w:t>645.81</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日，公司已累 计使用超募资金</w:t>
            </w:r>
            <w:r>
              <w:rPr>
                <w:rFonts w:ascii="Times New Roman" w:eastAsia="Times New Roman" w:hAnsi="Times New Roman" w:cs="Times New Roman"/>
                <w:color w:val="000000"/>
                <w:spacing w:val="0"/>
                <w:w w:val="100"/>
                <w:position w:val="0"/>
              </w:rPr>
              <w:t>3,410.74</w:t>
            </w:r>
            <w:r>
              <w:rPr>
                <w:color w:val="000000"/>
                <w:spacing w:val="0"/>
                <w:w w:val="100"/>
                <w:position w:val="0"/>
              </w:rPr>
              <w:t>万元用于厂房项目（一期）建设。</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 会第三十一次（临时）会议及第二届监事会第二十六次（临时）会议审议通过了《关于使用超募资 金支付收购上海达美现金对价部分的议案》，以超募资金</w:t>
            </w:r>
            <w:r>
              <w:rPr>
                <w:rFonts w:ascii="Times New Roman" w:eastAsia="Times New Roman" w:hAnsi="Times New Roman" w:cs="Times New Roman"/>
                <w:color w:val="000000"/>
                <w:spacing w:val="0"/>
                <w:w w:val="100"/>
                <w:position w:val="0"/>
              </w:rPr>
              <w:t>7,400.00</w:t>
            </w:r>
            <w:r>
              <w:rPr>
                <w:color w:val="000000"/>
                <w:spacing w:val="0"/>
                <w:w w:val="100"/>
                <w:position w:val="0"/>
              </w:rPr>
              <w:t>万元收购上海达美信息技术有限公 司</w:t>
            </w:r>
            <w:r>
              <w:rPr>
                <w:rFonts w:ascii="Times New Roman" w:eastAsia="Times New Roman" w:hAnsi="Times New Roman" w:cs="Times New Roman"/>
                <w:color w:val="000000"/>
                <w:spacing w:val="0"/>
                <w:w w:val="100"/>
                <w:position w:val="0"/>
              </w:rPr>
              <w:t>55%</w:t>
            </w:r>
            <w:r>
              <w:rPr>
                <w:color w:val="000000"/>
                <w:spacing w:val="0"/>
                <w:w w:val="100"/>
                <w:position w:val="0"/>
              </w:rPr>
              <w:t>股权。本年使用超募资金支付</w:t>
            </w:r>
            <w:r>
              <w:rPr>
                <w:rFonts w:ascii="Times New Roman" w:eastAsia="Times New Roman" w:hAnsi="Times New Roman" w:cs="Times New Roman"/>
                <w:color w:val="000000"/>
                <w:spacing w:val="0"/>
                <w:w w:val="100"/>
                <w:position w:val="0"/>
              </w:rPr>
              <w:t>5,000.00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日，公司已使用超募资 金</w:t>
            </w:r>
            <w:r>
              <w:rPr>
                <w:rFonts w:ascii="Times New Roman" w:eastAsia="Times New Roman" w:hAnsi="Times New Roman" w:cs="Times New Roman"/>
                <w:color w:val="000000"/>
                <w:spacing w:val="0"/>
                <w:w w:val="100"/>
                <w:position w:val="0"/>
              </w:rPr>
              <w:t>7,400.00</w:t>
            </w:r>
            <w:r>
              <w:rPr>
                <w:color w:val="000000"/>
                <w:spacing w:val="0"/>
                <w:w w:val="100"/>
                <w:position w:val="0"/>
              </w:rPr>
              <w:t>万元支付全部对价。</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日，公司第二届董事会第四十三次（临时）会议 审议通过了《关于公司使用超募资金收购上海汉得融晶信息科技有限公司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股权的议案》，以超</w:t>
            </w:r>
          </w:p>
        </w:tc>
      </w:tr>
    </w:tbl>
    <w:p>
      <w:pPr>
        <w:spacing w:lineRule="exact" w:line="1"/>
        <w:rPr>
          <w:sz w:val="2"/>
          <w:szCs w:val="2"/>
        </w:rPr>
      </w:pPr>
      <w:r>
        <w:br w:type="page"/>
      </w:r>
    </w:p>
    <w:tbl>
      <w:tblPr>
        <w:tblOverlap w:val="never"/>
        <w:jc w:val="center"/>
        <w:tblLayout w:type="fixed"/>
      </w:tblPr>
      <w:tblGrid>
        <w:gridCol w:w="1776"/>
        <w:gridCol w:w="7805"/>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募资金</w:t>
            </w:r>
            <w:r>
              <w:rPr>
                <w:rFonts w:ascii="Times New Roman" w:eastAsia="Times New Roman" w:hAnsi="Times New Roman" w:cs="Times New Roman"/>
                <w:color w:val="000000"/>
                <w:spacing w:val="0"/>
                <w:w w:val="100"/>
                <w:position w:val="0"/>
              </w:rPr>
              <w:t>5,880</w:t>
            </w:r>
            <w:r>
              <w:rPr>
                <w:color w:val="000000"/>
                <w:spacing w:val="0"/>
                <w:w w:val="100"/>
                <w:position w:val="0"/>
              </w:rPr>
              <w:t>万元收购孟辉等</w:t>
            </w:r>
            <w:r>
              <w:rPr>
                <w:rFonts w:ascii="Times New Roman" w:eastAsia="Times New Roman" w:hAnsi="Times New Roman" w:cs="Times New Roman"/>
                <w:color w:val="000000"/>
                <w:spacing w:val="0"/>
                <w:w w:val="100"/>
                <w:position w:val="0"/>
              </w:rPr>
              <w:t>4</w:t>
            </w:r>
            <w:r>
              <w:rPr>
                <w:color w:val="000000"/>
                <w:spacing w:val="0"/>
                <w:w w:val="100"/>
                <w:position w:val="0"/>
              </w:rPr>
              <w:t>名自然人持有的上海汉得融晶信息科技有限公司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日，公司已使用超募资金</w:t>
            </w:r>
            <w:r>
              <w:rPr>
                <w:rFonts w:ascii="Times New Roman" w:eastAsia="Times New Roman" w:hAnsi="Times New Roman" w:cs="Times New Roman"/>
                <w:color w:val="000000"/>
                <w:spacing w:val="0"/>
                <w:w w:val="100"/>
                <w:position w:val="0"/>
              </w:rPr>
              <w:t>5,880</w:t>
            </w:r>
            <w:r>
              <w:rPr>
                <w:color w:val="000000"/>
                <w:spacing w:val="0"/>
                <w:w w:val="100"/>
                <w:position w:val="0"/>
              </w:rPr>
              <w:t>万元支付了全部对价。</w:t>
            </w:r>
          </w:p>
        </w:tc>
      </w:tr>
      <w:tr>
        <w:trPr>
          <w:trHeight w:val="120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3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适用</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以前年度发生</w:t>
            </w:r>
          </w:p>
          <w:p>
            <w:pPr>
              <w:pStyle w:val="Style2"/>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年第一次临时股东大会审议通过《关于公司变更部分募投项目 实施方式并使用部分超募资金的议案》,本公司原计划通过购置办公场地并装修的方式满足项目建设 需要的办公场地投入的募投项目</w:t>
            </w:r>
            <w:r>
              <w:rPr>
                <w:rFonts w:ascii="Times New Roman" w:eastAsia="Times New Roman" w:hAnsi="Times New Roman" w:cs="Times New Roman"/>
                <w:color w:val="000000"/>
                <w:spacing w:val="0"/>
                <w:w w:val="100"/>
                <w:position w:val="0"/>
              </w:rPr>
              <w:t>“ERP</w:t>
            </w:r>
            <w:r>
              <w:rPr>
                <w:color w:val="000000"/>
                <w:spacing w:val="0"/>
                <w:w w:val="100"/>
                <w:position w:val="0"/>
              </w:rPr>
              <w:t>实施服务平台建设项目</w:t>
            </w:r>
            <w:r>
              <w:rPr>
                <w:rFonts w:ascii="Times New Roman" w:eastAsia="Times New Roman" w:hAnsi="Times New Roman" w:cs="Times New Roman"/>
                <w:color w:val="000000"/>
                <w:spacing w:val="0"/>
                <w:w w:val="100"/>
                <w:position w:val="0"/>
              </w:rPr>
              <w:t>“</w:t>
            </w:r>
            <w:r>
              <w:rPr>
                <w:color w:val="000000"/>
                <w:spacing w:val="0"/>
                <w:w w:val="100"/>
                <w:position w:val="0"/>
              </w:rPr>
              <w:t>海外</w:t>
            </w:r>
            <w:r>
              <w:rPr>
                <w:rFonts w:ascii="Times New Roman" w:eastAsia="Times New Roman" w:hAnsi="Times New Roman" w:cs="Times New Roman"/>
                <w:color w:val="000000"/>
                <w:spacing w:val="0"/>
                <w:w w:val="100"/>
                <w:position w:val="0"/>
              </w:rPr>
              <w:t>ERP</w:t>
            </w:r>
            <w:r>
              <w:rPr>
                <w:color w:val="000000"/>
                <w:spacing w:val="0"/>
                <w:w w:val="100"/>
                <w:position w:val="0"/>
              </w:rPr>
              <w:t>软件外包开发中心建设 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运维中心建设项目</w:t>
            </w:r>
            <w:r>
              <w:rPr>
                <w:rFonts w:ascii="Times New Roman" w:eastAsia="Times New Roman" w:hAnsi="Times New Roman" w:cs="Times New Roman"/>
                <w:color w:val="000000"/>
                <w:spacing w:val="0"/>
                <w:w w:val="100"/>
                <w:position w:val="0"/>
              </w:rPr>
              <w:t>”</w:t>
            </w:r>
            <w:r>
              <w:rPr>
                <w:color w:val="000000"/>
                <w:spacing w:val="0"/>
                <w:w w:val="100"/>
                <w:position w:val="0"/>
              </w:rPr>
              <w:t>。鉴于公司已成功获得沪青园工</w:t>
            </w:r>
            <w:r>
              <w:rPr>
                <w:rFonts w:ascii="Times New Roman" w:eastAsia="Times New Roman" w:hAnsi="Times New Roman" w:cs="Times New Roman"/>
                <w:color w:val="000000"/>
                <w:spacing w:val="0"/>
                <w:w w:val="100"/>
                <w:position w:val="0"/>
              </w:rPr>
              <w:t>11-026</w:t>
            </w:r>
            <w:r>
              <w:rPr>
                <w:color w:val="000000"/>
                <w:spacing w:val="0"/>
                <w:w w:val="100"/>
                <w:position w:val="0"/>
              </w:rPr>
              <w:t>号地块国有建设用地土地 使用权，基于提高募集资金使用效率及募投项目建设质量的考虑，将上述募投项目办公场地的实施 方式变更为自主建设。以上变更之后的建设项目总投入预计约</w:t>
            </w:r>
            <w:r>
              <w:rPr>
                <w:rFonts w:ascii="Times New Roman" w:eastAsia="Times New Roman" w:hAnsi="Times New Roman" w:cs="Times New Roman"/>
                <w:color w:val="000000"/>
                <w:spacing w:val="0"/>
                <w:w w:val="100"/>
                <w:position w:val="0"/>
              </w:rPr>
              <w:t>22,243</w:t>
            </w:r>
            <w:r>
              <w:rPr>
                <w:color w:val="000000"/>
                <w:spacing w:val="0"/>
                <w:w w:val="100"/>
                <w:position w:val="0"/>
              </w:rPr>
              <w:t>万元，资金来源分为三部分： 一部分为募投项目中计划用于办公场地购置及装修的募集资金约</w:t>
            </w:r>
            <w:r>
              <w:rPr>
                <w:rFonts w:ascii="Times New Roman" w:eastAsia="Times New Roman" w:hAnsi="Times New Roman" w:cs="Times New Roman"/>
                <w:color w:val="000000"/>
                <w:spacing w:val="0"/>
                <w:w w:val="100"/>
                <w:position w:val="0"/>
              </w:rPr>
              <w:t>11,801.85</w:t>
            </w:r>
            <w:r>
              <w:rPr>
                <w:color w:val="000000"/>
                <w:spacing w:val="0"/>
                <w:w w:val="100"/>
                <w:position w:val="0"/>
              </w:rPr>
              <w:t>万元;一部分为超募资金 约</w:t>
            </w:r>
            <w:r>
              <w:rPr>
                <w:rFonts w:ascii="Times New Roman" w:eastAsia="Times New Roman" w:hAnsi="Times New Roman" w:cs="Times New Roman"/>
                <w:color w:val="000000"/>
                <w:spacing w:val="0"/>
                <w:w w:val="100"/>
                <w:position w:val="0"/>
              </w:rPr>
              <w:t>5,224.15</w:t>
            </w:r>
            <w:r>
              <w:rPr>
                <w:color w:val="000000"/>
                <w:spacing w:val="0"/>
                <w:w w:val="100"/>
                <w:position w:val="0"/>
              </w:rPr>
              <w:t>万元；剩余部分员工宿舍建设资金约</w:t>
            </w:r>
            <w:r>
              <w:rPr>
                <w:rFonts w:ascii="Times New Roman" w:eastAsia="Times New Roman" w:hAnsi="Times New Roman" w:cs="Times New Roman"/>
                <w:color w:val="000000"/>
                <w:spacing w:val="0"/>
                <w:w w:val="100"/>
                <w:position w:val="0"/>
              </w:rPr>
              <w:t>5,217</w:t>
            </w:r>
            <w:r>
              <w:rPr>
                <w:color w:val="000000"/>
                <w:spacing w:val="0"/>
                <w:w w:val="100"/>
                <w:position w:val="0"/>
              </w:rPr>
              <w:t>万元为自有资金。</w:t>
            </w:r>
          </w:p>
        </w:tc>
      </w:tr>
      <w:tr>
        <w:trPr>
          <w:trHeight w:val="8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不适用</w:t>
            </w:r>
          </w:p>
        </w:tc>
      </w:tr>
      <w:tr>
        <w:trPr>
          <w:trHeight w:val="8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尚未使用的募投项目资金均存储在本公司开立的募集资金专户。</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本期无募集资金使用及披露中存在的问题或其他情况。</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0"/>
      <w:bookmarkEnd w:id="211"/>
      <w:bookmarkEnd w:id="213"/>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2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sz w:val="24"/>
          <w:szCs w:val="24"/>
        </w:rPr>
        <w:t>六</w:t>
      </w:r>
      <w:bookmarkEnd w:id="216"/>
      <w:r>
        <w:rPr>
          <w:color w:val="000000"/>
          <w:spacing w:val="0"/>
          <w:w w:val="100"/>
          <w:position w:val="0"/>
          <w:sz w:val="24"/>
          <w:szCs w:val="24"/>
        </w:rPr>
        <w:t>、重大资产和股权出售</w:t>
      </w:r>
      <w:bookmarkEnd w:id="214"/>
      <w:bookmarkEnd w:id="215"/>
      <w:bookmarkEnd w:id="217"/>
    </w:p>
    <w:p>
      <w:pPr>
        <w:pStyle w:val="Style26"/>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1</w:t>
      </w:r>
      <w:bookmarkEnd w:id="220"/>
      <w:r>
        <w:rPr>
          <w:color w:val="000000"/>
          <w:spacing w:val="0"/>
          <w:w w:val="100"/>
          <w:position w:val="0"/>
        </w:rPr>
        <w:t>、出售重大资产情况</w:t>
      </w:r>
      <w:bookmarkEnd w:id="218"/>
      <w:bookmarkEnd w:id="219"/>
      <w:bookmarkEnd w:id="221"/>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2</w:t>
      </w:r>
      <w:bookmarkEnd w:id="224"/>
      <w:r>
        <w:rPr>
          <w:color w:val="000000"/>
          <w:spacing w:val="0"/>
          <w:w w:val="100"/>
          <w:position w:val="0"/>
        </w:rPr>
        <w:t>、出售重大股权情况</w:t>
      </w:r>
      <w:bookmarkEnd w:id="222"/>
      <w:bookmarkEnd w:id="223"/>
      <w:bookmarkEnd w:id="22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七</w:t>
      </w:r>
      <w:bookmarkEnd w:id="228"/>
      <w:r>
        <w:rPr>
          <w:color w:val="000000"/>
          <w:spacing w:val="0"/>
          <w:w w:val="100"/>
          <w:position w:val="0"/>
          <w:sz w:val="24"/>
          <w:szCs w:val="24"/>
        </w:rPr>
        <w:t>、主要控股参股公司分析</w:t>
      </w:r>
      <w:bookmarkEnd w:id="226"/>
      <w:bookmarkEnd w:id="227"/>
      <w:bookmarkEnd w:id="229"/>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50"/>
        <w:gridCol w:w="994"/>
        <w:gridCol w:w="1133"/>
        <w:gridCol w:w="1133"/>
        <w:gridCol w:w="1138"/>
        <w:gridCol w:w="1133"/>
        <w:gridCol w:w="1133"/>
        <w:gridCol w:w="12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净利润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汉得融晶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67,821,028.64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43,971,200.22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86,201,567.32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16,628,295.27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15,972,593.71</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汉得日本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软件服务业</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万日元</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48,998,495.09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7,631,043.28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72,203,246.50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4,163,732.69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2,713,098.65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本报告期实现净利润</w:t>
            </w:r>
            <w:r>
              <w:rPr>
                <w:rFonts w:ascii="Times New Roman" w:eastAsia="Times New Roman" w:hAnsi="Times New Roman" w:cs="Times New Roman"/>
                <w:color w:val="000000"/>
                <w:spacing w:val="0"/>
                <w:w w:val="100"/>
                <w:position w:val="0"/>
              </w:rPr>
              <w:t>9,504,491.77</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HAND ENTERPRISE SOLUTIONS USA.</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尚处于业务拓展期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上海甄汇信息科技有限公司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尚处于业务拓展期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恒大汇思（北京）咨询有限公司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没有影响</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八</w:t>
      </w:r>
      <w:bookmarkEnd w:id="232"/>
      <w:r>
        <w:rPr>
          <w:color w:val="000000"/>
          <w:spacing w:val="0"/>
          <w:w w:val="100"/>
          <w:position w:val="0"/>
          <w:sz w:val="24"/>
          <w:szCs w:val="24"/>
        </w:rPr>
        <w:t>、公司控制的结构化主体情况</w:t>
      </w:r>
      <w:bookmarkEnd w:id="230"/>
      <w:bookmarkEnd w:id="231"/>
      <w:bookmarkEnd w:id="233"/>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20" w:line="472"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、公司未来发展的展望</w:t>
      </w:r>
      <w:bookmarkEnd w:id="234"/>
      <w:bookmarkEnd w:id="235"/>
      <w:bookmarkEnd w:id="237"/>
    </w:p>
    <w:p>
      <w:pPr>
        <w:pStyle w:val="Style30"/>
        <w:keepNext w:val="0"/>
        <w:keepLines w:val="0"/>
        <w:widowControl w:val="0"/>
        <w:shd w:val="clear" w:color="auto" w:fill="auto"/>
        <w:bidi w:val="0"/>
        <w:spacing w:before="0" w:after="0" w:line="466" w:lineRule="exact"/>
        <w:ind w:left="0" w:right="0" w:firstLine="500"/>
        <w:jc w:val="both"/>
      </w:pPr>
      <w:r>
        <w:rPr>
          <w:color w:val="000000"/>
          <w:spacing w:val="0"/>
          <w:w w:val="100"/>
          <w:position w:val="0"/>
          <w:sz w:val="24"/>
          <w:szCs w:val="24"/>
        </w:rPr>
        <w:t>本报告期内，公司继续巩固了作为中国本土领先的高端</w:t>
      </w:r>
      <w:r>
        <w:rPr>
          <w:color w:val="000000"/>
          <w:spacing w:val="0"/>
          <w:w w:val="100"/>
          <w:position w:val="0"/>
          <w:sz w:val="24"/>
          <w:szCs w:val="24"/>
        </w:rPr>
        <w:t>ERP</w:t>
      </w:r>
      <w:r>
        <w:rPr>
          <w:color w:val="000000"/>
          <w:spacing w:val="0"/>
          <w:w w:val="100"/>
          <w:position w:val="0"/>
          <w:sz w:val="24"/>
          <w:szCs w:val="24"/>
        </w:rPr>
        <w:t>实施服务商的市场地位，主营 业务实现了较大的增长，员工总人数也在持续增加，同时进一步加大研发力度，积极拓展创 新的技术和服务，为企业客户提供更加全面的</w:t>
      </w:r>
      <w:r>
        <w:rPr>
          <w:color w:val="000000"/>
          <w:spacing w:val="0"/>
          <w:w w:val="100"/>
          <w:position w:val="0"/>
          <w:sz w:val="24"/>
          <w:szCs w:val="24"/>
        </w:rPr>
        <w:t>IT</w:t>
      </w:r>
      <w:r>
        <w:rPr>
          <w:color w:val="000000"/>
          <w:spacing w:val="0"/>
          <w:w w:val="100"/>
          <w:position w:val="0"/>
          <w:sz w:val="24"/>
          <w:szCs w:val="24"/>
        </w:rPr>
        <w:t>管理和运营咨询服务。</w:t>
      </w:r>
    </w:p>
    <w:p>
      <w:pPr>
        <w:pStyle w:val="Style30"/>
        <w:keepNext w:val="0"/>
        <w:keepLines w:val="0"/>
        <w:widowControl w:val="0"/>
        <w:shd w:val="clear" w:color="auto" w:fill="auto"/>
        <w:bidi w:val="0"/>
        <w:spacing w:before="0" w:after="0" w:line="466" w:lineRule="exact"/>
        <w:ind w:left="0" w:right="0" w:firstLine="500"/>
        <w:jc w:val="both"/>
      </w:pPr>
      <w:bookmarkStart w:id="238" w:name="bookmark238"/>
      <w:r>
        <w:rPr>
          <w:color w:val="000000"/>
          <w:spacing w:val="0"/>
          <w:w w:val="100"/>
          <w:position w:val="0"/>
          <w:sz w:val="24"/>
          <w:szCs w:val="24"/>
        </w:rPr>
        <w:t>（</w:t>
      </w:r>
      <w:bookmarkEnd w:id="238"/>
      <w:r>
        <w:rPr>
          <w:color w:val="000000"/>
          <w:spacing w:val="0"/>
          <w:w w:val="100"/>
          <w:position w:val="0"/>
          <w:sz w:val="24"/>
          <w:szCs w:val="24"/>
        </w:rPr>
        <w:t>一）行业发展现状及趋势</w:t>
      </w:r>
    </w:p>
    <w:p>
      <w:pPr>
        <w:pStyle w:val="Style30"/>
        <w:keepNext w:val="0"/>
        <w:keepLines w:val="0"/>
        <w:widowControl w:val="0"/>
        <w:shd w:val="clear" w:color="auto" w:fill="auto"/>
        <w:bidi w:val="0"/>
        <w:spacing w:before="0" w:after="120" w:line="472" w:lineRule="exact"/>
        <w:ind w:left="0" w:right="0" w:firstLine="500"/>
        <w:jc w:val="both"/>
      </w:pPr>
      <w:r>
        <w:rPr>
          <w:color w:val="000000"/>
          <w:spacing w:val="0"/>
          <w:w w:val="100"/>
          <w:position w:val="0"/>
          <w:sz w:val="24"/>
          <w:szCs w:val="24"/>
        </w:rPr>
        <w:t>IT</w:t>
      </w:r>
      <w:r>
        <w:rPr>
          <w:color w:val="000000"/>
          <w:spacing w:val="0"/>
          <w:w w:val="100"/>
          <w:position w:val="0"/>
          <w:sz w:val="24"/>
          <w:szCs w:val="24"/>
        </w:rPr>
        <w:t>咨询服务行业与科技发展和企业信息化建设密切相关，并无明显的周期性特点，而目 前国内</w:t>
      </w:r>
      <w:r>
        <w:rPr>
          <w:color w:val="000000"/>
          <w:spacing w:val="0"/>
          <w:w w:val="100"/>
          <w:position w:val="0"/>
          <w:sz w:val="24"/>
          <w:szCs w:val="24"/>
        </w:rPr>
        <w:t>IT</w:t>
      </w:r>
      <w:r>
        <w:rPr>
          <w:color w:val="000000"/>
          <w:spacing w:val="0"/>
          <w:w w:val="100"/>
          <w:position w:val="0"/>
          <w:sz w:val="24"/>
          <w:szCs w:val="24"/>
        </w:rPr>
        <w:t>咨询服务行业整体处于稳定增长中，这几年公司的竞争优势越来越明显，主要得益 于自身竞争力的提升和相对竞争优势的变化以及服务结构的升级。公司的竞争能力、品牌影 响力和自身价值在提升，同时和国际公司的差距在缩小。从</w:t>
      </w:r>
      <w:r>
        <w:rPr>
          <w:color w:val="000000"/>
          <w:spacing w:val="0"/>
          <w:w w:val="100"/>
          <w:position w:val="0"/>
          <w:sz w:val="24"/>
          <w:szCs w:val="24"/>
        </w:rPr>
        <w:t>ERP</w:t>
      </w:r>
      <w:r>
        <w:rPr>
          <w:color w:val="000000"/>
          <w:spacing w:val="0"/>
          <w:w w:val="100"/>
          <w:position w:val="0"/>
          <w:sz w:val="24"/>
          <w:szCs w:val="24"/>
        </w:rPr>
        <w:t>延伸出来的新兴业务来看，企 业信息化整体架构已经在开始发生变化，企业需要稳定可靠的后台，还需要打造全渠道接入</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的前台，和灵活应变的中台。目前来看企业在信息化的前台和中台的投入是有显著增加的， 公司具有非常好的客户基础，在新的</w:t>
      </w:r>
      <w:r>
        <w:rPr>
          <w:color w:val="000000"/>
          <w:spacing w:val="0"/>
          <w:w w:val="100"/>
          <w:position w:val="0"/>
          <w:sz w:val="24"/>
          <w:szCs w:val="24"/>
        </w:rPr>
        <w:t>IT</w:t>
      </w:r>
      <w:r>
        <w:rPr>
          <w:color w:val="000000"/>
          <w:spacing w:val="0"/>
          <w:w w:val="100"/>
          <w:position w:val="0"/>
          <w:sz w:val="24"/>
          <w:szCs w:val="24"/>
        </w:rPr>
        <w:t>架构方面走在了行业前列，也较好的抓住了市场机会。</w:t>
      </w:r>
    </w:p>
    <w:p>
      <w:pPr>
        <w:pStyle w:val="Style30"/>
        <w:keepNext w:val="0"/>
        <w:keepLines w:val="0"/>
        <w:widowControl w:val="0"/>
        <w:shd w:val="clear" w:color="auto" w:fill="auto"/>
        <w:tabs>
          <w:tab w:pos="1066" w:val="left"/>
        </w:tabs>
        <w:bidi w:val="0"/>
        <w:spacing w:before="0" w:after="0" w:line="467" w:lineRule="exact"/>
        <w:ind w:left="0" w:right="0" w:firstLine="480"/>
        <w:jc w:val="both"/>
      </w:pPr>
      <w:bookmarkStart w:id="239" w:name="bookmark239"/>
      <w:r>
        <w:rPr>
          <w:color w:val="000000"/>
          <w:spacing w:val="0"/>
          <w:w w:val="100"/>
          <w:position w:val="0"/>
          <w:sz w:val="24"/>
          <w:szCs w:val="24"/>
        </w:rPr>
        <w:t>（</w:t>
      </w:r>
      <w:bookmarkEnd w:id="239"/>
      <w:r>
        <w:rPr>
          <w:color w:val="000000"/>
          <w:spacing w:val="0"/>
          <w:w w:val="100"/>
          <w:position w:val="0"/>
          <w:sz w:val="24"/>
          <w:szCs w:val="24"/>
        </w:rPr>
        <w:t>二）</w:t>
        <w:tab/>
        <w:t>公司面临的机遇</w:t>
      </w:r>
    </w:p>
    <w:p>
      <w:pPr>
        <w:pStyle w:val="Style30"/>
        <w:keepNext w:val="0"/>
        <w:keepLines w:val="0"/>
        <w:widowControl w:val="0"/>
        <w:shd w:val="clear" w:color="auto" w:fill="auto"/>
        <w:tabs>
          <w:tab w:pos="1076" w:val="left"/>
        </w:tabs>
        <w:bidi w:val="0"/>
        <w:spacing w:before="0" w:after="0" w:line="467" w:lineRule="exact"/>
        <w:ind w:left="0" w:right="0" w:firstLine="480"/>
        <w:jc w:val="both"/>
      </w:pPr>
      <w:bookmarkStart w:id="240" w:name="bookmark240"/>
      <w:r>
        <w:rPr>
          <w:color w:val="000000"/>
          <w:spacing w:val="0"/>
          <w:w w:val="100"/>
          <w:position w:val="0"/>
          <w:sz w:val="24"/>
          <w:szCs w:val="24"/>
        </w:rPr>
        <w:t>（</w:t>
      </w:r>
      <w:bookmarkEnd w:id="240"/>
      <w:r>
        <w:rPr>
          <w:color w:val="000000"/>
          <w:spacing w:val="0"/>
          <w:w w:val="100"/>
          <w:position w:val="0"/>
          <w:sz w:val="24"/>
          <w:szCs w:val="24"/>
        </w:rPr>
        <w:t>1）</w:t>
        <w:tab/>
        <w:t>国家政策。诸如国家《十三五规划纲要》中提出的一系列创新发展战略：发展现代 互联网产业体系，加快突破新一代大数据、智能制造等领域核心技术等。近几年国家对诸如 智能制造、大数据、云计算、人工智能、互联网+、工业</w:t>
      </w:r>
      <w:r>
        <w:rPr>
          <w:color w:val="000000"/>
          <w:spacing w:val="0"/>
          <w:w w:val="100"/>
          <w:position w:val="0"/>
          <w:sz w:val="24"/>
          <w:szCs w:val="24"/>
        </w:rPr>
        <w:t>4.0</w:t>
      </w:r>
      <w:r>
        <w:rPr>
          <w:color w:val="000000"/>
          <w:spacing w:val="0"/>
          <w:w w:val="100"/>
          <w:position w:val="0"/>
          <w:sz w:val="24"/>
          <w:szCs w:val="24"/>
        </w:rPr>
        <w:t>等新兴技术的扶持力度非常大， 政策的变化带来的直接的效应是客户需求的变化，企业不断寻求新技术的转型和应用，信息 化建设的范畴扩大，使得公司的业务范围和销售商机从原来产品的实施扩展到了行业和整体 解决方案的实施，相应的也为公司的业绩带来了很多新的增长点。</w:t>
      </w:r>
    </w:p>
    <w:p>
      <w:pPr>
        <w:pStyle w:val="Style30"/>
        <w:keepNext w:val="0"/>
        <w:keepLines w:val="0"/>
        <w:widowControl w:val="0"/>
        <w:shd w:val="clear" w:color="auto" w:fill="auto"/>
        <w:tabs>
          <w:tab w:pos="1081" w:val="left"/>
        </w:tabs>
        <w:bidi w:val="0"/>
        <w:spacing w:before="0" w:after="0" w:line="470" w:lineRule="exact"/>
        <w:ind w:left="0" w:right="0" w:firstLine="480"/>
        <w:jc w:val="both"/>
      </w:pPr>
      <w:bookmarkStart w:id="241" w:name="bookmark241"/>
      <w:r>
        <w:rPr>
          <w:color w:val="000000"/>
          <w:spacing w:val="0"/>
          <w:w w:val="100"/>
          <w:position w:val="0"/>
          <w:sz w:val="24"/>
          <w:szCs w:val="24"/>
        </w:rPr>
        <w:t>（</w:t>
      </w:r>
      <w:bookmarkEnd w:id="241"/>
      <w:r>
        <w:rPr>
          <w:color w:val="000000"/>
          <w:spacing w:val="0"/>
          <w:w w:val="100"/>
          <w:position w:val="0"/>
          <w:sz w:val="24"/>
          <w:szCs w:val="24"/>
        </w:rPr>
        <w:t>2）</w:t>
        <w:tab/>
        <w:t>市场环境及趋势。目前来看，企业</w:t>
      </w:r>
      <w:r>
        <w:rPr>
          <w:color w:val="000000"/>
          <w:spacing w:val="0"/>
          <w:w w:val="100"/>
          <w:position w:val="0"/>
          <w:sz w:val="24"/>
          <w:szCs w:val="24"/>
        </w:rPr>
        <w:t>ERP</w:t>
      </w:r>
      <w:r>
        <w:rPr>
          <w:color w:val="000000"/>
          <w:spacing w:val="0"/>
          <w:w w:val="100"/>
          <w:position w:val="0"/>
          <w:sz w:val="24"/>
          <w:szCs w:val="24"/>
        </w:rPr>
        <w:t>应用还存在很多改善的空间，在万众创新的 环境下，企业应用的</w:t>
      </w:r>
      <w:r>
        <w:rPr>
          <w:color w:val="000000"/>
          <w:spacing w:val="0"/>
          <w:w w:val="100"/>
          <w:position w:val="0"/>
          <w:sz w:val="24"/>
          <w:szCs w:val="24"/>
        </w:rPr>
        <w:t>IT</w:t>
      </w:r>
      <w:r>
        <w:rPr>
          <w:color w:val="000000"/>
          <w:spacing w:val="0"/>
          <w:w w:val="100"/>
          <w:position w:val="0"/>
          <w:sz w:val="24"/>
          <w:szCs w:val="24"/>
        </w:rPr>
        <w:t>版图愈发庞大，越来越多的企业意识到信息化建设、运营、维护、创 新的重要性，企业对信息化的需求越来越大，并且客户需求呈现出多样化和个性化的特点， 从而增加了公司的服务范围和服务内容。</w:t>
      </w:r>
    </w:p>
    <w:p>
      <w:pPr>
        <w:pStyle w:val="Style30"/>
        <w:keepNext w:val="0"/>
        <w:keepLines w:val="0"/>
        <w:widowControl w:val="0"/>
        <w:shd w:val="clear" w:color="auto" w:fill="auto"/>
        <w:tabs>
          <w:tab w:pos="1076" w:val="left"/>
        </w:tabs>
        <w:bidi w:val="0"/>
        <w:spacing w:before="0" w:after="0" w:line="470" w:lineRule="exact"/>
        <w:ind w:left="0" w:right="0" w:firstLine="480"/>
        <w:jc w:val="both"/>
      </w:pPr>
      <w:bookmarkStart w:id="242" w:name="bookmark242"/>
      <w:r>
        <w:rPr>
          <w:color w:val="000000"/>
          <w:spacing w:val="0"/>
          <w:w w:val="100"/>
          <w:position w:val="0"/>
          <w:sz w:val="24"/>
          <w:szCs w:val="24"/>
        </w:rPr>
        <w:t>（</w:t>
      </w:r>
      <w:bookmarkEnd w:id="242"/>
      <w:r>
        <w:rPr>
          <w:color w:val="000000"/>
          <w:spacing w:val="0"/>
          <w:w w:val="100"/>
          <w:position w:val="0"/>
          <w:sz w:val="24"/>
          <w:szCs w:val="24"/>
        </w:rPr>
        <w:t>3）</w:t>
        <w:tab/>
        <w:t>公司品牌及认可度增强。随着公司的品牌影响力和专业服务能力的提升，依托于公 司企业</w:t>
      </w:r>
      <w:r>
        <w:rPr>
          <w:color w:val="000000"/>
          <w:spacing w:val="0"/>
          <w:w w:val="100"/>
          <w:position w:val="0"/>
          <w:sz w:val="24"/>
          <w:szCs w:val="24"/>
        </w:rPr>
        <w:t>IT</w:t>
      </w:r>
      <w:r>
        <w:rPr>
          <w:color w:val="000000"/>
          <w:spacing w:val="0"/>
          <w:w w:val="100"/>
          <w:position w:val="0"/>
          <w:sz w:val="24"/>
          <w:szCs w:val="24"/>
        </w:rPr>
        <w:t>咨询实施服务的深厚经验，在市场需求增长的趋势下，公司的市场占有率仍有进一 步提升的空间。</w:t>
      </w:r>
    </w:p>
    <w:p>
      <w:pPr>
        <w:pStyle w:val="Style30"/>
        <w:keepNext w:val="0"/>
        <w:keepLines w:val="0"/>
        <w:widowControl w:val="0"/>
        <w:shd w:val="clear" w:color="auto" w:fill="auto"/>
        <w:tabs>
          <w:tab w:pos="1081" w:val="left"/>
        </w:tabs>
        <w:bidi w:val="0"/>
        <w:spacing w:before="0" w:after="0" w:line="470" w:lineRule="exact"/>
        <w:ind w:left="0" w:right="0" w:firstLine="480"/>
        <w:jc w:val="both"/>
      </w:pPr>
      <w:bookmarkStart w:id="243" w:name="bookmark243"/>
      <w:r>
        <w:rPr>
          <w:color w:val="000000"/>
          <w:spacing w:val="0"/>
          <w:w w:val="100"/>
          <w:position w:val="0"/>
          <w:sz w:val="24"/>
          <w:szCs w:val="24"/>
        </w:rPr>
        <w:t>（</w:t>
      </w:r>
      <w:bookmarkEnd w:id="243"/>
      <w:r>
        <w:rPr>
          <w:color w:val="000000"/>
          <w:spacing w:val="0"/>
          <w:w w:val="100"/>
          <w:position w:val="0"/>
          <w:sz w:val="24"/>
          <w:szCs w:val="24"/>
        </w:rPr>
        <w:t>4）</w:t>
        <w:tab/>
        <w:t>本地优势。越来越多的中国企业开始走出国门在海外拓展市场，国内咨询公司能凭 借长期服务形成的合作信任获得更多的竞争机会；而海外公司在中国投资落地的过程中，国 内咨询公司也能凭借对国内的法律法规要求、税务要求、人事制度等的熟悉，获得竞争优势。</w:t>
      </w:r>
    </w:p>
    <w:p>
      <w:pPr>
        <w:pStyle w:val="Style30"/>
        <w:keepNext w:val="0"/>
        <w:keepLines w:val="0"/>
        <w:widowControl w:val="0"/>
        <w:shd w:val="clear" w:color="auto" w:fill="auto"/>
        <w:tabs>
          <w:tab w:pos="1066" w:val="left"/>
        </w:tabs>
        <w:bidi w:val="0"/>
        <w:spacing w:before="0" w:after="0" w:line="470" w:lineRule="exact"/>
        <w:ind w:left="0" w:right="0" w:firstLine="480"/>
        <w:jc w:val="both"/>
      </w:pPr>
      <w:bookmarkStart w:id="244" w:name="bookmark244"/>
      <w:r>
        <w:rPr>
          <w:color w:val="000000"/>
          <w:spacing w:val="0"/>
          <w:w w:val="100"/>
          <w:position w:val="0"/>
          <w:sz w:val="24"/>
          <w:szCs w:val="24"/>
        </w:rPr>
        <w:t>（</w:t>
      </w:r>
      <w:bookmarkEnd w:id="244"/>
      <w:r>
        <w:rPr>
          <w:color w:val="000000"/>
          <w:spacing w:val="0"/>
          <w:w w:val="100"/>
          <w:position w:val="0"/>
          <w:sz w:val="24"/>
          <w:szCs w:val="24"/>
        </w:rPr>
        <w:t>三）</w:t>
        <w:tab/>
        <w:t>公司面临的风险</w:t>
      </w:r>
    </w:p>
    <w:p>
      <w:pPr>
        <w:pStyle w:val="Style30"/>
        <w:keepNext w:val="0"/>
        <w:keepLines w:val="0"/>
        <w:widowControl w:val="0"/>
        <w:shd w:val="clear" w:color="auto" w:fill="auto"/>
        <w:tabs>
          <w:tab w:pos="1076" w:val="left"/>
        </w:tabs>
        <w:bidi w:val="0"/>
        <w:spacing w:before="0" w:after="0" w:line="470" w:lineRule="exact"/>
        <w:ind w:left="0" w:right="0" w:firstLine="480"/>
        <w:jc w:val="both"/>
      </w:pPr>
      <w:bookmarkStart w:id="245" w:name="bookmark245"/>
      <w:r>
        <w:rPr>
          <w:color w:val="000000"/>
          <w:spacing w:val="0"/>
          <w:w w:val="100"/>
          <w:position w:val="0"/>
          <w:sz w:val="24"/>
          <w:szCs w:val="24"/>
        </w:rPr>
        <w:t>（</w:t>
      </w:r>
      <w:bookmarkEnd w:id="245"/>
      <w:r>
        <w:rPr>
          <w:color w:val="000000"/>
          <w:spacing w:val="0"/>
          <w:w w:val="100"/>
          <w:position w:val="0"/>
          <w:sz w:val="24"/>
          <w:szCs w:val="24"/>
        </w:rPr>
        <w:t>1）</w:t>
        <w:tab/>
        <w:t>宏观经济波动的风险。宏观经济的波动会一定程度影响公司客户自身的经营状况和 对未来的预期，从而影响客户在</w:t>
      </w:r>
      <w:r>
        <w:rPr>
          <w:color w:val="000000"/>
          <w:spacing w:val="0"/>
          <w:w w:val="100"/>
          <w:position w:val="0"/>
          <w:sz w:val="24"/>
          <w:szCs w:val="24"/>
        </w:rPr>
        <w:t>IT</w:t>
      </w:r>
      <w:r>
        <w:rPr>
          <w:color w:val="000000"/>
          <w:spacing w:val="0"/>
          <w:w w:val="100"/>
          <w:position w:val="0"/>
          <w:sz w:val="24"/>
          <w:szCs w:val="24"/>
        </w:rPr>
        <w:t>咨询，</w:t>
      </w:r>
      <w:r>
        <w:rPr>
          <w:color w:val="000000"/>
          <w:spacing w:val="0"/>
          <w:w w:val="100"/>
          <w:position w:val="0"/>
          <w:sz w:val="24"/>
          <w:szCs w:val="24"/>
        </w:rPr>
        <w:t>ERP</w:t>
      </w:r>
      <w:r>
        <w:rPr>
          <w:color w:val="000000"/>
          <w:spacing w:val="0"/>
          <w:w w:val="100"/>
          <w:position w:val="0"/>
          <w:sz w:val="24"/>
          <w:szCs w:val="24"/>
        </w:rPr>
        <w:t>系统建设方面的预算。公司的客户主要为具有较 强实力的跨国公司和企业集团</w:t>
      </w:r>
      <w:r>
        <w:rPr>
          <w:color w:val="000000"/>
          <w:spacing w:val="0"/>
          <w:w w:val="100"/>
          <w:position w:val="0"/>
          <w:sz w:val="24"/>
          <w:szCs w:val="24"/>
        </w:rPr>
        <w:t>，ERP</w:t>
      </w:r>
      <w:r>
        <w:rPr>
          <w:color w:val="000000"/>
          <w:spacing w:val="0"/>
          <w:w w:val="100"/>
          <w:position w:val="0"/>
          <w:sz w:val="24"/>
          <w:szCs w:val="24"/>
        </w:rPr>
        <w:t>系统对于客户公司的运营和管理至关重要。在行业低潮期， 一部分公司会推迟</w:t>
      </w:r>
      <w:r>
        <w:rPr>
          <w:color w:val="000000"/>
          <w:spacing w:val="0"/>
          <w:w w:val="100"/>
          <w:position w:val="0"/>
          <w:sz w:val="24"/>
          <w:szCs w:val="24"/>
        </w:rPr>
        <w:t>IT</w:t>
      </w:r>
      <w:r>
        <w:rPr>
          <w:color w:val="000000"/>
          <w:spacing w:val="0"/>
          <w:w w:val="100"/>
          <w:position w:val="0"/>
          <w:sz w:val="24"/>
          <w:szCs w:val="24"/>
        </w:rPr>
        <w:t>的投入，但也有一些公司需要通过</w:t>
      </w:r>
      <w:r>
        <w:rPr>
          <w:color w:val="000000"/>
          <w:spacing w:val="0"/>
          <w:w w:val="100"/>
          <w:position w:val="0"/>
          <w:sz w:val="24"/>
          <w:szCs w:val="24"/>
        </w:rPr>
        <w:t>ERP</w:t>
      </w:r>
      <w:r>
        <w:rPr>
          <w:color w:val="000000"/>
          <w:spacing w:val="0"/>
          <w:w w:val="100"/>
          <w:position w:val="0"/>
          <w:sz w:val="24"/>
          <w:szCs w:val="24"/>
        </w:rPr>
        <w:t>等</w:t>
      </w:r>
      <w:r>
        <w:rPr>
          <w:color w:val="000000"/>
          <w:spacing w:val="0"/>
          <w:w w:val="100"/>
          <w:position w:val="0"/>
          <w:sz w:val="24"/>
          <w:szCs w:val="24"/>
        </w:rPr>
        <w:t>IT</w:t>
      </w:r>
      <w:r>
        <w:rPr>
          <w:color w:val="000000"/>
          <w:spacing w:val="0"/>
          <w:w w:val="100"/>
          <w:position w:val="0"/>
          <w:sz w:val="24"/>
          <w:szCs w:val="24"/>
        </w:rPr>
        <w:t>系统提升公司运营效率，降低 综合成本来对抗危机的负面影响，另一方面，由于公司的客户数量众多，行业分布广泛，单 个行业的景气周期对于公司的影响较弱。但从长远来看，宏观及行业经济周期的变化仍与公 司所在行业的市场景气程度存在一定的关联性。因此，如果未来宏观经济景气度出现大幅下 滑，有可能对</w:t>
      </w:r>
      <w:r>
        <w:rPr>
          <w:color w:val="000000"/>
          <w:spacing w:val="0"/>
          <w:w w:val="100"/>
          <w:position w:val="0"/>
          <w:sz w:val="24"/>
          <w:szCs w:val="24"/>
        </w:rPr>
        <w:t>ERP</w:t>
      </w:r>
      <w:r>
        <w:rPr>
          <w:color w:val="000000"/>
          <w:spacing w:val="0"/>
          <w:w w:val="100"/>
          <w:position w:val="0"/>
          <w:sz w:val="24"/>
          <w:szCs w:val="24"/>
        </w:rPr>
        <w:t>实施服务行业需求的增长带来不利的影响。</w:t>
      </w:r>
    </w:p>
    <w:p>
      <w:pPr>
        <w:pStyle w:val="Style30"/>
        <w:keepNext w:val="0"/>
        <w:keepLines w:val="0"/>
        <w:widowControl w:val="0"/>
        <w:shd w:val="clear" w:color="auto" w:fill="auto"/>
        <w:tabs>
          <w:tab w:pos="577" w:val="left"/>
        </w:tabs>
        <w:bidi w:val="0"/>
        <w:spacing w:before="0" w:after="0" w:line="470" w:lineRule="exact"/>
        <w:ind w:left="0" w:right="0" w:firstLine="480"/>
        <w:jc w:val="both"/>
      </w:pPr>
      <w:bookmarkStart w:id="246" w:name="bookmark246"/>
      <w:r>
        <w:rPr>
          <w:color w:val="000000"/>
          <w:spacing w:val="0"/>
          <w:w w:val="100"/>
          <w:position w:val="0"/>
          <w:sz w:val="24"/>
          <w:szCs w:val="24"/>
        </w:rPr>
        <w:t>（</w:t>
      </w:r>
      <w:bookmarkEnd w:id="246"/>
      <w:r>
        <w:rPr>
          <w:color w:val="000000"/>
          <w:spacing w:val="0"/>
          <w:w w:val="100"/>
          <w:position w:val="0"/>
          <w:sz w:val="24"/>
          <w:szCs w:val="24"/>
        </w:rPr>
        <w:t>2）</w:t>
        <w:tab/>
        <w:t>人力成本上升和人才流失风险</w:t>
      </w:r>
      <w:r>
        <w:rPr>
          <w:color w:val="000000"/>
          <w:spacing w:val="0"/>
          <w:w w:val="100"/>
          <w:position w:val="0"/>
          <w:sz w:val="24"/>
          <w:szCs w:val="24"/>
        </w:rPr>
        <w:t>°ERP</w:t>
      </w:r>
      <w:r>
        <w:rPr>
          <w:color w:val="000000"/>
          <w:spacing w:val="0"/>
          <w:w w:val="100"/>
          <w:position w:val="0"/>
          <w:sz w:val="24"/>
          <w:szCs w:val="24"/>
        </w:rPr>
        <w:t xml:space="preserve">实施行业属于人才密集型，公司最主要的经营 </w:t>
      </w:r>
      <w:r>
        <w:rPr>
          <w:color w:val="000000"/>
          <w:spacing w:val="0"/>
          <w:w w:val="100"/>
          <w:position w:val="0"/>
          <w:sz w:val="24"/>
          <w:szCs w:val="24"/>
        </w:rPr>
        <w:t>成本是人力，因此如果平均上升速度快于顾问人均产值的增长速度，则公司的毛利率水平将 会有下降的风险。为应对该项风险，公司一方面将通过进一步提高服务质量和提升客户体验 来推动</w:t>
      </w:r>
      <w:r>
        <w:rPr>
          <w:color w:val="000000"/>
          <w:spacing w:val="0"/>
          <w:w w:val="100"/>
          <w:position w:val="0"/>
          <w:sz w:val="24"/>
          <w:szCs w:val="24"/>
        </w:rPr>
        <w:t>ERP</w:t>
      </w:r>
      <w:r>
        <w:rPr>
          <w:color w:val="000000"/>
          <w:spacing w:val="0"/>
          <w:w w:val="100"/>
          <w:position w:val="0"/>
          <w:sz w:val="24"/>
          <w:szCs w:val="24"/>
        </w:rPr>
        <w:t>实施顾问人均产值的持续增长，另一方面，公司凭借总结行业整体解决方案、立足 于自主培养人才、研发远程化开发支持技术等手段来加速</w:t>
      </w:r>
      <w:r>
        <w:rPr>
          <w:color w:val="000000"/>
          <w:spacing w:val="0"/>
          <w:w w:val="100"/>
          <w:position w:val="0"/>
          <w:sz w:val="24"/>
          <w:szCs w:val="24"/>
        </w:rPr>
        <w:t>ERP</w:t>
      </w:r>
      <w:r>
        <w:rPr>
          <w:color w:val="000000"/>
          <w:spacing w:val="0"/>
          <w:w w:val="100"/>
          <w:position w:val="0"/>
          <w:sz w:val="24"/>
          <w:szCs w:val="24"/>
        </w:rPr>
        <w:t>实施顾问的成长，维系核心人员 的稳定，提高人员利用率，从而缓解人力成本上升的压力。虽然如此，但未来随着经济的发 展、生活成本的上升、竞争对手对专业人才的争夺以及政府部门对社会保障体系相关政策的 调整，公司的人力成本可能存在增加的风险。另一方面，公司人才面临较多的市场机会，再 加上行业特性，长期出差对人员稳定性造成了一定影响，另外公司的股权激励因为资本市场 原因导致回报不够好，也影响了员工的黏性，存在人才流失的风险。</w:t>
      </w:r>
    </w:p>
    <w:p>
      <w:pPr>
        <w:pStyle w:val="Style30"/>
        <w:keepNext w:val="0"/>
        <w:keepLines w:val="0"/>
        <w:widowControl w:val="0"/>
        <w:shd w:val="clear" w:color="auto" w:fill="auto"/>
        <w:tabs>
          <w:tab w:pos="1075" w:val="left"/>
        </w:tabs>
        <w:bidi w:val="0"/>
        <w:spacing w:before="0" w:after="0" w:line="466" w:lineRule="exact"/>
        <w:ind w:left="0" w:right="0" w:firstLine="480"/>
        <w:jc w:val="both"/>
      </w:pPr>
      <w:bookmarkStart w:id="247" w:name="bookmark247"/>
      <w:r>
        <w:rPr>
          <w:color w:val="000000"/>
          <w:spacing w:val="0"/>
          <w:w w:val="100"/>
          <w:position w:val="0"/>
          <w:sz w:val="24"/>
          <w:szCs w:val="24"/>
        </w:rPr>
        <w:t>（</w:t>
      </w:r>
      <w:bookmarkEnd w:id="247"/>
      <w:r>
        <w:rPr>
          <w:color w:val="000000"/>
          <w:spacing w:val="0"/>
          <w:w w:val="100"/>
          <w:position w:val="0"/>
          <w:sz w:val="24"/>
          <w:szCs w:val="24"/>
        </w:rPr>
        <w:t>四）</w:t>
        <w:tab/>
        <w:t>公司未来发展战略</w:t>
      </w:r>
    </w:p>
    <w:p>
      <w:pPr>
        <w:pStyle w:val="Style30"/>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公司将进一步强化竞争优势，突出整体解决方案服务能力，横向加强推进自有技术和自 有产品的研发，提高产品和业务创新服务能力，纵向加快市场及客户的开拓，提高公司在信 息化咨询领域的地位，并成为企业应用和信息技术之间的桥梁。</w:t>
      </w:r>
    </w:p>
    <w:p>
      <w:pPr>
        <w:pStyle w:val="Style30"/>
        <w:keepNext w:val="0"/>
        <w:keepLines w:val="0"/>
        <w:widowControl w:val="0"/>
        <w:shd w:val="clear" w:color="auto" w:fill="auto"/>
        <w:tabs>
          <w:tab w:pos="1075" w:val="left"/>
        </w:tabs>
        <w:bidi w:val="0"/>
        <w:spacing w:before="0" w:after="0" w:line="466" w:lineRule="exact"/>
        <w:ind w:left="0" w:right="0" w:firstLine="480"/>
        <w:jc w:val="both"/>
      </w:pPr>
      <w:bookmarkStart w:id="248" w:name="bookmark248"/>
      <w:r>
        <w:rPr>
          <w:color w:val="000000"/>
          <w:spacing w:val="0"/>
          <w:w w:val="100"/>
          <w:position w:val="0"/>
          <w:sz w:val="24"/>
          <w:szCs w:val="24"/>
        </w:rPr>
        <w:t>（</w:t>
      </w:r>
      <w:bookmarkEnd w:id="248"/>
      <w:r>
        <w:rPr>
          <w:color w:val="000000"/>
          <w:spacing w:val="0"/>
          <w:w w:val="100"/>
          <w:position w:val="0"/>
          <w:sz w:val="24"/>
          <w:szCs w:val="24"/>
        </w:rPr>
        <w:t>五）</w:t>
        <w:tab/>
        <w:t>公司经营计划</w:t>
      </w:r>
    </w:p>
    <w:p>
      <w:pPr>
        <w:pStyle w:val="Style30"/>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2017年，公司将在传统业务上加强行业研究和方案整合，形成跨产品线的一体化解决方 案，加强实施方法的标准化和规范化，提高交付质量和实施效率；在公司的创新业务如供应 链金融、汇联易、共享服务上寻求突破，创造新的收入和利润增长点；同时在国家政策的支 持下，结合市场需求和发展趋势，积极关注云计算、物联网、大数据等</w:t>
      </w:r>
      <w:r>
        <w:rPr>
          <w:color w:val="000000"/>
          <w:spacing w:val="0"/>
          <w:w w:val="100"/>
          <w:position w:val="0"/>
          <w:sz w:val="24"/>
          <w:szCs w:val="24"/>
        </w:rPr>
        <w:t>IT</w:t>
      </w:r>
      <w:r>
        <w:rPr>
          <w:color w:val="000000"/>
          <w:spacing w:val="0"/>
          <w:w w:val="100"/>
          <w:position w:val="0"/>
          <w:sz w:val="24"/>
          <w:szCs w:val="24"/>
        </w:rPr>
        <w:t>新技术带来的行业 变革和产业机会，积极开拓相关企业服务市场，打造新的产品和业务创新平台。</w:t>
      </w:r>
    </w:p>
    <w:p>
      <w:pPr>
        <w:pStyle w:val="Style30"/>
        <w:keepNext w:val="0"/>
        <w:keepLines w:val="0"/>
        <w:widowControl w:val="0"/>
        <w:shd w:val="clear" w:color="auto" w:fill="auto"/>
        <w:tabs>
          <w:tab w:pos="1005" w:val="left"/>
        </w:tabs>
        <w:bidi w:val="0"/>
        <w:spacing w:before="0" w:after="0" w:line="467" w:lineRule="exact"/>
        <w:ind w:left="0" w:right="0" w:firstLine="480"/>
        <w:jc w:val="both"/>
      </w:pPr>
      <w:bookmarkStart w:id="249" w:name="bookmark249"/>
      <w:r>
        <w:rPr>
          <w:color w:val="000000"/>
          <w:spacing w:val="0"/>
          <w:w w:val="100"/>
          <w:position w:val="0"/>
          <w:sz w:val="24"/>
          <w:szCs w:val="24"/>
        </w:rPr>
        <w:t>（</w:t>
      </w:r>
      <w:bookmarkEnd w:id="249"/>
      <w:r>
        <w:rPr>
          <w:color w:val="000000"/>
          <w:spacing w:val="0"/>
          <w:w w:val="100"/>
          <w:position w:val="0"/>
          <w:sz w:val="24"/>
          <w:szCs w:val="24"/>
        </w:rPr>
        <w:t>1）</w:t>
        <w:tab/>
        <w:t>市场开拓计划</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公司将进一步完善营销体系，继续推动区域化运作，强化区域营销管理，布局重点行业 及市场拓展区域，保持对老客户的深耕细作力度，积极开拓新客户，争取更多有</w:t>
      </w:r>
      <w:r>
        <w:rPr>
          <w:color w:val="000000"/>
          <w:spacing w:val="0"/>
          <w:w w:val="100"/>
          <w:position w:val="0"/>
          <w:sz w:val="24"/>
          <w:szCs w:val="24"/>
        </w:rPr>
        <w:t>IT</w:t>
      </w:r>
      <w:r>
        <w:rPr>
          <w:color w:val="000000"/>
          <w:spacing w:val="0"/>
          <w:w w:val="100"/>
          <w:position w:val="0"/>
          <w:sz w:val="24"/>
          <w:szCs w:val="24"/>
        </w:rPr>
        <w:t>消费意愿 和能力的客户群体，建成企业信息化的全面运营服务提供商，并提升售前、售后服务的综合 水平和能力，为公司的快速增长、可持续性发展建立坚实基础。</w:t>
      </w:r>
    </w:p>
    <w:p>
      <w:pPr>
        <w:pStyle w:val="Style30"/>
        <w:keepNext w:val="0"/>
        <w:keepLines w:val="0"/>
        <w:widowControl w:val="0"/>
        <w:shd w:val="clear" w:color="auto" w:fill="auto"/>
        <w:tabs>
          <w:tab w:pos="1005" w:val="left"/>
        </w:tabs>
        <w:bidi w:val="0"/>
        <w:spacing w:before="0" w:after="0" w:line="466" w:lineRule="exact"/>
        <w:ind w:left="0" w:right="0" w:firstLine="480"/>
        <w:jc w:val="both"/>
      </w:pPr>
      <w:bookmarkStart w:id="250" w:name="bookmark250"/>
      <w:r>
        <w:rPr>
          <w:color w:val="000000"/>
          <w:spacing w:val="0"/>
          <w:w w:val="100"/>
          <w:position w:val="0"/>
          <w:sz w:val="24"/>
          <w:szCs w:val="24"/>
        </w:rPr>
        <w:t>（</w:t>
      </w:r>
      <w:bookmarkEnd w:id="250"/>
      <w:r>
        <w:rPr>
          <w:color w:val="000000"/>
          <w:spacing w:val="0"/>
          <w:w w:val="100"/>
          <w:position w:val="0"/>
          <w:sz w:val="24"/>
          <w:szCs w:val="24"/>
        </w:rPr>
        <w:t>2）</w:t>
        <w:tab/>
        <w:t>研发计划</w:t>
      </w:r>
    </w:p>
    <w:p>
      <w:pPr>
        <w:pStyle w:val="Style30"/>
        <w:keepNext w:val="0"/>
        <w:keepLines w:val="0"/>
        <w:widowControl w:val="0"/>
        <w:shd w:val="clear" w:color="auto" w:fill="auto"/>
        <w:bidi w:val="0"/>
        <w:spacing w:before="0" w:after="0" w:line="458" w:lineRule="exact"/>
        <w:ind w:left="0" w:right="0" w:firstLine="480"/>
        <w:jc w:val="both"/>
      </w:pPr>
      <w:r>
        <w:rPr>
          <w:color w:val="000000"/>
          <w:spacing w:val="0"/>
          <w:w w:val="100"/>
          <w:position w:val="0"/>
          <w:sz w:val="24"/>
          <w:szCs w:val="24"/>
        </w:rPr>
        <w:t>公司将集中资金及业务、技术资源支持自有产品和自有解决方案的研发，努力开拓新的 利润增长点，优化迭代产品，提高产品性能和稳定性，提升服务效率，进一步强化公司在传 统</w:t>
      </w:r>
      <w:r>
        <w:rPr>
          <w:color w:val="000000"/>
          <w:spacing w:val="0"/>
          <w:w w:val="100"/>
          <w:position w:val="0"/>
          <w:sz w:val="24"/>
          <w:szCs w:val="24"/>
        </w:rPr>
        <w:t>ERP</w:t>
      </w:r>
      <w:r>
        <w:rPr>
          <w:color w:val="000000"/>
          <w:spacing w:val="0"/>
          <w:w w:val="100"/>
          <w:position w:val="0"/>
          <w:sz w:val="24"/>
          <w:szCs w:val="24"/>
        </w:rPr>
        <w:t>实施领域的优势地位，并提高在新兴领域和新技术上的竞争力。</w:t>
      </w:r>
    </w:p>
    <w:p>
      <w:pPr>
        <w:pStyle w:val="Style30"/>
        <w:keepNext w:val="0"/>
        <w:keepLines w:val="0"/>
        <w:widowControl w:val="0"/>
        <w:shd w:val="clear" w:color="auto" w:fill="auto"/>
        <w:tabs>
          <w:tab w:pos="1005" w:val="left"/>
        </w:tabs>
        <w:bidi w:val="0"/>
        <w:spacing w:before="0" w:after="0" w:line="458" w:lineRule="exact"/>
        <w:ind w:left="0" w:right="0" w:firstLine="480"/>
        <w:jc w:val="both"/>
      </w:pPr>
      <w:bookmarkStart w:id="251" w:name="bookmark251"/>
      <w:r>
        <w:rPr>
          <w:color w:val="000000"/>
          <w:spacing w:val="0"/>
          <w:w w:val="100"/>
          <w:position w:val="0"/>
          <w:sz w:val="24"/>
          <w:szCs w:val="24"/>
        </w:rPr>
        <w:t>（</w:t>
      </w:r>
      <w:bookmarkEnd w:id="251"/>
      <w:r>
        <w:rPr>
          <w:color w:val="000000"/>
          <w:spacing w:val="0"/>
          <w:w w:val="100"/>
          <w:position w:val="0"/>
          <w:sz w:val="24"/>
          <w:szCs w:val="24"/>
        </w:rPr>
        <w:t>3）</w:t>
        <w:tab/>
        <w:t>人才计划</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公司重视人才队伍建设，将员工的能力提升和薪酬激励增长及公司业绩增量进行匹配， 来提升核心员工积极性；建立员工长期培训机制和专业化员工发展体系，提升个人能力和公 司整体服务水平；公司将在实施股权激励计划和其他员工激励机制的基础上，积极寻找成本 费用控制的方案与措施，并进一步优化员工绩效考核体系；公司将更加注重员工文化建设， 加强凝聚力，提高工作中的幸福指数。</w:t>
      </w:r>
    </w:p>
    <w:p>
      <w:pPr>
        <w:pStyle w:val="Style30"/>
        <w:keepNext w:val="0"/>
        <w:keepLines w:val="0"/>
        <w:widowControl w:val="0"/>
        <w:numPr>
          <w:ilvl w:val="0"/>
          <w:numId w:val="9"/>
        </w:numPr>
        <w:shd w:val="clear" w:color="auto" w:fill="auto"/>
        <w:bidi w:val="0"/>
        <w:spacing w:before="0" w:after="0" w:line="467" w:lineRule="exact"/>
        <w:ind w:left="0" w:right="0" w:firstLine="480"/>
        <w:jc w:val="both"/>
      </w:pPr>
      <w:bookmarkStart w:id="252" w:name="bookmark252"/>
      <w:bookmarkEnd w:id="252"/>
      <w:r>
        <w:rPr>
          <w:color w:val="000000"/>
          <w:spacing w:val="0"/>
          <w:w w:val="100"/>
          <w:position w:val="0"/>
          <w:sz w:val="24"/>
          <w:szCs w:val="24"/>
        </w:rPr>
        <w:t>管理计划</w:t>
      </w:r>
    </w:p>
    <w:p>
      <w:pPr>
        <w:pStyle w:val="Style30"/>
        <w:keepNext w:val="0"/>
        <w:keepLines w:val="0"/>
        <w:widowControl w:val="0"/>
        <w:shd w:val="clear" w:color="auto" w:fill="auto"/>
        <w:bidi w:val="0"/>
        <w:spacing w:before="0" w:after="420" w:line="466" w:lineRule="exact"/>
        <w:ind w:left="0" w:right="0" w:firstLine="480"/>
        <w:jc w:val="both"/>
      </w:pPr>
      <w:r>
        <w:rPr>
          <w:color w:val="000000"/>
          <w:spacing w:val="0"/>
          <w:w w:val="100"/>
          <w:position w:val="0"/>
          <w:sz w:val="24"/>
          <w:szCs w:val="24"/>
        </w:rPr>
        <w:t>公司将继续提升规范运营和治理水平。按照上市公司要求，建立健全各项规章制度，积 极推进内控建设、信息披露和三会运作等工作，完善公司治理，加强内部审计，保障公司健 康有序运行。增强公司运作透明度，保护中小投资者权益，进一步做好投资者关系管理工作, 依法维护投资者权益。</w:t>
      </w:r>
    </w:p>
    <w:p>
      <w:pPr>
        <w:pStyle w:val="Style30"/>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十、接待调研、沟通、采访等活动登记表</w:t>
      </w:r>
    </w:p>
    <w:p>
      <w:pPr>
        <w:pStyle w:val="Style47"/>
        <w:keepNext w:val="0"/>
        <w:keepLines w:val="0"/>
        <w:widowControl w:val="0"/>
        <w:shd w:val="clear" w:color="auto" w:fill="auto"/>
        <w:bidi w:val="0"/>
        <w:spacing w:before="0" w:line="240" w:lineRule="auto"/>
        <w:ind w:left="0" w:right="0" w:firstLine="0"/>
        <w:jc w:val="left"/>
      </w:pPr>
      <w:bookmarkStart w:id="253" w:name="bookmark253"/>
      <w:r>
        <w:rPr>
          <w:rFonts w:ascii="Times New Roman" w:eastAsia="Times New Roman" w:hAnsi="Times New Roman" w:cs="Times New Roman"/>
          <w:color w:val="000000"/>
          <w:spacing w:val="0"/>
          <w:w w:val="100"/>
          <w:position w:val="0"/>
        </w:rPr>
        <w:t>1</w:t>
      </w:r>
      <w:bookmarkEnd w:id="253"/>
      <w:r>
        <w:rPr>
          <w:color w:val="000000"/>
          <w:spacing w:val="0"/>
          <w:w w:val="100"/>
          <w:position w:val="0"/>
        </w:rPr>
        <w:t>、报告期内接待调研、沟通、采访等活动登记表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79"/>
        <w:gridCol w:w="2179"/>
        <w:gridCol w:w="2174"/>
        <w:gridCol w:w="30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投资者关系互动平台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"http://irm.p5w.net/ssgs/S300170/" </w:instrText>
            </w:r>
            <w:r>
              <w:fldChar w:fldCharType="separate"/>
            </w:r>
            <w:r>
              <w:rPr>
                <w:rFonts w:ascii="Times New Roman" w:eastAsia="Times New Roman" w:hAnsi="Times New Roman" w:cs="Times New Roman"/>
                <w:color w:val="000000"/>
                <w:spacing w:val="0"/>
                <w:w w:val="100"/>
                <w:position w:val="0"/>
              </w:rPr>
              <w:t>http://irm.p5w.net/ssgs/S300170/</w:t>
            </w:r>
            <w:r>
              <w:fldChar w:fldCharType="end"/>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日投资者关系活动记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录表》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pPr>
            <w:r>
              <w:rPr>
                <w:color w:val="000000"/>
                <w:spacing w:val="0"/>
                <w:w w:val="100"/>
                <w:position w:val="0"/>
              </w:rPr>
              <w:t>投资者关系互动平台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fldChar w:fldCharType="begin"/>
            </w:r>
            <w:r>
              <w:rPr/>
              <w:instrText> HYPERLINK "http://irm.p5w.net/ssgs/S300170/" </w:instrText>
            </w:r>
            <w:r>
              <w:fldChar w:fldCharType="separate"/>
            </w:r>
            <w:r>
              <w:rPr>
                <w:rFonts w:ascii="Times New Roman" w:eastAsia="Times New Roman" w:hAnsi="Times New Roman" w:cs="Times New Roman"/>
                <w:color w:val="000000"/>
                <w:spacing w:val="0"/>
                <w:w w:val="100"/>
                <w:position w:val="0"/>
              </w:rPr>
              <w:t>http://irm.p5w.net/ssgs/S300170/</w:t>
            </w:r>
            <w:r>
              <w:fldChar w:fldCharType="end"/>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日投资者关系活</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动记录表》</w:t>
            </w:r>
          </w:p>
        </w:tc>
      </w:tr>
    </w:tbl>
    <w:p>
      <w:pPr>
        <w:sectPr>
          <w:footnotePr>
            <w:pos w:val="pageBottom"/>
            <w:numFmt w:val="decimal"/>
            <w:numRestart w:val="continuous"/>
          </w:footnotePr>
          <w:pgSz w:w="11900" w:h="16840"/>
          <w:pgMar w:top="1330" w:right="1037" w:bottom="1488" w:left="1061" w:header="0" w:footer="3" w:gutter="0"/>
          <w:cols w:space="720"/>
          <w:noEndnote/>
          <w:rtlGutter w:val="0"/>
          <w:docGrid w:linePitch="360"/>
        </w:sectPr>
      </w:pPr>
    </w:p>
    <w:p>
      <w:pPr>
        <w:pStyle w:val="Style12"/>
        <w:keepNext/>
        <w:keepLines/>
        <w:widowControl w:val="0"/>
        <w:shd w:val="clear" w:color="auto" w:fill="auto"/>
        <w:bidi w:val="0"/>
        <w:spacing w:before="600" w:after="360" w:line="240" w:lineRule="auto"/>
        <w:ind w:left="0" w:right="0" w:firstLine="0"/>
        <w:jc w:val="center"/>
      </w:pPr>
      <w:bookmarkStart w:id="254" w:name="bookmark254"/>
      <w:bookmarkStart w:id="255" w:name="bookmark255"/>
      <w:bookmarkStart w:id="256" w:name="bookmark256"/>
      <w:r>
        <w:rPr>
          <w:color w:val="000000"/>
          <w:spacing w:val="0"/>
          <w:w w:val="100"/>
          <w:position w:val="0"/>
        </w:rPr>
        <w:t>第五节重要事项</w:t>
      </w:r>
      <w:bookmarkEnd w:id="254"/>
      <w:bookmarkEnd w:id="255"/>
      <w:bookmarkEnd w:id="256"/>
    </w:p>
    <w:p>
      <w:pPr>
        <w:pStyle w:val="Style21"/>
        <w:keepNext/>
        <w:keepLines/>
        <w:widowControl w:val="0"/>
        <w:shd w:val="clear" w:color="auto" w:fill="auto"/>
        <w:bidi w:val="0"/>
        <w:spacing w:before="0" w:after="360" w:line="465" w:lineRule="exact"/>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、公司普通股利润分配及资本公积金转增股本情况</w:t>
      </w:r>
      <w:bookmarkEnd w:id="257"/>
      <w:bookmarkEnd w:id="258"/>
      <w:bookmarkEnd w:id="260"/>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《公司章程》中规定的利润分配政策为：</w:t>
      </w:r>
    </w:p>
    <w:p>
      <w:pPr>
        <w:pStyle w:val="Style30"/>
        <w:keepNext w:val="0"/>
        <w:keepLines w:val="0"/>
        <w:widowControl w:val="0"/>
        <w:shd w:val="clear" w:color="auto" w:fill="auto"/>
        <w:tabs>
          <w:tab w:pos="1098" w:val="left"/>
        </w:tabs>
        <w:bidi w:val="0"/>
        <w:spacing w:before="0" w:after="0" w:line="465" w:lineRule="exact"/>
        <w:ind w:left="0" w:right="0" w:firstLine="480"/>
        <w:jc w:val="both"/>
      </w:pPr>
      <w:bookmarkStart w:id="261" w:name="bookmark261"/>
      <w:r>
        <w:rPr>
          <w:color w:val="000000"/>
          <w:spacing w:val="0"/>
          <w:w w:val="100"/>
          <w:position w:val="0"/>
          <w:sz w:val="24"/>
          <w:szCs w:val="24"/>
        </w:rPr>
        <w:t>（</w:t>
      </w:r>
      <w:bookmarkEnd w:id="261"/>
      <w:r>
        <w:rPr>
          <w:color w:val="000000"/>
          <w:spacing w:val="0"/>
          <w:w w:val="100"/>
          <w:position w:val="0"/>
          <w:sz w:val="24"/>
          <w:szCs w:val="24"/>
        </w:rPr>
        <w:t>一）</w:t>
        <w:tab/>
        <w:t>利润分配原则：公司利润分配应重视对投资者的合理投资回报，利润分配政策应保 持连续性和稳定性，并兼顾公司的可持续发展；</w:t>
      </w:r>
    </w:p>
    <w:p>
      <w:pPr>
        <w:pStyle w:val="Style30"/>
        <w:keepNext w:val="0"/>
        <w:keepLines w:val="0"/>
        <w:widowControl w:val="0"/>
        <w:shd w:val="clear" w:color="auto" w:fill="auto"/>
        <w:tabs>
          <w:tab w:pos="1098" w:val="left"/>
        </w:tabs>
        <w:bidi w:val="0"/>
        <w:spacing w:before="0" w:after="0" w:line="465" w:lineRule="exact"/>
        <w:ind w:left="0" w:right="0" w:firstLine="480"/>
        <w:jc w:val="both"/>
      </w:pPr>
      <w:bookmarkStart w:id="262" w:name="bookmark262"/>
      <w:r>
        <w:rPr>
          <w:color w:val="000000"/>
          <w:spacing w:val="0"/>
          <w:w w:val="100"/>
          <w:position w:val="0"/>
          <w:sz w:val="24"/>
          <w:szCs w:val="24"/>
        </w:rPr>
        <w:t>（</w:t>
      </w:r>
      <w:bookmarkEnd w:id="262"/>
      <w:r>
        <w:rPr>
          <w:color w:val="000000"/>
          <w:spacing w:val="0"/>
          <w:w w:val="100"/>
          <w:position w:val="0"/>
          <w:sz w:val="24"/>
          <w:szCs w:val="24"/>
        </w:rPr>
        <w:t>二）</w:t>
        <w:tab/>
        <w:t>利润分配条件：公司上一会计年度盈利，累计可分配利润为正数，且不存在影响利 润分配的重大投资计划或现金支出事项；</w:t>
      </w:r>
    </w:p>
    <w:p>
      <w:pPr>
        <w:pStyle w:val="Style30"/>
        <w:keepNext w:val="0"/>
        <w:keepLines w:val="0"/>
        <w:widowControl w:val="0"/>
        <w:shd w:val="clear" w:color="auto" w:fill="auto"/>
        <w:tabs>
          <w:tab w:pos="1102" w:val="left"/>
        </w:tabs>
        <w:bidi w:val="0"/>
        <w:spacing w:before="0" w:after="0" w:line="465" w:lineRule="exact"/>
        <w:ind w:left="0" w:right="0" w:firstLine="480"/>
        <w:jc w:val="both"/>
      </w:pPr>
      <w:bookmarkStart w:id="263" w:name="bookmark263"/>
      <w:r>
        <w:rPr>
          <w:color w:val="000000"/>
          <w:spacing w:val="0"/>
          <w:w w:val="100"/>
          <w:position w:val="0"/>
          <w:sz w:val="24"/>
          <w:szCs w:val="24"/>
        </w:rPr>
        <w:t>（</w:t>
      </w:r>
      <w:bookmarkEnd w:id="263"/>
      <w:r>
        <w:rPr>
          <w:color w:val="000000"/>
          <w:spacing w:val="0"/>
          <w:w w:val="100"/>
          <w:position w:val="0"/>
          <w:sz w:val="24"/>
          <w:szCs w:val="24"/>
        </w:rPr>
        <w:t>三）</w:t>
        <w:tab/>
        <w:t>利润分配的形式：公司采取现金、股票或者现金股票相结合的方式分配股利。公司 具备现金分红条件的，应当采用现金分红进行利润分配。公司采用股票股利进行利润分配的， 应当具有公司成长性、每股净资产的摊薄等真实合理因素。</w:t>
      </w:r>
    </w:p>
    <w:p>
      <w:pPr>
        <w:pStyle w:val="Style30"/>
        <w:keepNext w:val="0"/>
        <w:keepLines w:val="0"/>
        <w:widowControl w:val="0"/>
        <w:shd w:val="clear" w:color="auto" w:fill="auto"/>
        <w:bidi w:val="0"/>
        <w:spacing w:before="0" w:after="0" w:line="465" w:lineRule="exact"/>
        <w:ind w:left="0" w:right="0" w:firstLine="600"/>
        <w:jc w:val="both"/>
      </w:pPr>
      <w:bookmarkStart w:id="264" w:name="bookmark264"/>
      <w:r>
        <w:rPr>
          <w:color w:val="000000"/>
          <w:spacing w:val="0"/>
          <w:w w:val="100"/>
          <w:position w:val="0"/>
          <w:sz w:val="24"/>
          <w:szCs w:val="24"/>
        </w:rPr>
        <w:t>（</w:t>
      </w:r>
      <w:bookmarkEnd w:id="264"/>
      <w:r>
        <w:rPr>
          <w:color w:val="000000"/>
          <w:spacing w:val="0"/>
          <w:w w:val="100"/>
          <w:position w:val="0"/>
          <w:sz w:val="24"/>
          <w:szCs w:val="24"/>
        </w:rPr>
        <w:t>四）利润分配的决策程序与机制：</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公司进行利润分配时，应先由公司董事会制定分配预案，再行提交公司股东大会审议。</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公司董事会应当综合考虑所处行业特点、发展阶段、自身经营模式、盈利水平以及是否 有重大资金支出安排等因素，区分下列情形，并按照公司章程规定的程序，提出差异化的现 金分红政策：</w:t>
      </w:r>
    </w:p>
    <w:p>
      <w:pPr>
        <w:pStyle w:val="Style30"/>
        <w:keepNext w:val="0"/>
        <w:keepLines w:val="0"/>
        <w:widowControl w:val="0"/>
        <w:shd w:val="clear" w:color="auto" w:fill="auto"/>
        <w:tabs>
          <w:tab w:pos="910" w:val="left"/>
        </w:tabs>
        <w:bidi w:val="0"/>
        <w:spacing w:before="0" w:after="0" w:line="465" w:lineRule="exact"/>
        <w:ind w:left="0" w:right="0" w:firstLine="480"/>
        <w:jc w:val="both"/>
      </w:pPr>
      <w:bookmarkStart w:id="265" w:name="bookmark265"/>
      <w:r>
        <w:rPr>
          <w:color w:val="000000"/>
          <w:spacing w:val="0"/>
          <w:w w:val="100"/>
          <w:position w:val="0"/>
          <w:sz w:val="24"/>
          <w:szCs w:val="24"/>
        </w:rPr>
        <w:t>1</w:t>
      </w:r>
      <w:bookmarkEnd w:id="265"/>
      <w:r>
        <w:rPr>
          <w:color w:val="000000"/>
          <w:spacing w:val="0"/>
          <w:w w:val="100"/>
          <w:position w:val="0"/>
          <w:sz w:val="24"/>
          <w:szCs w:val="24"/>
        </w:rPr>
        <w:t>、</w:t>
        <w:tab/>
        <w:t>公司发展阶段属成熟期且无重大资金支出安排的，进行利润分配时，现金分红在本次 利润分配中所占比例最低应达到80%；</w:t>
      </w:r>
    </w:p>
    <w:p>
      <w:pPr>
        <w:pStyle w:val="Style30"/>
        <w:keepNext w:val="0"/>
        <w:keepLines w:val="0"/>
        <w:widowControl w:val="0"/>
        <w:shd w:val="clear" w:color="auto" w:fill="auto"/>
        <w:tabs>
          <w:tab w:pos="910" w:val="left"/>
        </w:tabs>
        <w:bidi w:val="0"/>
        <w:spacing w:before="0" w:after="0" w:line="465" w:lineRule="exact"/>
        <w:ind w:left="0" w:right="0" w:firstLine="480"/>
        <w:jc w:val="both"/>
      </w:pPr>
      <w:bookmarkStart w:id="266" w:name="bookmark266"/>
      <w:r>
        <w:rPr>
          <w:color w:val="000000"/>
          <w:spacing w:val="0"/>
          <w:w w:val="100"/>
          <w:position w:val="0"/>
          <w:sz w:val="24"/>
          <w:szCs w:val="24"/>
        </w:rPr>
        <w:t>2</w:t>
      </w:r>
      <w:bookmarkEnd w:id="266"/>
      <w:r>
        <w:rPr>
          <w:color w:val="000000"/>
          <w:spacing w:val="0"/>
          <w:w w:val="100"/>
          <w:position w:val="0"/>
          <w:sz w:val="24"/>
          <w:szCs w:val="24"/>
        </w:rPr>
        <w:t>、</w:t>
        <w:tab/>
        <w:t>公司发展阶段属成熟期且有重大资金支出安排的，进行利润分配时，现金分红在本次 利润分配中所占比例最低应达到40%；</w:t>
      </w:r>
    </w:p>
    <w:p>
      <w:pPr>
        <w:pStyle w:val="Style30"/>
        <w:keepNext w:val="0"/>
        <w:keepLines w:val="0"/>
        <w:widowControl w:val="0"/>
        <w:shd w:val="clear" w:color="auto" w:fill="auto"/>
        <w:tabs>
          <w:tab w:pos="910" w:val="left"/>
        </w:tabs>
        <w:bidi w:val="0"/>
        <w:spacing w:before="0" w:after="0" w:line="465" w:lineRule="exact"/>
        <w:ind w:left="0" w:right="0" w:firstLine="480"/>
        <w:jc w:val="both"/>
      </w:pPr>
      <w:bookmarkStart w:id="267" w:name="bookmark267"/>
      <w:r>
        <w:rPr>
          <w:color w:val="000000"/>
          <w:spacing w:val="0"/>
          <w:w w:val="100"/>
          <w:position w:val="0"/>
          <w:sz w:val="24"/>
          <w:szCs w:val="24"/>
        </w:rPr>
        <w:t>3</w:t>
      </w:r>
      <w:bookmarkEnd w:id="267"/>
      <w:r>
        <w:rPr>
          <w:color w:val="000000"/>
          <w:spacing w:val="0"/>
          <w:w w:val="100"/>
          <w:position w:val="0"/>
          <w:sz w:val="24"/>
          <w:szCs w:val="24"/>
        </w:rPr>
        <w:t>、</w:t>
        <w:tab/>
        <w:t>公司发展阶段属成长期且有重大资金支出安排的，进行利润分配时，现金分红在本次 利润分配中所占比例最低应达到20%；</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公司发展阶段不易区分但有重大资金支出安排的，可以按照前项规定处理。</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公司在制定现金分红具体方案时，董事会应当认真研究和论证公司现金分红的时机、条 件和最低比例、调整的条件及其决策程序要求等事宜，独立董事应当发表明确意见。</w:t>
      </w:r>
    </w:p>
    <w:p>
      <w:pPr>
        <w:pStyle w:val="Style30"/>
        <w:keepNext w:val="0"/>
        <w:keepLines w:val="0"/>
        <w:widowControl w:val="0"/>
        <w:shd w:val="clear" w:color="auto" w:fill="auto"/>
        <w:bidi w:val="0"/>
        <w:spacing w:before="0" w:after="0" w:line="465" w:lineRule="exact"/>
        <w:ind w:left="0" w:right="0" w:firstLine="480"/>
        <w:jc w:val="both"/>
      </w:pPr>
      <w:r>
        <w:rPr>
          <w:color w:val="000000"/>
          <w:spacing w:val="0"/>
          <w:w w:val="100"/>
          <w:position w:val="0"/>
          <w:sz w:val="24"/>
          <w:szCs w:val="24"/>
        </w:rPr>
        <w:t>独立董事可以征集中小股东的意见，提出分红提案，并直接提交董事会审议；</w:t>
      </w:r>
    </w:p>
    <w:p>
      <w:pPr>
        <w:pStyle w:val="Style30"/>
        <w:keepNext w:val="0"/>
        <w:keepLines w:val="0"/>
        <w:widowControl w:val="0"/>
        <w:shd w:val="clear" w:color="auto" w:fill="auto"/>
        <w:bidi w:val="0"/>
        <w:spacing w:before="0" w:after="0" w:line="465" w:lineRule="exact"/>
        <w:ind w:left="0" w:right="0" w:firstLine="480"/>
        <w:jc w:val="both"/>
      </w:pPr>
      <w:bookmarkStart w:id="268" w:name="bookmark268"/>
      <w:r>
        <w:rPr>
          <w:color w:val="000000"/>
          <w:spacing w:val="0"/>
          <w:w w:val="100"/>
          <w:position w:val="0"/>
          <w:sz w:val="24"/>
          <w:szCs w:val="24"/>
        </w:rPr>
        <w:t>（</w:t>
      </w:r>
      <w:bookmarkEnd w:id="268"/>
      <w:r>
        <w:rPr>
          <w:color w:val="000000"/>
          <w:spacing w:val="0"/>
          <w:w w:val="100"/>
          <w:position w:val="0"/>
          <w:sz w:val="24"/>
          <w:szCs w:val="24"/>
        </w:rPr>
        <w:t>五）利润分配期间：公司原则上按年进行利润分配；在有条件的情况下，公司可以进行</w:t>
      </w:r>
    </w:p>
    <w:p>
      <w:pPr>
        <w:pStyle w:val="Style30"/>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中期利润分配和特别利润分配；</w:t>
      </w:r>
    </w:p>
    <w:p>
      <w:pPr>
        <w:pStyle w:val="Style30"/>
        <w:keepNext w:val="0"/>
        <w:keepLines w:val="0"/>
        <w:widowControl w:val="0"/>
        <w:shd w:val="clear" w:color="auto" w:fill="auto"/>
        <w:tabs>
          <w:tab w:pos="1096" w:val="left"/>
        </w:tabs>
        <w:bidi w:val="0"/>
        <w:spacing w:before="0" w:after="0" w:line="467" w:lineRule="exact"/>
        <w:ind w:left="0" w:right="0" w:firstLine="480"/>
        <w:jc w:val="both"/>
      </w:pPr>
      <w:bookmarkStart w:id="269" w:name="bookmark269"/>
      <w:r>
        <w:rPr>
          <w:color w:val="000000"/>
          <w:spacing w:val="0"/>
          <w:w w:val="100"/>
          <w:position w:val="0"/>
          <w:sz w:val="24"/>
          <w:szCs w:val="24"/>
        </w:rPr>
        <w:t>（</w:t>
      </w:r>
      <w:bookmarkEnd w:id="269"/>
      <w:r>
        <w:rPr>
          <w:color w:val="000000"/>
          <w:spacing w:val="0"/>
          <w:w w:val="100"/>
          <w:position w:val="0"/>
          <w:sz w:val="24"/>
          <w:szCs w:val="24"/>
        </w:rPr>
        <w:t>六）</w:t>
        <w:tab/>
        <w:t>现金分红条件：除非不符合本条第（二）款规定的利润分配条件，否则公司每年应当 至少以现金方式分配利润一次；</w:t>
      </w:r>
    </w:p>
    <w:p>
      <w:pPr>
        <w:pStyle w:val="Style30"/>
        <w:keepNext w:val="0"/>
        <w:keepLines w:val="0"/>
        <w:widowControl w:val="0"/>
        <w:shd w:val="clear" w:color="auto" w:fill="auto"/>
        <w:tabs>
          <w:tab w:pos="1101" w:val="left"/>
        </w:tabs>
        <w:bidi w:val="0"/>
        <w:spacing w:before="0" w:after="0" w:line="467" w:lineRule="exact"/>
        <w:ind w:left="0" w:right="0" w:firstLine="480"/>
        <w:jc w:val="both"/>
      </w:pPr>
      <w:bookmarkStart w:id="270" w:name="bookmark270"/>
      <w:r>
        <w:rPr>
          <w:color w:val="000000"/>
          <w:spacing w:val="0"/>
          <w:w w:val="100"/>
          <w:position w:val="0"/>
          <w:sz w:val="24"/>
          <w:szCs w:val="24"/>
        </w:rPr>
        <w:t>（</w:t>
      </w:r>
      <w:bookmarkEnd w:id="270"/>
      <w:r>
        <w:rPr>
          <w:color w:val="000000"/>
          <w:spacing w:val="0"/>
          <w:w w:val="100"/>
          <w:position w:val="0"/>
          <w:sz w:val="24"/>
          <w:szCs w:val="24"/>
        </w:rPr>
        <w:t>七）</w:t>
        <w:tab/>
        <w:t>股票分红条件：公司根据盈利情况和现金流状况，为满足股本扩张的需要或合理调 整股本规模和股权结构，可以采取股票方式分配利润；</w:t>
      </w:r>
    </w:p>
    <w:p>
      <w:pPr>
        <w:pStyle w:val="Style30"/>
        <w:keepNext w:val="0"/>
        <w:keepLines w:val="0"/>
        <w:widowControl w:val="0"/>
        <w:shd w:val="clear" w:color="auto" w:fill="auto"/>
        <w:tabs>
          <w:tab w:pos="1096" w:val="left"/>
        </w:tabs>
        <w:bidi w:val="0"/>
        <w:spacing w:before="0" w:after="0" w:line="467" w:lineRule="exact"/>
        <w:ind w:left="0" w:right="0" w:firstLine="480"/>
        <w:jc w:val="both"/>
      </w:pPr>
      <w:bookmarkStart w:id="271" w:name="bookmark271"/>
      <w:r>
        <w:rPr>
          <w:color w:val="000000"/>
          <w:spacing w:val="0"/>
          <w:w w:val="100"/>
          <w:position w:val="0"/>
          <w:sz w:val="24"/>
          <w:szCs w:val="24"/>
        </w:rPr>
        <w:t>（</w:t>
      </w:r>
      <w:bookmarkEnd w:id="271"/>
      <w:r>
        <w:rPr>
          <w:color w:val="000000"/>
          <w:spacing w:val="0"/>
          <w:w w:val="100"/>
          <w:position w:val="0"/>
          <w:sz w:val="24"/>
          <w:szCs w:val="24"/>
        </w:rPr>
        <w:t>八）</w:t>
        <w:tab/>
        <w:t>现金分红比例：公司最近三年以现金形式累计分配的利润不少于最近三年实现的年 均可供分配利润的30%；</w:t>
      </w:r>
    </w:p>
    <w:p>
      <w:pPr>
        <w:pStyle w:val="Style30"/>
        <w:keepNext w:val="0"/>
        <w:keepLines w:val="0"/>
        <w:widowControl w:val="0"/>
        <w:shd w:val="clear" w:color="auto" w:fill="auto"/>
        <w:tabs>
          <w:tab w:pos="1101" w:val="left"/>
        </w:tabs>
        <w:bidi w:val="0"/>
        <w:spacing w:before="0" w:after="0" w:line="467" w:lineRule="exact"/>
        <w:ind w:left="0" w:right="0" w:firstLine="480"/>
        <w:jc w:val="both"/>
      </w:pPr>
      <w:bookmarkStart w:id="272" w:name="bookmark272"/>
      <w:r>
        <w:rPr>
          <w:color w:val="000000"/>
          <w:spacing w:val="0"/>
          <w:w w:val="100"/>
          <w:position w:val="0"/>
          <w:sz w:val="24"/>
          <w:szCs w:val="24"/>
        </w:rPr>
        <w:t>（</w:t>
      </w:r>
      <w:bookmarkEnd w:id="272"/>
      <w:r>
        <w:rPr>
          <w:color w:val="000000"/>
          <w:spacing w:val="0"/>
          <w:w w:val="100"/>
          <w:position w:val="0"/>
          <w:sz w:val="24"/>
          <w:szCs w:val="24"/>
        </w:rPr>
        <w:t>九）</w:t>
        <w:tab/>
        <w:t>若存在股东违规占用公司资金情况的，公司应当扣减该股东所分配的现金红利，以 偿还其占用的资金；</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若公司上一会计年度盈利但董事会未做出现金分红具体方案的，应在定期报告中说明未 进行现金分红的原因、未用于现金分红的资金留存公司的用途和使用计划；独立董事应对此 发表独立意见。</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（十）利润分配的监督：公司应当严格执行公司章程确定的现金分红政策以及股东大会审 议批准的现金分红具体方案。公司监事会对董事会执行利润分配政策及是否履行相应决策程 序和信息披露等情况进行监督，在发现董事会存在以下情形之一的，应发表明确意见，并督 促其及时改正：</w:t>
      </w:r>
    </w:p>
    <w:p>
      <w:pPr>
        <w:pStyle w:val="Style30"/>
        <w:keepNext w:val="0"/>
        <w:keepLines w:val="0"/>
        <w:widowControl w:val="0"/>
        <w:shd w:val="clear" w:color="auto" w:fill="auto"/>
        <w:tabs>
          <w:tab w:pos="908" w:val="left"/>
        </w:tabs>
        <w:bidi w:val="0"/>
        <w:spacing w:before="0" w:after="0" w:line="467" w:lineRule="exact"/>
        <w:ind w:left="0" w:right="0" w:firstLine="480"/>
        <w:jc w:val="both"/>
      </w:pPr>
      <w:bookmarkStart w:id="273" w:name="bookmark273"/>
      <w:r>
        <w:rPr>
          <w:color w:val="000000"/>
          <w:spacing w:val="0"/>
          <w:w w:val="100"/>
          <w:position w:val="0"/>
          <w:sz w:val="24"/>
          <w:szCs w:val="24"/>
        </w:rPr>
        <w:t>1</w:t>
      </w:r>
      <w:bookmarkEnd w:id="273"/>
      <w:r>
        <w:rPr>
          <w:color w:val="000000"/>
          <w:spacing w:val="0"/>
          <w:w w:val="100"/>
          <w:position w:val="0"/>
          <w:sz w:val="24"/>
          <w:szCs w:val="24"/>
        </w:rPr>
        <w:t>、</w:t>
        <w:tab/>
        <w:t>未严格执行利润分配政策。</w:t>
      </w:r>
    </w:p>
    <w:p>
      <w:pPr>
        <w:pStyle w:val="Style30"/>
        <w:keepNext w:val="0"/>
        <w:keepLines w:val="0"/>
        <w:widowControl w:val="0"/>
        <w:shd w:val="clear" w:color="auto" w:fill="auto"/>
        <w:tabs>
          <w:tab w:pos="908" w:val="left"/>
        </w:tabs>
        <w:bidi w:val="0"/>
        <w:spacing w:before="0" w:after="0" w:line="467" w:lineRule="exact"/>
        <w:ind w:left="0" w:right="0" w:firstLine="480"/>
        <w:jc w:val="both"/>
      </w:pPr>
      <w:bookmarkStart w:id="274" w:name="bookmark274"/>
      <w:r>
        <w:rPr>
          <w:color w:val="000000"/>
          <w:spacing w:val="0"/>
          <w:w w:val="100"/>
          <w:position w:val="0"/>
          <w:sz w:val="24"/>
          <w:szCs w:val="24"/>
        </w:rPr>
        <w:t>2</w:t>
      </w:r>
      <w:bookmarkEnd w:id="274"/>
      <w:r>
        <w:rPr>
          <w:color w:val="000000"/>
          <w:spacing w:val="0"/>
          <w:w w:val="100"/>
          <w:position w:val="0"/>
          <w:sz w:val="24"/>
          <w:szCs w:val="24"/>
        </w:rPr>
        <w:t>、</w:t>
        <w:tab/>
        <w:t>未严格履行利润分配相应决策程序。</w:t>
      </w:r>
    </w:p>
    <w:p>
      <w:pPr>
        <w:pStyle w:val="Style30"/>
        <w:keepNext w:val="0"/>
        <w:keepLines w:val="0"/>
        <w:widowControl w:val="0"/>
        <w:shd w:val="clear" w:color="auto" w:fill="auto"/>
        <w:tabs>
          <w:tab w:pos="908" w:val="left"/>
        </w:tabs>
        <w:bidi w:val="0"/>
        <w:spacing w:before="0" w:after="0" w:line="467" w:lineRule="exact"/>
        <w:ind w:left="0" w:right="0" w:firstLine="480"/>
        <w:jc w:val="both"/>
      </w:pPr>
      <w:bookmarkStart w:id="275" w:name="bookmark275"/>
      <w:r>
        <w:rPr>
          <w:color w:val="000000"/>
          <w:spacing w:val="0"/>
          <w:w w:val="100"/>
          <w:position w:val="0"/>
          <w:sz w:val="24"/>
          <w:szCs w:val="24"/>
        </w:rPr>
        <w:t>3</w:t>
      </w:r>
      <w:bookmarkEnd w:id="275"/>
      <w:r>
        <w:rPr>
          <w:color w:val="000000"/>
          <w:spacing w:val="0"/>
          <w:w w:val="100"/>
          <w:position w:val="0"/>
          <w:sz w:val="24"/>
          <w:szCs w:val="24"/>
        </w:rPr>
        <w:t>、</w:t>
        <w:tab/>
        <w:t>未能真实、准确、完整披露现金分红政策及其执行情况。</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（十一）利润分配的调整或变更：公司根据经营情况、战略规划和长期发展的需要，调整 或变更利润分配政策的，应由公司董事会根据实际情况提出调整或变更议案，并提交股东大 会审议。其中对现金分红政策的调整或者变更，应当依法满足公司章程规定的条件，经过详 细论证后，履行相应的决策程序，并经出席股东大会的股东所持表决权的2/3以上通过。</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调整或变更后的利润分配政策应以股东权益保护为出发点，且不得违反证券监管机构的 有关规定，并在提交股东大会审议前由独立董事发表审核意见。</w:t>
      </w:r>
    </w:p>
    <w:p>
      <w:pPr>
        <w:pStyle w:val="Style30"/>
        <w:keepNext w:val="0"/>
        <w:keepLines w:val="0"/>
        <w:widowControl w:val="0"/>
        <w:shd w:val="clear" w:color="auto" w:fill="auto"/>
        <w:bidi w:val="0"/>
        <w:spacing w:before="0" w:after="80" w:line="467" w:lineRule="exact"/>
        <w:ind w:left="0" w:right="0" w:firstLine="480"/>
        <w:jc w:val="both"/>
      </w:pPr>
      <w:r>
        <w:rPr>
          <w:color w:val="000000"/>
          <w:spacing w:val="0"/>
          <w:w w:val="100"/>
          <w:position w:val="0"/>
          <w:sz w:val="24"/>
          <w:szCs w:val="24"/>
        </w:rPr>
        <w:t>2016年5月16日，公司2015年度股东大会审议通过了《上海汉得信息技术股份有限公司 2015年度利润分配的预案》：根据公司生产经营及长远发展需要，同时结合中国证监会鼓励 上市公司现金分红，给予投资者稳定、合理回报的指导意见，公司以当时总股本835,374,634 股为基数，向全体股东每10股派发现金红利</w:t>
      </w:r>
      <w:r>
        <w:rPr>
          <w:color w:val="000000"/>
          <w:spacing w:val="0"/>
          <w:w w:val="100"/>
          <w:position w:val="0"/>
          <w:sz w:val="24"/>
          <w:szCs w:val="24"/>
        </w:rPr>
        <w:t>0.3</w:t>
      </w:r>
      <w:r>
        <w:rPr>
          <w:color w:val="000000"/>
          <w:spacing w:val="0"/>
          <w:w w:val="100"/>
          <w:position w:val="0"/>
          <w:sz w:val="24"/>
          <w:szCs w:val="24"/>
        </w:rPr>
        <w:t>元（含税），合计派发现金红利人民币</w:t>
        <w:br w:type="page"/>
      </w:r>
      <w:r>
        <w:rPr>
          <w:color w:val="000000"/>
          <w:spacing w:val="0"/>
          <w:w w:val="100"/>
          <w:position w:val="0"/>
          <w:sz w:val="24"/>
          <w:szCs w:val="24"/>
        </w:rPr>
        <w:t>25,061,239.02</w:t>
      </w:r>
      <w:r>
        <w:rPr>
          <w:color w:val="000000"/>
          <w:spacing w:val="0"/>
          <w:w w:val="100"/>
          <w:position w:val="0"/>
          <w:sz w:val="24"/>
          <w:szCs w:val="24"/>
        </w:rPr>
        <w:t>元。2016年5月25日，公司在中国证监会创业板指定信息披露媒体上披露了本 次权益分派实施公告：股权登记日为2016年5月31日，除权除息日为2016年6月1日。本次分配 方案已于2016年6月1日实施完毕。</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341"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857,887,869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42,894,393.45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798,050,545.38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rPr>
              <w:t>2016</w:t>
            </w:r>
            <w:r>
              <w:rPr>
                <w:color w:val="000000"/>
                <w:spacing w:val="0"/>
                <w:w w:val="100"/>
                <w:position w:val="0"/>
              </w:rPr>
              <w:t>年实现归属于母公司股东的净利润为</w:t>
            </w:r>
            <w:r>
              <w:rPr>
                <w:rFonts w:ascii="Times New Roman" w:eastAsia="Times New Roman" w:hAnsi="Times New Roman" w:cs="Times New Roman"/>
                <w:color w:val="000000"/>
                <w:spacing w:val="0"/>
                <w:w w:val="100"/>
                <w:position w:val="0"/>
              </w:rPr>
              <w:t>241,382,013.60</w:t>
            </w:r>
            <w:r>
              <w:rPr>
                <w:color w:val="000000"/>
                <w:spacing w:val="0"/>
                <w:w w:val="100"/>
                <w:position w:val="0"/>
              </w:rPr>
              <w:t>元，其中母公司实 现的净利润为</w:t>
            </w:r>
            <w:r>
              <w:rPr>
                <w:rFonts w:ascii="Times New Roman" w:eastAsia="Times New Roman" w:hAnsi="Times New Roman" w:cs="Times New Roman"/>
                <w:color w:val="000000"/>
                <w:spacing w:val="0"/>
                <w:w w:val="100"/>
                <w:position w:val="0"/>
              </w:rPr>
              <w:t>252,394,048.60</w:t>
            </w:r>
            <w:r>
              <w:rPr>
                <w:color w:val="000000"/>
                <w:spacing w:val="0"/>
                <w:w w:val="100"/>
                <w:position w:val="0"/>
              </w:rPr>
              <w:t>元。根据《公司章程》的有关规定，按照母公司</w:t>
            </w:r>
            <w:r>
              <w:rPr>
                <w:rFonts w:ascii="Times New Roman" w:eastAsia="Times New Roman" w:hAnsi="Times New Roman" w:cs="Times New Roman"/>
                <w:color w:val="000000"/>
                <w:spacing w:val="0"/>
                <w:w w:val="100"/>
                <w:position w:val="0"/>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 积金</w:t>
            </w:r>
            <w:r>
              <w:rPr>
                <w:rFonts w:ascii="Times New Roman" w:eastAsia="Times New Roman" w:hAnsi="Times New Roman" w:cs="Times New Roman"/>
                <w:color w:val="000000"/>
                <w:spacing w:val="0"/>
                <w:w w:val="100"/>
                <w:position w:val="0"/>
              </w:rPr>
              <w:t>25,239,404.86</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日，母公司可供股东分配利润为</w:t>
            </w:r>
            <w:r>
              <w:rPr>
                <w:rFonts w:ascii="Times New Roman" w:eastAsia="Times New Roman" w:hAnsi="Times New Roman" w:cs="Times New Roman"/>
                <w:color w:val="000000"/>
                <w:spacing w:val="0"/>
                <w:w w:val="100"/>
                <w:position w:val="0"/>
              </w:rPr>
              <w:t>798,050,545.38</w:t>
            </w:r>
            <w:r>
              <w:rPr>
                <w:color w:val="000000"/>
                <w:spacing w:val="0"/>
                <w:w w:val="100"/>
                <w:position w:val="0"/>
              </w:rPr>
              <w:t>元，母公司年末资本公积金 余额为</w:t>
            </w:r>
            <w:r>
              <w:rPr>
                <w:rFonts w:ascii="Times New Roman" w:eastAsia="Times New Roman" w:hAnsi="Times New Roman" w:cs="Times New Roman"/>
                <w:color w:val="000000"/>
                <w:spacing w:val="0"/>
                <w:w w:val="100"/>
                <w:position w:val="0"/>
              </w:rPr>
              <w:t>627,381,992.21</w:t>
            </w:r>
            <w:r>
              <w:rPr>
                <w:color w:val="000000"/>
                <w:spacing w:val="0"/>
                <w:w w:val="100"/>
                <w:position w:val="0"/>
              </w:rPr>
              <w:t>元；现拟以目前总股本</w:t>
            </w:r>
            <w:r>
              <w:rPr>
                <w:rFonts w:ascii="Times New Roman" w:eastAsia="Times New Roman" w:hAnsi="Times New Roman" w:cs="Times New Roman"/>
                <w:color w:val="000000"/>
                <w:spacing w:val="0"/>
                <w:w w:val="100"/>
                <w:position w:val="0"/>
              </w:rPr>
              <w:t>857,887,869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元（含税），合 计派发现金红利人民币</w:t>
            </w:r>
            <w:r>
              <w:rPr>
                <w:rFonts w:ascii="Times New Roman" w:eastAsia="Times New Roman" w:hAnsi="Times New Roman" w:cs="Times New Roman"/>
                <w:color w:val="000000"/>
                <w:spacing w:val="0"/>
                <w:w w:val="100"/>
                <w:position w:val="0"/>
              </w:rPr>
              <w:t>42,894,393.45</w:t>
            </w:r>
            <w:r>
              <w:rPr>
                <w:color w:val="000000"/>
                <w:spacing w:val="0"/>
                <w:w w:val="100"/>
                <w:position w:val="0"/>
              </w:rPr>
              <w:t>元。</w:t>
            </w:r>
          </w:p>
        </w:tc>
      </w:tr>
    </w:tbl>
    <w:p>
      <w:pPr>
        <w:widowControl w:val="0"/>
        <w:spacing w:after="79" w:line="1" w:lineRule="exact"/>
      </w:pPr>
    </w:p>
    <w:p>
      <w:pPr>
        <w:pStyle w:val="Style23"/>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180" w:line="240" w:lineRule="auto"/>
        <w:ind w:left="0" w:right="0" w:firstLine="580"/>
        <w:jc w:val="both"/>
      </w:pPr>
      <w:r>
        <w:rPr>
          <w:color w:val="000000"/>
          <w:spacing w:val="0"/>
          <w:w w:val="100"/>
          <w:position w:val="0"/>
          <w:sz w:val="24"/>
          <w:szCs w:val="24"/>
        </w:rPr>
        <w:t>（1）公司2014年利润分配方案</w:t>
      </w:r>
    </w:p>
    <w:p>
      <w:pPr>
        <w:pStyle w:val="Style30"/>
        <w:keepNext w:val="0"/>
        <w:keepLines w:val="0"/>
        <w:widowControl w:val="0"/>
        <w:shd w:val="clear" w:color="auto" w:fill="auto"/>
        <w:bidi w:val="0"/>
        <w:spacing w:before="0" w:after="180" w:line="240" w:lineRule="auto"/>
        <w:ind w:left="0" w:right="0" w:firstLine="580"/>
        <w:jc w:val="both"/>
      </w:pPr>
      <w:r>
        <w:rPr>
          <w:color w:val="000000"/>
          <w:spacing w:val="0"/>
          <w:w w:val="100"/>
          <w:position w:val="0"/>
          <w:sz w:val="24"/>
          <w:szCs w:val="24"/>
        </w:rPr>
        <w:t>经立信会计师事务所（特殊普通合伙）审计，2014年实现归属于母公司股东的净利润为</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177,302,356.33</w:t>
      </w:r>
      <w:r>
        <w:rPr>
          <w:color w:val="000000"/>
          <w:spacing w:val="0"/>
          <w:w w:val="100"/>
          <w:position w:val="0"/>
          <w:sz w:val="24"/>
          <w:szCs w:val="24"/>
        </w:rPr>
        <w:t>元，其中母公司实现的净利润为</w:t>
      </w:r>
      <w:r>
        <w:rPr>
          <w:color w:val="000000"/>
          <w:spacing w:val="0"/>
          <w:w w:val="100"/>
          <w:position w:val="0"/>
          <w:sz w:val="24"/>
          <w:szCs w:val="24"/>
        </w:rPr>
        <w:t>174,897,980.57</w:t>
      </w:r>
      <w:r>
        <w:rPr>
          <w:color w:val="000000"/>
          <w:spacing w:val="0"/>
          <w:w w:val="100"/>
          <w:position w:val="0"/>
          <w:sz w:val="24"/>
          <w:szCs w:val="24"/>
        </w:rPr>
        <w:t xml:space="preserve">元。根据《公司章程》的有 </w:t>
      </w:r>
      <w:r>
        <w:rPr>
          <w:color w:val="000000"/>
          <w:spacing w:val="0"/>
          <w:w w:val="100"/>
          <w:position w:val="0"/>
          <w:sz w:val="24"/>
          <w:szCs w:val="24"/>
        </w:rPr>
        <w:t>关规定，按照母公司2014年度实现净利润的10%计提法定盈余公积金</w:t>
      </w:r>
      <w:r>
        <w:rPr>
          <w:color w:val="000000"/>
          <w:spacing w:val="0"/>
          <w:w w:val="100"/>
          <w:position w:val="0"/>
          <w:sz w:val="24"/>
          <w:szCs w:val="24"/>
        </w:rPr>
        <w:t>17,489,798.06</w:t>
      </w:r>
      <w:r>
        <w:rPr>
          <w:color w:val="000000"/>
          <w:spacing w:val="0"/>
          <w:w w:val="100"/>
          <w:position w:val="0"/>
          <w:sz w:val="24"/>
          <w:szCs w:val="24"/>
        </w:rPr>
        <w:t>元，截至 2014年12月31日，母公司可供股东分配利润为</w:t>
      </w:r>
      <w:r>
        <w:rPr>
          <w:color w:val="000000"/>
          <w:spacing w:val="0"/>
          <w:w w:val="100"/>
          <w:position w:val="0"/>
          <w:sz w:val="24"/>
          <w:szCs w:val="24"/>
        </w:rPr>
        <w:t>407,465,213.00</w:t>
      </w:r>
      <w:r>
        <w:rPr>
          <w:color w:val="000000"/>
          <w:spacing w:val="0"/>
          <w:w w:val="100"/>
          <w:position w:val="0"/>
          <w:sz w:val="24"/>
          <w:szCs w:val="24"/>
        </w:rPr>
        <w:t>元，母公司年末资本公积金余 额为</w:t>
      </w:r>
      <w:r>
        <w:rPr>
          <w:color w:val="000000"/>
          <w:spacing w:val="0"/>
          <w:w w:val="100"/>
          <w:position w:val="0"/>
          <w:sz w:val="24"/>
          <w:szCs w:val="24"/>
        </w:rPr>
        <w:t>596,754,132.14</w:t>
      </w:r>
      <w:r>
        <w:rPr>
          <w:color w:val="000000"/>
          <w:spacing w:val="0"/>
          <w:w w:val="100"/>
          <w:position w:val="0"/>
          <w:sz w:val="24"/>
          <w:szCs w:val="24"/>
        </w:rPr>
        <w:t>元。公司2014年度利润分配方案为：2014年度不进行利润分配，以2015 年4月8日总股本549,065,756股为基数，以资本公积金向全体股东每10股转增5股，共计 274,532,878股。</w:t>
      </w:r>
    </w:p>
    <w:p>
      <w:pPr>
        <w:pStyle w:val="Style30"/>
        <w:keepNext w:val="0"/>
        <w:keepLines w:val="0"/>
        <w:widowControl w:val="0"/>
        <w:shd w:val="clear" w:color="auto" w:fill="auto"/>
        <w:tabs>
          <w:tab w:pos="960" w:val="left"/>
        </w:tabs>
        <w:bidi w:val="0"/>
        <w:spacing w:before="0" w:after="0" w:line="466" w:lineRule="exact"/>
        <w:ind w:left="0" w:right="0" w:firstLine="480"/>
        <w:jc w:val="both"/>
      </w:pPr>
      <w:bookmarkStart w:id="276" w:name="bookmark276"/>
      <w:r>
        <w:rPr>
          <w:color w:val="000000"/>
          <w:spacing w:val="0"/>
          <w:w w:val="100"/>
          <w:position w:val="0"/>
          <w:sz w:val="24"/>
          <w:szCs w:val="24"/>
        </w:rPr>
        <w:t>（</w:t>
      </w:r>
      <w:bookmarkEnd w:id="276"/>
      <w:r>
        <w:rPr>
          <w:color w:val="000000"/>
          <w:spacing w:val="0"/>
          <w:w w:val="100"/>
          <w:position w:val="0"/>
          <w:sz w:val="24"/>
          <w:szCs w:val="24"/>
        </w:rPr>
        <w:t>2）</w:t>
        <w:tab/>
        <w:t>公司2015年利润分配方案</w:t>
      </w:r>
    </w:p>
    <w:p>
      <w:pPr>
        <w:pStyle w:val="Style30"/>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 xml:space="preserve">经立信会计师事务所（特殊普通合伙）审计，2015年实现归属于母公司股东的净利润为 </w:t>
      </w:r>
      <w:r>
        <w:rPr>
          <w:color w:val="000000"/>
          <w:spacing w:val="0"/>
          <w:w w:val="100"/>
          <w:position w:val="0"/>
          <w:sz w:val="24"/>
          <w:szCs w:val="24"/>
        </w:rPr>
        <w:t>214,240,021.65</w:t>
      </w:r>
      <w:r>
        <w:rPr>
          <w:color w:val="000000"/>
          <w:spacing w:val="0"/>
          <w:w w:val="100"/>
          <w:position w:val="0"/>
          <w:sz w:val="24"/>
          <w:szCs w:val="24"/>
        </w:rPr>
        <w:t>元，其中母公司实现的净利润为</w:t>
      </w:r>
      <w:r>
        <w:rPr>
          <w:color w:val="000000"/>
          <w:spacing w:val="0"/>
          <w:w w:val="100"/>
          <w:position w:val="0"/>
          <w:sz w:val="24"/>
          <w:szCs w:val="24"/>
        </w:rPr>
        <w:t>209,285,440.80</w:t>
      </w:r>
      <w:r>
        <w:rPr>
          <w:color w:val="000000"/>
          <w:spacing w:val="0"/>
          <w:w w:val="100"/>
          <w:position w:val="0"/>
          <w:sz w:val="24"/>
          <w:szCs w:val="24"/>
        </w:rPr>
        <w:t>元。根据《公司章程》的有 关规定，按照母公司2015年度实现净利润的10%计提法定盈余公积金</w:t>
      </w:r>
      <w:r>
        <w:rPr>
          <w:color w:val="000000"/>
          <w:spacing w:val="0"/>
          <w:w w:val="100"/>
          <w:position w:val="0"/>
          <w:sz w:val="24"/>
          <w:szCs w:val="24"/>
        </w:rPr>
        <w:t>20,928,544.08</w:t>
      </w:r>
      <w:r>
        <w:rPr>
          <w:color w:val="000000"/>
          <w:spacing w:val="0"/>
          <w:w w:val="100"/>
          <w:position w:val="0"/>
          <w:sz w:val="24"/>
          <w:szCs w:val="24"/>
        </w:rPr>
        <w:t>元，截至 2015年12月31日，母公司可供股东分配利润为</w:t>
      </w:r>
      <w:r>
        <w:rPr>
          <w:color w:val="000000"/>
          <w:spacing w:val="0"/>
          <w:w w:val="100"/>
          <w:position w:val="0"/>
          <w:sz w:val="24"/>
          <w:szCs w:val="24"/>
        </w:rPr>
        <w:t>595,822,109.72</w:t>
      </w:r>
      <w:r>
        <w:rPr>
          <w:color w:val="000000"/>
          <w:spacing w:val="0"/>
          <w:w w:val="100"/>
          <w:position w:val="0"/>
          <w:sz w:val="24"/>
          <w:szCs w:val="24"/>
        </w:rPr>
        <w:t>元，母公司年末资本公积金余 额为</w:t>
      </w:r>
      <w:r>
        <w:rPr>
          <w:color w:val="000000"/>
          <w:spacing w:val="0"/>
          <w:w w:val="100"/>
          <w:position w:val="0"/>
          <w:sz w:val="24"/>
          <w:szCs w:val="24"/>
        </w:rPr>
        <w:t>396,895,442.73</w:t>
      </w:r>
      <w:r>
        <w:rPr>
          <w:color w:val="000000"/>
          <w:spacing w:val="0"/>
          <w:w w:val="100"/>
          <w:position w:val="0"/>
          <w:sz w:val="24"/>
          <w:szCs w:val="24"/>
        </w:rPr>
        <w:t>元；以公司当时总股本835,374,634股为基数，向全体股东每10股派发现 金红利</w:t>
      </w:r>
      <w:r>
        <w:rPr>
          <w:color w:val="000000"/>
          <w:spacing w:val="0"/>
          <w:w w:val="100"/>
          <w:position w:val="0"/>
          <w:sz w:val="24"/>
          <w:szCs w:val="24"/>
        </w:rPr>
        <w:t>0.3</w:t>
      </w:r>
      <w:r>
        <w:rPr>
          <w:color w:val="000000"/>
          <w:spacing w:val="0"/>
          <w:w w:val="100"/>
          <w:position w:val="0"/>
          <w:sz w:val="24"/>
          <w:szCs w:val="24"/>
        </w:rPr>
        <w:t>元（含税），合计派发现金红利人民币</w:t>
      </w:r>
      <w:r>
        <w:rPr>
          <w:color w:val="000000"/>
          <w:spacing w:val="0"/>
          <w:w w:val="100"/>
          <w:position w:val="0"/>
          <w:sz w:val="24"/>
          <w:szCs w:val="24"/>
        </w:rPr>
        <w:t>25,061,239.02</w:t>
      </w:r>
      <w:r>
        <w:rPr>
          <w:color w:val="000000"/>
          <w:spacing w:val="0"/>
          <w:w w:val="100"/>
          <w:position w:val="0"/>
          <w:sz w:val="24"/>
          <w:szCs w:val="24"/>
        </w:rPr>
        <w:t>元。</w:t>
      </w:r>
    </w:p>
    <w:p>
      <w:pPr>
        <w:pStyle w:val="Style30"/>
        <w:keepNext w:val="0"/>
        <w:keepLines w:val="0"/>
        <w:widowControl w:val="0"/>
        <w:shd w:val="clear" w:color="auto" w:fill="auto"/>
        <w:tabs>
          <w:tab w:pos="960" w:val="left"/>
        </w:tabs>
        <w:bidi w:val="0"/>
        <w:spacing w:before="0" w:after="0" w:line="466" w:lineRule="exact"/>
        <w:ind w:left="0" w:right="0" w:firstLine="480"/>
        <w:jc w:val="both"/>
      </w:pPr>
      <w:bookmarkStart w:id="277" w:name="bookmark277"/>
      <w:r>
        <w:rPr>
          <w:color w:val="000000"/>
          <w:spacing w:val="0"/>
          <w:w w:val="100"/>
          <w:position w:val="0"/>
          <w:sz w:val="24"/>
          <w:szCs w:val="24"/>
        </w:rPr>
        <w:t>（</w:t>
      </w:r>
      <w:bookmarkEnd w:id="277"/>
      <w:r>
        <w:rPr>
          <w:color w:val="000000"/>
          <w:spacing w:val="0"/>
          <w:w w:val="100"/>
          <w:position w:val="0"/>
          <w:sz w:val="24"/>
          <w:szCs w:val="24"/>
        </w:rPr>
        <w:t>3）</w:t>
        <w:tab/>
        <w:t>公司2016年利润分配预案</w:t>
      </w:r>
    </w:p>
    <w:p>
      <w:pPr>
        <w:pStyle w:val="Style30"/>
        <w:keepNext w:val="0"/>
        <w:keepLines w:val="0"/>
        <w:widowControl w:val="0"/>
        <w:shd w:val="clear" w:color="auto" w:fill="auto"/>
        <w:bidi w:val="0"/>
        <w:spacing w:before="0" w:after="560" w:line="466" w:lineRule="exact"/>
        <w:ind w:left="0" w:right="0" w:firstLine="480"/>
        <w:jc w:val="both"/>
      </w:pPr>
      <w:r>
        <w:rPr>
          <w:color w:val="000000"/>
          <w:spacing w:val="0"/>
          <w:w w:val="100"/>
          <w:position w:val="0"/>
          <w:sz w:val="24"/>
          <w:szCs w:val="24"/>
        </w:rPr>
        <w:t xml:space="preserve">经立信会计师事务所（特殊普通合伙）审计，2016年实现归属于母公司股东的净利润为 </w:t>
      </w:r>
      <w:r>
        <w:rPr>
          <w:color w:val="000000"/>
          <w:spacing w:val="0"/>
          <w:w w:val="100"/>
          <w:position w:val="0"/>
          <w:sz w:val="24"/>
          <w:szCs w:val="24"/>
        </w:rPr>
        <w:t>241,382,013.6</w:t>
      </w:r>
      <w:r>
        <w:rPr>
          <w:color w:val="000000"/>
          <w:spacing w:val="0"/>
          <w:w w:val="100"/>
          <w:position w:val="0"/>
          <w:sz w:val="24"/>
          <w:szCs w:val="24"/>
        </w:rPr>
        <w:t>0元，其中母公司实现的净利润为</w:t>
      </w:r>
      <w:r>
        <w:rPr>
          <w:color w:val="000000"/>
          <w:spacing w:val="0"/>
          <w:w w:val="100"/>
          <w:position w:val="0"/>
          <w:sz w:val="24"/>
          <w:szCs w:val="24"/>
        </w:rPr>
        <w:t>252,394,048.60</w:t>
      </w:r>
      <w:r>
        <w:rPr>
          <w:color w:val="000000"/>
          <w:spacing w:val="0"/>
          <w:w w:val="100"/>
          <w:position w:val="0"/>
          <w:sz w:val="24"/>
          <w:szCs w:val="24"/>
        </w:rPr>
        <w:t>元。根据《公司章程》的有 关规定，按照母公司2016年度实现净利润的10%计提法定盈余公积金25,239,404.86元，截至 2016年12月31日，母公司可供股东分配利润为</w:t>
      </w:r>
      <w:r>
        <w:rPr>
          <w:color w:val="000000"/>
          <w:spacing w:val="0"/>
          <w:w w:val="100"/>
          <w:position w:val="0"/>
          <w:sz w:val="24"/>
          <w:szCs w:val="24"/>
        </w:rPr>
        <w:t>798,050,545.38</w:t>
      </w:r>
      <w:r>
        <w:rPr>
          <w:color w:val="000000"/>
          <w:spacing w:val="0"/>
          <w:w w:val="100"/>
          <w:position w:val="0"/>
          <w:sz w:val="24"/>
          <w:szCs w:val="24"/>
        </w:rPr>
        <w:t>元，母公司年末资本公积金余 额为</w:t>
      </w:r>
      <w:r>
        <w:rPr>
          <w:color w:val="000000"/>
          <w:spacing w:val="0"/>
          <w:w w:val="100"/>
          <w:position w:val="0"/>
          <w:sz w:val="24"/>
          <w:szCs w:val="24"/>
        </w:rPr>
        <w:t>627,381,992.21</w:t>
      </w:r>
      <w:r>
        <w:rPr>
          <w:color w:val="000000"/>
          <w:spacing w:val="0"/>
          <w:w w:val="100"/>
          <w:position w:val="0"/>
          <w:sz w:val="24"/>
          <w:szCs w:val="24"/>
        </w:rPr>
        <w:t>元；现拟以目前总股本857,887,869股为基数，向全体股东每10股派发现 金红利</w:t>
      </w:r>
      <w:r>
        <w:rPr>
          <w:color w:val="000000"/>
          <w:spacing w:val="0"/>
          <w:w w:val="100"/>
          <w:position w:val="0"/>
          <w:sz w:val="24"/>
          <w:szCs w:val="24"/>
        </w:rPr>
        <w:t>0.5</w:t>
      </w:r>
      <w:r>
        <w:rPr>
          <w:color w:val="000000"/>
          <w:spacing w:val="0"/>
          <w:w w:val="100"/>
          <w:position w:val="0"/>
          <w:sz w:val="24"/>
          <w:szCs w:val="24"/>
        </w:rPr>
        <w:t>元（含税），合计派发现金红利人民币</w:t>
      </w:r>
      <w:r>
        <w:rPr>
          <w:color w:val="000000"/>
          <w:spacing w:val="0"/>
          <w:w w:val="100"/>
          <w:position w:val="0"/>
          <w:sz w:val="24"/>
          <w:szCs w:val="24"/>
        </w:rPr>
        <w:t>42,894,393.45</w:t>
      </w:r>
      <w:r>
        <w:rPr>
          <w:color w:val="000000"/>
          <w:spacing w:val="0"/>
          <w:w w:val="100"/>
          <w:position w:val="0"/>
          <w:sz w:val="24"/>
          <w:szCs w:val="24"/>
        </w:rPr>
        <w:t>元。</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42,894,393.45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241,382,013.60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24,926,208.08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214,240,021.65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177,302,356.33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二</w:t>
      </w:r>
      <w:bookmarkEnd w:id="280"/>
      <w:r>
        <w:rPr>
          <w:color w:val="000000"/>
          <w:spacing w:val="0"/>
          <w:w w:val="100"/>
          <w:position w:val="0"/>
          <w:sz w:val="24"/>
          <w:szCs w:val="24"/>
        </w:rPr>
        <w:t>、承诺事项履行情况</w:t>
      </w:r>
      <w:bookmarkEnd w:id="278"/>
      <w:bookmarkEnd w:id="279"/>
      <w:bookmarkEnd w:id="281"/>
    </w:p>
    <w:p>
      <w:pPr>
        <w:pStyle w:val="Style26"/>
        <w:keepNext/>
        <w:keepLines/>
        <w:widowControl w:val="0"/>
        <w:shd w:val="clear" w:color="auto" w:fill="auto"/>
        <w:bidi w:val="0"/>
        <w:spacing w:before="0" w:after="340" w:line="326"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、公司实际控制人、股东、关联方、收购人以及公司等承诺相关方在报告期内履行完毕及截至报告期末 尚未履行完毕的承诺事项</w:t>
      </w:r>
      <w:bookmarkEnd w:id="282"/>
      <w:bookmarkEnd w:id="283"/>
      <w:bookmarkEnd w:id="285"/>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77"/>
        <w:gridCol w:w="1138"/>
        <w:gridCol w:w="706"/>
        <w:gridCol w:w="3091"/>
        <w:gridCol w:w="1128"/>
        <w:gridCol w:w="1123"/>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5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赵旭民、刘涛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自本次定向发行结束之日起三十六个 月内，本人将不转让本人因汉得信息本 次定向发行而取得的汉得信息股票；自 本次定向发行结束之日起，由于汉得信 息送红股、转增股本等原因使得本人增 持的上市公司股份，本人承诺亦遵守上 述约定；本人因汉得信息本次定向发行 而取得的汉得信息的股票的锁定期</w:t>
            </w:r>
            <w:r>
              <w:rPr>
                <w:rFonts w:ascii="Times New Roman" w:eastAsia="Times New Roman" w:hAnsi="Times New Roman" w:cs="Times New Roman"/>
                <w:color w:val="000000"/>
                <w:spacing w:val="0"/>
                <w:w w:val="100"/>
                <w:position w:val="0"/>
              </w:rPr>
              <w:t>/</w:t>
            </w:r>
            <w:r>
              <w:rPr>
                <w:color w:val="000000"/>
                <w:spacing w:val="0"/>
                <w:w w:val="100"/>
                <w:position w:val="0"/>
              </w:rPr>
              <w:t>限 售期的规定与证券监管机构的最新监 管意见不相符，本人将根据监管机构的 监管意见进行相应调整。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自本次定向 发行结束之 日起三十六 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本次定向发 行的股份上 市时间为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赵旭民、刘 涛、</w:t>
            </w:r>
            <w:r>
              <w:rPr>
                <w:rFonts w:ascii="Times New Roman" w:eastAsia="Times New Roman" w:hAnsi="Times New Roman" w:cs="Times New Roman"/>
                <w:color w:val="000000"/>
                <w:spacing w:val="0"/>
                <w:w w:val="100"/>
                <w:position w:val="0"/>
              </w:rPr>
              <w:t>BEYOND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本公司在本次资产重组过程中提 供的有关信息真实、准确和完整，保证 不存在任何虚假记载、误导性陈述或者 重大遗漏，并对所提供信息的真实性、 准确性和完整性承担个别和连带的法 律责任；本人</w:t>
            </w:r>
            <w:r>
              <w:rPr>
                <w:rFonts w:ascii="Times New Roman" w:eastAsia="Times New Roman" w:hAnsi="Times New Roman" w:cs="Times New Roman"/>
                <w:color w:val="000000"/>
                <w:spacing w:val="0"/>
                <w:w w:val="100"/>
                <w:position w:val="0"/>
              </w:rPr>
              <w:t>/</w:t>
            </w:r>
            <w:r>
              <w:rPr>
                <w:color w:val="000000"/>
                <w:spacing w:val="0"/>
                <w:w w:val="100"/>
                <w:position w:val="0"/>
              </w:rPr>
              <w:t>本公司已向汉得信息及相 关中介机构提交本次资产重组所需全 部文件及资料，同时承诺所提供纸质版 和电子版资料均真实、完整、可靠，有 关副本材料或者复印件与原件一致，文 件上所有签字与印章皆真实、有效，复 印件与原件相符。</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诺人遵守了 此项承诺，未 有违反上述 承诺的情况。</w:t>
            </w:r>
          </w:p>
        </w:tc>
      </w:tr>
      <w:tr>
        <w:trPr>
          <w:trHeight w:val="258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赵旭民、刘 涛、</w:t>
            </w:r>
            <w:r>
              <w:rPr>
                <w:rFonts w:ascii="Times New Roman" w:eastAsia="Times New Roman" w:hAnsi="Times New Roman" w:cs="Times New Roman"/>
                <w:color w:val="000000"/>
                <w:spacing w:val="0"/>
                <w:w w:val="100"/>
                <w:position w:val="0"/>
              </w:rPr>
              <w:t>BEYOND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截至本承诺函出具日，本人</w:t>
            </w:r>
            <w:r>
              <w:rPr>
                <w:rFonts w:ascii="Times New Roman" w:eastAsia="Times New Roman" w:hAnsi="Times New Roman" w:cs="Times New Roman"/>
                <w:color w:val="000000"/>
                <w:spacing w:val="0"/>
                <w:w w:val="100"/>
                <w:position w:val="0"/>
              </w:rPr>
              <w:t>/</w:t>
            </w:r>
            <w:r>
              <w:rPr>
                <w:color w:val="000000"/>
                <w:spacing w:val="0"/>
                <w:w w:val="100"/>
                <w:position w:val="0"/>
              </w:rPr>
              <w:t>本公司、 本公司的董事、监事、高级管理人员及 本公司的其他主要管理人员最近五年 内均未受到过任何刑事处罚、行政处 罚，未涉及与经济纠纷有关的重大民事 诉讼或者仲裁案件，亦不存在任何尚未 了结的重大诉讼、仲裁及正在执行中的 案件。</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赵旭民、刘涛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截至本承诺函出具日，本人持有扬州 达美</w:t>
            </w:r>
            <w:r>
              <w:rPr>
                <w:rFonts w:ascii="Times New Roman" w:eastAsia="Times New Roman" w:hAnsi="Times New Roman" w:cs="Times New Roman"/>
                <w:color w:val="000000"/>
                <w:spacing w:val="0"/>
                <w:w w:val="100"/>
                <w:position w:val="0"/>
              </w:rPr>
              <w:t>50%</w:t>
            </w:r>
            <w:r>
              <w:rPr>
                <w:color w:val="000000"/>
                <w:spacing w:val="0"/>
                <w:w w:val="100"/>
                <w:position w:val="0"/>
              </w:rPr>
              <w:t>的股权（以下简称</w:t>
            </w:r>
            <w:r>
              <w:rPr>
                <w:rFonts w:ascii="Times New Roman" w:eastAsia="Times New Roman" w:hAnsi="Times New Roman" w:cs="Times New Roman"/>
                <w:color w:val="000000"/>
                <w:spacing w:val="0"/>
                <w:w w:val="100"/>
                <w:position w:val="0"/>
              </w:rPr>
              <w:t>"</w:t>
            </w:r>
            <w:r>
              <w:rPr>
                <w:color w:val="000000"/>
                <w:spacing w:val="0"/>
                <w:w w:val="100"/>
                <w:position w:val="0"/>
              </w:rPr>
              <w:t>标的股权</w:t>
            </w:r>
            <w:r>
              <w:rPr>
                <w:rFonts w:ascii="Times New Roman" w:eastAsia="Times New Roman" w:hAnsi="Times New Roman" w:cs="Times New Roman"/>
                <w:color w:val="000000"/>
                <w:spacing w:val="0"/>
                <w:w w:val="100"/>
                <w:position w:val="0"/>
              </w:rPr>
              <w:t xml:space="preserve">" </w:t>
            </w:r>
            <w:r>
              <w:rPr>
                <w:color w:val="000000"/>
                <w:spacing w:val="0"/>
                <w:w w:val="100"/>
                <w:position w:val="0"/>
              </w:rPr>
              <w:t>或''标的资产</w:t>
            </w:r>
            <w:r>
              <w:rPr>
                <w:rFonts w:ascii="Times New Roman" w:eastAsia="Times New Roman" w:hAnsi="Times New Roman" w:cs="Times New Roman"/>
                <w:color w:val="000000"/>
                <w:spacing w:val="0"/>
                <w:w w:val="100"/>
                <w:position w:val="0"/>
              </w:rPr>
              <w:t>"</w:t>
            </w:r>
            <w:r>
              <w:rPr>
                <w:color w:val="000000"/>
                <w:spacing w:val="0"/>
                <w:w w:val="100"/>
                <w:position w:val="0"/>
              </w:rPr>
              <w:t>）。本人保证扬州达美是合 法成立、有效存续的有限责任公司，扬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有违反上述</w:t>
            </w:r>
          </w:p>
        </w:tc>
      </w:tr>
    </w:tbl>
    <w:p>
      <w:pPr>
        <w:spacing w:lineRule="exact" w:line="1"/>
        <w:rPr>
          <w:sz w:val="2"/>
          <w:szCs w:val="2"/>
        </w:rPr>
      </w:pPr>
      <w:r>
        <w:br w:type="page"/>
      </w:r>
    </w:p>
    <w:tbl>
      <w:tblPr>
        <w:tblOverlap w:val="never"/>
        <w:jc w:val="center"/>
        <w:tblLayout w:type="fixed"/>
      </w:tblPr>
      <w:tblGrid>
        <w:gridCol w:w="1277"/>
        <w:gridCol w:w="1138"/>
        <w:gridCol w:w="706"/>
        <w:gridCol w:w="3091"/>
        <w:gridCol w:w="1128"/>
        <w:gridCol w:w="1123"/>
        <w:gridCol w:w="1118"/>
      </w:tblGrid>
      <w:tr>
        <w:trPr>
          <w:trHeight w:val="94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州达美不存在影响其合法存续的情况， 不存在权利瑕疵和其他影响标的资产 过户的情况，标的资产的持有人由本人 过户到汉得信息不存在法律障碍；扬州 达美不存在依据中国法律规定及其章 程需要终止的情形；本人保证本人合法 持有标的股权且该等股权不存在信托 安排、不存在股份代持、不代表其他方 的利益，且该等股权未设定其他他项权 利，不存在任何股权纠纷或潜在的股权 纠纷，亦未被任何部门实施扣押、查封、 冻结等使其权利受到限制的不利情形， 不存在权益纠纷，不存在涉及诉讼、仲 裁、司法强制执行等重大争议或者存在 其他任何妨碍权属转移的其他情形，本 人保证标的资产的该状态持续至本次 交易完成之日；本人保证，在本次资产 重组实施完成前，将确保标的资产产权 清晰，扬州达美不发生抵押、质押等权 利限制的情形，不发生涉及诉讼、仲裁、 司法强制执行等重大争议或者妨碍权 属转移的其他情形；本人保证，自汉得 信息就本次资产重组召开的首次股东 大会决议公告之日起三十（</w:t>
            </w:r>
            <w:r>
              <w:rPr>
                <w:rFonts w:ascii="Times New Roman" w:eastAsia="Times New Roman" w:hAnsi="Times New Roman" w:cs="Times New Roman"/>
                <w:color w:val="000000"/>
                <w:spacing w:val="0"/>
                <w:w w:val="100"/>
                <w:position w:val="0"/>
              </w:rPr>
              <w:t>30</w:t>
            </w:r>
            <w:r>
              <w:rPr>
                <w:color w:val="000000"/>
                <w:spacing w:val="0"/>
                <w:w w:val="100"/>
                <w:position w:val="0"/>
              </w:rPr>
              <w:t>）日内， 扬州达美向</w:t>
            </w:r>
            <w:r>
              <w:rPr>
                <w:rFonts w:ascii="Times New Roman" w:eastAsia="Times New Roman" w:hAnsi="Times New Roman" w:cs="Times New Roman"/>
                <w:color w:val="000000"/>
                <w:spacing w:val="0"/>
                <w:w w:val="100"/>
                <w:position w:val="0"/>
              </w:rPr>
              <w:t>CAMELOT</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INFORMATION SYSTEMS INC.</w:t>
            </w: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CAMELOT"</w:t>
            </w:r>
            <w:r>
              <w:rPr>
                <w:color w:val="000000"/>
                <w:spacing w:val="0"/>
                <w:w w:val="100"/>
                <w:position w:val="0"/>
              </w:rPr>
              <w:t xml:space="preserve">）全额支付其向 </w:t>
            </w:r>
            <w:r>
              <w:rPr>
                <w:rFonts w:ascii="Times New Roman" w:eastAsia="Times New Roman" w:hAnsi="Times New Roman" w:cs="Times New Roman"/>
                <w:color w:val="000000"/>
                <w:spacing w:val="0"/>
                <w:w w:val="100"/>
                <w:position w:val="0"/>
              </w:rPr>
              <w:t>CAMELOT</w:t>
            </w:r>
            <w:r>
              <w:rPr>
                <w:color w:val="000000"/>
                <w:spacing w:val="0"/>
                <w:w w:val="100"/>
                <w:position w:val="0"/>
              </w:rPr>
              <w:t>购买上海达美股权的股权 转让价款或取得</w:t>
            </w:r>
            <w:r>
              <w:rPr>
                <w:rFonts w:ascii="Times New Roman" w:eastAsia="Times New Roman" w:hAnsi="Times New Roman" w:cs="Times New Roman"/>
                <w:color w:val="000000"/>
                <w:spacing w:val="0"/>
                <w:w w:val="100"/>
                <w:position w:val="0"/>
              </w:rPr>
              <w:t>CAMELOT</w:t>
            </w:r>
            <w:r>
              <w:rPr>
                <w:color w:val="000000"/>
                <w:spacing w:val="0"/>
                <w:w w:val="100"/>
                <w:position w:val="0"/>
              </w:rPr>
              <w:t>豁免其支 付该等股权转让价款的书面文件。</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承诺的情况。</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BEYOND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截至本承诺函出具日，本公司持有上 海达美</w:t>
            </w:r>
            <w:r>
              <w:rPr>
                <w:rFonts w:ascii="Times New Roman" w:eastAsia="Times New Roman" w:hAnsi="Times New Roman" w:cs="Times New Roman"/>
                <w:color w:val="000000"/>
                <w:spacing w:val="0"/>
                <w:w w:val="100"/>
                <w:position w:val="0"/>
              </w:rPr>
              <w:t>55%</w:t>
            </w:r>
            <w:r>
              <w:rPr>
                <w:color w:val="000000"/>
                <w:spacing w:val="0"/>
                <w:w w:val="100"/>
                <w:position w:val="0"/>
              </w:rPr>
              <w:t>的股权（以下简称</w:t>
            </w:r>
            <w:r>
              <w:rPr>
                <w:rFonts w:ascii="Times New Roman" w:eastAsia="Times New Roman" w:hAnsi="Times New Roman" w:cs="Times New Roman"/>
                <w:color w:val="000000"/>
                <w:spacing w:val="0"/>
                <w:w w:val="100"/>
                <w:position w:val="0"/>
              </w:rPr>
              <w:t>"</w:t>
            </w:r>
            <w:r>
              <w:rPr>
                <w:color w:val="000000"/>
                <w:spacing w:val="0"/>
                <w:w w:val="100"/>
                <w:position w:val="0"/>
              </w:rPr>
              <w:t>标的股 权''或''标的资产</w:t>
            </w:r>
            <w:r>
              <w:rPr>
                <w:rFonts w:ascii="Times New Roman" w:eastAsia="Times New Roman" w:hAnsi="Times New Roman" w:cs="Times New Roman"/>
                <w:color w:val="000000"/>
                <w:spacing w:val="0"/>
                <w:w w:val="100"/>
                <w:position w:val="0"/>
              </w:rPr>
              <w:t>"</w:t>
            </w:r>
            <w:r>
              <w:rPr>
                <w:color w:val="000000"/>
                <w:spacing w:val="0"/>
                <w:w w:val="100"/>
                <w:position w:val="0"/>
              </w:rPr>
              <w:t>）。本公司保证上海达 美是合法成立、有效存续的有限责任公 司，上海达美不存在影响其合法存续的 情况，不存在权利瑕疵和其他影响标的 资产过户的情况，标的资产的持有人由 本公司过户到汉得信息不存在法律障 碍；上海达美不存在依据中国法律规定 及其章程需要终止的情形；本公司保证 本公司合法持有标的股权且该等股权 不存在信托安排、不存在股份代持、不 代表其他方的利益，且该等股权未设定 其他他项权利，不存在任何股权纠纷或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bl>
    <w:p>
      <w:pPr>
        <w:spacing w:lineRule="exact" w:line="1"/>
        <w:rPr>
          <w:sz w:val="2"/>
          <w:szCs w:val="2"/>
        </w:rPr>
      </w:pPr>
      <w:r>
        <w:br w:type="page"/>
      </w:r>
    </w:p>
    <w:tbl>
      <w:tblPr>
        <w:tblOverlap w:val="never"/>
        <w:jc w:val="center"/>
        <w:tblLayout w:type="fixed"/>
      </w:tblPr>
      <w:tblGrid>
        <w:gridCol w:w="1277"/>
        <w:gridCol w:w="1138"/>
        <w:gridCol w:w="706"/>
        <w:gridCol w:w="3091"/>
        <w:gridCol w:w="1128"/>
        <w:gridCol w:w="1123"/>
        <w:gridCol w:w="1118"/>
      </w:tblGrid>
      <w:tr>
        <w:trPr>
          <w:trHeight w:val="66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潜在的股权纠纷，亦未被任何部门实施 扣押、查封、冻结等使其权利受到限制 的不利情形，不存在权益纠纷，不存在 涉及诉讼、仲裁、司法强制执行等重大 争议或者存在其他任何妨碍权属转移 的其他情形，本公司保证标的资产的该 状态持续至本次交易完成之日；本公司 保证，在本次资产重组实施完成前，将 确保标的资产产权清晰，上海达美不发 生抵押、质押等权利限制的情形，不发 生涉及诉讼、仲裁、司法强制执行等重 大争议或者妨碍权属转移的其他情形； 本公司保证，自汉得信息就本次资产重 组召开的首次股东大会决议公告之日 起三十（</w:t>
            </w:r>
            <w:r>
              <w:rPr>
                <w:rFonts w:ascii="Times New Roman" w:eastAsia="Times New Roman" w:hAnsi="Times New Roman" w:cs="Times New Roman"/>
                <w:color w:val="000000"/>
                <w:spacing w:val="0"/>
                <w:w w:val="100"/>
                <w:position w:val="0"/>
              </w:rPr>
              <w:t>30</w:t>
            </w:r>
            <w:r>
              <w:rPr>
                <w:color w:val="000000"/>
                <w:spacing w:val="0"/>
                <w:w w:val="100"/>
                <w:position w:val="0"/>
              </w:rPr>
              <w:t>）日内，本公司向</w:t>
            </w:r>
            <w:r>
              <w:rPr>
                <w:rFonts w:ascii="Times New Roman" w:eastAsia="Times New Roman" w:hAnsi="Times New Roman" w:cs="Times New Roman"/>
                <w:color w:val="000000"/>
                <w:spacing w:val="0"/>
                <w:w w:val="100"/>
                <w:position w:val="0"/>
              </w:rPr>
              <w:t>CAMELOT INFORMATION SYSTEMS INC.</w:t>
            </w: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CAMELOT"</w:t>
            </w:r>
            <w:r>
              <w:rPr>
                <w:color w:val="000000"/>
                <w:spacing w:val="0"/>
                <w:w w:val="100"/>
                <w:position w:val="0"/>
              </w:rPr>
              <w:t xml:space="preserve">）全额支付向 </w:t>
            </w:r>
            <w:r>
              <w:rPr>
                <w:rFonts w:ascii="Times New Roman" w:eastAsia="Times New Roman" w:hAnsi="Times New Roman" w:cs="Times New Roman"/>
                <w:color w:val="000000"/>
                <w:spacing w:val="0"/>
                <w:w w:val="100"/>
                <w:position w:val="0"/>
              </w:rPr>
              <w:t>CAMELOT</w:t>
            </w:r>
            <w:r>
              <w:rPr>
                <w:color w:val="000000"/>
                <w:spacing w:val="0"/>
                <w:w w:val="100"/>
                <w:position w:val="0"/>
              </w:rPr>
              <w:t>购买上海达美股权的股权 转让价款或取得</w:t>
            </w:r>
            <w:r>
              <w:rPr>
                <w:rFonts w:ascii="Times New Roman" w:eastAsia="Times New Roman" w:hAnsi="Times New Roman" w:cs="Times New Roman"/>
                <w:color w:val="000000"/>
                <w:spacing w:val="0"/>
                <w:w w:val="100"/>
                <w:position w:val="0"/>
              </w:rPr>
              <w:t>CAMELOT</w:t>
            </w:r>
            <w:r>
              <w:rPr>
                <w:color w:val="000000"/>
                <w:spacing w:val="0"/>
                <w:w w:val="100"/>
                <w:position w:val="0"/>
              </w:rPr>
              <w:t>豁免本公 司支付该等股权转让价款的书面文件。</w:t>
            </w:r>
          </w:p>
          <w:p>
            <w:pPr>
              <w:pStyle w:val="Style2"/>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赵旭民、刘 涛、</w:t>
            </w:r>
            <w:r>
              <w:rPr>
                <w:rFonts w:ascii="Times New Roman" w:eastAsia="Times New Roman" w:hAnsi="Times New Roman" w:cs="Times New Roman"/>
                <w:color w:val="000000"/>
                <w:spacing w:val="0"/>
                <w:w w:val="100"/>
                <w:position w:val="0"/>
              </w:rPr>
              <w:t>BEYOND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除扬州达美</w:t>
            </w:r>
            <w:r>
              <w:rPr>
                <w:rFonts w:ascii="Times New Roman" w:eastAsia="Times New Roman" w:hAnsi="Times New Roman" w:cs="Times New Roman"/>
                <w:color w:val="000000"/>
                <w:spacing w:val="0"/>
                <w:w w:val="100"/>
                <w:position w:val="0"/>
              </w:rPr>
              <w:t>/</w:t>
            </w:r>
            <w:r>
              <w:rPr>
                <w:color w:val="000000"/>
                <w:spacing w:val="0"/>
                <w:w w:val="100"/>
                <w:position w:val="0"/>
              </w:rPr>
              <w:t>上海达美外，本人及本人关 系密切的家庭成员</w:t>
            </w:r>
            <w:r>
              <w:rPr>
                <w:rFonts w:ascii="Times New Roman" w:eastAsia="Times New Roman" w:hAnsi="Times New Roman" w:cs="Times New Roman"/>
                <w:color w:val="000000"/>
                <w:spacing w:val="0"/>
                <w:w w:val="100"/>
                <w:position w:val="0"/>
              </w:rPr>
              <w:t>/</w:t>
            </w:r>
            <w:r>
              <w:rPr>
                <w:color w:val="000000"/>
                <w:spacing w:val="0"/>
                <w:w w:val="100"/>
                <w:position w:val="0"/>
              </w:rPr>
              <w:t xml:space="preserve">本公司及本公司董 事、监事和高级管理人员将不在中国境 内外直接或间接拥有、管理、控制、投 资、从事其他任何与汉得信息及其分公 司、子公司相同或相近的业务或项目， 亦不参与拥有、管理、控制、投资其他 任何与汉得信息及其分公司、子公司相 同或相近的业务或项目，亦不谋求通过 与任何第三人合资、合作、联营或采取 租赁经营、承包经营、委托管理等任何 方式直接或间接从事与汉得信息及其 分公司、子公司构成竞争的业务；本人 </w:t>
            </w:r>
            <w:r>
              <w:rPr>
                <w:rFonts w:ascii="Times New Roman" w:eastAsia="Times New Roman" w:hAnsi="Times New Roman" w:cs="Times New Roman"/>
                <w:color w:val="000000"/>
                <w:spacing w:val="0"/>
                <w:w w:val="100"/>
                <w:position w:val="0"/>
              </w:rPr>
              <w:t>/</w:t>
            </w:r>
            <w:r>
              <w:rPr>
                <w:color w:val="000000"/>
                <w:spacing w:val="0"/>
                <w:w w:val="100"/>
                <w:position w:val="0"/>
              </w:rPr>
              <w:t>本公司保证，将在汉得信息股东大会审 议批准本次交易后</w:t>
            </w:r>
            <w:r>
              <w:rPr>
                <w:rFonts w:ascii="Times New Roman" w:eastAsia="Times New Roman" w:hAnsi="Times New Roman" w:cs="Times New Roman"/>
                <w:color w:val="000000"/>
                <w:spacing w:val="0"/>
                <w:w w:val="100"/>
                <w:position w:val="0"/>
              </w:rPr>
              <w:t>5</w:t>
            </w:r>
            <w:r>
              <w:rPr>
                <w:color w:val="000000"/>
                <w:spacing w:val="0"/>
                <w:w w:val="100"/>
                <w:position w:val="0"/>
              </w:rPr>
              <w:t>日内召开北京龙象 信益科技有限公司、上海和美软件有限 公司和扬州和美软件有限公司（以下简 称''该三家关联公司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股东会会议并通 过决议同意注销该三家关联公司，并履 行相应注销公告程序；本人</w:t>
            </w:r>
            <w:r>
              <w:rPr>
                <w:rFonts w:ascii="Times New Roman" w:eastAsia="Times New Roman" w:hAnsi="Times New Roman" w:cs="Times New Roman"/>
                <w:color w:val="000000"/>
                <w:spacing w:val="0"/>
                <w:w w:val="100"/>
                <w:position w:val="0"/>
              </w:rPr>
              <w:t>/</w:t>
            </w:r>
            <w:r>
              <w:rPr>
                <w:color w:val="000000"/>
                <w:spacing w:val="0"/>
                <w:w w:val="100"/>
                <w:position w:val="0"/>
              </w:rPr>
              <w:t>本公司在直 接或间接持有汉得信息股份的期间，或 者，若本人在汉得信息或扬州达美</w:t>
            </w:r>
            <w:r>
              <w:rPr>
                <w:rFonts w:ascii="Times New Roman" w:eastAsia="Times New Roman" w:hAnsi="Times New Roman" w:cs="Times New Roman"/>
                <w:color w:val="000000"/>
                <w:spacing w:val="0"/>
                <w:w w:val="100"/>
                <w:position w:val="0"/>
              </w:rPr>
              <w:t>/</w:t>
            </w:r>
            <w:r>
              <w:rPr>
                <w:color w:val="000000"/>
                <w:spacing w:val="0"/>
                <w:w w:val="100"/>
                <w:position w:val="0"/>
              </w:rPr>
              <w:t>上海 达美及其分子公司任职的，则自本人与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bl>
    <w:p>
      <w:pPr>
        <w:spacing w:lineRule="exact" w:line="1"/>
        <w:rPr>
          <w:sz w:val="2"/>
          <w:szCs w:val="2"/>
        </w:rPr>
      </w:pPr>
      <w:r>
        <w:br w:type="page"/>
      </w:r>
    </w:p>
    <w:tbl>
      <w:tblPr>
        <w:tblOverlap w:val="never"/>
        <w:jc w:val="center"/>
        <w:tblLayout w:type="fixed"/>
      </w:tblPr>
      <w:tblGrid>
        <w:gridCol w:w="1277"/>
        <w:gridCol w:w="1138"/>
        <w:gridCol w:w="706"/>
        <w:gridCol w:w="3091"/>
        <w:gridCol w:w="1128"/>
        <w:gridCol w:w="1123"/>
        <w:gridCol w:w="1118"/>
      </w:tblGrid>
      <w:tr>
        <w:trPr>
          <w:trHeight w:val="1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汉得信息或扬州达美</w:t>
            </w:r>
            <w:r>
              <w:rPr>
                <w:rFonts w:ascii="Times New Roman" w:eastAsia="Times New Roman" w:hAnsi="Times New Roman" w:cs="Times New Roman"/>
                <w:color w:val="000000"/>
                <w:spacing w:val="0"/>
                <w:w w:val="100"/>
                <w:position w:val="0"/>
              </w:rPr>
              <w:t>/</w:t>
            </w:r>
            <w:r>
              <w:rPr>
                <w:color w:val="000000"/>
                <w:spacing w:val="0"/>
                <w:w w:val="100"/>
                <w:position w:val="0"/>
              </w:rPr>
              <w:t>上海达美及其分 子公司解除劳动关系之日起的两年内， 本人遵守上述承诺；本人</w:t>
            </w:r>
            <w:r>
              <w:rPr>
                <w:rFonts w:ascii="Times New Roman" w:eastAsia="Times New Roman" w:hAnsi="Times New Roman" w:cs="Times New Roman"/>
                <w:color w:val="000000"/>
                <w:spacing w:val="0"/>
                <w:w w:val="100"/>
                <w:position w:val="0"/>
              </w:rPr>
              <w:t>/</w:t>
            </w:r>
            <w:r>
              <w:rPr>
                <w:color w:val="000000"/>
                <w:spacing w:val="0"/>
                <w:w w:val="100"/>
                <w:position w:val="0"/>
              </w:rPr>
              <w:t>本公司若违反 上述承诺，本人</w:t>
            </w:r>
            <w:r>
              <w:rPr>
                <w:rFonts w:ascii="Times New Roman" w:eastAsia="Times New Roman" w:hAnsi="Times New Roman" w:cs="Times New Roman"/>
                <w:color w:val="000000"/>
                <w:spacing w:val="0"/>
                <w:w w:val="100"/>
                <w:position w:val="0"/>
              </w:rPr>
              <w:t>/</w:t>
            </w:r>
            <w:r>
              <w:rPr>
                <w:color w:val="000000"/>
                <w:spacing w:val="0"/>
                <w:w w:val="100"/>
                <w:position w:val="0"/>
              </w:rPr>
              <w:t>本公司将对由此给汉得 信息造成的损失作出全面、及时和足额 的赔偿；本承诺为不可撤销的承诺。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赵旭民、刘 涛、</w:t>
            </w:r>
            <w:r>
              <w:rPr>
                <w:rFonts w:ascii="Times New Roman" w:eastAsia="Times New Roman" w:hAnsi="Times New Roman" w:cs="Times New Roman"/>
                <w:color w:val="000000"/>
                <w:spacing w:val="0"/>
                <w:w w:val="100"/>
                <w:position w:val="0"/>
              </w:rPr>
              <w:t>BEYOND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关于同 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本公司将按照《中华人民共和国公 司法》等法律法规以及汉得信息公司章 程的有关规定行使股东权利；在股东大 会对涉及本人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本公司的关联交易进行 表决时，按照《中华人民共和国公司法》 等法律法规以及汉得信息公司章程的 有关规定履行回避表决的义务；本人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本公司将杜绝一切非法占用汉得信息 及其子公司的资金、资产的行为，在任 何情况下，不要求汉得信息及其子公司 向本人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本公司投资或控 制的其它企业提供任何形式的担保；本 人</w:t>
            </w:r>
            <w:r>
              <w:rPr>
                <w:rFonts w:ascii="Times New Roman" w:eastAsia="Times New Roman" w:hAnsi="Times New Roman" w:cs="Times New Roman"/>
                <w:color w:val="000000"/>
                <w:spacing w:val="0"/>
                <w:w w:val="100"/>
                <w:position w:val="0"/>
              </w:rPr>
              <w:t>/</w:t>
            </w:r>
            <w:r>
              <w:rPr>
                <w:color w:val="000000"/>
                <w:spacing w:val="0"/>
                <w:w w:val="100"/>
                <w:position w:val="0"/>
              </w:rPr>
              <w:t>本公司将尽可能地避免和减少本人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本公司投资或控制的其 它企业与汉得信息及其子公司的关联 交易；对无法避免或者有合理原因而发 生的关联交易，将遵循市场公正、公平、 公开的原则，并依法签订协议，履行合 法程序，按照汉得信息公司章程、有关 法律法规履行信息披露义务。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汉得信息及 董事会全体 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本公司及董事会全体成员保证相关内 容已经审阅，确认《申请文件》内容真 实、准确、完整，无虚假记载、误导性 陈述或重大遗漏，并对其真实性、准确 性和完整性承担相应的法律责任。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司及承诺人 遵守了此项 承诺，未有违 反上述承诺 的情况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上海汉得信 息技术股份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承诺不为激励对象依本股权激励计划 获取有关限制性股票提供贷款以及其 他形式的财务资助，包括为其贷款提供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公司切实履 行了该项承 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陈迪清、范建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、我们及我们直接或间接控制的子公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1277"/>
        <w:gridCol w:w="1138"/>
        <w:gridCol w:w="706"/>
        <w:gridCol w:w="3091"/>
        <w:gridCol w:w="1128"/>
        <w:gridCol w:w="1123"/>
        <w:gridCol w:w="1118"/>
      </w:tblGrid>
      <w:tr>
        <w:trPr>
          <w:trHeight w:val="754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小股东所作承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震、曲水迪宣</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创业投资管 理合伙企业</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 关联交 易、资金 占用方 面的承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司、合作或联营企业和</w:t>
            </w:r>
            <w:r>
              <w:rPr>
                <w:rFonts w:ascii="Times New Roman" w:eastAsia="Times New Roman" w:hAnsi="Times New Roman" w:cs="Times New Roman"/>
                <w:color w:val="000000"/>
                <w:spacing w:val="0"/>
                <w:w w:val="100"/>
                <w:position w:val="0"/>
              </w:rPr>
              <w:t>/</w:t>
            </w:r>
            <w:r>
              <w:rPr>
                <w:color w:val="000000"/>
                <w:spacing w:val="0"/>
                <w:w w:val="100"/>
                <w:position w:val="0"/>
              </w:rPr>
              <w:t>或下属企业目前 没有直接或间接地从事任何与汉得的 主营业务及其它业务相同或相似的业 务（以下称''竞争业务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、我们及我 们直接或间接控制的子公司、合作或联 营企业和</w:t>
            </w:r>
            <w:r>
              <w:rPr>
                <w:rFonts w:ascii="Times New Roman" w:eastAsia="Times New Roman" w:hAnsi="Times New Roman" w:cs="Times New Roman"/>
                <w:color w:val="000000"/>
                <w:spacing w:val="0"/>
                <w:w w:val="100"/>
                <w:position w:val="0"/>
              </w:rPr>
              <w:t>/</w:t>
            </w:r>
            <w:r>
              <w:rPr>
                <w:color w:val="000000"/>
                <w:spacing w:val="0"/>
                <w:w w:val="100"/>
                <w:position w:val="0"/>
              </w:rPr>
              <w:t>或下属企业，于我们作为对汉 得直接</w:t>
            </w:r>
            <w:r>
              <w:rPr>
                <w:rFonts w:ascii="Times New Roman" w:eastAsia="Times New Roman" w:hAnsi="Times New Roman" w:cs="Times New Roman"/>
                <w:color w:val="000000"/>
                <w:spacing w:val="0"/>
                <w:w w:val="100"/>
                <w:position w:val="0"/>
              </w:rPr>
              <w:t>/</w:t>
            </w:r>
            <w:r>
              <w:rPr>
                <w:color w:val="000000"/>
                <w:spacing w:val="0"/>
                <w:w w:val="100"/>
                <w:position w:val="0"/>
              </w:rPr>
              <w:t>间接拥有权益的主要股东</w:t>
            </w:r>
            <w:r>
              <w:rPr>
                <w:rFonts w:ascii="Times New Roman" w:eastAsia="Times New Roman" w:hAnsi="Times New Roman" w:cs="Times New Roman"/>
                <w:color w:val="000000"/>
                <w:spacing w:val="0"/>
                <w:w w:val="100"/>
                <w:position w:val="0"/>
              </w:rPr>
              <w:t>/</w:t>
            </w:r>
            <w:r>
              <w:rPr>
                <w:color w:val="000000"/>
                <w:spacing w:val="0"/>
                <w:w w:val="100"/>
                <w:position w:val="0"/>
              </w:rPr>
              <w:t>关联 方期间，不会直接或间接地以任何方式 从事竞争业务或可能构成竞争业务的 业务；</w:t>
            </w:r>
            <w:r>
              <w:rPr>
                <w:rFonts w:ascii="Times New Roman" w:eastAsia="Times New Roman" w:hAnsi="Times New Roman" w:cs="Times New Roman"/>
                <w:color w:val="000000"/>
                <w:spacing w:val="0"/>
                <w:w w:val="100"/>
                <w:position w:val="0"/>
              </w:rPr>
              <w:t>3</w:t>
            </w:r>
            <w:r>
              <w:rPr>
                <w:color w:val="000000"/>
                <w:spacing w:val="0"/>
                <w:w w:val="100"/>
                <w:position w:val="0"/>
              </w:rPr>
              <w:t>、我们及我们直接或间接控制 的子公司、合作或联营企业和</w:t>
            </w:r>
            <w:r>
              <w:rPr>
                <w:rFonts w:ascii="Times New Roman" w:eastAsia="Times New Roman" w:hAnsi="Times New Roman" w:cs="Times New Roman"/>
                <w:color w:val="000000"/>
                <w:spacing w:val="0"/>
                <w:w w:val="100"/>
                <w:position w:val="0"/>
              </w:rPr>
              <w:t>/</w:t>
            </w:r>
            <w:r>
              <w:rPr>
                <w:color w:val="000000"/>
                <w:spacing w:val="0"/>
                <w:w w:val="100"/>
                <w:position w:val="0"/>
              </w:rPr>
              <w:t>或下属企 业，将来面临或可能取得任何与竞争业 务有关的投资机会或其它商业机会，在 同等条件下赋予汉得该等投资机会或 商业机会之优先选择权；</w:t>
            </w:r>
            <w:r>
              <w:rPr>
                <w:rFonts w:ascii="Times New Roman" w:eastAsia="Times New Roman" w:hAnsi="Times New Roman" w:cs="Times New Roman"/>
                <w:color w:val="000000"/>
                <w:spacing w:val="0"/>
                <w:w w:val="100"/>
                <w:position w:val="0"/>
              </w:rPr>
              <w:t>4</w:t>
            </w:r>
            <w:r>
              <w:rPr>
                <w:color w:val="000000"/>
                <w:spacing w:val="0"/>
                <w:w w:val="100"/>
                <w:position w:val="0"/>
              </w:rPr>
              <w:t>、自本函出 具日起，本函及本函项下之承诺为不可 撤销的，且持续有效，直至我们不再成 为对汉得直接</w:t>
            </w:r>
            <w:r>
              <w:rPr>
                <w:rFonts w:ascii="Times New Roman" w:eastAsia="Times New Roman" w:hAnsi="Times New Roman" w:cs="Times New Roman"/>
                <w:color w:val="000000"/>
                <w:spacing w:val="0"/>
                <w:w w:val="100"/>
                <w:position w:val="0"/>
              </w:rPr>
              <w:t>/</w:t>
            </w:r>
            <w:r>
              <w:rPr>
                <w:color w:val="000000"/>
                <w:spacing w:val="0"/>
                <w:w w:val="100"/>
                <w:position w:val="0"/>
              </w:rPr>
              <w:t>间接拥有权益的主要股 东</w:t>
            </w:r>
            <w:r>
              <w:rPr>
                <w:rFonts w:ascii="Times New Roman" w:eastAsia="Times New Roman" w:hAnsi="Times New Roman" w:cs="Times New Roman"/>
                <w:color w:val="000000"/>
                <w:spacing w:val="0"/>
                <w:w w:val="100"/>
                <w:position w:val="0"/>
              </w:rPr>
              <w:t>/</w:t>
            </w:r>
            <w:r>
              <w:rPr>
                <w:color w:val="000000"/>
                <w:spacing w:val="0"/>
                <w:w w:val="100"/>
                <w:position w:val="0"/>
              </w:rPr>
              <w:t>关联方为止；</w:t>
            </w:r>
            <w:r>
              <w:rPr>
                <w:rFonts w:ascii="Times New Roman" w:eastAsia="Times New Roman" w:hAnsi="Times New Roman" w:cs="Times New Roman"/>
                <w:color w:val="000000"/>
                <w:spacing w:val="0"/>
                <w:w w:val="100"/>
                <w:position w:val="0"/>
              </w:rPr>
              <w:t>5</w:t>
            </w:r>
            <w:r>
              <w:rPr>
                <w:color w:val="000000"/>
                <w:spacing w:val="0"/>
                <w:w w:val="100"/>
                <w:position w:val="0"/>
              </w:rPr>
              <w:t>、我们和</w:t>
            </w:r>
            <w:r>
              <w:rPr>
                <w:rFonts w:ascii="Times New Roman" w:eastAsia="Times New Roman" w:hAnsi="Times New Roman" w:cs="Times New Roman"/>
                <w:color w:val="000000"/>
                <w:spacing w:val="0"/>
                <w:w w:val="100"/>
                <w:position w:val="0"/>
              </w:rPr>
              <w:t>/</w:t>
            </w:r>
            <w:r>
              <w:rPr>
                <w:color w:val="000000"/>
                <w:spacing w:val="0"/>
                <w:w w:val="100"/>
                <w:position w:val="0"/>
              </w:rPr>
              <w:t>或我们直接 或间接控制的子公司、合作或联营企业 和</w:t>
            </w:r>
            <w:r>
              <w:rPr>
                <w:rFonts w:ascii="Times New Roman" w:eastAsia="Times New Roman" w:hAnsi="Times New Roman" w:cs="Times New Roman"/>
                <w:color w:val="000000"/>
                <w:spacing w:val="0"/>
                <w:w w:val="100"/>
                <w:position w:val="0"/>
              </w:rPr>
              <w:t>/</w:t>
            </w:r>
            <w:r>
              <w:rPr>
                <w:color w:val="000000"/>
                <w:spacing w:val="0"/>
                <w:w w:val="100"/>
                <w:position w:val="0"/>
              </w:rPr>
              <w:t>或下属企业如违反上述任何承诺，我 们将赔偿汉得及汉得其他股东因此遭 受的一切经济损失，该等责任是连带责 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诺主体遵守 了此项承诺， 未有违反上 述承诺的情 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范建震、陈迪 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在增持期间及在增持完成后六个月内 不减持公司股份。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在增持期间及在增持完成后六个月内 不减持公司股份。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诺人遵守了 此项承诺，未 有违反上述 承诺的情况。</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王辛夷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在增持期间及在增持完成后六个月内 不减持公司股份。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上海汉得信 息技术股份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承诺不使用募集资金、银行信贷资金直 接或者间接进行银行理财产品投资。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 司遵守了此 项承诺，未有 违反上述承</w:t>
            </w:r>
          </w:p>
        </w:tc>
      </w:tr>
    </w:tbl>
    <w:p>
      <w:pPr>
        <w:spacing w:lineRule="exact" w:line="1"/>
        <w:rPr>
          <w:sz w:val="2"/>
          <w:szCs w:val="2"/>
        </w:rPr>
      </w:pPr>
      <w:r>
        <w:br w:type="page"/>
      </w:r>
    </w:p>
    <w:tbl>
      <w:tblPr>
        <w:tblOverlap w:val="never"/>
        <w:jc w:val="center"/>
        <w:tblLayout w:type="fixed"/>
      </w:tblPr>
      <w:tblGrid>
        <w:gridCol w:w="1277"/>
        <w:gridCol w:w="1138"/>
        <w:gridCol w:w="706"/>
        <w:gridCol w:w="3091"/>
        <w:gridCol w:w="1128"/>
        <w:gridCol w:w="1123"/>
        <w:gridCol w:w="1118"/>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诺的情况。</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日，公司披露了《上海 汉得信息技术股份有限公司关于使用 超募资金收购上海汉得融晶信息科技 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股权的进展公告》，公司 股东孟辉承诺所持有的</w:t>
            </w:r>
            <w:r>
              <w:rPr>
                <w:rFonts w:ascii="Times New Roman" w:eastAsia="Times New Roman" w:hAnsi="Times New Roman" w:cs="Times New Roman"/>
                <w:color w:val="000000"/>
                <w:spacing w:val="0"/>
                <w:w w:val="100"/>
                <w:position w:val="0"/>
              </w:rPr>
              <w:t>873,100</w:t>
            </w:r>
            <w:r>
              <w:rPr>
                <w:color w:val="000000"/>
                <w:spacing w:val="0"/>
                <w:w w:val="100"/>
                <w:position w:val="0"/>
              </w:rPr>
              <w:t>股将 自锁定手续在中国证券登记结算有限 公司深圳分公司办理完毕之日起</w:t>
            </w:r>
            <w:r>
              <w:rPr>
                <w:rFonts w:ascii="Times New Roman" w:eastAsia="Times New Roman" w:hAnsi="Times New Roman" w:cs="Times New Roman"/>
                <w:color w:val="000000"/>
                <w:spacing w:val="0"/>
                <w:w w:val="100"/>
                <w:position w:val="0"/>
              </w:rPr>
              <w:t>1</w:t>
            </w:r>
            <w:r>
              <w:rPr>
                <w:color w:val="000000"/>
                <w:spacing w:val="0"/>
                <w:w w:val="100"/>
                <w:position w:val="0"/>
              </w:rPr>
              <w:t>年 后、</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w:t>
            </w:r>
            <w:r>
              <w:rPr>
                <w:color w:val="000000"/>
                <w:spacing w:val="0"/>
                <w:w w:val="100"/>
                <w:position w:val="0"/>
              </w:rPr>
              <w:t>年后分别解锁</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日，公司披露了《上海 汉得信息技术股份有限公司关于使用 超募资金收购上海汉得融晶信息科技 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股权的进展公告》，公司 股东张凌明承诺所持有的</w:t>
            </w:r>
            <w:r>
              <w:rPr>
                <w:rFonts w:ascii="Times New Roman" w:eastAsia="Times New Roman" w:hAnsi="Times New Roman" w:cs="Times New Roman"/>
                <w:color w:val="000000"/>
                <w:spacing w:val="0"/>
                <w:w w:val="100"/>
                <w:position w:val="0"/>
              </w:rPr>
              <w:t>148,082</w:t>
            </w:r>
            <w:r>
              <w:rPr>
                <w:color w:val="000000"/>
                <w:spacing w:val="0"/>
                <w:w w:val="100"/>
                <w:position w:val="0"/>
              </w:rPr>
              <w:t>股 将自锁定手续在中国证券登记结算有 限公司深圳分公司办理完毕之日起</w:t>
            </w:r>
            <w:r>
              <w:rPr>
                <w:rFonts w:ascii="Times New Roman" w:eastAsia="Times New Roman" w:hAnsi="Times New Roman" w:cs="Times New Roman"/>
                <w:color w:val="000000"/>
                <w:spacing w:val="0"/>
                <w:w w:val="100"/>
                <w:position w:val="0"/>
              </w:rPr>
              <w:t>1</w:t>
            </w:r>
            <w:r>
              <w:rPr>
                <w:color w:val="000000"/>
                <w:spacing w:val="0"/>
                <w:w w:val="100"/>
                <w:position w:val="0"/>
              </w:rPr>
              <w:t>年 后、</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w:t>
            </w:r>
            <w:r>
              <w:rPr>
                <w:color w:val="000000"/>
                <w:spacing w:val="0"/>
                <w:w w:val="100"/>
                <w:position w:val="0"/>
              </w:rPr>
              <w:t>年后分别解锁</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诺人遵守了 此项承诺，未 有违反上述 承诺的情况。</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日，公司披露了《上海 汉得信息技术股份有限公司关于使用 超募资金收购上海汉得融晶信息科技 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股权的进展公告》，公司 股东王盛承诺所持有的</w:t>
            </w:r>
            <w:r>
              <w:rPr>
                <w:rFonts w:ascii="Times New Roman" w:eastAsia="Times New Roman" w:hAnsi="Times New Roman" w:cs="Times New Roman"/>
                <w:color w:val="000000"/>
                <w:spacing w:val="0"/>
                <w:w w:val="100"/>
                <w:position w:val="0"/>
              </w:rPr>
              <w:t>142,400</w:t>
            </w:r>
            <w:r>
              <w:rPr>
                <w:color w:val="000000"/>
                <w:spacing w:val="0"/>
                <w:w w:val="100"/>
                <w:position w:val="0"/>
              </w:rPr>
              <w:t>股将 自锁定手续在中国证券登记结算有限 公司深圳分公司办理完毕之日起</w:t>
            </w:r>
            <w:r>
              <w:rPr>
                <w:rFonts w:ascii="Times New Roman" w:eastAsia="Times New Roman" w:hAnsi="Times New Roman" w:cs="Times New Roman"/>
                <w:color w:val="000000"/>
                <w:spacing w:val="0"/>
                <w:w w:val="100"/>
                <w:position w:val="0"/>
              </w:rPr>
              <w:t>1</w:t>
            </w:r>
            <w:r>
              <w:rPr>
                <w:color w:val="000000"/>
                <w:spacing w:val="0"/>
                <w:w w:val="100"/>
                <w:position w:val="0"/>
              </w:rPr>
              <w:t>年 后、</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w:t>
            </w:r>
            <w:r>
              <w:rPr>
                <w:color w:val="000000"/>
                <w:spacing w:val="0"/>
                <w:w w:val="100"/>
                <w:position w:val="0"/>
              </w:rPr>
              <w:t>年后分别解锁</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日，公司披露了《上海 汉得信息技术股份有限公司关于使用 超募资金收购上海汉得融晶信息科技 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股权的进展公告》，公司 股东邱莉莉承诺所持有的</w:t>
            </w:r>
            <w:r>
              <w:rPr>
                <w:rFonts w:ascii="Times New Roman" w:eastAsia="Times New Roman" w:hAnsi="Times New Roman" w:cs="Times New Roman"/>
                <w:color w:val="000000"/>
                <w:spacing w:val="0"/>
                <w:w w:val="100"/>
                <w:position w:val="0"/>
              </w:rPr>
              <w:t>120,700</w:t>
            </w:r>
            <w:r>
              <w:rPr>
                <w:color w:val="000000"/>
                <w:spacing w:val="0"/>
                <w:w w:val="100"/>
                <w:position w:val="0"/>
              </w:rPr>
              <w:t>股将 自锁定手续在中国证券登记结算有限 公司深圳分公司办理完毕之日起</w:t>
            </w:r>
            <w:r>
              <w:rPr>
                <w:rFonts w:ascii="Times New Roman" w:eastAsia="Times New Roman" w:hAnsi="Times New Roman" w:cs="Times New Roman"/>
                <w:color w:val="000000"/>
                <w:spacing w:val="0"/>
                <w:w w:val="100"/>
                <w:position w:val="0"/>
              </w:rPr>
              <w:t>1</w:t>
            </w:r>
            <w:r>
              <w:rPr>
                <w:color w:val="000000"/>
                <w:spacing w:val="0"/>
                <w:w w:val="100"/>
                <w:position w:val="0"/>
              </w:rPr>
              <w:t>年 后、</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w:t>
            </w:r>
            <w:r>
              <w:rPr>
                <w:color w:val="000000"/>
                <w:spacing w:val="0"/>
                <w:w w:val="100"/>
                <w:position w:val="0"/>
              </w:rPr>
              <w:t>年后分别解锁</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40%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诺人遵守了 此项承诺，未 有违反上述 承诺的情况。</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上海汉得信 息技术股份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承诺变更部分募投项目实施方式及超 募资金的使用，仅用于募投项目建设、 公司自身扩建或新建项目使用，不出 租、不转让也不进行商业开发。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 司遵守了此 项承诺，未有 违反上述承 诺的情况。</w:t>
            </w:r>
          </w:p>
        </w:tc>
      </w:tr>
    </w:tbl>
    <w:tbl>
      <w:tblPr>
        <w:tblOverlap w:val="never"/>
        <w:jc w:val="center"/>
        <w:tblLayout w:type="fixed"/>
      </w:tblPr>
      <w:tblGrid>
        <w:gridCol w:w="1277"/>
        <w:gridCol w:w="83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、公司资产或项目存在盈利预测，且报告期仍处在盈利预测期间，公司就资产或项目达到原盈利预测及 其原因做出说明</w:t>
      </w:r>
    </w:p>
    <w:p>
      <w:pPr>
        <w:widowControl w:val="0"/>
        <w:spacing w:after="379" w:line="1" w:lineRule="exact"/>
      </w:pPr>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line="480"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w:t>
        <w:tab/>
        <w:t>控股股东及其关联方对上市公司的非经营性占用资金情况</w:t>
      </w:r>
      <w:bookmarkEnd w:id="286"/>
      <w:bookmarkEnd w:id="287"/>
      <w:bookmarkEnd w:id="289"/>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26" w:val="left"/>
        </w:tabs>
        <w:bidi w:val="0"/>
        <w:spacing w:before="0" w:line="480" w:lineRule="exact"/>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0"/>
      <w:bookmarkEnd w:id="291"/>
      <w:bookmarkEnd w:id="293"/>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line="480"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line="480"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董事会关于报告期会计政策、会计估计变更或重大会计差错更正的说明</w:t>
      </w:r>
      <w:bookmarkEnd w:id="298"/>
      <w:bookmarkEnd w:id="299"/>
      <w:bookmarkEnd w:id="30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447" w:val="left"/>
        </w:tabs>
        <w:bidi w:val="0"/>
        <w:spacing w:before="0" w:after="0" w:line="485" w:lineRule="exact"/>
        <w:ind w:left="0" w:right="0" w:firstLine="0"/>
        <w:jc w:val="left"/>
      </w:pPr>
      <w:bookmarkStart w:id="302" w:name="bookmark302"/>
      <w:r>
        <w:rPr>
          <w:color w:val="000000"/>
          <w:spacing w:val="0"/>
          <w:w w:val="100"/>
          <w:position w:val="0"/>
          <w:sz w:val="24"/>
          <w:szCs w:val="24"/>
        </w:rPr>
        <w:t>1</w:t>
      </w:r>
      <w:bookmarkEnd w:id="302"/>
      <w:r>
        <w:rPr>
          <w:color w:val="000000"/>
          <w:spacing w:val="0"/>
          <w:w w:val="100"/>
          <w:position w:val="0"/>
          <w:sz w:val="24"/>
          <w:szCs w:val="24"/>
        </w:rPr>
        <w:t>、</w:t>
        <w:tab/>
        <w:t>会计政策变更的性质、内容和原因</w:t>
      </w:r>
    </w:p>
    <w:p>
      <w:pPr>
        <w:pStyle w:val="Style30"/>
        <w:keepNext w:val="0"/>
        <w:keepLines w:val="0"/>
        <w:widowControl w:val="0"/>
        <w:shd w:val="clear" w:color="auto" w:fill="auto"/>
        <w:bidi w:val="0"/>
        <w:spacing w:before="0" w:after="40" w:line="485" w:lineRule="exact"/>
        <w:ind w:left="0" w:right="0" w:firstLine="500"/>
        <w:jc w:val="both"/>
      </w:pPr>
      <w:r>
        <w:rPr>
          <w:color w:val="000000"/>
          <w:spacing w:val="0"/>
          <w:w w:val="100"/>
          <w:position w:val="0"/>
          <w:sz w:val="24"/>
          <w:szCs w:val="24"/>
        </w:rPr>
        <w:t>财政部于2016年12月3日发布了《增值税会计处理规定》（财会[2016]22号），根据该规 定，本公司：</w:t>
      </w:r>
    </w:p>
    <w:p>
      <w:pPr>
        <w:pStyle w:val="Style30"/>
        <w:keepNext w:val="0"/>
        <w:keepLines w:val="0"/>
        <w:widowControl w:val="0"/>
        <w:shd w:val="clear" w:color="auto" w:fill="auto"/>
        <w:tabs>
          <w:tab w:pos="1136" w:val="left"/>
        </w:tabs>
        <w:bidi w:val="0"/>
        <w:spacing w:before="0" w:after="40" w:line="461" w:lineRule="exact"/>
        <w:ind w:left="0" w:right="0" w:firstLine="500"/>
        <w:jc w:val="both"/>
      </w:pPr>
      <w:bookmarkStart w:id="303" w:name="bookmark303"/>
      <w:r>
        <w:rPr>
          <w:color w:val="000000"/>
          <w:spacing w:val="0"/>
          <w:w w:val="100"/>
          <w:position w:val="0"/>
          <w:sz w:val="24"/>
          <w:szCs w:val="24"/>
        </w:rPr>
        <w:t>（</w:t>
      </w:r>
      <w:bookmarkEnd w:id="303"/>
      <w:r>
        <w:rPr>
          <w:color w:val="000000"/>
          <w:spacing w:val="0"/>
          <w:w w:val="100"/>
          <w:position w:val="0"/>
          <w:sz w:val="24"/>
          <w:szCs w:val="24"/>
        </w:rPr>
        <w:t>1）</w:t>
        <w:tab/>
        <w:t>将利润表中的“营业税金及附加”项目调整为“税金及附加”项目，比较报表数据 相应调整。</w:t>
      </w:r>
    </w:p>
    <w:p>
      <w:pPr>
        <w:pStyle w:val="Style30"/>
        <w:keepNext w:val="0"/>
        <w:keepLines w:val="0"/>
        <w:widowControl w:val="0"/>
        <w:shd w:val="clear" w:color="auto" w:fill="auto"/>
        <w:tabs>
          <w:tab w:pos="1131" w:val="left"/>
        </w:tabs>
        <w:bidi w:val="0"/>
        <w:spacing w:before="0" w:after="0" w:line="480" w:lineRule="exact"/>
        <w:ind w:left="0" w:right="0" w:firstLine="500"/>
        <w:jc w:val="both"/>
      </w:pPr>
      <w:bookmarkStart w:id="304" w:name="bookmark304"/>
      <w:r>
        <w:rPr>
          <w:color w:val="000000"/>
          <w:spacing w:val="0"/>
          <w:w w:val="100"/>
          <w:position w:val="0"/>
          <w:sz w:val="24"/>
          <w:szCs w:val="24"/>
        </w:rPr>
        <w:t>（</w:t>
      </w:r>
      <w:bookmarkEnd w:id="304"/>
      <w:r>
        <w:rPr>
          <w:color w:val="000000"/>
          <w:spacing w:val="0"/>
          <w:w w:val="100"/>
          <w:position w:val="0"/>
          <w:sz w:val="24"/>
          <w:szCs w:val="24"/>
        </w:rPr>
        <w:t>2）</w:t>
        <w:tab/>
        <w:t>将企业经营活动发生的房产税、土地使用税、车船使用税、印花税从“管理费用” 项目重分类至“税金及附加”项目。比较数据不予调整。</w:t>
      </w:r>
    </w:p>
    <w:p>
      <w:pPr>
        <w:pStyle w:val="Style30"/>
        <w:keepNext w:val="0"/>
        <w:keepLines w:val="0"/>
        <w:widowControl w:val="0"/>
        <w:shd w:val="clear" w:color="auto" w:fill="auto"/>
        <w:tabs>
          <w:tab w:pos="447" w:val="left"/>
        </w:tabs>
        <w:bidi w:val="0"/>
        <w:spacing w:before="0" w:after="40" w:line="480" w:lineRule="exact"/>
        <w:ind w:left="0" w:right="0" w:firstLine="0"/>
        <w:jc w:val="left"/>
      </w:pPr>
      <w:bookmarkStart w:id="305" w:name="bookmark305"/>
      <w:r>
        <w:rPr>
          <w:color w:val="000000"/>
          <w:spacing w:val="0"/>
          <w:w w:val="100"/>
          <w:position w:val="0"/>
          <w:sz w:val="24"/>
          <w:szCs w:val="24"/>
        </w:rPr>
        <w:t>2</w:t>
      </w:r>
      <w:bookmarkEnd w:id="305"/>
      <w:r>
        <w:rPr>
          <w:color w:val="000000"/>
          <w:spacing w:val="0"/>
          <w:w w:val="100"/>
          <w:position w:val="0"/>
          <w:sz w:val="24"/>
          <w:szCs w:val="24"/>
        </w:rPr>
        <w:t>、</w:t>
        <w:tab/>
        <w:t>当期和各个列报前期财务报表中受影响的项目名称和调整金额</w:t>
      </w:r>
    </w:p>
    <w:p>
      <w:pPr>
        <w:pStyle w:val="Style30"/>
        <w:keepNext w:val="0"/>
        <w:keepLines w:val="0"/>
        <w:widowControl w:val="0"/>
        <w:shd w:val="clear" w:color="auto" w:fill="auto"/>
        <w:bidi w:val="0"/>
        <w:spacing w:before="0" w:after="160" w:line="480" w:lineRule="exact"/>
        <w:ind w:left="0" w:right="0" w:firstLine="500"/>
        <w:jc w:val="left"/>
      </w:pPr>
      <w:r>
        <w:rPr>
          <w:color w:val="000000"/>
          <w:spacing w:val="0"/>
          <w:w w:val="100"/>
          <w:position w:val="0"/>
          <w:sz w:val="24"/>
          <w:szCs w:val="24"/>
        </w:rPr>
        <w:t>（1）将利润表中的“营业税金及附加”项目调整为“税金及附加”项目。</w:t>
      </w:r>
      <w:r>
        <w:br w:type="page"/>
      </w:r>
    </w:p>
    <w:tbl>
      <w:tblPr>
        <w:tblOverlap w:val="never"/>
        <w:jc w:val="center"/>
        <w:tblLayout w:type="fixed"/>
      </w:tblPr>
      <w:tblGrid>
        <w:gridCol w:w="730"/>
        <w:gridCol w:w="1699"/>
        <w:gridCol w:w="1694"/>
        <w:gridCol w:w="1906"/>
        <w:gridCol w:w="1906"/>
        <w:gridCol w:w="174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会计政策变更的内容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影响金额（</w:t>
            </w: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影响金额（</w:t>
            </w: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 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9,211,280.78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5,710,837.12</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 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-9,211,280.78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-5,710,837.12</w:t>
            </w:r>
          </w:p>
        </w:tc>
      </w:tr>
    </w:tbl>
    <w:p>
      <w:pPr>
        <w:pStyle w:val="Style30"/>
        <w:keepNext w:val="0"/>
        <w:keepLines w:val="0"/>
        <w:widowControl w:val="0"/>
        <w:shd w:val="clear" w:color="auto" w:fill="auto"/>
        <w:bidi w:val="0"/>
        <w:spacing w:before="0" w:after="140" w:line="485" w:lineRule="exact"/>
        <w:ind w:left="0" w:right="0" w:firstLine="0"/>
        <w:jc w:val="left"/>
      </w:pPr>
      <w:r>
        <w:rPr>
          <w:color w:val="000000"/>
          <w:spacing w:val="0"/>
          <w:w w:val="100"/>
          <w:position w:val="0"/>
          <w:sz w:val="24"/>
          <w:szCs w:val="24"/>
        </w:rPr>
        <w:t>（2）将企业经营活动发生的房产税、土地使用税、车船使用税、印花税从“管理费用”项目 重分类至“税金及附加”项目。</w:t>
      </w:r>
    </w:p>
    <w:tbl>
      <w:tblPr>
        <w:tblOverlap w:val="never"/>
        <w:jc w:val="center"/>
        <w:tblLayout w:type="fixed"/>
      </w:tblPr>
      <w:tblGrid>
        <w:gridCol w:w="730"/>
        <w:gridCol w:w="3403"/>
        <w:gridCol w:w="1843"/>
        <w:gridCol w:w="1982"/>
        <w:gridCol w:w="1718"/>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影响金额（</w:t>
            </w:r>
            <w:r>
              <w:rPr>
                <w:rFonts w:ascii="Times New Roman" w:eastAsia="Times New Roman" w:hAnsi="Times New Roman" w:cs="Times New Roman"/>
                <w:color w:val="000000"/>
                <w:spacing w:val="0"/>
                <w:w w:val="100"/>
                <w:position w:val="0"/>
              </w:rPr>
              <w:t>2016</w:t>
            </w:r>
            <w:r>
              <w:rPr>
                <w:color w:val="000000"/>
                <w:spacing w:val="0"/>
                <w:w w:val="100"/>
                <w:position w:val="0"/>
              </w:rPr>
              <w:t>年度）</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将企业经营活动发生的房产税、土地使用 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 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2,556,656.03</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将企业经营活动发生的房产税、土地使用 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 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-2,556,656.03</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、与上年度财务报告相比，合并报表范围发生变化的情况说明</w:t>
      </w:r>
      <w:bookmarkEnd w:id="306"/>
      <w:bookmarkEnd w:id="307"/>
      <w:bookmarkEnd w:id="309"/>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numPr>
          <w:ilvl w:val="0"/>
          <w:numId w:val="11"/>
        </w:numPr>
        <w:shd w:val="clear" w:color="auto" w:fill="auto"/>
        <w:bidi w:val="0"/>
        <w:spacing w:before="0" w:after="320" w:line="240" w:lineRule="auto"/>
        <w:ind w:left="0" w:right="0" w:firstLine="0"/>
        <w:jc w:val="left"/>
      </w:pPr>
      <w:bookmarkStart w:id="310" w:name="bookmark310"/>
      <w:bookmarkEnd w:id="310"/>
      <w:r>
        <w:rPr>
          <w:color w:val="000000"/>
          <w:spacing w:val="0"/>
          <w:w w:val="100"/>
          <w:position w:val="0"/>
          <w:sz w:val="24"/>
          <w:szCs w:val="24"/>
        </w:rPr>
        <w:t>本期发生的非同一控制下企业合并的情况</w:t>
      </w:r>
    </w:p>
    <w:tbl>
      <w:tblPr>
        <w:tblOverlap w:val="never"/>
        <w:jc w:val="center"/>
        <w:tblLayout w:type="fixed"/>
      </w:tblPr>
      <w:tblGrid>
        <w:gridCol w:w="1200"/>
        <w:gridCol w:w="701"/>
        <w:gridCol w:w="1358"/>
        <w:gridCol w:w="854"/>
        <w:gridCol w:w="811"/>
        <w:gridCol w:w="874"/>
        <w:gridCol w:w="1090"/>
        <w:gridCol w:w="1469"/>
        <w:gridCol w:w="1320"/>
      </w:tblGrid>
      <w:tr>
        <w:trPr>
          <w:trHeight w:val="7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股权取得成本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购买日至期末被购 买方的收入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购买日至期末被 购买方的净利润</w:t>
            </w:r>
          </w:p>
        </w:tc>
      </w:tr>
      <w:tr>
        <w:trPr>
          <w:trHeight w:val="7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上海达美信息 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120,526,438.91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9,504,491.77</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扬州达美投资 管理有限公司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55,282,500.01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-15,623.95</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注：①股权转让协议已获得上海达美、扬州达美及本公司董事会通过。</w:t>
      </w:r>
    </w:p>
    <w:p>
      <w:pPr>
        <w:pStyle w:val="Style23"/>
        <w:keepNext w:val="0"/>
        <w:keepLines w:val="0"/>
        <w:widowControl w:val="0"/>
        <w:numPr>
          <w:ilvl w:val="0"/>
          <w:numId w:val="13"/>
        </w:numPr>
        <w:shd w:val="clear" w:color="auto" w:fill="auto"/>
        <w:tabs>
          <w:tab w:pos="753" w:val="left"/>
        </w:tabs>
        <w:bidi w:val="0"/>
        <w:spacing w:before="0" w:after="80" w:line="240" w:lineRule="auto"/>
        <w:ind w:left="0" w:right="0" w:firstLine="380"/>
        <w:jc w:val="left"/>
      </w:pPr>
      <w:bookmarkStart w:id="311" w:name="bookmark311"/>
      <w:bookmarkEnd w:id="311"/>
      <w:r>
        <w:rPr>
          <w:color w:val="000000"/>
          <w:spacing w:val="0"/>
          <w:w w:val="100"/>
          <w:position w:val="0"/>
        </w:rPr>
        <w:t>本公司和上海达美、扬州达美董事会已办理了资产交接手续。</w:t>
      </w:r>
    </w:p>
    <w:p>
      <w:pPr>
        <w:pStyle w:val="Style23"/>
        <w:keepNext w:val="0"/>
        <w:keepLines w:val="0"/>
        <w:widowControl w:val="0"/>
        <w:numPr>
          <w:ilvl w:val="0"/>
          <w:numId w:val="13"/>
        </w:numPr>
        <w:shd w:val="clear" w:color="auto" w:fill="auto"/>
        <w:tabs>
          <w:tab w:pos="753" w:val="left"/>
        </w:tabs>
        <w:bidi w:val="0"/>
        <w:spacing w:before="0" w:after="80" w:line="240" w:lineRule="auto"/>
        <w:ind w:left="0" w:right="0" w:firstLine="380"/>
        <w:jc w:val="left"/>
      </w:pPr>
      <w:bookmarkStart w:id="312" w:name="bookmark312"/>
      <w:bookmarkEnd w:id="312"/>
      <w:r>
        <w:rPr>
          <w:color w:val="000000"/>
          <w:spacing w:val="0"/>
          <w:w w:val="100"/>
          <w:position w:val="0"/>
        </w:rPr>
        <w:t>上海达美、扬州达美已办理了工商变更登记手续。</w:t>
      </w:r>
    </w:p>
    <w:p>
      <w:pPr>
        <w:pStyle w:val="Style23"/>
        <w:keepNext w:val="0"/>
        <w:keepLines w:val="0"/>
        <w:widowControl w:val="0"/>
        <w:numPr>
          <w:ilvl w:val="0"/>
          <w:numId w:val="13"/>
        </w:numPr>
        <w:shd w:val="clear" w:color="auto" w:fill="auto"/>
        <w:tabs>
          <w:tab w:pos="753" w:val="left"/>
        </w:tabs>
        <w:bidi w:val="0"/>
        <w:spacing w:before="0" w:after="80" w:line="240" w:lineRule="auto"/>
        <w:ind w:left="0" w:right="0" w:firstLine="380"/>
        <w:jc w:val="left"/>
      </w:pPr>
      <w:bookmarkStart w:id="313" w:name="bookmark313"/>
      <w:bookmarkEnd w:id="313"/>
      <w:r>
        <w:rPr>
          <w:color w:val="000000"/>
          <w:spacing w:val="0"/>
          <w:w w:val="100"/>
          <w:position w:val="0"/>
        </w:rPr>
        <w:t>本公司已按协议规定支付股权收购款的</w:t>
      </w:r>
      <w:r>
        <w:rPr>
          <w:rFonts w:ascii="Times New Roman" w:eastAsia="Times New Roman" w:hAnsi="Times New Roman" w:cs="Times New Roman"/>
          <w:color w:val="000000"/>
          <w:spacing w:val="0"/>
          <w:w w:val="100"/>
          <w:position w:val="0"/>
        </w:rPr>
        <w:t>50%</w:t>
      </w:r>
      <w:r>
        <w:rPr>
          <w:color w:val="000000"/>
          <w:spacing w:val="0"/>
          <w:w w:val="100"/>
          <w:position w:val="0"/>
        </w:rPr>
        <w:t>以上。</w:t>
      </w:r>
    </w:p>
    <w:p>
      <w:pPr>
        <w:pStyle w:val="Style23"/>
        <w:keepNext w:val="0"/>
        <w:keepLines w:val="0"/>
        <w:widowControl w:val="0"/>
        <w:numPr>
          <w:ilvl w:val="0"/>
          <w:numId w:val="13"/>
        </w:numPr>
        <w:shd w:val="clear" w:color="auto" w:fill="auto"/>
        <w:tabs>
          <w:tab w:pos="753" w:val="left"/>
        </w:tabs>
        <w:bidi w:val="0"/>
        <w:spacing w:before="0" w:after="140" w:line="240" w:lineRule="auto"/>
        <w:ind w:left="0" w:right="0" w:firstLine="380"/>
        <w:jc w:val="left"/>
      </w:pPr>
      <w:bookmarkStart w:id="314" w:name="bookmark314"/>
      <w:bookmarkEnd w:id="314"/>
      <w:r>
        <w:rPr>
          <w:color w:val="000000"/>
          <w:spacing w:val="0"/>
          <w:w w:val="100"/>
          <w:position w:val="0"/>
        </w:rPr>
        <w:t>本公司实际上已经控制了被购买方的财务和经营政策，享有相应的收益并承担相应的风险。</w:t>
      </w:r>
    </w:p>
    <w:p>
      <w:pPr>
        <w:pStyle w:val="Style30"/>
        <w:keepNext w:val="0"/>
        <w:keepLines w:val="0"/>
        <w:widowControl w:val="0"/>
        <w:numPr>
          <w:ilvl w:val="0"/>
          <w:numId w:val="11"/>
        </w:numPr>
        <w:shd w:val="clear" w:color="auto" w:fill="auto"/>
        <w:bidi w:val="0"/>
        <w:spacing w:before="0" w:after="140" w:line="240" w:lineRule="auto"/>
        <w:ind w:left="0" w:right="0" w:firstLine="0"/>
        <w:jc w:val="left"/>
      </w:pPr>
      <w:bookmarkStart w:id="315" w:name="bookmark315"/>
      <w:bookmarkEnd w:id="315"/>
      <w:r>
        <w:rPr>
          <w:color w:val="000000"/>
          <w:spacing w:val="0"/>
          <w:w w:val="100"/>
          <w:position w:val="0"/>
          <w:sz w:val="24"/>
          <w:szCs w:val="24"/>
        </w:rPr>
        <w:t>其他原因的合并范围变动</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与上年相比本年新增合并单位2家，原因为：</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 xml:space="preserve">（1）2016 年3月，公司出资 </w:t>
      </w:r>
      <w:r>
        <w:rPr>
          <w:color w:val="000000"/>
          <w:spacing w:val="0"/>
          <w:w w:val="100"/>
          <w:position w:val="0"/>
          <w:sz w:val="24"/>
          <w:szCs w:val="24"/>
        </w:rPr>
        <w:t xml:space="preserve">325.85 </w:t>
      </w:r>
      <w:r>
        <w:rPr>
          <w:color w:val="000000"/>
          <w:spacing w:val="0"/>
          <w:w w:val="100"/>
          <w:position w:val="0"/>
          <w:sz w:val="24"/>
          <w:szCs w:val="24"/>
        </w:rPr>
        <w:t>万元人民币，设立</w:t>
      </w:r>
      <w:r>
        <w:rPr>
          <w:color w:val="000000"/>
          <w:spacing w:val="0"/>
          <w:w w:val="100"/>
          <w:position w:val="0"/>
          <w:sz w:val="24"/>
          <w:szCs w:val="24"/>
        </w:rPr>
        <w:t>HAND ENTERPRISE SOLUTIONS USA.INC.</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（以下简称“汉得加州”），2016年4月起，汉得加州纳入合并范围。</w:t>
      </w:r>
    </w:p>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（2） 2016年8月，公司与上海汇宣企业管理咨询合伙企业（有限合伙）共同出资100万元设立 上海甄汇信息科技有限公司（以下简称“甄汇信息”），其中公司出资72万元，占注册资本 的72% （软件著作权出资72万元）；上海汇宣企业管理咨询合伙企业（有限合伙）出资28万元, 占注册资本的28%（货币出资28万元）。2016年8月起，甄汇信息纳入合并范围。</w:t>
      </w:r>
    </w:p>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本年减少合并单位1家，原因为：</w:t>
      </w:r>
    </w:p>
    <w:p>
      <w:pPr>
        <w:pStyle w:val="Style30"/>
        <w:keepNext w:val="0"/>
        <w:keepLines w:val="0"/>
        <w:widowControl w:val="0"/>
        <w:shd w:val="clear" w:color="auto" w:fill="auto"/>
        <w:bidi w:val="0"/>
        <w:spacing w:before="0" w:after="240" w:line="466" w:lineRule="exact"/>
        <w:ind w:left="0" w:right="0" w:firstLine="0"/>
        <w:jc w:val="left"/>
      </w:pPr>
      <w:r>
        <w:rPr>
          <w:color w:val="000000"/>
          <w:spacing w:val="0"/>
          <w:w w:val="100"/>
          <w:position w:val="0"/>
          <w:sz w:val="24"/>
          <w:szCs w:val="24"/>
        </w:rPr>
        <w:t>2016年2月1日恒大汇思（北京）咨询有限公司注销，2016年2月起不纳入合并范围。</w:t>
      </w:r>
    </w:p>
    <w:p>
      <w:pPr>
        <w:pStyle w:val="Style21"/>
        <w:keepNext/>
        <w:keepLines/>
        <w:widowControl w:val="0"/>
        <w:shd w:val="clear" w:color="auto" w:fill="auto"/>
        <w:bidi w:val="0"/>
        <w:spacing w:before="0" w:after="360" w:line="466"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、聘任、解聘会计师事务所情况</w:t>
      </w:r>
      <w:bookmarkEnd w:id="316"/>
      <w:bookmarkEnd w:id="317"/>
      <w:bookmarkEnd w:id="319"/>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顾雪峰、何剑</w:t>
            </w:r>
          </w:p>
        </w:tc>
      </w:tr>
    </w:tbl>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99" w:line="1" w:lineRule="exact"/>
      </w:pPr>
    </w:p>
    <w:p>
      <w:pPr>
        <w:pStyle w:val="Style21"/>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九</w:t>
      </w:r>
      <w:bookmarkEnd w:id="322"/>
      <w:r>
        <w:rPr>
          <w:color w:val="000000"/>
          <w:spacing w:val="0"/>
          <w:w w:val="100"/>
          <w:position w:val="0"/>
          <w:sz w:val="24"/>
          <w:szCs w:val="24"/>
        </w:rPr>
        <w:t>、年度报告披露后面临暂停上市和终止上市情况</w:t>
      </w:r>
      <w:bookmarkEnd w:id="320"/>
      <w:bookmarkEnd w:id="321"/>
      <w:bookmarkEnd w:id="323"/>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十、破产重整相关事项</w:t>
      </w:r>
      <w:bookmarkEnd w:id="324"/>
      <w:bookmarkEnd w:id="325"/>
      <w:bookmarkEnd w:id="326"/>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十一、重大诉讼、仲裁事项</w:t>
      </w:r>
      <w:bookmarkEnd w:id="327"/>
      <w:bookmarkEnd w:id="328"/>
      <w:bookmarkEnd w:id="329"/>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1"/>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十二、处罚及整改情况</w:t>
      </w:r>
      <w:bookmarkEnd w:id="330"/>
      <w:bookmarkEnd w:id="331"/>
      <w:bookmarkEnd w:id="33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477" w:lineRule="exact"/>
        <w:ind w:left="0" w:right="0" w:firstLine="0"/>
        <w:jc w:val="left"/>
      </w:pPr>
      <w:bookmarkStart w:id="333" w:name="bookmark333"/>
      <w:bookmarkStart w:id="334" w:name="bookmark334"/>
      <w:bookmarkStart w:id="335" w:name="bookmark335"/>
      <w:r>
        <w:rPr>
          <w:color w:val="000000"/>
          <w:spacing w:val="0"/>
          <w:w w:val="100"/>
          <w:position w:val="0"/>
          <w:sz w:val="24"/>
          <w:szCs w:val="24"/>
        </w:rPr>
        <w:t>十三、公司及其控股股东、实际控制人的诚信状况</w:t>
      </w:r>
      <w:bookmarkEnd w:id="333"/>
      <w:bookmarkEnd w:id="334"/>
      <w:bookmarkEnd w:id="335"/>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477" w:lineRule="exact"/>
        <w:ind w:left="0" w:right="0" w:firstLine="0"/>
        <w:jc w:val="left"/>
      </w:pPr>
      <w:bookmarkStart w:id="336" w:name="bookmark336"/>
      <w:bookmarkStart w:id="337" w:name="bookmark337"/>
      <w:bookmarkStart w:id="338" w:name="bookmark338"/>
      <w:r>
        <w:rPr>
          <w:color w:val="000000"/>
          <w:spacing w:val="0"/>
          <w:w w:val="100"/>
          <w:position w:val="0"/>
          <w:sz w:val="24"/>
          <w:szCs w:val="24"/>
        </w:rPr>
        <w:t>十四、公司股权激励计划、员工持股计划或其他员工激励措施的实施情况</w:t>
      </w:r>
      <w:bookmarkEnd w:id="336"/>
      <w:bookmarkEnd w:id="337"/>
      <w:bookmarkEnd w:id="33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962" w:val="left"/>
        </w:tabs>
        <w:bidi w:val="0"/>
        <w:spacing w:before="0" w:after="0" w:line="477" w:lineRule="exact"/>
        <w:ind w:left="0" w:right="0" w:firstLine="480"/>
        <w:jc w:val="both"/>
      </w:pPr>
      <w:bookmarkStart w:id="339" w:name="bookmark339"/>
      <w:r>
        <w:rPr>
          <w:color w:val="000000"/>
          <w:spacing w:val="0"/>
          <w:w w:val="100"/>
          <w:position w:val="0"/>
          <w:sz w:val="24"/>
          <w:szCs w:val="24"/>
        </w:rPr>
        <w:t>一</w:t>
      </w:r>
      <w:bookmarkEnd w:id="339"/>
      <w:r>
        <w:rPr>
          <w:color w:val="000000"/>
          <w:spacing w:val="0"/>
          <w:w w:val="100"/>
          <w:position w:val="0"/>
          <w:sz w:val="24"/>
          <w:szCs w:val="24"/>
        </w:rPr>
        <w:t>、</w:t>
        <w:tab/>
        <w:t>报告期内，公司办理了 2012年股权激励计划第三期、2013年股权激励计划第二期、 2015年股权激励计划第一期及2014年股权激励计划第二期限制性股票的解锁手续，具体情况 如下：</w:t>
      </w:r>
    </w:p>
    <w:p>
      <w:pPr>
        <w:pStyle w:val="Style30"/>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1、2016年5月17日，公司2012年股权激励计划第三期为16,316,900股限制性股票解锁手 续办理完毕，占公司股本总额的1.95%；实际上市流通数量为15,990,848股，占当时公司股本 总额的1.91%,本次申请解锁的激励对象人数为273名。详情参见2016年5月12日披露于证监会 指定创业板信息披露媒体之相关公告。</w:t>
      </w:r>
    </w:p>
    <w:p>
      <w:pPr>
        <w:pStyle w:val="Style30"/>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2.2016</w:t>
      </w:r>
      <w:r>
        <w:rPr>
          <w:color w:val="000000"/>
          <w:spacing w:val="0"/>
          <w:w w:val="100"/>
          <w:position w:val="0"/>
          <w:sz w:val="24"/>
          <w:szCs w:val="24"/>
        </w:rPr>
        <w:t>年5月24日，公司2013年股权激励计划第二期4,670,167股限制性股票解锁手续 办理完毕，占公司股本总额的0.56%，实际上市流通数量为4,611,914股，占当时公司股本总 额的0.55%,本次申请解锁的激励对象人数为219名。详情参见2016年5月20日披露于证监会指 定创业板信息披露媒体之相关公告。</w:t>
      </w:r>
    </w:p>
    <w:p>
      <w:pPr>
        <w:pStyle w:val="Style30"/>
        <w:keepNext w:val="0"/>
        <w:keepLines w:val="0"/>
        <w:widowControl w:val="0"/>
        <w:shd w:val="clear" w:color="auto" w:fill="auto"/>
        <w:bidi w:val="0"/>
        <w:spacing w:before="0" w:after="0" w:line="477" w:lineRule="exact"/>
        <w:ind w:left="0" w:right="0" w:firstLine="480"/>
        <w:jc w:val="both"/>
      </w:pPr>
      <w:bookmarkStart w:id="340" w:name="bookmark340"/>
      <w:r>
        <w:rPr>
          <w:color w:val="000000"/>
          <w:spacing w:val="0"/>
          <w:w w:val="100"/>
          <w:position w:val="0"/>
          <w:sz w:val="24"/>
          <w:szCs w:val="24"/>
        </w:rPr>
        <w:t>3</w:t>
      </w:r>
      <w:bookmarkEnd w:id="340"/>
      <w:r>
        <w:rPr>
          <w:color w:val="000000"/>
          <w:spacing w:val="0"/>
          <w:w w:val="100"/>
          <w:position w:val="0"/>
          <w:sz w:val="24"/>
          <w:szCs w:val="24"/>
        </w:rPr>
        <w:t>、2016年10月27日，公司2015年股权激励计划第一期1,217,100股限制性股票解锁手续 办理完毕，占公司股本总额的0.14%；实际可上市流通数量1,217,100股，占当时公司股本总 额的0.14%,本次申请解锁的激励对象人数为206名。详情参见2016年10月24日披露于证监会 指定创业板信息披露媒体之相关公告。</w:t>
      </w:r>
    </w:p>
    <w:p>
      <w:pPr>
        <w:pStyle w:val="Style30"/>
        <w:keepNext w:val="0"/>
        <w:keepLines w:val="0"/>
        <w:widowControl w:val="0"/>
        <w:shd w:val="clear" w:color="auto" w:fill="auto"/>
        <w:bidi w:val="0"/>
        <w:spacing w:before="0" w:after="0" w:line="477" w:lineRule="exact"/>
        <w:ind w:left="0" w:right="0" w:firstLine="480"/>
        <w:jc w:val="both"/>
      </w:pPr>
      <w:r>
        <w:rPr>
          <w:color w:val="000000"/>
          <w:spacing w:val="0"/>
          <w:w w:val="100"/>
          <w:position w:val="0"/>
          <w:sz w:val="24"/>
          <w:szCs w:val="24"/>
        </w:rPr>
        <w:t>4.2016</w:t>
      </w:r>
      <w:r>
        <w:rPr>
          <w:color w:val="000000"/>
          <w:spacing w:val="0"/>
          <w:w w:val="100"/>
          <w:position w:val="0"/>
          <w:sz w:val="24"/>
          <w:szCs w:val="24"/>
        </w:rPr>
        <w:t>年11月21日，公司2014年股权激励计划第二期5,096,700股限制性股票解锁手续 办理完毕，占公司股本总额的0.59% ；实际可上市流通数量5,096,700股，占当时公司股本总 额的0.59%,本次申请解锁的激励对象人数为487名。详情参见2016年11月16日披露于证监会 指定创业板信息披露媒体之相关公告。</w:t>
      </w:r>
    </w:p>
    <w:p>
      <w:pPr>
        <w:pStyle w:val="Style30"/>
        <w:keepNext w:val="0"/>
        <w:keepLines w:val="0"/>
        <w:widowControl w:val="0"/>
        <w:shd w:val="clear" w:color="auto" w:fill="auto"/>
        <w:tabs>
          <w:tab w:pos="964" w:val="left"/>
        </w:tabs>
        <w:bidi w:val="0"/>
        <w:spacing w:before="0" w:after="0" w:line="472" w:lineRule="exact"/>
        <w:ind w:left="0" w:right="0" w:firstLine="480"/>
        <w:jc w:val="both"/>
      </w:pPr>
      <w:bookmarkStart w:id="341" w:name="bookmark341"/>
      <w:r>
        <w:rPr>
          <w:color w:val="000000"/>
          <w:spacing w:val="0"/>
          <w:w w:val="100"/>
          <w:position w:val="0"/>
          <w:sz w:val="24"/>
          <w:szCs w:val="24"/>
        </w:rPr>
        <w:t>二</w:t>
      </w:r>
      <w:bookmarkEnd w:id="341"/>
      <w:r>
        <w:rPr>
          <w:color w:val="000000"/>
          <w:spacing w:val="0"/>
          <w:w w:val="100"/>
          <w:position w:val="0"/>
          <w:sz w:val="24"/>
          <w:szCs w:val="24"/>
        </w:rPr>
        <w:t>、</w:t>
        <w:tab/>
        <w:t>报告期内，公司推出了《上海汉得信息技术股份有限公司2016年限制性股票激励计 划》，其实施情况如下：</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 xml:space="preserve">1、2016年7月6日，公司召开了第二届董事会第四十五次（临时）会议，审议通过了《上 海汉得信息技术股份有限公司2016年限制性股票激励计划（草案）》（以下简称“《2016年 股权激励计划》”）及摘要、《上海汉得信息技术股份有限公司2016年限制性股票激励计划 </w:t>
      </w:r>
      <w:r>
        <w:rPr>
          <w:color w:val="000000"/>
          <w:spacing w:val="0"/>
          <w:w w:val="100"/>
          <w:position w:val="0"/>
          <w:sz w:val="24"/>
          <w:szCs w:val="24"/>
        </w:rPr>
        <w:t>实施考核办法》（以下简称“《考核办法》”）、《关于提请股东大会授权董事会办理公司 2016年限制性股票激励计划相关事宜的议案》（以下简称“《授权议案》”）。同日，独立 董事发表同意的独立意见。</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 xml:space="preserve">2. </w:t>
      </w:r>
      <w:r>
        <w:rPr>
          <w:color w:val="000000"/>
          <w:spacing w:val="0"/>
          <w:w w:val="100"/>
          <w:position w:val="0"/>
          <w:sz w:val="24"/>
          <w:szCs w:val="24"/>
        </w:rPr>
        <w:t>2016年7月6日，公司召开了第二届监事会第三十五次（临时）会议，审议通过了《2016 年股权激励计划》及其摘要与《关于核查公司2016年限制性股票激励计划（草案）激励对象 名单的议案》。对本次获授限制性股票的激励对象名单进行了核查，认为本次获授限制性股 票的激励对象主体资格合法、有效。</w:t>
      </w:r>
    </w:p>
    <w:p>
      <w:pPr>
        <w:pStyle w:val="Style30"/>
        <w:keepNext w:val="0"/>
        <w:keepLines w:val="0"/>
        <w:widowControl w:val="0"/>
        <w:shd w:val="clear" w:color="auto" w:fill="auto"/>
        <w:bidi w:val="0"/>
        <w:spacing w:before="0" w:after="0" w:line="485" w:lineRule="exact"/>
        <w:ind w:left="0" w:right="0" w:firstLine="480"/>
        <w:jc w:val="both"/>
      </w:pPr>
      <w:r>
        <w:rPr>
          <w:color w:val="000000"/>
          <w:spacing w:val="0"/>
          <w:w w:val="100"/>
          <w:position w:val="0"/>
          <w:sz w:val="24"/>
          <w:szCs w:val="24"/>
        </w:rPr>
        <w:t>3.2016</w:t>
      </w:r>
      <w:r>
        <w:rPr>
          <w:color w:val="000000"/>
          <w:spacing w:val="0"/>
          <w:w w:val="100"/>
          <w:position w:val="0"/>
          <w:sz w:val="24"/>
          <w:szCs w:val="24"/>
        </w:rPr>
        <w:t>年7月22日，公司召开了2016年第一次临时股东大会，审议通过了《2016年股权 激励计划》及其摘要、《考核办法》及《授权议案》。</w:t>
      </w:r>
    </w:p>
    <w:p>
      <w:pPr>
        <w:pStyle w:val="Style30"/>
        <w:keepNext w:val="0"/>
        <w:keepLines w:val="0"/>
        <w:widowControl w:val="0"/>
        <w:numPr>
          <w:ilvl w:val="0"/>
          <w:numId w:val="15"/>
        </w:numPr>
        <w:shd w:val="clear" w:color="auto" w:fill="auto"/>
        <w:tabs>
          <w:tab w:pos="822" w:val="left"/>
        </w:tabs>
        <w:bidi w:val="0"/>
        <w:spacing w:before="0" w:after="0" w:line="469" w:lineRule="exact"/>
        <w:ind w:left="0" w:right="0" w:firstLine="480"/>
        <w:jc w:val="both"/>
      </w:pPr>
      <w:bookmarkStart w:id="342" w:name="bookmark342"/>
      <w:bookmarkEnd w:id="342"/>
      <w:r>
        <w:rPr>
          <w:color w:val="000000"/>
          <w:spacing w:val="0"/>
          <w:w w:val="100"/>
          <w:position w:val="0"/>
          <w:sz w:val="24"/>
          <w:szCs w:val="24"/>
        </w:rPr>
        <w:t>2016年7月22日，公司召开了第二届董事会第四十六次（临时）会议，审议通过了《关 于向激励对象授予限制性股票的议案》，确定公司本次限制性股票的授予日为2016年7月22 日。本次限制性股票激励计划授予激励对象的限制性股票数量为</w:t>
      </w:r>
      <w:r>
        <w:rPr>
          <w:color w:val="000000"/>
          <w:spacing w:val="0"/>
          <w:w w:val="100"/>
          <w:position w:val="0"/>
          <w:sz w:val="24"/>
          <w:szCs w:val="24"/>
        </w:rPr>
        <w:t>2929.35</w:t>
      </w:r>
      <w:r>
        <w:rPr>
          <w:color w:val="000000"/>
          <w:spacing w:val="0"/>
          <w:w w:val="100"/>
          <w:position w:val="0"/>
          <w:sz w:val="24"/>
          <w:szCs w:val="24"/>
        </w:rPr>
        <w:t>万股，占公司已发行 股本总额的3.51%。授予价格为</w:t>
      </w:r>
      <w:r>
        <w:rPr>
          <w:color w:val="000000"/>
          <w:spacing w:val="0"/>
          <w:w w:val="100"/>
          <w:position w:val="0"/>
          <w:sz w:val="24"/>
          <w:szCs w:val="24"/>
        </w:rPr>
        <w:t>7.27</w:t>
      </w:r>
      <w:r>
        <w:rPr>
          <w:color w:val="000000"/>
          <w:spacing w:val="0"/>
          <w:w w:val="100"/>
          <w:position w:val="0"/>
          <w:sz w:val="24"/>
          <w:szCs w:val="24"/>
        </w:rPr>
        <w:t>元/股。</w:t>
      </w:r>
    </w:p>
    <w:p>
      <w:pPr>
        <w:pStyle w:val="Style30"/>
        <w:keepNext w:val="0"/>
        <w:keepLines w:val="0"/>
        <w:widowControl w:val="0"/>
        <w:numPr>
          <w:ilvl w:val="0"/>
          <w:numId w:val="15"/>
        </w:numPr>
        <w:shd w:val="clear" w:color="auto" w:fill="auto"/>
        <w:tabs>
          <w:tab w:pos="822" w:val="left"/>
        </w:tabs>
        <w:bidi w:val="0"/>
        <w:spacing w:before="0" w:after="0" w:line="472" w:lineRule="exact"/>
        <w:ind w:left="0" w:right="0" w:firstLine="480"/>
        <w:jc w:val="both"/>
      </w:pPr>
      <w:bookmarkStart w:id="343" w:name="bookmark343"/>
      <w:bookmarkEnd w:id="343"/>
      <w:r>
        <w:rPr>
          <w:color w:val="000000"/>
          <w:spacing w:val="0"/>
          <w:w w:val="100"/>
          <w:position w:val="0"/>
          <w:sz w:val="24"/>
          <w:szCs w:val="24"/>
        </w:rPr>
        <w:t>2016年7月22日，公司召开了第二届监事会第三十六次（临时）会议，审议通过了《关 于向激励对象授予限制性股票的议案》，并对《2016年股权激励计划》确定的1163名激励对 象名单进行核查，认为本次获授限制性股票的激励对象的主体资格合法、有效。</w:t>
      </w:r>
    </w:p>
    <w:p>
      <w:pPr>
        <w:pStyle w:val="Style30"/>
        <w:keepNext w:val="0"/>
        <w:keepLines w:val="0"/>
        <w:widowControl w:val="0"/>
        <w:shd w:val="clear" w:color="auto" w:fill="auto"/>
        <w:tabs>
          <w:tab w:pos="822" w:val="left"/>
        </w:tabs>
        <w:bidi w:val="0"/>
        <w:spacing w:before="0" w:after="0" w:line="472" w:lineRule="exact"/>
        <w:ind w:left="0" w:right="0" w:firstLine="480"/>
        <w:jc w:val="both"/>
      </w:pPr>
      <w:bookmarkStart w:id="344" w:name="bookmark344"/>
      <w:r>
        <w:rPr>
          <w:color w:val="000000"/>
          <w:spacing w:val="0"/>
          <w:w w:val="100"/>
          <w:position w:val="0"/>
          <w:sz w:val="24"/>
          <w:szCs w:val="24"/>
        </w:rPr>
        <w:t>6</w:t>
      </w:r>
      <w:bookmarkEnd w:id="344"/>
      <w:r>
        <w:rPr>
          <w:color w:val="000000"/>
          <w:spacing w:val="0"/>
          <w:w w:val="100"/>
          <w:position w:val="0"/>
          <w:sz w:val="24"/>
          <w:szCs w:val="24"/>
        </w:rPr>
        <w:t>、</w:t>
        <w:tab/>
        <w:t>2016年9月5日，公司召开了第三届董事会第二次（临时）会议，审议通过了《关于调 整公司2016年限制性股票激励计划的议案》，截止该次董事会召开之日，共有52名激励对象 因离职丧失激励对象资格，72名激励对象自愿放弃认购授予其的全部限制性股票，公司董事 会同意取消上述124人的激励对象资格并取消授予其的全部限制性股票；5人自愿放弃认购授 予其的部分限制性股票，公司董事会同意取消上述5人被授予的部分限制性股票。因此，董事 会将《2016年股权激励计划》确定的激励对象人数调整为1039人，并将《2016年股权激励计 划》拟授予的股份数量调整至</w:t>
      </w:r>
      <w:r>
        <w:rPr>
          <w:color w:val="000000"/>
          <w:spacing w:val="0"/>
          <w:w w:val="100"/>
          <w:position w:val="0"/>
          <w:sz w:val="24"/>
          <w:szCs w:val="24"/>
        </w:rPr>
        <w:t>2709.55</w:t>
      </w:r>
      <w:r>
        <w:rPr>
          <w:color w:val="000000"/>
          <w:spacing w:val="0"/>
          <w:w w:val="100"/>
          <w:position w:val="0"/>
          <w:sz w:val="24"/>
          <w:szCs w:val="24"/>
        </w:rPr>
        <w:t>万股。同日，独立董事发表同意的独立意见。</w:t>
      </w:r>
    </w:p>
    <w:p>
      <w:pPr>
        <w:pStyle w:val="Style30"/>
        <w:keepNext w:val="0"/>
        <w:keepLines w:val="0"/>
        <w:widowControl w:val="0"/>
        <w:shd w:val="clear" w:color="auto" w:fill="auto"/>
        <w:tabs>
          <w:tab w:pos="822" w:val="left"/>
        </w:tabs>
        <w:bidi w:val="0"/>
        <w:spacing w:before="0" w:after="0" w:line="470" w:lineRule="exact"/>
        <w:ind w:left="0" w:right="0" w:firstLine="480"/>
        <w:jc w:val="both"/>
      </w:pPr>
      <w:bookmarkStart w:id="345" w:name="bookmark345"/>
      <w:r>
        <w:rPr>
          <w:color w:val="000000"/>
          <w:spacing w:val="0"/>
          <w:w w:val="100"/>
          <w:position w:val="0"/>
          <w:sz w:val="24"/>
          <w:szCs w:val="24"/>
        </w:rPr>
        <w:t>7</w:t>
      </w:r>
      <w:bookmarkEnd w:id="345"/>
      <w:r>
        <w:rPr>
          <w:color w:val="000000"/>
          <w:spacing w:val="0"/>
          <w:w w:val="100"/>
          <w:position w:val="0"/>
          <w:sz w:val="24"/>
          <w:szCs w:val="24"/>
        </w:rPr>
        <w:t>、</w:t>
        <w:tab/>
        <w:t>2016年9月5日，公司召开了第三届监事会第二次（临时）会议，审议通过了《关于调 整公司2016年限制性股票激励计划的议案》，同意公司对《2016年股权激励计划》的调整。</w:t>
      </w:r>
    </w:p>
    <w:p>
      <w:pPr>
        <w:pStyle w:val="Style30"/>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8.2016</w:t>
      </w:r>
      <w:r>
        <w:rPr>
          <w:color w:val="000000"/>
          <w:spacing w:val="0"/>
          <w:w w:val="100"/>
          <w:position w:val="0"/>
          <w:sz w:val="24"/>
          <w:szCs w:val="24"/>
        </w:rPr>
        <w:t>年9月21日，中国证券登记结算有限责任公司深圳分公司完成了对公司2016年股 权激励计划的登记确认，公司向1039名激励对象定向发行</w:t>
      </w:r>
      <w:r>
        <w:rPr>
          <w:color w:val="000000"/>
          <w:spacing w:val="0"/>
          <w:w w:val="100"/>
          <w:position w:val="0"/>
          <w:sz w:val="24"/>
          <w:szCs w:val="24"/>
        </w:rPr>
        <w:t>2709.55</w:t>
      </w:r>
      <w:r>
        <w:rPr>
          <w:color w:val="000000"/>
          <w:spacing w:val="0"/>
          <w:w w:val="100"/>
          <w:position w:val="0"/>
          <w:sz w:val="24"/>
          <w:szCs w:val="24"/>
        </w:rPr>
        <w:t>万股限制性股票，每股</w:t>
      </w:r>
      <w:r>
        <w:rPr>
          <w:color w:val="000000"/>
          <w:spacing w:val="0"/>
          <w:w w:val="100"/>
          <w:position w:val="0"/>
          <w:sz w:val="24"/>
          <w:szCs w:val="24"/>
        </w:rPr>
        <w:t xml:space="preserve">7.27 </w:t>
      </w:r>
      <w:r>
        <w:rPr>
          <w:color w:val="000000"/>
          <w:spacing w:val="0"/>
          <w:w w:val="100"/>
          <w:position w:val="0"/>
          <w:sz w:val="24"/>
          <w:szCs w:val="24"/>
        </w:rPr>
        <w:t>元，授予股份的上市日期为2016年9月22日。2016年股权激励计划授予完成后，公司股份总数 由原来的835,374,634股增加至862,470,134股。</w:t>
      </w:r>
    </w:p>
    <w:p>
      <w:pPr>
        <w:pStyle w:val="Style30"/>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报告期内，公司2012年、2013年、2014年及2015年股权激励计划的持续解锁，以及2016 年股权激励计划的顺利授予，基本建立了一套公司核心技术（业务）人员的行之有效的长期 激励、考核和约束机制，进而充分调动了公司核心技术（业务）人员的积极性，有效地将股 东利益、公司利益和个人利益结合在一起，能够极大地激发员工的潜力和创造力，加强凝聚 力，提升竞争力，确保公司未来发展战略和经营目标的实现，并为稳定和吸引优秀的管理人 才、业务和技术人才提供一个良好的激励平台，实现股东、公司和激励对象各方利益的一致, 维护股东利益，为股东带来更为持久、丰厚的回报。</w:t>
      </w:r>
    </w:p>
    <w:p>
      <w:pPr>
        <w:pStyle w:val="Style30"/>
        <w:keepNext w:val="0"/>
        <w:keepLines w:val="0"/>
        <w:widowControl w:val="0"/>
        <w:shd w:val="clear" w:color="auto" w:fill="auto"/>
        <w:bidi w:val="0"/>
        <w:spacing w:before="0" w:after="360" w:line="470" w:lineRule="exact"/>
        <w:ind w:left="0" w:right="0" w:firstLine="0"/>
        <w:jc w:val="left"/>
      </w:pPr>
      <w:r>
        <w:rPr>
          <w:b/>
          <w:bCs/>
          <w:color w:val="000000"/>
          <w:spacing w:val="0"/>
          <w:w w:val="100"/>
          <w:position w:val="0"/>
          <w:sz w:val="24"/>
          <w:szCs w:val="24"/>
        </w:rPr>
        <w:t>十五、重大关联交易</w:t>
      </w:r>
    </w:p>
    <w:p>
      <w:pPr>
        <w:pStyle w:val="Style47"/>
        <w:keepNext w:val="0"/>
        <w:keepLines w:val="0"/>
        <w:widowControl w:val="0"/>
        <w:shd w:val="clear" w:color="auto" w:fill="auto"/>
        <w:tabs>
          <w:tab w:pos="373" w:val="left"/>
        </w:tabs>
        <w:bidi w:val="0"/>
        <w:spacing w:before="0" w:line="240" w:lineRule="auto"/>
        <w:ind w:left="0" w:right="0" w:firstLine="0"/>
        <w:jc w:val="left"/>
      </w:pPr>
      <w:bookmarkStart w:id="346" w:name="bookmark346"/>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与日常经营相关的关联交易</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347" w:name="bookmark347"/>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资产或股权收购、出售发生的关联交易</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348" w:name="bookmark348"/>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349" w:name="bookmark349"/>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350" w:name="bookmark350"/>
      <w:r>
        <w:rPr>
          <w:rFonts w:ascii="Times New Roman" w:eastAsia="Times New Roman" w:hAnsi="Times New Roman" w:cs="Times New Roman"/>
          <w:color w:val="000000"/>
          <w:spacing w:val="0"/>
          <w:w w:val="100"/>
          <w:position w:val="0"/>
        </w:rPr>
        <w:t>5</w:t>
      </w:r>
      <w:bookmarkEnd w:id="350"/>
      <w:r>
        <w:rPr>
          <w:color w:val="000000"/>
          <w:spacing w:val="0"/>
          <w:w w:val="100"/>
          <w:position w:val="0"/>
        </w:rPr>
        <w:t>、</w:t>
        <w:tab/>
        <w:t>其他重大关联交易</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360" w:line="472" w:lineRule="exact"/>
        <w:ind w:left="0" w:right="0" w:firstLine="500"/>
        <w:jc w:val="both"/>
      </w:pPr>
      <w:r>
        <w:rPr>
          <w:color w:val="000000"/>
          <w:spacing w:val="0"/>
          <w:w w:val="100"/>
          <w:position w:val="0"/>
          <w:sz w:val="24"/>
          <w:szCs w:val="24"/>
        </w:rPr>
        <w:t>公司2016年9月12日召开的第三届董事会第三次（临时）会议审议通过了《关于控股子公 司上海甄汇信息科技有限公司增资扩股暨关联交易的议案》，董事会同意控股子公司上海甄 汇信息科技有限公司由宁波软银宏达创业投资合伙企业（有限合伙）、上海蓝三木月投资中 心（有限合伙）、上海众麟投资中心（有限合伙）、上海得泛企业管理咨询合伙企业（有限 合伙）、以及公司实际控制人陈迪清、范建震共同出资进行增资扩股。</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陈迪清、范建震系公司控股股东、实际控制人，二者为一致行动人，根据相关规则的规 定陈迪清、范建震为公司的关联方，该事项构成了关联交易。</w:t>
      </w:r>
    </w:p>
    <w:p>
      <w:pPr>
        <w:pStyle w:val="Style30"/>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公司2016年12月9日召开的第三届董事会第八次（临时）会议审议通过了《关于控股子公 司上海汉得知云软件有限公司增资扩股暨关联交易的议案》，董事会同意控股子公司上海汉 得知云软件有限公司（以下简称“汉得知云”）由上海项凯投资管理合伙企业（有限合伙）、 公司实际控制人陈迪清和范建震、典坚有限公司共同出资进行增资扩股。</w:t>
      </w:r>
    </w:p>
    <w:p>
      <w:pPr>
        <w:pStyle w:val="Style30"/>
        <w:keepNext w:val="0"/>
        <w:keepLines w:val="0"/>
        <w:widowControl w:val="0"/>
        <w:shd w:val="clear" w:color="auto" w:fill="auto"/>
        <w:bidi w:val="0"/>
        <w:spacing w:before="0" w:after="180" w:line="470" w:lineRule="exact"/>
        <w:ind w:left="0" w:right="0" w:firstLine="480"/>
        <w:jc w:val="both"/>
      </w:pPr>
      <w:r>
        <w:rPr>
          <w:color w:val="000000"/>
          <w:spacing w:val="0"/>
          <w:w w:val="100"/>
          <w:position w:val="0"/>
          <w:sz w:val="24"/>
          <w:szCs w:val="24"/>
        </w:rPr>
        <w:t>公司实际控制人陈迪清、范建震通过二者共同成立的上海观岩企业管理咨询合伙企业（有 限合伙）向汉得知云注资，根据相关规则的规定上海观岩企业管理咨询合伙企业（有限合伙） 为公司的关联方，该事项构成了关联交易。</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临时公告披露网站名称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关于控股子公司上海甄汇信息科技有限公 司引入战略投资者进行增资扩股暨关联交 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关于控股子公司上海甄汇信息科技有限公 司引入战略投资者进行增资扩股暨关联交 易的进展公告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关于控股子公司上海汉得知云软件有限公 司增资扩股暨关联交易的公告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年第四次临时股东大会决议公告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关于控股子公司上海汉得知云软件有限公 司增资扩股暨关联交易的进展公告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十六、重大合同及其履行情况</w:t>
      </w:r>
      <w:bookmarkEnd w:id="351"/>
      <w:bookmarkEnd w:id="352"/>
      <w:bookmarkEnd w:id="353"/>
    </w:p>
    <w:p>
      <w:pPr>
        <w:pStyle w:val="Style26"/>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、托管、承包、租赁事项情况</w:t>
      </w:r>
      <w:bookmarkEnd w:id="354"/>
      <w:bookmarkEnd w:id="355"/>
      <w:bookmarkEnd w:id="357"/>
    </w:p>
    <w:p>
      <w:pPr>
        <w:pStyle w:val="Style26"/>
        <w:keepNext/>
        <w:keepLines/>
        <w:widowControl w:val="0"/>
        <w:shd w:val="clear" w:color="auto" w:fill="auto"/>
        <w:tabs>
          <w:tab w:pos="493" w:val="left"/>
        </w:tabs>
        <w:bidi w:val="0"/>
        <w:spacing w:before="0" w:after="340" w:line="240" w:lineRule="auto"/>
        <w:ind w:left="0" w:right="0" w:firstLine="0"/>
        <w:jc w:val="left"/>
      </w:pPr>
      <w:bookmarkStart w:id="354" w:name="bookmark354"/>
      <w:bookmarkStart w:id="355" w:name="bookmark355"/>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4"/>
      <w:bookmarkEnd w:id="355"/>
      <w:bookmarkEnd w:id="359"/>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26"/>
        <w:keepNext/>
        <w:keepLines/>
        <w:widowControl w:val="0"/>
        <w:shd w:val="clear" w:color="auto" w:fill="auto"/>
        <w:tabs>
          <w:tab w:pos="493" w:val="left"/>
        </w:tabs>
        <w:bidi w:val="0"/>
        <w:spacing w:before="0" w:after="34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0"/>
      <w:bookmarkEnd w:id="361"/>
      <w:bookmarkEnd w:id="363"/>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26"/>
        <w:keepNext/>
        <w:keepLines/>
        <w:widowControl w:val="0"/>
        <w:shd w:val="clear" w:color="auto" w:fill="auto"/>
        <w:bidi w:val="0"/>
        <w:spacing w:before="0" w:after="34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64"/>
      <w:bookmarkEnd w:id="365"/>
      <w:bookmarkEnd w:id="367"/>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公司报告期不存在租赁情况。</w:t>
      </w:r>
    </w:p>
    <w:p>
      <w:pPr>
        <w:pStyle w:val="Style26"/>
        <w:keepNext/>
        <w:keepLines/>
        <w:widowControl w:val="0"/>
        <w:shd w:val="clear" w:color="auto" w:fill="auto"/>
        <w:tabs>
          <w:tab w:pos="382" w:val="left"/>
        </w:tabs>
        <w:bidi w:val="0"/>
        <w:spacing w:before="0" w:after="34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重大担保</w:t>
      </w:r>
      <w:bookmarkEnd w:id="368"/>
      <w:bookmarkEnd w:id="369"/>
      <w:bookmarkEnd w:id="371"/>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公司报告期不存在担保情况。</w:t>
      </w:r>
    </w:p>
    <w:p>
      <w:pPr>
        <w:pStyle w:val="Style26"/>
        <w:keepNext/>
        <w:keepLines/>
        <w:widowControl w:val="0"/>
        <w:shd w:val="clear" w:color="auto" w:fill="auto"/>
        <w:tabs>
          <w:tab w:pos="382" w:val="left"/>
        </w:tabs>
        <w:bidi w:val="0"/>
        <w:spacing w:before="0" w:after="34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委托他人进行现金资产管理情况</w:t>
      </w:r>
      <w:bookmarkEnd w:id="372"/>
      <w:bookmarkEnd w:id="373"/>
      <w:bookmarkEnd w:id="375"/>
    </w:p>
    <w:p>
      <w:pPr>
        <w:pStyle w:val="Style26"/>
        <w:keepNext/>
        <w:keepLines/>
        <w:widowControl w:val="0"/>
        <w:shd w:val="clear" w:color="auto" w:fill="auto"/>
        <w:bidi w:val="0"/>
        <w:spacing w:before="0" w:after="340" w:line="240" w:lineRule="auto"/>
        <w:ind w:left="0" w:right="0" w:firstLine="0"/>
        <w:jc w:val="both"/>
      </w:pPr>
      <w:bookmarkStart w:id="372" w:name="bookmark372"/>
      <w:bookmarkStart w:id="373" w:name="bookmark373"/>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2"/>
      <w:bookmarkEnd w:id="373"/>
      <w:bookmarkEnd w:id="377"/>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损益实 际收回 情况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高盛（亚 洲）有限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投资评级 类债券及 高收益债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按照季度 末投资产 品市值的 一定比例 收取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6,087.7</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14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8"/>
      <w:bookmarkEnd w:id="379"/>
      <w:bookmarkEnd w:id="381"/>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47"/>
        <w:keepNext w:val="0"/>
        <w:keepLines w:val="0"/>
        <w:widowControl w:val="0"/>
        <w:shd w:val="clear" w:color="auto" w:fill="auto"/>
        <w:bidi w:val="0"/>
        <w:spacing w:before="0" w:line="240" w:lineRule="auto"/>
        <w:ind w:left="0" w:right="0" w:firstLine="0"/>
        <w:jc w:val="left"/>
      </w:pPr>
      <w:bookmarkStart w:id="382" w:name="bookmark382"/>
      <w:r>
        <w:rPr>
          <w:rFonts w:ascii="Times New Roman" w:eastAsia="Times New Roman" w:hAnsi="Times New Roman" w:cs="Times New Roman"/>
          <w:color w:val="000000"/>
          <w:spacing w:val="0"/>
          <w:w w:val="100"/>
          <w:position w:val="0"/>
        </w:rPr>
        <w:t>4</w:t>
      </w:r>
      <w:bookmarkEnd w:id="382"/>
      <w:r>
        <w:rPr>
          <w:color w:val="000000"/>
          <w:spacing w:val="0"/>
          <w:w w:val="100"/>
          <w:position w:val="0"/>
        </w:rPr>
        <w:t>、其他重大合同</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公司报告期不存在其他重大合同。</w:t>
      </w:r>
    </w:p>
    <w:p>
      <w:pPr>
        <w:pStyle w:val="Style30"/>
        <w:keepNext w:val="0"/>
        <w:keepLines w:val="0"/>
        <w:widowControl w:val="0"/>
        <w:shd w:val="clear" w:color="auto" w:fill="auto"/>
        <w:bidi w:val="0"/>
        <w:spacing w:before="0" w:after="360" w:line="467" w:lineRule="exact"/>
        <w:ind w:left="0" w:right="0" w:firstLine="0"/>
        <w:jc w:val="left"/>
      </w:pPr>
      <w:r>
        <w:rPr>
          <w:b/>
          <w:bCs/>
          <w:color w:val="000000"/>
          <w:spacing w:val="0"/>
          <w:w w:val="100"/>
          <w:position w:val="0"/>
          <w:sz w:val="24"/>
          <w:szCs w:val="24"/>
        </w:rPr>
        <w:t>十七、社会责任情况</w:t>
      </w:r>
    </w:p>
    <w:p>
      <w:pPr>
        <w:pStyle w:val="Style47"/>
        <w:keepNext w:val="0"/>
        <w:keepLines w:val="0"/>
        <w:widowControl w:val="0"/>
        <w:shd w:val="clear" w:color="auto" w:fill="auto"/>
        <w:tabs>
          <w:tab w:pos="375" w:val="left"/>
        </w:tabs>
        <w:bidi w:val="0"/>
        <w:spacing w:before="0" w:line="240" w:lineRule="auto"/>
        <w:ind w:left="0" w:right="0" w:firstLine="0"/>
        <w:jc w:val="left"/>
      </w:pPr>
      <w:bookmarkStart w:id="383" w:name="bookmark383"/>
      <w:r>
        <w:rPr>
          <w:rFonts w:ascii="Times New Roman" w:eastAsia="Times New Roman" w:hAnsi="Times New Roman" w:cs="Times New Roman"/>
          <w:color w:val="000000"/>
          <w:spacing w:val="0"/>
          <w:w w:val="100"/>
          <w:position w:val="0"/>
        </w:rPr>
        <w:t>1</w:t>
      </w:r>
      <w:bookmarkEnd w:id="383"/>
      <w:r>
        <w:rPr>
          <w:color w:val="000000"/>
          <w:spacing w:val="0"/>
          <w:w w:val="100"/>
          <w:position w:val="0"/>
        </w:rPr>
        <w:t>、</w:t>
        <w:tab/>
        <w:t>履行精准扶贫社会责任情况</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rPr>
        <w:t>3</w:t>
      </w:r>
      <w:r>
        <w:rPr>
          <w:color w:val="000000"/>
          <w:spacing w:val="0"/>
          <w:w w:val="100"/>
          <w:position w:val="0"/>
        </w:rPr>
        <w:t>）</w:t>
        <w:tab/>
        <w:t>后续精准扶贫计划</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after="220" w:line="240" w:lineRule="auto"/>
        <w:ind w:left="0" w:right="0" w:firstLine="0"/>
        <w:jc w:val="left"/>
      </w:pPr>
      <w:bookmarkStart w:id="387" w:name="bookmark387"/>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履行其他社会责任的情况</w:t>
      </w:r>
    </w:p>
    <w:p>
      <w:pPr>
        <w:pStyle w:val="Style3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公司的发展离不开社会的支持，回报社会是公司的责任和使命。公司在追求经济效益、 不断为股东创造价值的同时，积极维护职工的合法权益，诚信对待客户。</w:t>
      </w:r>
    </w:p>
    <w:p>
      <w:pPr>
        <w:pStyle w:val="Style3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公司严格按照《公司法》、《深圳证券交易所创业板股票上市规则》、《上市公司信息 披露管理办法》等相关法律法规的要求，及时、准确、真实、完整地进行信息披露，秉承着 公平、公正、公开的原则对待全体投资者，维护广大投资者的利益。通过投资者电话、电子 邮箱、公司网站和投资者关系互动平台等多种方式与投资者进行沟通交流，提高了公司的透 明度和诚信度。同时，公司严格按照《公司章程》的规定和要求，规范股东大会的召集、召 开及表决程序，通过现场、网络等合法有效的方式，让更多的股东特别是中小股东能够参加 股东大会，确保股东对公司重大事项的知情权、参与权和表决权。</w:t>
      </w:r>
    </w:p>
    <w:p>
      <w:pPr>
        <w:pStyle w:val="Style30"/>
        <w:keepNext w:val="0"/>
        <w:keepLines w:val="0"/>
        <w:widowControl w:val="0"/>
        <w:shd w:val="clear" w:color="auto" w:fill="auto"/>
        <w:bidi w:val="0"/>
        <w:spacing w:before="0" w:after="500" w:line="467" w:lineRule="exact"/>
        <w:ind w:left="0" w:right="0" w:firstLine="500"/>
        <w:jc w:val="both"/>
      </w:pPr>
      <w:r>
        <w:rPr>
          <w:color w:val="000000"/>
          <w:spacing w:val="0"/>
          <w:w w:val="100"/>
          <w:position w:val="0"/>
          <w:sz w:val="24"/>
          <w:szCs w:val="24"/>
        </w:rPr>
        <w:t>公司严格遵守《劳动法》等相关法律法规，通过多种方式为员工提供发展机会，尊重和 维护员工的个人权益，建立了较完善的绩效考核体系，公司通过为员工提供知识技能等方面 的培训，提升员工的专业技能和综合素质，实现员工与企业的共同成长。2017年，公司将在 为股东创造价值的同时，继续回馈社会，贡献价值，以实际行动践行企业社会责任。</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上市公司及其子公司是否属于环境保护部门公布的重点排污单位</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是否发布社会责任报告</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十八、其他重大事项的说明</w:t>
      </w:r>
      <w:bookmarkEnd w:id="388"/>
      <w:bookmarkEnd w:id="389"/>
      <w:bookmarkEnd w:id="390"/>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360" w:line="240" w:lineRule="auto"/>
        <w:ind w:left="0" w:right="0" w:firstLine="0"/>
        <w:jc w:val="both"/>
      </w:pPr>
      <w:bookmarkStart w:id="391" w:name="bookmark391"/>
      <w:bookmarkStart w:id="392" w:name="bookmark392"/>
      <w:bookmarkStart w:id="393" w:name="bookmark393"/>
      <w:r>
        <w:rPr>
          <w:color w:val="000000"/>
          <w:spacing w:val="0"/>
          <w:w w:val="100"/>
          <w:position w:val="0"/>
          <w:sz w:val="24"/>
          <w:szCs w:val="24"/>
        </w:rPr>
        <w:t>十九、公司子公司重大事项</w:t>
      </w:r>
      <w:bookmarkEnd w:id="391"/>
      <w:bookmarkEnd w:id="392"/>
      <w:bookmarkEnd w:id="393"/>
    </w:p>
    <w:p>
      <w:pPr>
        <w:pStyle w:val="Style23"/>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21" w:right="1046" w:bottom="1523"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600" w:after="540" w:line="240" w:lineRule="auto"/>
        <w:ind w:left="0" w:right="0" w:firstLine="0"/>
        <w:jc w:val="center"/>
      </w:pPr>
      <w:bookmarkStart w:id="397" w:name="bookmark397"/>
      <w:bookmarkStart w:id="398" w:name="bookmark398"/>
      <w:bookmarkStart w:id="399" w:name="bookmark399"/>
      <w:r>
        <w:rPr>
          <w:color w:val="000000"/>
          <w:spacing w:val="0"/>
          <w:w w:val="100"/>
          <w:position w:val="0"/>
        </w:rPr>
        <w:t>第六节股份变动及股东情况</w:t>
      </w:r>
      <w:bookmarkEnd w:id="397"/>
      <w:bookmarkEnd w:id="398"/>
      <w:bookmarkEnd w:id="399"/>
    </w:p>
    <w:p>
      <w:pPr>
        <w:pStyle w:val="Style21"/>
        <w:keepNext/>
        <w:keepLines/>
        <w:widowControl w:val="0"/>
        <w:shd w:val="clear" w:color="auto" w:fill="auto"/>
        <w:bidi w:val="0"/>
        <w:spacing w:before="0" w:line="240" w:lineRule="auto"/>
        <w:ind w:left="0" w:right="0" w:firstLine="0"/>
        <w:jc w:val="both"/>
      </w:pPr>
      <w:bookmarkStart w:id="400" w:name="bookmark400"/>
      <w:bookmarkStart w:id="401" w:name="bookmark401"/>
      <w:bookmarkStart w:id="402" w:name="bookmark402"/>
      <w:bookmarkStart w:id="403" w:name="bookmark403"/>
      <w:r>
        <w:rPr>
          <w:color w:val="000000"/>
          <w:spacing w:val="0"/>
          <w:w w:val="100"/>
          <w:position w:val="0"/>
          <w:sz w:val="24"/>
          <w:szCs w:val="24"/>
        </w:rPr>
        <w:t>一</w:t>
      </w:r>
      <w:bookmarkEnd w:id="402"/>
      <w:r>
        <w:rPr>
          <w:color w:val="000000"/>
          <w:spacing w:val="0"/>
          <w:w w:val="100"/>
          <w:position w:val="0"/>
          <w:sz w:val="24"/>
          <w:szCs w:val="24"/>
        </w:rPr>
        <w:t>、股份变动情况</w:t>
      </w:r>
      <w:bookmarkEnd w:id="400"/>
      <w:bookmarkEnd w:id="401"/>
      <w:bookmarkEnd w:id="403"/>
    </w:p>
    <w:p>
      <w:pPr>
        <w:pStyle w:val="Style26"/>
        <w:keepNext/>
        <w:keepLines/>
        <w:widowControl w:val="0"/>
        <w:shd w:val="clear" w:color="auto" w:fill="auto"/>
        <w:bidi w:val="0"/>
        <w:spacing w:before="0" w:after="340" w:line="240" w:lineRule="auto"/>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、股份变动情况</w:t>
      </w:r>
      <w:bookmarkEnd w:id="404"/>
      <w:bookmarkEnd w:id="405"/>
      <w:bookmarkEnd w:id="4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77"/>
        <w:gridCol w:w="1138"/>
        <w:gridCol w:w="850"/>
        <w:gridCol w:w="850"/>
        <w:gridCol w:w="566"/>
        <w:gridCol w:w="1133"/>
        <w:gridCol w:w="994"/>
        <w:gridCol w:w="994"/>
        <w:gridCol w:w="1133"/>
        <w:gridCol w:w="65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一、有限售条件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205,381,760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216,073,266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、其他内资持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205,381,760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216,073,266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560"/>
              <w:jc w:val="left"/>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205,381,760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216,073,266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二、无限售条件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623,242,874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646,396,868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623,242,874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23,153,994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646,396,868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828,624,634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862,470,134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tabs>
          <w:tab w:pos="877" w:val="left"/>
        </w:tabs>
        <w:bidi w:val="0"/>
        <w:spacing w:before="0" w:after="0" w:line="471" w:lineRule="exact"/>
        <w:ind w:left="0" w:right="0" w:firstLine="480"/>
        <w:jc w:val="both"/>
      </w:pPr>
      <w:bookmarkStart w:id="408" w:name="bookmark408"/>
      <w:r>
        <w:rPr>
          <w:color w:val="000000"/>
          <w:spacing w:val="0"/>
          <w:w w:val="100"/>
          <w:position w:val="0"/>
          <w:sz w:val="24"/>
          <w:szCs w:val="24"/>
        </w:rPr>
        <w:t>1</w:t>
      </w:r>
      <w:bookmarkEnd w:id="408"/>
      <w:r>
        <w:rPr>
          <w:color w:val="000000"/>
          <w:spacing w:val="0"/>
          <w:w w:val="100"/>
          <w:position w:val="0"/>
          <w:sz w:val="24"/>
          <w:szCs w:val="24"/>
        </w:rPr>
        <w:t>、</w:t>
        <w:tab/>
        <w:t>2016年1月27日，黄益全被聘任为公司总经理，其持有公司无限售条件的股份为855,819 股，股权激励限售股为267,988股，共计持有股份1,123,807股。根据高管任职规定，任职期 间每年可出售股份数不超过本人持股总数的25%，因此黄益全持有公司股份中的641,864股计 入高管锁定股，导致公司有限售条件的股份增加641,864股。</w:t>
      </w:r>
    </w:p>
    <w:p>
      <w:pPr>
        <w:pStyle w:val="Style30"/>
        <w:keepNext w:val="0"/>
        <w:keepLines w:val="0"/>
        <w:widowControl w:val="0"/>
        <w:shd w:val="clear" w:color="auto" w:fill="auto"/>
        <w:tabs>
          <w:tab w:pos="882" w:val="left"/>
        </w:tabs>
        <w:bidi w:val="0"/>
        <w:spacing w:before="0" w:after="0" w:line="471" w:lineRule="exact"/>
        <w:ind w:left="0" w:right="0" w:firstLine="480"/>
        <w:jc w:val="both"/>
      </w:pPr>
      <w:bookmarkStart w:id="409" w:name="bookmark409"/>
      <w:r>
        <w:rPr>
          <w:color w:val="000000"/>
          <w:spacing w:val="0"/>
          <w:w w:val="100"/>
          <w:position w:val="0"/>
          <w:sz w:val="24"/>
          <w:szCs w:val="24"/>
        </w:rPr>
        <w:t>2</w:t>
      </w:r>
      <w:bookmarkEnd w:id="409"/>
      <w:r>
        <w:rPr>
          <w:color w:val="000000"/>
          <w:spacing w:val="0"/>
          <w:w w:val="100"/>
          <w:position w:val="0"/>
          <w:sz w:val="24"/>
          <w:szCs w:val="24"/>
        </w:rPr>
        <w:t>、</w:t>
        <w:tab/>
        <w:t>公司向赵旭民、刘涛合计发行6,750,000股股份（以下简称“新增股份”）收购其持 有的扬州达美投资管理有限公司100%股权，新增股份于2016年2月29日上市，且全部为有限售 条件的股份，导致公司股本总额增加6,750,000股，有限售条件的股份增加6,750,000股。</w:t>
      </w:r>
    </w:p>
    <w:p>
      <w:pPr>
        <w:pStyle w:val="Style30"/>
        <w:keepNext w:val="0"/>
        <w:keepLines w:val="0"/>
        <w:widowControl w:val="0"/>
        <w:shd w:val="clear" w:color="auto" w:fill="auto"/>
        <w:bidi w:val="0"/>
        <w:spacing w:before="0" w:after="0" w:line="471" w:lineRule="exact"/>
        <w:ind w:left="0" w:right="0" w:firstLine="480"/>
        <w:jc w:val="both"/>
      </w:pPr>
      <w:bookmarkStart w:id="410" w:name="bookmark410"/>
      <w:r>
        <w:rPr>
          <w:color w:val="000000"/>
          <w:spacing w:val="0"/>
          <w:w w:val="100"/>
          <w:position w:val="0"/>
          <w:sz w:val="24"/>
          <w:szCs w:val="24"/>
        </w:rPr>
        <w:t>3</w:t>
      </w:r>
      <w:bookmarkEnd w:id="410"/>
      <w:r>
        <w:rPr>
          <w:color w:val="000000"/>
          <w:spacing w:val="0"/>
          <w:w w:val="100"/>
          <w:position w:val="0"/>
          <w:sz w:val="24"/>
          <w:szCs w:val="24"/>
        </w:rPr>
        <w:t>.2016</w:t>
      </w:r>
      <w:r>
        <w:rPr>
          <w:color w:val="000000"/>
          <w:spacing w:val="0"/>
          <w:w w:val="100"/>
          <w:position w:val="0"/>
          <w:sz w:val="24"/>
          <w:szCs w:val="24"/>
        </w:rPr>
        <w:t>年5月17日，公司2012年股权激励计划第三期16,316,900股解锁手续办理完毕， 实际上市流通数量为15,990,848股，本次解锁完成后导致公司有限售条件股份减少 15,990,848股。</w:t>
      </w:r>
    </w:p>
    <w:p>
      <w:pPr>
        <w:pStyle w:val="Style30"/>
        <w:keepNext w:val="0"/>
        <w:keepLines w:val="0"/>
        <w:widowControl w:val="0"/>
        <w:shd w:val="clear" w:color="auto" w:fill="auto"/>
        <w:bidi w:val="0"/>
        <w:spacing w:before="0" w:after="0" w:line="471" w:lineRule="exact"/>
        <w:ind w:left="0" w:right="0" w:firstLine="480"/>
        <w:jc w:val="both"/>
      </w:pPr>
      <w:bookmarkStart w:id="411" w:name="bookmark411"/>
      <w:r>
        <w:rPr>
          <w:color w:val="000000"/>
          <w:spacing w:val="0"/>
          <w:w w:val="100"/>
          <w:position w:val="0"/>
          <w:sz w:val="24"/>
          <w:szCs w:val="24"/>
        </w:rPr>
        <w:t>4</w:t>
      </w:r>
      <w:bookmarkEnd w:id="411"/>
      <w:r>
        <w:rPr>
          <w:color w:val="000000"/>
          <w:spacing w:val="0"/>
          <w:w w:val="100"/>
          <w:position w:val="0"/>
          <w:sz w:val="24"/>
          <w:szCs w:val="24"/>
        </w:rPr>
        <w:t xml:space="preserve">、2016年5月24日，公司2013年股权激励计划第二期4,670,167股解锁手续办理完毕，实 </w:t>
      </w:r>
      <w:r>
        <w:rPr>
          <w:color w:val="000000"/>
          <w:spacing w:val="0"/>
          <w:w w:val="100"/>
          <w:position w:val="0"/>
          <w:sz w:val="24"/>
          <w:szCs w:val="24"/>
        </w:rPr>
        <w:t>际上市流通数量为4,611,914股，本次解锁完成后导致公司有限售条件股份减少4,611,914股。</w:t>
      </w:r>
    </w:p>
    <w:p>
      <w:pPr>
        <w:pStyle w:val="Style30"/>
        <w:keepNext w:val="0"/>
        <w:keepLines w:val="0"/>
        <w:widowControl w:val="0"/>
        <w:shd w:val="clear" w:color="auto" w:fill="auto"/>
        <w:bidi w:val="0"/>
        <w:spacing w:before="0" w:after="0" w:line="472" w:lineRule="exact"/>
        <w:ind w:left="0" w:right="0" w:firstLine="480"/>
        <w:jc w:val="both"/>
      </w:pPr>
      <w:bookmarkStart w:id="412" w:name="bookmark412"/>
      <w:r>
        <w:rPr>
          <w:color w:val="000000"/>
          <w:spacing w:val="0"/>
          <w:w w:val="100"/>
          <w:position w:val="0"/>
          <w:sz w:val="24"/>
          <w:szCs w:val="24"/>
        </w:rPr>
        <w:t>5</w:t>
      </w:r>
      <w:bookmarkEnd w:id="412"/>
      <w:r>
        <w:rPr>
          <w:color w:val="000000"/>
          <w:spacing w:val="0"/>
          <w:w w:val="100"/>
          <w:position w:val="0"/>
          <w:sz w:val="24"/>
          <w:szCs w:val="24"/>
        </w:rPr>
        <w:t>、公司使用超募资金588 0万元向孟辉等4名自然人收购其持有的上海汉得融晶信息科技 有限公司49%股权，孟辉等4名自然人使用股权转让款通过二级市场购买公司股票，购买成本 不得低于股权转让价款金额的30%，且由公司向中国证券登记结算有限责任公司深圳分公司 申请该等股票的锁定。2016年7月270，公司办理完毕股票锁定手续，导致公司有限售条件的 股份增加1,284,282股。</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6.2016</w:t>
      </w:r>
      <w:r>
        <w:rPr>
          <w:color w:val="000000"/>
          <w:spacing w:val="0"/>
          <w:w w:val="100"/>
          <w:position w:val="0"/>
          <w:sz w:val="24"/>
          <w:szCs w:val="24"/>
        </w:rPr>
        <w:t>年8月310，公司董事会秘书张伟锋任期届满离任，当时张伟锋持有公司无限售 流通股217,865股，高管锁定股653,594股，共计持有公司股份871,459股。根据相关规定和 承诺，其离任后半年内不得转让所持公司股份，导致公司有限售条件的股份增加217,865股。</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7.2016</w:t>
      </w:r>
      <w:r>
        <w:rPr>
          <w:color w:val="000000"/>
          <w:spacing w:val="0"/>
          <w:w w:val="100"/>
          <w:position w:val="0"/>
          <w:sz w:val="24"/>
          <w:szCs w:val="24"/>
        </w:rPr>
        <w:t>年9月210，中国证券登记结算有限责任公司深圳分公司完成了公司2016年股权 激励计划的登记确认，公司向1039名激励对象定向发行27,095,500股限制性股票。本次股权 激励计划授予登记的完成导致公司有限售条件的股份增加27,095,500股，公司股本总额增加 27,095,500股。</w:t>
      </w:r>
    </w:p>
    <w:p>
      <w:pPr>
        <w:pStyle w:val="Style30"/>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8.2016</w:t>
      </w:r>
      <w:r>
        <w:rPr>
          <w:color w:val="000000"/>
          <w:spacing w:val="0"/>
          <w:w w:val="100"/>
          <w:position w:val="0"/>
          <w:sz w:val="24"/>
          <w:szCs w:val="24"/>
        </w:rPr>
        <w:t>年10月27日，公司2015年股权激励计划第一期1,217,100股解锁手续办理完毕， 实际上市流通数量为1,217,100股，本次解锁完成后导致公司有限售条件股份减少1,217,100 股。</w:t>
      </w:r>
    </w:p>
    <w:p>
      <w:pPr>
        <w:pStyle w:val="Style30"/>
        <w:keepNext w:val="0"/>
        <w:keepLines w:val="0"/>
        <w:widowControl w:val="0"/>
        <w:shd w:val="clear" w:color="auto" w:fill="auto"/>
        <w:bidi w:val="0"/>
        <w:spacing w:before="0" w:after="0" w:line="482" w:lineRule="exact"/>
        <w:ind w:left="0" w:right="0" w:firstLine="480"/>
        <w:jc w:val="both"/>
      </w:pPr>
      <w:r>
        <w:rPr>
          <w:color w:val="000000"/>
          <w:spacing w:val="0"/>
          <w:w w:val="100"/>
          <w:position w:val="0"/>
          <w:sz w:val="24"/>
          <w:szCs w:val="24"/>
        </w:rPr>
        <w:t>9.2016</w:t>
      </w:r>
      <w:r>
        <w:rPr>
          <w:color w:val="000000"/>
          <w:spacing w:val="0"/>
          <w:w w:val="100"/>
          <w:position w:val="0"/>
          <w:sz w:val="24"/>
          <w:szCs w:val="24"/>
        </w:rPr>
        <w:t>年11月21日，公司2014年股权激励计划第二期5,096,700股解锁手续办理完毕， 实际上市流通数量为5,096,700股，本次解锁完成后导致公司有限售条件股份减少5,096,700 股。</w:t>
      </w:r>
    </w:p>
    <w:p>
      <w:pPr>
        <w:pStyle w:val="Style30"/>
        <w:keepNext w:val="0"/>
        <w:keepLines w:val="0"/>
        <w:widowControl w:val="0"/>
        <w:shd w:val="clear" w:color="auto" w:fill="auto"/>
        <w:bidi w:val="0"/>
        <w:spacing w:before="0" w:after="60" w:line="467" w:lineRule="exact"/>
        <w:ind w:left="0" w:right="0" w:firstLine="480"/>
        <w:jc w:val="both"/>
      </w:pPr>
      <w:r>
        <w:rPr>
          <w:color w:val="000000"/>
          <w:spacing w:val="0"/>
          <w:w w:val="100"/>
          <w:position w:val="0"/>
          <w:sz w:val="24"/>
          <w:szCs w:val="24"/>
        </w:rPr>
        <w:t xml:space="preserve">10. </w:t>
      </w:r>
      <w:r>
        <w:rPr>
          <w:color w:val="000000"/>
          <w:spacing w:val="0"/>
          <w:w w:val="100"/>
          <w:position w:val="0"/>
          <w:sz w:val="24"/>
          <w:szCs w:val="24"/>
        </w:rPr>
        <w:t>2016年12月9日，李西平被聘任为公司董事会秘书、副总经理，其持有公司股份共计 2,158,076股，根据高管任职规定，任职期间每年可出售股份数不超过本人持股总数的25%， 因此李西平持有公司股份中的1,618,557股计入高管锁定股，导致公司有限售条件的股份增加 1,618,557股。</w:t>
      </w:r>
    </w:p>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股份变动的批准情况</w:t>
      </w:r>
    </w:p>
    <w:p>
      <w:pPr>
        <w:pStyle w:val="Style2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股份变动的过户情况</w:t>
      </w:r>
    </w:p>
    <w:p>
      <w:pPr>
        <w:pStyle w:val="Style2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120" w:line="461" w:lineRule="exact"/>
        <w:ind w:left="0" w:right="0" w:firstLine="480"/>
        <w:jc w:val="both"/>
      </w:pPr>
      <w:r>
        <w:rPr>
          <w:color w:val="000000"/>
          <w:spacing w:val="0"/>
          <w:w w:val="100"/>
          <w:position w:val="0"/>
          <w:sz w:val="24"/>
          <w:szCs w:val="24"/>
        </w:rPr>
        <w:t>公司向赵旭民、刘涛合计发行6,750,000股股份收购其持有的扬州达美投资管理有限公司 100%股权，新增股份于2016年2月29日上市，导致公司股本总额增至835,374,634股。</w:t>
      </w:r>
    </w:p>
    <w:p>
      <w:pPr>
        <w:pStyle w:val="Style30"/>
        <w:keepNext w:val="0"/>
        <w:keepLines w:val="0"/>
        <w:widowControl w:val="0"/>
        <w:shd w:val="clear" w:color="auto" w:fill="auto"/>
        <w:bidi w:val="0"/>
        <w:spacing w:before="0" w:after="500" w:line="467" w:lineRule="exact"/>
        <w:ind w:left="0" w:right="0" w:firstLine="500"/>
        <w:jc w:val="both"/>
      </w:pPr>
      <w:r>
        <w:rPr>
          <w:color w:val="000000"/>
          <w:spacing w:val="0"/>
          <w:w w:val="100"/>
          <w:position w:val="0"/>
          <w:sz w:val="24"/>
          <w:szCs w:val="24"/>
        </w:rPr>
        <w:t>2016年9月21日，中国证券登记结算有限责任公司深圳分公司完成了公司2016年股权激励 计划的登记确认，公司向1039名激励对象定向发行27,095,500股限制性股票，本次股权激励 计划授予登记的完成导致公司股本总额增至862,470,134股。本报告期末归属于上市公司股东 的每股净资产为</w:t>
      </w:r>
      <w:r>
        <w:rPr>
          <w:color w:val="000000"/>
          <w:spacing w:val="0"/>
          <w:w w:val="100"/>
          <w:position w:val="0"/>
          <w:sz w:val="24"/>
          <w:szCs w:val="24"/>
        </w:rPr>
        <w:t>2.3938</w:t>
      </w:r>
      <w:r>
        <w:rPr>
          <w:color w:val="000000"/>
          <w:spacing w:val="0"/>
          <w:w w:val="100"/>
          <w:position w:val="0"/>
          <w:sz w:val="24"/>
          <w:szCs w:val="24"/>
        </w:rPr>
        <w:t>元/股，基本每股收益和稀释每股收益分别为</w:t>
      </w:r>
      <w:r>
        <w:rPr>
          <w:color w:val="000000"/>
          <w:spacing w:val="0"/>
          <w:w w:val="100"/>
          <w:position w:val="0"/>
          <w:sz w:val="24"/>
          <w:szCs w:val="24"/>
        </w:rPr>
        <w:t>0.28</w:t>
      </w:r>
      <w:r>
        <w:rPr>
          <w:color w:val="000000"/>
          <w:spacing w:val="0"/>
          <w:w w:val="100"/>
          <w:position w:val="0"/>
          <w:sz w:val="24"/>
          <w:szCs w:val="24"/>
        </w:rPr>
        <w:t>元/股、0.27元/股。</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2</w:t>
      </w:r>
      <w:bookmarkEnd w:id="415"/>
      <w:r>
        <w:rPr>
          <w:color w:val="000000"/>
          <w:spacing w:val="0"/>
          <w:w w:val="100"/>
          <w:position w:val="0"/>
        </w:rPr>
        <w:t>、限售股份变动情况</w:t>
      </w:r>
      <w:bookmarkEnd w:id="413"/>
      <w:bookmarkEnd w:id="414"/>
      <w:bookmarkEnd w:id="416"/>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7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842,855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 监高限售规定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李西平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1,618,557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 监高限售规定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王辛夷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董监高任职锁定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任职期内执行董 监高限售规定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871,459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董监高任职锁定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离任高管离任半 年内股份全部锁 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赵旭民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孟辉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873,100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873,100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自锁定手续在中 国证券登记结算 有限公司办理完 毕之日起</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年后、 </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36</w:t>
            </w:r>
            <w:r>
              <w:rPr>
                <w:color w:val="000000"/>
                <w:spacing w:val="0"/>
                <w:w w:val="100"/>
                <w:position w:val="0"/>
              </w:rPr>
              <w:t>年后 分别解锁</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148,082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148,082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自锁定手续在中 国证券登记结算 有限公司办理完 毕之日起</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年后、 </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36</w:t>
            </w:r>
            <w:r>
              <w:rPr>
                <w:color w:val="000000"/>
                <w:spacing w:val="0"/>
                <w:w w:val="100"/>
                <w:position w:val="0"/>
              </w:rPr>
              <w:t>年后</w:t>
            </w:r>
          </w:p>
        </w:tc>
      </w:tr>
    </w:tbl>
    <w:p>
      <w:pPr>
        <w:widowControl w:val="0"/>
        <w:spacing w:line="1" w:lineRule="exact"/>
      </w:pPr>
      <w:r>
        <w:br w:type="page"/>
      </w:r>
    </w:p>
    <w:tbl>
      <w:tblPr>
        <w:tblOverlap w:val="never"/>
        <w:jc w:val="center"/>
        <w:tblLayout w:type="fixed"/>
      </w:tblPr>
      <w:tblGrid>
        <w:gridCol w:w="1363"/>
        <w:gridCol w:w="1373"/>
        <w:gridCol w:w="1368"/>
        <w:gridCol w:w="1368"/>
        <w:gridCol w:w="1368"/>
        <w:gridCol w:w="1368"/>
        <w:gridCol w:w="1373"/>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分别解锁</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自锁定手续在中 国证券登记结算 有限公司办理完 毕之日起</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年后、 </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36</w:t>
            </w:r>
            <w:r>
              <w:rPr>
                <w:color w:val="000000"/>
                <w:spacing w:val="0"/>
                <w:w w:val="100"/>
                <w:position w:val="0"/>
              </w:rPr>
              <w:t>年后 分别解锁</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邱莉莉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股东追加承诺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自锁定手续在中 国证券登记结算 有限公司办理完 毕之日起</w:t>
            </w:r>
            <w:r>
              <w:rPr>
                <w:rFonts w:ascii="Times New Roman" w:eastAsia="Times New Roman" w:hAnsi="Times New Roman" w:cs="Times New Roman"/>
                <w:color w:val="000000"/>
                <w:spacing w:val="0"/>
                <w:w w:val="100"/>
                <w:position w:val="0"/>
              </w:rPr>
              <w:t>1</w:t>
            </w:r>
            <w:r>
              <w:rPr>
                <w:color w:val="000000"/>
                <w:spacing w:val="0"/>
                <w:w w:val="100"/>
                <w:position w:val="0"/>
              </w:rPr>
              <w:t xml:space="preserve">年后、 </w:t>
            </w:r>
            <w:r>
              <w:rPr>
                <w:rFonts w:ascii="Times New Roman" w:eastAsia="Times New Roman" w:hAnsi="Times New Roman" w:cs="Times New Roman"/>
                <w:color w:val="000000"/>
                <w:spacing w:val="0"/>
                <w:w w:val="100"/>
                <w:position w:val="0"/>
              </w:rPr>
              <w:t>2</w:t>
            </w:r>
            <w:r>
              <w:rPr>
                <w:color w:val="000000"/>
                <w:spacing w:val="0"/>
                <w:w w:val="100"/>
                <w:position w:val="0"/>
              </w:rPr>
              <w:t>年后、</w:t>
            </w:r>
            <w:r>
              <w:rPr>
                <w:rFonts w:ascii="Times New Roman" w:eastAsia="Times New Roman" w:hAnsi="Times New Roman" w:cs="Times New Roman"/>
                <w:color w:val="000000"/>
                <w:spacing w:val="0"/>
                <w:w w:val="100"/>
                <w:position w:val="0"/>
              </w:rPr>
              <w:t>36</w:t>
            </w:r>
            <w:r>
              <w:rPr>
                <w:color w:val="000000"/>
                <w:spacing w:val="0"/>
                <w:w w:val="100"/>
                <w:position w:val="0"/>
              </w:rPr>
              <w:t>年后 分别解锁</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40%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47,755,880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27,300,867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27,095,500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47,550,513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48,284,413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27,300,867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37,992,373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58,975,919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二</w:t>
      </w:r>
      <w:bookmarkEnd w:id="419"/>
      <w:r>
        <w:rPr>
          <w:color w:val="000000"/>
          <w:spacing w:val="0"/>
          <w:w w:val="100"/>
          <w:position w:val="0"/>
          <w:sz w:val="24"/>
          <w:szCs w:val="24"/>
        </w:rPr>
        <w:t>、证券发行与上市情况</w:t>
      </w:r>
      <w:bookmarkEnd w:id="417"/>
      <w:bookmarkEnd w:id="418"/>
      <w:bookmarkEnd w:id="420"/>
    </w:p>
    <w:p>
      <w:pPr>
        <w:pStyle w:val="Style26"/>
        <w:keepNext/>
        <w:keepLines/>
        <w:widowControl w:val="0"/>
        <w:shd w:val="clear" w:color="auto" w:fill="auto"/>
        <w:bidi w:val="0"/>
        <w:spacing w:before="0" w:after="32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、报告期内证券发行（不含优先股）情况</w:t>
      </w:r>
      <w:bookmarkEnd w:id="421"/>
      <w:bookmarkEnd w:id="422"/>
      <w:bookmarkEnd w:id="424"/>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848"/>
        <w:gridCol w:w="739"/>
        <w:gridCol w:w="1296"/>
        <w:gridCol w:w="1296"/>
        <w:gridCol w:w="1296"/>
        <w:gridCol w:w="169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 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27,095,500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27,095,500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公司向赵旭民、刘涛合计发行6,750,000股股份收购其持有的扬州达美投资管理有限公司 100%股权，新增股份于2016年2月29日上市。</w:t>
      </w:r>
    </w:p>
    <w:p>
      <w:pPr>
        <w:pStyle w:val="Style30"/>
        <w:keepNext w:val="0"/>
        <w:keepLines w:val="0"/>
        <w:widowControl w:val="0"/>
        <w:shd w:val="clear" w:color="auto" w:fill="auto"/>
        <w:bidi w:val="0"/>
        <w:spacing w:before="0" w:after="320" w:line="466" w:lineRule="exact"/>
        <w:ind w:left="0" w:right="0" w:firstLine="480"/>
        <w:jc w:val="both"/>
      </w:pPr>
      <w:r>
        <w:rPr>
          <w:color w:val="000000"/>
          <w:spacing w:val="0"/>
          <w:w w:val="100"/>
          <w:position w:val="0"/>
          <w:sz w:val="24"/>
          <w:szCs w:val="24"/>
        </w:rPr>
        <w:t>2016年9月21日，中国证券登记结算有限责任公司深圳分公司完成了对公司2016年股权激 励计划的登记确认，公司向1039名激励对象定向发行</w:t>
      </w:r>
      <w:r>
        <w:rPr>
          <w:color w:val="000000"/>
          <w:spacing w:val="0"/>
          <w:w w:val="100"/>
          <w:position w:val="0"/>
          <w:sz w:val="24"/>
          <w:szCs w:val="24"/>
        </w:rPr>
        <w:t>2709.55</w:t>
      </w:r>
      <w:r>
        <w:rPr>
          <w:color w:val="000000"/>
          <w:spacing w:val="0"/>
          <w:w w:val="100"/>
          <w:position w:val="0"/>
          <w:sz w:val="24"/>
          <w:szCs w:val="24"/>
        </w:rPr>
        <w:t>万股限制性股票。具体内容详见</w:t>
      </w:r>
    </w:p>
    <w:p>
      <w:pPr>
        <w:pStyle w:val="Style30"/>
        <w:keepNext w:val="0"/>
        <w:keepLines w:val="0"/>
        <w:widowControl w:val="0"/>
        <w:shd w:val="clear" w:color="auto" w:fill="auto"/>
        <w:bidi w:val="0"/>
        <w:spacing w:before="0" w:after="380" w:line="470" w:lineRule="exact"/>
        <w:ind w:left="0" w:right="0" w:firstLine="0"/>
        <w:jc w:val="both"/>
      </w:pPr>
      <w:r>
        <w:rPr>
          <w:color w:val="000000"/>
          <w:spacing w:val="0"/>
          <w:w w:val="100"/>
          <w:position w:val="0"/>
          <w:sz w:val="24"/>
          <w:szCs w:val="24"/>
        </w:rPr>
        <w:t>“第五节十四公司股权激励计划、员工持股计划或其他员工激励措施的实施情况”。</w:t>
      </w:r>
    </w:p>
    <w:p>
      <w:pPr>
        <w:pStyle w:val="Style26"/>
        <w:keepNext/>
        <w:keepLines/>
        <w:widowControl w:val="0"/>
        <w:shd w:val="clear" w:color="auto" w:fill="auto"/>
        <w:tabs>
          <w:tab w:pos="382" w:val="left"/>
        </w:tabs>
        <w:bidi w:val="0"/>
        <w:spacing w:before="0" w:after="380" w:line="240" w:lineRule="auto"/>
        <w:ind w:left="0" w:right="0" w:firstLine="0"/>
        <w:jc w:val="both"/>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公司股份总数及股东结构的变动、公司资产和负债结构的变动情况说明</w:t>
      </w:r>
      <w:bookmarkEnd w:id="425"/>
      <w:bookmarkEnd w:id="426"/>
      <w:bookmarkEnd w:id="428"/>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公司向赵旭民、刘涛合计发行6,750,000股股份收购其持有的扬州达美投资管理有限公司 100%股权，新增股份于2016年2月29日上市。</w:t>
      </w:r>
    </w:p>
    <w:p>
      <w:pPr>
        <w:pStyle w:val="Style30"/>
        <w:keepNext w:val="0"/>
        <w:keepLines w:val="0"/>
        <w:widowControl w:val="0"/>
        <w:shd w:val="clear" w:color="auto" w:fill="auto"/>
        <w:bidi w:val="0"/>
        <w:spacing w:before="0" w:after="380" w:line="470" w:lineRule="exact"/>
        <w:ind w:left="0" w:right="0" w:firstLine="500"/>
        <w:jc w:val="both"/>
      </w:pPr>
      <w:r>
        <w:rPr>
          <w:color w:val="000000"/>
          <w:spacing w:val="0"/>
          <w:w w:val="100"/>
          <w:position w:val="0"/>
          <w:sz w:val="24"/>
          <w:szCs w:val="24"/>
        </w:rPr>
        <w:t>2016年9月21日，中国证券登记结算有限责任公司深圳分公司完成了对公司2016年股权激 励计划的登记确认，公司向1039名激励对象定向发行</w:t>
      </w:r>
      <w:r>
        <w:rPr>
          <w:color w:val="000000"/>
          <w:spacing w:val="0"/>
          <w:w w:val="100"/>
          <w:position w:val="0"/>
          <w:sz w:val="24"/>
          <w:szCs w:val="24"/>
        </w:rPr>
        <w:t>2709.55</w:t>
      </w:r>
      <w:r>
        <w:rPr>
          <w:color w:val="000000"/>
          <w:spacing w:val="0"/>
          <w:w w:val="100"/>
          <w:position w:val="0"/>
          <w:sz w:val="24"/>
          <w:szCs w:val="24"/>
        </w:rPr>
        <w:t>万股限制性股票，公司股份总数 由原来的835,374,634股增加至862,470,134股。具体内容详见“第五节 十四公司股权激励 计划、员工持股计划或其他员工激励措施的实施情况”。</w:t>
      </w:r>
    </w:p>
    <w:p>
      <w:pPr>
        <w:pStyle w:val="Style26"/>
        <w:keepNext/>
        <w:keepLines/>
        <w:widowControl w:val="0"/>
        <w:shd w:val="clear" w:color="auto" w:fill="auto"/>
        <w:tabs>
          <w:tab w:pos="382" w:val="left"/>
        </w:tabs>
        <w:bidi w:val="0"/>
        <w:spacing w:before="0" w:after="380" w:line="240" w:lineRule="auto"/>
        <w:ind w:left="0" w:right="0" w:firstLine="0"/>
        <w:jc w:val="both"/>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现存的内部职工股情况</w:t>
      </w:r>
      <w:bookmarkEnd w:id="429"/>
      <w:bookmarkEnd w:id="430"/>
      <w:bookmarkEnd w:id="432"/>
    </w:p>
    <w:p>
      <w:pPr>
        <w:pStyle w:val="Style2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470" w:lineRule="exact"/>
        <w:ind w:left="0" w:right="0" w:firstLine="0"/>
        <w:jc w:val="both"/>
      </w:pPr>
      <w:bookmarkStart w:id="433" w:name="bookmark433"/>
      <w:bookmarkStart w:id="434" w:name="bookmark434"/>
      <w:bookmarkStart w:id="435" w:name="bookmark435"/>
      <w:bookmarkStart w:id="436" w:name="bookmark436"/>
      <w:r>
        <w:rPr>
          <w:color w:val="000000"/>
          <w:spacing w:val="0"/>
          <w:w w:val="100"/>
          <w:position w:val="0"/>
          <w:sz w:val="24"/>
          <w:szCs w:val="24"/>
        </w:rPr>
        <w:t>三</w:t>
      </w:r>
      <w:bookmarkEnd w:id="435"/>
      <w:r>
        <w:rPr>
          <w:color w:val="000000"/>
          <w:spacing w:val="0"/>
          <w:w w:val="100"/>
          <w:position w:val="0"/>
          <w:sz w:val="24"/>
          <w:szCs w:val="24"/>
        </w:rPr>
        <w:t>、股东和实际控制人情况</w:t>
      </w:r>
      <w:bookmarkEnd w:id="433"/>
      <w:bookmarkEnd w:id="434"/>
      <w:bookmarkEnd w:id="436"/>
    </w:p>
    <w:p>
      <w:pPr>
        <w:pStyle w:val="Style26"/>
        <w:keepNext/>
        <w:keepLines/>
        <w:widowControl w:val="0"/>
        <w:shd w:val="clear" w:color="auto" w:fill="auto"/>
        <w:bidi w:val="0"/>
        <w:spacing w:before="0" w:after="38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、公司股东数量及持股情况</w:t>
      </w:r>
      <w:bookmarkEnd w:id="437"/>
      <w:bookmarkEnd w:id="438"/>
      <w:bookmarkEnd w:id="44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840"/>
        <w:gridCol w:w="278"/>
        <w:gridCol w:w="706"/>
        <w:gridCol w:w="475"/>
        <w:gridCol w:w="518"/>
        <w:gridCol w:w="677"/>
        <w:gridCol w:w="456"/>
        <w:gridCol w:w="960"/>
        <w:gridCol w:w="1013"/>
        <w:gridCol w:w="1291"/>
        <w:gridCol w:w="139"/>
        <w:gridCol w:w="93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56,539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54,298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104,732,764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78,549,573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26,183,191</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69,584,002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104,730,366</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78,547,774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26,182,592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69,584,002</w:t>
            </w:r>
          </w:p>
        </w:tc>
      </w:tr>
      <w:tr>
        <w:trPr>
          <w:trHeight w:val="19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上海东方证券 资管一光大银 行一东证资管 汉得信息</w:t>
            </w:r>
            <w:r>
              <w:rPr>
                <w:rFonts w:ascii="Times New Roman" w:eastAsia="Times New Roman" w:hAnsi="Times New Roman" w:cs="Times New Roman"/>
                <w:color w:val="000000"/>
                <w:spacing w:val="0"/>
                <w:w w:val="100"/>
                <w:position w:val="0"/>
              </w:rPr>
              <w:t>1</w:t>
            </w:r>
            <w:r>
              <w:rPr>
                <w:color w:val="000000"/>
                <w:spacing w:val="0"/>
                <w:w w:val="100"/>
                <w:position w:val="0"/>
              </w:rPr>
              <w:t>号集 合资产管理计 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12,890,839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12,890,839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10,424,229</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-3,475,771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10,424,229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38"/>
        <w:gridCol w:w="470"/>
        <w:gridCol w:w="235"/>
        <w:gridCol w:w="994"/>
        <w:gridCol w:w="1133"/>
        <w:gridCol w:w="994"/>
        <w:gridCol w:w="634"/>
        <w:gridCol w:w="360"/>
        <w:gridCol w:w="989"/>
        <w:gridCol w:w="427"/>
        <w:gridCol w:w="931"/>
      </w:tblGrid>
      <w:tr>
        <w:trPr>
          <w:trHeight w:val="13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股份有限公司 一宝盈资源优 选混合型证券 投资基金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中国农业银行 股份有限公司 一宝盈策略增 长混合型证券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9,123,100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9,123,100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石胜利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9,089,107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119,107</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8,970,000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 股份有限公司 —宝盈科技</w:t>
            </w:r>
            <w:r>
              <w:rPr>
                <w:rFonts w:ascii="Times New Roman" w:eastAsia="Times New Roman" w:hAnsi="Times New Roman" w:cs="Times New Roman"/>
                <w:color w:val="000000"/>
                <w:spacing w:val="0"/>
                <w:w w:val="100"/>
                <w:position w:val="0"/>
              </w:rPr>
              <w:t xml:space="preserve">30 </w:t>
            </w:r>
            <w:r>
              <w:rPr>
                <w:color w:val="000000"/>
                <w:spacing w:val="0"/>
                <w:w w:val="100"/>
                <w:position w:val="0"/>
              </w:rPr>
              <w:t>灵活配置混合 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7,632,300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中国建设银行 股份有限公司 —富国创业板 指数分级证券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5,928,439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5,928,439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石伟民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5,647,600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5,647,600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上述股东中陈迪清、范建震二者为一致行动人及公司控股股东、实际控制人，公司未知其 他股东的关联关系或一致行动关系。</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26,183,191</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26,183,191</w:t>
            </w:r>
          </w:p>
        </w:tc>
      </w:tr>
      <w:tr>
        <w:trPr>
          <w:trHeight w:val="403"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26,182,592</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26,182,592</w:t>
            </w:r>
          </w:p>
        </w:tc>
      </w:tr>
      <w:tr>
        <w:trPr>
          <w:trHeight w:val="1022"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上海东方证券资管一光大银行一东 证资管汉得信息</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 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12,890,839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12,890,839</w:t>
            </w:r>
          </w:p>
        </w:tc>
      </w:tr>
      <w:tr>
        <w:trPr>
          <w:trHeight w:val="715"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中国建设银行股份有限公司一宝盈 资源优选混合型证券投资基金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10,424,229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10,424,229</w:t>
            </w:r>
          </w:p>
        </w:tc>
      </w:tr>
      <w:tr>
        <w:trPr>
          <w:trHeight w:val="413" w:hRule="exact"/>
        </w:trPr>
        <w:tc>
          <w:tcPr>
            <w:gridSpan w:val="3"/>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中国农业银行股份有限公司一宝盈</w:t>
            </w:r>
          </w:p>
        </w:tc>
        <w:tc>
          <w:tcPr>
            <w:gridSpan w:val="5"/>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9,123,100</w:t>
            </w:r>
          </w:p>
        </w:tc>
        <w:tc>
          <w:tcPr>
            <w:gridSpan w:val="2"/>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9,123,100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策略增长混合型证券投资基金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石胜利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8,950,000</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中国农业银行股份有限公司一宝盈 科技</w:t>
            </w:r>
            <w:r>
              <w:rPr>
                <w:rFonts w:ascii="Times New Roman" w:eastAsia="Times New Roman" w:hAnsi="Times New Roman" w:cs="Times New Roman"/>
                <w:color w:val="000000"/>
                <w:spacing w:val="0"/>
                <w:w w:val="100"/>
                <w:position w:val="0"/>
              </w:rPr>
              <w:t>30</w:t>
            </w:r>
            <w:r>
              <w:rPr>
                <w:color w:val="000000"/>
                <w:spacing w:val="0"/>
                <w:w w:val="100"/>
                <w:position w:val="0"/>
              </w:rPr>
              <w:t>灵活配置混合型证券投资基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7,632,300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中国建设银行股份有限公司一富国 创业板指数分级证券投资基金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5,928,439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石伟民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5,647,600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上述股东中陈迪清、范建震二者为一致行动人及公司控股股东、实际控制人，公司未 知其他股东的关联关系或一致行动关系。</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股东石胜利除通过普通证券账户持有</w:t>
            </w:r>
            <w:r>
              <w:rPr>
                <w:rFonts w:ascii="Times New Roman" w:eastAsia="Times New Roman" w:hAnsi="Times New Roman" w:cs="Times New Roman"/>
                <w:color w:val="000000"/>
                <w:spacing w:val="0"/>
                <w:w w:val="100"/>
                <w:position w:val="0"/>
              </w:rPr>
              <w:t>5,970,000</w:t>
            </w:r>
            <w:r>
              <w:rPr>
                <w:color w:val="000000"/>
                <w:spacing w:val="0"/>
                <w:w w:val="100"/>
                <w:position w:val="0"/>
              </w:rPr>
              <w:t>股外，还通过招商证券股份有限公司 客户信用交易担保证券账户持有</w:t>
            </w:r>
            <w:r>
              <w:rPr>
                <w:rFonts w:ascii="Times New Roman" w:eastAsia="Times New Roman" w:hAnsi="Times New Roman" w:cs="Times New Roman"/>
                <w:color w:val="000000"/>
                <w:spacing w:val="0"/>
                <w:w w:val="100"/>
                <w:position w:val="0"/>
              </w:rPr>
              <w:t>3,000,000</w:t>
            </w:r>
            <w:r>
              <w:rPr>
                <w:color w:val="000000"/>
                <w:spacing w:val="0"/>
                <w:w w:val="100"/>
                <w:position w:val="0"/>
              </w:rPr>
              <w:t>股，实际合计持有无限售流通股</w:t>
            </w:r>
            <w:r>
              <w:rPr>
                <w:rFonts w:ascii="Times New Roman" w:eastAsia="Times New Roman" w:hAnsi="Times New Roman" w:cs="Times New Roman"/>
                <w:color w:val="000000"/>
                <w:spacing w:val="0"/>
                <w:w w:val="100"/>
                <w:position w:val="0"/>
              </w:rPr>
              <w:t xml:space="preserve">8,970,000 </w:t>
            </w:r>
            <w:r>
              <w:rPr>
                <w:color w:val="000000"/>
                <w:spacing w:val="0"/>
                <w:w w:val="100"/>
                <w:position w:val="0"/>
              </w:rPr>
              <w:t>股。</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、公司控股股东情况</w:t>
      </w:r>
      <w:bookmarkEnd w:id="441"/>
      <w:bookmarkEnd w:id="442"/>
      <w:bookmarkEnd w:id="44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陈迪清担任公司董事长，范建震担任公司董事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3</w:t>
      </w:r>
      <w:bookmarkEnd w:id="447"/>
      <w:r>
        <w:rPr>
          <w:color w:val="000000"/>
          <w:spacing w:val="0"/>
          <w:w w:val="100"/>
          <w:position w:val="0"/>
        </w:rPr>
        <w:t>、公司实际控制人情况</w:t>
      </w:r>
      <w:bookmarkEnd w:id="445"/>
      <w:bookmarkEnd w:id="446"/>
      <w:bookmarkEnd w:id="448"/>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36"/>
        <w:gridCol w:w="2059"/>
        <w:gridCol w:w="4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widowControl w:val="0"/>
        <w:spacing w:line="1" w:lineRule="exact"/>
      </w:pPr>
      <w:r>
        <w:br w:type="page"/>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陈迪清担任公司董事长，范建震担任公司董事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34683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468370"/>
                    </a:xfrm>
                    <a:prstGeom prst="rect"/>
                  </pic:spPr>
                </pic:pic>
              </a:graphicData>
            </a:graphic>
          </wp:inline>
        </w:drawing>
      </w:r>
    </w:p>
    <w:p>
      <w:pPr>
        <w:widowControl w:val="0"/>
        <w:spacing w:after="259" w:line="1" w:lineRule="exact"/>
      </w:pPr>
    </w:p>
    <w:p>
      <w:pPr>
        <w:pStyle w:val="Style3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4</w:t>
      </w:r>
      <w:bookmarkEnd w:id="45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9"/>
      <w:bookmarkEnd w:id="450"/>
      <w:bookmarkEnd w:id="452"/>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5</w:t>
      </w:r>
      <w:bookmarkEnd w:id="455"/>
      <w:r>
        <w:rPr>
          <w:color w:val="000000"/>
          <w:spacing w:val="0"/>
          <w:w w:val="100"/>
          <w:position w:val="0"/>
        </w:rPr>
        <w:t>、</w:t>
        <w:tab/>
        <w:t>控股股东、实际控制人、重组方及其他承诺主体股份限制减持情况</w:t>
      </w:r>
      <w:bookmarkEnd w:id="453"/>
      <w:bookmarkEnd w:id="454"/>
      <w:bookmarkEnd w:id="456"/>
    </w:p>
    <w:p>
      <w:pPr>
        <w:pStyle w:val="Style23"/>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2717800</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394" w:name="bookmark394"/>
                            <w:bookmarkStart w:id="395" w:name="bookmark395"/>
                            <w:bookmarkStart w:id="396" w:name="bookmark396"/>
                            <w:r>
                              <w:rPr>
                                <w:color w:val="000000"/>
                                <w:spacing w:val="0"/>
                                <w:w w:val="100"/>
                                <w:position w:val="0"/>
                              </w:rPr>
                              <w:t>第七节优先股相关情况</w:t>
                            </w:r>
                            <w:bookmarkEnd w:id="394"/>
                            <w:bookmarkEnd w:id="395"/>
                            <w:bookmarkEnd w:id="396"/>
                          </w:p>
                        </w:txbxContent>
                      </wps:txbx>
                      <wps:bodyPr wrap="none" lIns="0" tIns="0" rIns="0" bIns="0">
                        <a:noAutoFit/>
                      </wps:bodyPr>
                    </wps:wsp>
                  </a:graphicData>
                </a:graphic>
              </wp:anchor>
            </w:drawing>
          </mc:Choice>
          <mc:Fallback>
            <w:pict>
              <v:shape id="_x0000_s1038" type="#_x0000_t202" style="position:absolute;margin-left:214.pt;margin-top:0;width:170.90000000000001pt;height:19.44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394" w:name="bookmark394"/>
                      <w:bookmarkStart w:id="395" w:name="bookmark395"/>
                      <w:bookmarkStart w:id="396" w:name="bookmark396"/>
                      <w:r>
                        <w:rPr>
                          <w:color w:val="000000"/>
                          <w:spacing w:val="0"/>
                          <w:w w:val="100"/>
                          <w:position w:val="0"/>
                        </w:rPr>
                        <w:t>第七节优先股相关情况</w:t>
                      </w:r>
                      <w:bookmarkEnd w:id="394"/>
                      <w:bookmarkEnd w:id="395"/>
                      <w:bookmarkEnd w:id="396"/>
                    </w:p>
                  </w:txbxContent>
                </v:textbox>
                <w10:wrap type="topAndBottom" anchorx="page"/>
              </v:shape>
            </w:pict>
          </mc:Fallback>
        </mc:AlternateConten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20" w:line="240" w:lineRule="auto"/>
        <w:ind w:left="0" w:right="0" w:firstLine="0"/>
        <w:jc w:val="center"/>
      </w:pPr>
      <w:bookmarkStart w:id="457" w:name="bookmark457"/>
      <w:bookmarkStart w:id="458" w:name="bookmark458"/>
      <w:bookmarkStart w:id="459" w:name="bookmark459"/>
      <w:r>
        <w:rPr>
          <w:color w:val="000000"/>
          <w:spacing w:val="0"/>
          <w:w w:val="100"/>
          <w:position w:val="0"/>
        </w:rPr>
        <w:t>第八节董事、监事、高级管理人员和员工情况</w:t>
      </w:r>
      <w:bookmarkEnd w:id="457"/>
      <w:bookmarkEnd w:id="458"/>
      <w:bookmarkEnd w:id="459"/>
    </w:p>
    <w:p>
      <w:pPr>
        <w:pStyle w:val="Style21"/>
        <w:keepNext/>
        <w:keepLines/>
        <w:widowControl w:val="0"/>
        <w:shd w:val="clear" w:color="auto" w:fill="auto"/>
        <w:bidi w:val="0"/>
        <w:spacing w:before="0" w:after="32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sz w:val="24"/>
          <w:szCs w:val="24"/>
        </w:rPr>
        <w:t>一</w:t>
      </w:r>
      <w:bookmarkEnd w:id="462"/>
      <w:r>
        <w:rPr>
          <w:color w:val="000000"/>
          <w:spacing w:val="0"/>
          <w:w w:val="100"/>
          <w:position w:val="0"/>
          <w:sz w:val="24"/>
          <w:szCs w:val="24"/>
        </w:rPr>
        <w:t>、董事、监事和高级管理人员持股变动</w:t>
      </w:r>
      <w:bookmarkEnd w:id="460"/>
      <w:bookmarkEnd w:id="461"/>
      <w:bookmarkEnd w:id="463"/>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104,732,7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1,123,807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李西平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2,158,076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王辛夷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141,836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陈靖丰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曹惠民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871,459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214,254,6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213,758,3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sz w:val="24"/>
          <w:szCs w:val="24"/>
        </w:rPr>
        <w:t>二</w:t>
      </w:r>
      <w:bookmarkEnd w:id="466"/>
      <w:r>
        <w:rPr>
          <w:color w:val="000000"/>
          <w:spacing w:val="0"/>
          <w:w w:val="100"/>
          <w:position w:val="0"/>
          <w:sz w:val="24"/>
          <w:szCs w:val="24"/>
        </w:rPr>
        <w:t>、公司董事、监事、高级管理人员变动情况</w:t>
      </w:r>
      <w:bookmarkEnd w:id="464"/>
      <w:bookmarkEnd w:id="465"/>
      <w:bookmarkEnd w:id="46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李西平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曹惠民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因连续担任公司独立董事满六年，根据相关规定，不 再继续担任公司的独立董事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因连续担任公司独立董事满六年，根据相关规定，不 再继续担任公司的独立董事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陈靖丰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因连续担任公司独立董事满六年，根据相关规定，不 再继续担任公司的独立董事</w:t>
            </w:r>
          </w:p>
        </w:tc>
      </w:tr>
    </w:tbl>
    <w:p>
      <w:pPr>
        <w:pStyle w:val="Style30"/>
        <w:keepNext w:val="0"/>
        <w:keepLines w:val="0"/>
        <w:widowControl w:val="0"/>
        <w:shd w:val="clear" w:color="auto" w:fill="auto"/>
        <w:bidi w:val="0"/>
        <w:spacing w:before="0" w:after="360" w:line="240" w:lineRule="auto"/>
        <w:ind w:left="0" w:right="0" w:firstLine="0"/>
        <w:jc w:val="left"/>
      </w:pPr>
      <w:bookmarkStart w:id="468" w:name="bookmark468"/>
      <w:r>
        <w:rPr>
          <w:b/>
          <w:bCs/>
          <w:color w:val="000000"/>
          <w:spacing w:val="0"/>
          <w:w w:val="100"/>
          <w:position w:val="0"/>
          <w:sz w:val="24"/>
          <w:szCs w:val="24"/>
        </w:rPr>
        <w:t>三</w:t>
      </w:r>
      <w:bookmarkEnd w:id="468"/>
      <w:r>
        <w:rPr>
          <w:b/>
          <w:bCs/>
          <w:color w:val="000000"/>
          <w:spacing w:val="0"/>
          <w:w w:val="100"/>
          <w:position w:val="0"/>
          <w:sz w:val="24"/>
          <w:szCs w:val="24"/>
        </w:rPr>
        <w:t>、任职情况</w:t>
      </w: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tabs>
          <w:tab w:pos="853" w:val="left"/>
        </w:tabs>
        <w:bidi w:val="0"/>
        <w:spacing w:before="0" w:after="0" w:line="410" w:lineRule="auto"/>
        <w:ind w:left="0" w:right="0" w:firstLine="500"/>
        <w:jc w:val="left"/>
      </w:pPr>
      <w:bookmarkStart w:id="469" w:name="bookmark469"/>
      <w:r>
        <w:rPr>
          <w:rFonts w:ascii="Times New Roman" w:eastAsia="Times New Roman" w:hAnsi="Times New Roman" w:cs="Times New Roman"/>
          <w:b/>
          <w:bCs/>
          <w:color w:val="000000"/>
          <w:spacing w:val="0"/>
          <w:w w:val="100"/>
          <w:position w:val="0"/>
          <w:sz w:val="24"/>
          <w:szCs w:val="24"/>
        </w:rPr>
        <w:t>1</w:t>
      </w:r>
      <w:bookmarkEnd w:id="469"/>
      <w:r>
        <w:rPr>
          <w:b/>
          <w:bCs/>
          <w:color w:val="000000"/>
          <w:spacing w:val="0"/>
          <w:w w:val="100"/>
          <w:position w:val="0"/>
          <w:sz w:val="24"/>
          <w:szCs w:val="24"/>
        </w:rPr>
        <w:t>、</w:t>
        <w:tab/>
        <w:t>现任董事</w:t>
      </w:r>
    </w:p>
    <w:p>
      <w:pPr>
        <w:pStyle w:val="Style30"/>
        <w:keepNext w:val="0"/>
        <w:keepLines w:val="0"/>
        <w:widowControl w:val="0"/>
        <w:shd w:val="clear" w:color="auto" w:fill="auto"/>
        <w:bidi w:val="0"/>
        <w:spacing w:before="0" w:after="0" w:line="469" w:lineRule="exact"/>
        <w:ind w:left="0" w:right="0" w:firstLine="500"/>
        <w:jc w:val="both"/>
      </w:pPr>
      <w:r>
        <w:rPr>
          <w:b/>
          <w:bCs/>
          <w:color w:val="000000"/>
          <w:spacing w:val="0"/>
          <w:w w:val="100"/>
          <w:position w:val="0"/>
          <w:sz w:val="24"/>
          <w:szCs w:val="24"/>
        </w:rPr>
        <w:t>陈迪清：</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4"/>
          <w:szCs w:val="24"/>
        </w:rPr>
        <w:t>年出生，拥有新加坡永久居留权。复旦大学电子工程系理学学 士、美国</w:t>
      </w:r>
      <w:r>
        <w:rPr>
          <w:rFonts w:ascii="Times New Roman" w:eastAsia="Times New Roman" w:hAnsi="Times New Roman" w:cs="Times New Roman"/>
          <w:color w:val="000000"/>
          <w:spacing w:val="0"/>
          <w:w w:val="100"/>
          <w:position w:val="0"/>
          <w:sz w:val="24"/>
          <w:szCs w:val="24"/>
        </w:rPr>
        <w:t>L ouisiana Tech University</w:t>
      </w:r>
      <w:r>
        <w:rPr>
          <w:color w:val="000000"/>
          <w:spacing w:val="0"/>
          <w:w w:val="100"/>
          <w:position w:val="0"/>
          <w:sz w:val="24"/>
          <w:szCs w:val="24"/>
        </w:rPr>
        <w:t>理学硕士学位。曾任中国惠普有限公司上海分公司地区销 售经理，美国</w:t>
      </w:r>
      <w:r>
        <w:rPr>
          <w:rFonts w:ascii="Times New Roman" w:eastAsia="Times New Roman" w:hAnsi="Times New Roman" w:cs="Times New Roman"/>
          <w:color w:val="000000"/>
          <w:spacing w:val="0"/>
          <w:w w:val="100"/>
          <w:position w:val="0"/>
          <w:sz w:val="24"/>
          <w:szCs w:val="24"/>
        </w:rPr>
        <w:t>Skywell Technology</w:t>
      </w:r>
      <w:r>
        <w:rPr>
          <w:color w:val="000000"/>
          <w:spacing w:val="0"/>
          <w:w w:val="100"/>
          <w:position w:val="0"/>
          <w:sz w:val="24"/>
          <w:szCs w:val="24"/>
        </w:rPr>
        <w:t>公司工程师，西门子</w:t>
      </w:r>
      <w:r>
        <w:rPr>
          <w:color w:val="000000"/>
          <w:spacing w:val="0"/>
          <w:w w:val="100"/>
          <w:position w:val="0"/>
          <w:sz w:val="24"/>
          <w:szCs w:val="24"/>
        </w:rPr>
        <w:t>一</w:t>
      </w:r>
      <w:r>
        <w:rPr>
          <w:color w:val="000000"/>
          <w:spacing w:val="0"/>
          <w:w w:val="100"/>
          <w:position w:val="0"/>
          <w:sz w:val="24"/>
          <w:szCs w:val="24"/>
        </w:rPr>
        <w:t>利多富华东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华中区总经理，思爱普（北 京）软件技术有限公司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SAP</w:t>
      </w:r>
      <w:r>
        <w:rPr>
          <w:color w:val="000000"/>
          <w:spacing w:val="0"/>
          <w:w w:val="100"/>
          <w:position w:val="0"/>
          <w:sz w:val="24"/>
          <w:szCs w:val="24"/>
        </w:rPr>
        <w:t>中国）市场及销售总监，上海汉得信息技术有限公司总裁。</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月担任公司总经理、董事，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月至今担任公司董事长。兼任随身科技（上 海）有限公司董事长、上海汉得微扬信息技术有限公司董事长。</w:t>
      </w:r>
    </w:p>
    <w:p>
      <w:pPr>
        <w:pStyle w:val="Style30"/>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范建震：</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年出生，复旦大学电子工程系理学学士、中欧国际工商学院工 商管理硕士。有近</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年的</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行业从业经验，于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年创办中国第一家专业从事高端</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产 品实施服务的咨询公司</w:t>
      </w:r>
      <w:r>
        <w:rPr>
          <w:color w:val="000000"/>
          <w:spacing w:val="0"/>
          <w:w w:val="100"/>
          <w:position w:val="0"/>
          <w:sz w:val="24"/>
          <w:szCs w:val="24"/>
        </w:rPr>
        <w:t>一一</w:t>
      </w:r>
      <w:r>
        <w:rPr>
          <w:color w:val="000000"/>
          <w:spacing w:val="0"/>
          <w:w w:val="100"/>
          <w:position w:val="0"/>
          <w:sz w:val="24"/>
          <w:szCs w:val="24"/>
        </w:rPr>
        <w:t>上海汉得计算机服务有限公司，</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年起任上海汉得信息技术有 限公司首席执行官，</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月担任公司董事长，</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月至今担任公司董事。 兼任上海夏尔软件有限公司执行董事、上海汉得融晶信息科技有限公司董事长、上海汉得商 业保理有限公司董事长、上海甄汇信息科技有限公司董事长、上海观岩企业管理咨询合伙企 业（有限合伙）执行事务合伙人。</w:t>
      </w:r>
    </w:p>
    <w:p>
      <w:pPr>
        <w:pStyle w:val="Style30"/>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廖卫平：</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sz w:val="24"/>
          <w:szCs w:val="24"/>
        </w:rPr>
        <w:t>年出生，无永久境外居留权，复旦大学</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sz w:val="24"/>
          <w:szCs w:val="24"/>
        </w:rPr>
        <w:t>。曾任兴业证券 投资银行部内核部高级经理、国金证券投行部质控部总经理。现任国金证券股份有限公司总 裁助理，兼任国金证券北京场外证券业务分公司总经理。</w:t>
      </w:r>
    </w:p>
    <w:p>
      <w:pPr>
        <w:pStyle w:val="Style30"/>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颜克益：</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年出生，无永久境外居留权，复旦大学产业经济学博士，中国 注册会计师。曾任兴业证券股份有限公司研发中心分析师、兴业证券股份有限公司证券投资 部投资经理、兴安证券有限公司证券投资部副总经理、兴业证券股份有限公司资产管理部总 经理、兴业证券股份有限公司研究所所长。现任上海大朴资产管理有限公司总经理、宁波韵 升股份有限公司独立董事。</w:t>
      </w:r>
    </w:p>
    <w:p>
      <w:pPr>
        <w:pStyle w:val="Style30"/>
        <w:keepNext w:val="0"/>
        <w:keepLines w:val="0"/>
        <w:widowControl w:val="0"/>
        <w:shd w:val="clear" w:color="auto" w:fill="auto"/>
        <w:bidi w:val="0"/>
        <w:spacing w:before="0" w:after="200" w:line="472" w:lineRule="exact"/>
        <w:ind w:left="0" w:right="0" w:firstLine="500"/>
        <w:jc w:val="both"/>
      </w:pPr>
      <w:r>
        <w:rPr>
          <w:b/>
          <w:bCs/>
          <w:color w:val="000000"/>
          <w:spacing w:val="0"/>
          <w:w w:val="100"/>
          <w:position w:val="0"/>
          <w:sz w:val="24"/>
          <w:szCs w:val="24"/>
        </w:rPr>
        <w:t>赵勇：</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年出生，无永久境外居留权，长江商学院高级工商管理研究生。 曾任上海长宁区信息化委员会党组书记、主任；上海市人口计生委党委委员、副主任；上海 市人口计生委党委委员、副主任、纪委书记；上海市卫生计生委党委委员、副主任。现任曙 光酒店管理集团（上海）有限公司董事长助理，兼任上海兰卫投资有限公司副总裁。</w:t>
      </w:r>
    </w:p>
    <w:p>
      <w:pPr>
        <w:pStyle w:val="Style30"/>
        <w:keepNext w:val="0"/>
        <w:keepLines w:val="0"/>
        <w:widowControl w:val="0"/>
        <w:shd w:val="clear" w:color="auto" w:fill="auto"/>
        <w:tabs>
          <w:tab w:pos="853" w:val="left"/>
        </w:tabs>
        <w:bidi w:val="0"/>
        <w:spacing w:before="0" w:after="80" w:line="410" w:lineRule="auto"/>
        <w:ind w:left="0" w:right="0" w:firstLine="500"/>
        <w:jc w:val="left"/>
      </w:pPr>
      <w:bookmarkStart w:id="470" w:name="bookmark470"/>
      <w:r>
        <w:rPr>
          <w:rFonts w:ascii="Times New Roman" w:eastAsia="Times New Roman" w:hAnsi="Times New Roman" w:cs="Times New Roman"/>
          <w:b/>
          <w:bCs/>
          <w:color w:val="000000"/>
          <w:spacing w:val="0"/>
          <w:w w:val="100"/>
          <w:position w:val="0"/>
          <w:sz w:val="24"/>
          <w:szCs w:val="24"/>
        </w:rPr>
        <w:t>2</w:t>
      </w:r>
      <w:bookmarkEnd w:id="470"/>
      <w:r>
        <w:rPr>
          <w:b/>
          <w:bCs/>
          <w:color w:val="000000"/>
          <w:spacing w:val="0"/>
          <w:w w:val="100"/>
          <w:position w:val="0"/>
          <w:sz w:val="24"/>
          <w:szCs w:val="24"/>
        </w:rPr>
        <w:t>、</w:t>
        <w:tab/>
        <w:t>现任监事</w:t>
      </w:r>
    </w:p>
    <w:p>
      <w:pPr>
        <w:pStyle w:val="Style30"/>
        <w:keepNext w:val="0"/>
        <w:keepLines w:val="0"/>
        <w:widowControl w:val="0"/>
        <w:shd w:val="clear" w:color="auto" w:fill="auto"/>
        <w:bidi w:val="0"/>
        <w:spacing w:before="0" w:after="40" w:line="470" w:lineRule="exact"/>
        <w:ind w:left="0" w:right="0" w:firstLine="500"/>
        <w:jc w:val="both"/>
      </w:pPr>
      <w:r>
        <w:rPr>
          <w:b/>
          <w:bCs/>
          <w:color w:val="000000"/>
          <w:spacing w:val="0"/>
          <w:w w:val="100"/>
          <w:position w:val="0"/>
          <w:sz w:val="24"/>
          <w:szCs w:val="24"/>
        </w:rPr>
        <w:t>吴滨：</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年出生，无永久境外居留权，研究生学历。</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年毕业于华中 理工大学固体电子学系，获工学学士学位；</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sz w:val="24"/>
          <w:szCs w:val="24"/>
        </w:rPr>
        <w:t>年毕业于复旦大学物理系，获理学硕士学位。 曾任洛克机电系统工程有限公司程序员，</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年加入汉得信息，历任</w:t>
      </w:r>
      <w:r>
        <w:rPr>
          <w:rFonts w:ascii="Times New Roman" w:eastAsia="Times New Roman" w:hAnsi="Times New Roman" w:cs="Times New Roman"/>
          <w:color w:val="000000"/>
          <w:spacing w:val="0"/>
          <w:w w:val="100"/>
          <w:position w:val="0"/>
          <w:sz w:val="24"/>
          <w:szCs w:val="24"/>
        </w:rPr>
        <w:t>Oracle</w:t>
      </w:r>
      <w:r>
        <w:rPr>
          <w:color w:val="000000"/>
          <w:spacing w:val="0"/>
          <w:w w:val="100"/>
          <w:position w:val="0"/>
          <w:sz w:val="24"/>
          <w:szCs w:val="24"/>
        </w:rPr>
        <w:t>部门资深技术顾 问，</w:t>
      </w:r>
      <w:r>
        <w:rPr>
          <w:rFonts w:ascii="Times New Roman" w:eastAsia="Times New Roman" w:hAnsi="Times New Roman" w:cs="Times New Roman"/>
          <w:color w:val="000000"/>
          <w:spacing w:val="0"/>
          <w:w w:val="100"/>
          <w:position w:val="0"/>
          <w:sz w:val="24"/>
          <w:szCs w:val="24"/>
        </w:rPr>
        <w:t>MAS</w:t>
      </w:r>
      <w:r>
        <w:rPr>
          <w:color w:val="000000"/>
          <w:spacing w:val="0"/>
          <w:w w:val="100"/>
          <w:position w:val="0"/>
          <w:sz w:val="24"/>
          <w:szCs w:val="24"/>
        </w:rPr>
        <w:t>产品部门技术总监，及</w:t>
      </w:r>
      <w:r>
        <w:rPr>
          <w:rFonts w:ascii="Times New Roman" w:eastAsia="Times New Roman" w:hAnsi="Times New Roman" w:cs="Times New Roman"/>
          <w:color w:val="000000"/>
          <w:spacing w:val="0"/>
          <w:w w:val="100"/>
          <w:position w:val="0"/>
          <w:sz w:val="24"/>
          <w:szCs w:val="24"/>
        </w:rPr>
        <w:t>Advanced Development Center（ADC）</w:t>
      </w:r>
      <w:r>
        <w:rPr>
          <w:color w:val="000000"/>
          <w:spacing w:val="0"/>
          <w:w w:val="100"/>
          <w:position w:val="0"/>
          <w:sz w:val="24"/>
          <w:szCs w:val="24"/>
        </w:rPr>
        <w:t>总监，现任上海汉得信息 技术股份有限公司</w:t>
      </w:r>
      <w:r>
        <w:rPr>
          <w:rFonts w:ascii="Times New Roman" w:eastAsia="Times New Roman" w:hAnsi="Times New Roman" w:cs="Times New Roman"/>
          <w:color w:val="000000"/>
          <w:spacing w:val="0"/>
          <w:w w:val="100"/>
          <w:position w:val="0"/>
          <w:sz w:val="24"/>
          <w:szCs w:val="24"/>
        </w:rPr>
        <w:t>CTO</w:t>
      </w:r>
      <w:r>
        <w:rPr>
          <w:color w:val="000000"/>
          <w:spacing w:val="0"/>
          <w:w w:val="100"/>
          <w:position w:val="0"/>
          <w:sz w:val="24"/>
          <w:szCs w:val="24"/>
        </w:rPr>
        <w:t>,</w:t>
      </w:r>
      <w:r>
        <w:rPr>
          <w:color w:val="000000"/>
          <w:spacing w:val="0"/>
          <w:w w:val="100"/>
          <w:position w:val="0"/>
          <w:sz w:val="24"/>
          <w:szCs w:val="24"/>
        </w:rPr>
        <w:t>公司第三届监事会主席。</w:t>
      </w:r>
    </w:p>
    <w:p>
      <w:pPr>
        <w:pStyle w:val="Style30"/>
        <w:keepNext w:val="0"/>
        <w:keepLines w:val="0"/>
        <w:widowControl w:val="0"/>
        <w:shd w:val="clear" w:color="auto" w:fill="auto"/>
        <w:bidi w:val="0"/>
        <w:spacing w:before="0" w:after="40" w:line="474" w:lineRule="exact"/>
        <w:ind w:left="0" w:right="0" w:firstLine="500"/>
        <w:jc w:val="both"/>
      </w:pPr>
      <w:r>
        <w:rPr>
          <w:b/>
          <w:bCs/>
          <w:color w:val="000000"/>
          <w:spacing w:val="0"/>
          <w:w w:val="100"/>
          <w:position w:val="0"/>
          <w:sz w:val="24"/>
          <w:szCs w:val="24"/>
        </w:rPr>
        <w:t>刘静波：</w:t>
      </w:r>
      <w:r>
        <w:rPr>
          <w:color w:val="000000"/>
          <w:spacing w:val="0"/>
          <w:w w:val="100"/>
          <w:position w:val="0"/>
          <w:sz w:val="24"/>
          <w:szCs w:val="24"/>
        </w:rPr>
        <w:t>中国国籍，无永久境外居留权，</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年出生，研究生学历。</w:t>
      </w:r>
      <w:r>
        <w:rPr>
          <w:rFonts w:ascii="Times New Roman" w:eastAsia="Times New Roman" w:hAnsi="Times New Roman" w:cs="Times New Roman"/>
          <w:color w:val="000000"/>
          <w:spacing w:val="0"/>
          <w:w w:val="100"/>
          <w:position w:val="0"/>
          <w:sz w:val="24"/>
          <w:szCs w:val="24"/>
        </w:rPr>
        <w:t>1980-1988</w:t>
      </w:r>
      <w:r>
        <w:rPr>
          <w:color w:val="000000"/>
          <w:spacing w:val="0"/>
          <w:w w:val="100"/>
          <w:position w:val="0"/>
          <w:sz w:val="24"/>
          <w:szCs w:val="24"/>
        </w:rPr>
        <w:t>年毕业于 同济大学电气工程系，获工业自动化硕士学位；</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年毕业于中欧国际工商管理学院，获工 商管理硕士学位。曾任中国纺织大学教师，上海华霆自动化设备公司总经理，现任上海东电 自动控制有限公司董事长、总经理，公司监事。</w:t>
      </w:r>
    </w:p>
    <w:p>
      <w:pPr>
        <w:pStyle w:val="Style30"/>
        <w:keepNext w:val="0"/>
        <w:keepLines w:val="0"/>
        <w:widowControl w:val="0"/>
        <w:shd w:val="clear" w:color="auto" w:fill="auto"/>
        <w:bidi w:val="0"/>
        <w:spacing w:before="0" w:after="40" w:line="466" w:lineRule="exact"/>
        <w:ind w:left="0" w:right="0" w:firstLine="500"/>
        <w:jc w:val="both"/>
      </w:pPr>
      <w:r>
        <w:rPr>
          <w:b/>
          <w:bCs/>
          <w:color w:val="000000"/>
          <w:spacing w:val="0"/>
          <w:w w:val="100"/>
          <w:position w:val="0"/>
          <w:sz w:val="24"/>
          <w:szCs w:val="24"/>
        </w:rPr>
        <w:t>黄青：</w:t>
      </w:r>
      <w:r>
        <w:rPr>
          <w:color w:val="000000"/>
          <w:spacing w:val="0"/>
          <w:w w:val="100"/>
          <w:position w:val="0"/>
          <w:sz w:val="24"/>
          <w:szCs w:val="24"/>
        </w:rPr>
        <w:t>中国国籍，无永久境外居留权，</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4"/>
          <w:szCs w:val="24"/>
        </w:rPr>
        <w:t>年出生，研究生学历。</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年毕业于同济 大学建筑材料系，获工程学学士学位；</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 xml:space="preserve">年毕业于东京大学大学院，获合成化学硕士学位；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年至今任逸和农业科技有限公司董事长，现任公司监事。</w:t>
      </w:r>
    </w:p>
    <w:p>
      <w:pPr>
        <w:pStyle w:val="Style21"/>
        <w:keepNext/>
        <w:keepLines/>
        <w:widowControl w:val="0"/>
        <w:shd w:val="clear" w:color="auto" w:fill="auto"/>
        <w:bidi w:val="0"/>
        <w:spacing w:before="0" w:after="40" w:line="471" w:lineRule="exact"/>
        <w:ind w:left="0" w:right="0" w:firstLine="50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sz w:val="24"/>
          <w:szCs w:val="24"/>
        </w:rPr>
        <w:t>3</w:t>
      </w:r>
      <w:bookmarkEnd w:id="473"/>
      <w:r>
        <w:rPr>
          <w:color w:val="000000"/>
          <w:spacing w:val="0"/>
          <w:w w:val="100"/>
          <w:position w:val="0"/>
          <w:sz w:val="24"/>
          <w:szCs w:val="24"/>
        </w:rPr>
        <w:t>、现任高管</w:t>
      </w:r>
      <w:bookmarkEnd w:id="471"/>
      <w:bookmarkEnd w:id="472"/>
      <w:bookmarkEnd w:id="474"/>
    </w:p>
    <w:p>
      <w:pPr>
        <w:pStyle w:val="Style30"/>
        <w:keepNext w:val="0"/>
        <w:keepLines w:val="0"/>
        <w:widowControl w:val="0"/>
        <w:shd w:val="clear" w:color="auto" w:fill="auto"/>
        <w:bidi w:val="0"/>
        <w:spacing w:before="0" w:after="40" w:line="471" w:lineRule="exact"/>
        <w:ind w:left="0" w:right="0" w:firstLine="500"/>
        <w:jc w:val="both"/>
      </w:pPr>
      <w:r>
        <w:rPr>
          <w:b/>
          <w:bCs/>
          <w:color w:val="000000"/>
          <w:spacing w:val="0"/>
          <w:w w:val="100"/>
          <w:position w:val="0"/>
          <w:sz w:val="24"/>
          <w:szCs w:val="24"/>
        </w:rPr>
        <w:t>黄益全：</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sz w:val="24"/>
          <w:szCs w:val="24"/>
        </w:rPr>
        <w:t>年出生，无永久境外居留权。</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年毕业于复旦大学管理学院 管理信息系统专业，并于同年加入公司任职</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咨询顾问，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年担任公司北方区总经理， </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年担任公司华东区总经理，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月担任公司运营总监，</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 至今担任公司总经理。兼任上海达美信息技术有限公司董事长，扬州达美投资管理有限公司 执行董事，上海禹哲投资管理合伙企业（有限合伙）执行事务合伙人、上海汉得欧俊信息技 术有限公司董事长。</w:t>
      </w:r>
    </w:p>
    <w:p>
      <w:pPr>
        <w:pStyle w:val="Style30"/>
        <w:keepNext w:val="0"/>
        <w:keepLines w:val="0"/>
        <w:widowControl w:val="0"/>
        <w:shd w:val="clear" w:color="auto" w:fill="auto"/>
        <w:bidi w:val="0"/>
        <w:spacing w:before="0" w:after="40" w:line="475" w:lineRule="exact"/>
        <w:ind w:left="0" w:right="0" w:firstLine="500"/>
        <w:jc w:val="both"/>
      </w:pPr>
      <w:r>
        <w:rPr>
          <w:b/>
          <w:bCs/>
          <w:color w:val="000000"/>
          <w:spacing w:val="0"/>
          <w:w w:val="100"/>
          <w:position w:val="0"/>
          <w:sz w:val="24"/>
          <w:szCs w:val="24"/>
        </w:rPr>
        <w:t>李西平：</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1975</w:t>
      </w:r>
      <w:r>
        <w:rPr>
          <w:color w:val="000000"/>
          <w:spacing w:val="0"/>
          <w:w w:val="100"/>
          <w:position w:val="0"/>
          <w:sz w:val="24"/>
          <w:szCs w:val="24"/>
        </w:rPr>
        <w:t>年出生，无永久境外居留权。中国人民大学国际金融学士，曾 任上海汉得信息技术股份有限公司</w:t>
      </w:r>
      <w:r>
        <w:rPr>
          <w:rFonts w:ascii="Times New Roman" w:eastAsia="Times New Roman" w:hAnsi="Times New Roman" w:cs="Times New Roman"/>
          <w:color w:val="000000"/>
          <w:spacing w:val="0"/>
          <w:w w:val="100"/>
          <w:position w:val="0"/>
          <w:sz w:val="24"/>
          <w:szCs w:val="24"/>
        </w:rPr>
        <w:t>O racle</w:t>
      </w:r>
      <w:r>
        <w:rPr>
          <w:color w:val="000000"/>
          <w:spacing w:val="0"/>
          <w:w w:val="100"/>
          <w:position w:val="0"/>
          <w:sz w:val="24"/>
          <w:szCs w:val="24"/>
        </w:rPr>
        <w:t>部门总监，兼任上海汉得商业保理有限公司总经理。</w:t>
      </w:r>
    </w:p>
    <w:p>
      <w:pPr>
        <w:pStyle w:val="Style30"/>
        <w:keepNext w:val="0"/>
        <w:keepLines w:val="0"/>
        <w:widowControl w:val="0"/>
        <w:shd w:val="clear" w:color="auto" w:fill="auto"/>
        <w:bidi w:val="0"/>
        <w:spacing w:before="0" w:after="200" w:line="467" w:lineRule="exact"/>
        <w:ind w:left="0" w:right="0" w:firstLine="500"/>
        <w:jc w:val="both"/>
      </w:pPr>
      <w:r>
        <w:rPr>
          <w:b/>
          <w:bCs/>
          <w:color w:val="000000"/>
          <w:spacing w:val="0"/>
          <w:w w:val="100"/>
          <w:position w:val="0"/>
          <w:sz w:val="24"/>
          <w:szCs w:val="24"/>
        </w:rPr>
        <w:t>王辛夷：</w:t>
      </w:r>
      <w:r>
        <w:rPr>
          <w:color w:val="000000"/>
          <w:spacing w:val="0"/>
          <w:w w:val="100"/>
          <w:position w:val="0"/>
          <w:sz w:val="24"/>
          <w:szCs w:val="24"/>
        </w:rPr>
        <w:t>中国国籍，</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年出生，中国注册会计师。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年毕业于上海交通大学国际金 融专业，获经济学学士。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月，就职于普华永道中天会计师事务所，任审 计部经理；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月，就职于毕马威企业咨询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有限公司，任财务咨询服 务部高级经理。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月至今担任公司财务总监。</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bl>
    <w:p>
      <w:pPr>
        <w:widowControl w:val="0"/>
        <w:spacing w:line="1" w:lineRule="exact"/>
      </w:pPr>
      <w:r>
        <w:br w:type="page"/>
      </w:r>
    </w:p>
    <w:tbl>
      <w:tblPr>
        <w:tblOverlap w:val="never"/>
        <w:jc w:val="center"/>
        <w:tblLayout w:type="fixed"/>
      </w:tblPr>
      <w:tblGrid>
        <w:gridCol w:w="1205"/>
        <w:gridCol w:w="3187"/>
        <w:gridCol w:w="1066"/>
        <w:gridCol w:w="1195"/>
        <w:gridCol w:w="1325"/>
        <w:gridCol w:w="160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随身科技（上海）有限公司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上海汉得微扬信息技术有限公司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上海夏尔软件有限公司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上海汉得融晶信息科技有限公司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上海甄汇信息科技有限公司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上海观岩企业管理咨询合伙企业（有限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国金证券北京场外证券业务分公司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上海大朴资产管理有限公司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宁波韵升股份有限公司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曙光酒店管理集团（上海）有限公司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上海兰卫投资有限公司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上海禹哲投资管理合伙企业（有限合伙）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上海汉得欧俊信息技术有限公司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李西平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上海东电自动控制有限公司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逸和农业科技有限公司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四</w:t>
      </w:r>
      <w:bookmarkEnd w:id="477"/>
      <w:r>
        <w:rPr>
          <w:color w:val="000000"/>
          <w:spacing w:val="0"/>
          <w:w w:val="100"/>
          <w:position w:val="0"/>
          <w:sz w:val="24"/>
          <w:szCs w:val="24"/>
        </w:rPr>
        <w:t>、董事、监事、高级管理人员报酬情况</w:t>
      </w:r>
      <w:bookmarkEnd w:id="475"/>
      <w:bookmarkEnd w:id="476"/>
      <w:bookmarkEnd w:id="47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4"/>
      </w:tblGrid>
      <w:tr>
        <w:trPr>
          <w:trHeight w:val="105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公司董事、监事报酬由股东大会决定，高级管理人员报酬由董事会 决定；在公司承担职务的监事、高级管理人员报酬由公司支付，监 事不另外支付津贴。独立董事津贴依据股东大会决议支付。</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依据董事、监事、高级管理人员的分工及履行情况确定。</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rPr>
              <w:t>11</w:t>
            </w:r>
            <w:r>
              <w:rPr>
                <w:color w:val="000000"/>
                <w:spacing w:val="0"/>
                <w:w w:val="100"/>
                <w:position w:val="0"/>
              </w:rPr>
              <w:t>人，</w:t>
            </w:r>
            <w:r>
              <w:rPr>
                <w:rFonts w:ascii="Times New Roman" w:eastAsia="Times New Roman" w:hAnsi="Times New Roman" w:cs="Times New Roman"/>
                <w:color w:val="000000"/>
                <w:spacing w:val="0"/>
                <w:w w:val="100"/>
                <w:position w:val="0"/>
              </w:rPr>
              <w:t>2016</w:t>
            </w:r>
            <w:r>
              <w:rPr>
                <w:color w:val="000000"/>
                <w:spacing w:val="0"/>
                <w:w w:val="100"/>
                <w:position w:val="0"/>
              </w:rPr>
              <w:t>年实际支付薪酬</w:t>
            </w:r>
          </w:p>
        </w:tc>
      </w:tr>
    </w:tbl>
    <w:p>
      <w:pPr>
        <w:widowControl w:val="0"/>
        <w:spacing w:line="1" w:lineRule="exact"/>
      </w:pPr>
      <w:r>
        <w:br w:type="page"/>
      </w:r>
    </w:p>
    <w:tbl>
      <w:tblPr>
        <w:tblOverlap w:val="never"/>
        <w:jc w:val="center"/>
        <w:tblLayout w:type="fixed"/>
      </w:tblPr>
      <w:tblGrid>
        <w:gridCol w:w="4272"/>
        <w:gridCol w:w="5314"/>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如下表，董事、监事和高级管理人员的薪酬均已按规定支付。</w:t>
            </w:r>
          </w:p>
        </w:tc>
      </w:tr>
    </w:tbl>
    <w:p>
      <w:pPr>
        <w:widowControl w:val="0"/>
        <w:spacing w:after="39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陈迪清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范建震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廖卫平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颜克益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黄益全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李西平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王辛夷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刘静波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黄青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张伟锋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曹惠民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陈靖丰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注：李西平于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日被聘任为公司董事会秘书、副总经理，上述表格中的</w:t>
      </w:r>
      <w:r>
        <w:rPr>
          <w:rFonts w:ascii="Times New Roman" w:eastAsia="Times New Roman" w:hAnsi="Times New Roman" w:cs="Times New Roman"/>
          <w:color w:val="000000"/>
          <w:spacing w:val="0"/>
          <w:w w:val="100"/>
          <w:position w:val="0"/>
        </w:rPr>
        <w:t>3</w:t>
      </w:r>
      <w:r>
        <w:rPr>
          <w:color w:val="000000"/>
          <w:spacing w:val="0"/>
          <w:w w:val="100"/>
          <w:position w:val="0"/>
        </w:rPr>
        <w:t>万元为其一个月的薪水。</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五</w:t>
      </w:r>
      <w:bookmarkEnd w:id="481"/>
      <w:r>
        <w:rPr>
          <w:color w:val="000000"/>
          <w:spacing w:val="0"/>
          <w:w w:val="100"/>
          <w:position w:val="0"/>
          <w:sz w:val="24"/>
          <w:szCs w:val="24"/>
        </w:rPr>
        <w:t>、公司员工情况</w:t>
      </w:r>
      <w:bookmarkEnd w:id="479"/>
      <w:bookmarkEnd w:id="480"/>
      <w:bookmarkEnd w:id="482"/>
    </w:p>
    <w:p>
      <w:pPr>
        <w:pStyle w:val="Style26"/>
        <w:keepNext/>
        <w:keepLines/>
        <w:widowControl w:val="0"/>
        <w:shd w:val="clear" w:color="auto" w:fill="auto"/>
        <w:bidi w:val="0"/>
        <w:spacing w:before="0" w:after="32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1</w:t>
      </w:r>
      <w:bookmarkEnd w:id="485"/>
      <w:r>
        <w:rPr>
          <w:color w:val="000000"/>
          <w:spacing w:val="0"/>
          <w:w w:val="100"/>
          <w:position w:val="0"/>
        </w:rPr>
        <w:t>、员工数量、专业构成及教育程度</w:t>
      </w:r>
      <w:bookmarkEnd w:id="483"/>
      <w:bookmarkEnd w:id="484"/>
      <w:bookmarkEnd w:id="48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3,836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1,447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5,480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328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4,482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454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5,480</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199" w:line="1" w:lineRule="exact"/>
      </w:pPr>
    </w:p>
    <w:p>
      <w:pPr>
        <w:pStyle w:val="Style30"/>
        <w:keepNext w:val="0"/>
        <w:keepLines w:val="0"/>
        <w:widowControl w:val="0"/>
        <w:shd w:val="clear" w:color="auto" w:fill="auto"/>
        <w:bidi w:val="0"/>
        <w:spacing w:before="0" w:after="400" w:line="468" w:lineRule="exact"/>
        <w:ind w:left="0" w:right="0" w:firstLine="500"/>
        <w:jc w:val="both"/>
      </w:pPr>
      <w:bookmarkStart w:id="487" w:name="bookmark487"/>
      <w:r>
        <w:rPr>
          <w:color w:val="000000"/>
          <w:spacing w:val="0"/>
          <w:w w:val="100"/>
          <w:position w:val="0"/>
          <w:sz w:val="24"/>
          <w:szCs w:val="24"/>
        </w:rPr>
        <w:t>公</w:t>
      </w:r>
      <w:bookmarkEnd w:id="487"/>
      <w:r>
        <w:rPr>
          <w:color w:val="000000"/>
          <w:spacing w:val="0"/>
          <w:w w:val="100"/>
          <w:position w:val="0"/>
          <w:sz w:val="24"/>
          <w:szCs w:val="24"/>
        </w:rPr>
        <w:t>司在遵守国家相关法律法规的基础上，根据公司战略方向、经营目标和岗位情况，对 比同行业公司、参考同地区公司、基于公平、公正和市场化原则，建立了具备市场竞争力的 薪酬体系：（1）责任原则：按工作岗位、工作成绩、贡献大小及责权利相结合等因素确定基 本工资薪酬标准。（2）绩效原则：薪酬方案与公司经营业绩及经营目标的完成情况挂钩。绩 效薪酬与个人岗位职责目标完成情况挂钩，与公司经营业绩、工作创新、奖罚、年度绩效考 核结果等相结合。（3）竞争原则：注重收入市场化，制定合理的薪资结构比例，保持公司薪 酬的吸引力以及在市场上的竞争力，有利于公司吸引人才。同时公司在报告期内向公司核心 技术（业务）人员授予限制性股票，充分调动员工的积极性和创造性。</w:t>
      </w:r>
    </w:p>
    <w:p>
      <w:pPr>
        <w:pStyle w:val="Style47"/>
        <w:keepNext w:val="0"/>
        <w:keepLines w:val="0"/>
        <w:widowControl w:val="0"/>
        <w:shd w:val="clear" w:color="auto" w:fill="auto"/>
        <w:bidi w:val="0"/>
        <w:spacing w:before="0" w:after="200" w:line="240" w:lineRule="auto"/>
        <w:ind w:left="0" w:right="0" w:firstLine="0"/>
        <w:jc w:val="left"/>
      </w:pPr>
      <w:bookmarkStart w:id="488" w:name="bookmark488"/>
      <w:r>
        <w:rPr>
          <w:rFonts w:ascii="Times New Roman" w:eastAsia="Times New Roman" w:hAnsi="Times New Roman" w:cs="Times New Roman"/>
          <w:color w:val="000000"/>
          <w:spacing w:val="0"/>
          <w:w w:val="100"/>
          <w:position w:val="0"/>
        </w:rPr>
        <w:t>3</w:t>
      </w:r>
      <w:bookmarkEnd w:id="488"/>
      <w:r>
        <w:rPr>
          <w:color w:val="000000"/>
          <w:spacing w:val="0"/>
          <w:w w:val="100"/>
          <w:position w:val="0"/>
        </w:rPr>
        <w:t>、培训计划</w:t>
      </w:r>
    </w:p>
    <w:p>
      <w:pPr>
        <w:pStyle w:val="Style30"/>
        <w:keepNext w:val="0"/>
        <w:keepLines w:val="0"/>
        <w:widowControl w:val="0"/>
        <w:shd w:val="clear" w:color="auto" w:fill="auto"/>
        <w:bidi w:val="0"/>
        <w:spacing w:before="0" w:after="300" w:line="469" w:lineRule="exact"/>
        <w:ind w:left="0" w:right="0" w:firstLine="500"/>
        <w:jc w:val="both"/>
      </w:pPr>
      <w:r>
        <w:rPr>
          <w:color w:val="000000"/>
          <w:spacing w:val="0"/>
          <w:w w:val="100"/>
          <w:position w:val="0"/>
          <w:sz w:val="24"/>
          <w:szCs w:val="24"/>
        </w:rPr>
        <w:t>公司非常注重员工的培训工作，积极寻求各种培训资源和渠道，建立了较为完善的培训 体系。公司每年根据发展需求制定详细的培训计划，有针对性地开展如项目经理培训、新员 工培训、高级管理人员培训、业务培训等。从而切实有效地加强企业文化建设和提高各类人 员的专业水平。</w:t>
      </w:r>
    </w:p>
    <w:p>
      <w:pPr>
        <w:pStyle w:val="Style26"/>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4</w:t>
      </w:r>
      <w:bookmarkEnd w:id="491"/>
      <w:r>
        <w:rPr>
          <w:color w:val="000000"/>
          <w:spacing w:val="0"/>
          <w:w w:val="100"/>
          <w:position w:val="0"/>
        </w:rPr>
        <w:t>、劳务外包情况</w:t>
      </w:r>
      <w:bookmarkEnd w:id="489"/>
      <w:bookmarkEnd w:id="490"/>
      <w:bookmarkEnd w:id="492"/>
    </w:p>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26" w:right="1054" w:bottom="1446"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keepLines/>
        <w:widowControl w:val="0"/>
        <w:shd w:val="clear" w:color="auto" w:fill="auto"/>
        <w:bidi w:val="0"/>
        <w:spacing w:before="600" w:after="320" w:line="240" w:lineRule="auto"/>
        <w:ind w:left="0" w:right="0" w:firstLine="0"/>
        <w:jc w:val="center"/>
      </w:pPr>
      <w:bookmarkStart w:id="493" w:name="bookmark493"/>
      <w:bookmarkStart w:id="494" w:name="bookmark494"/>
      <w:bookmarkStart w:id="495" w:name="bookmark495"/>
      <w:r>
        <w:rPr>
          <w:color w:val="000000"/>
          <w:spacing w:val="0"/>
          <w:w w:val="100"/>
          <w:position w:val="0"/>
        </w:rPr>
        <w:t>第九节公司治理</w:t>
      </w:r>
      <w:bookmarkEnd w:id="493"/>
      <w:bookmarkEnd w:id="494"/>
      <w:bookmarkEnd w:id="495"/>
    </w:p>
    <w:p>
      <w:pPr>
        <w:pStyle w:val="Style21"/>
        <w:keepNext/>
        <w:keepLines/>
        <w:widowControl w:val="0"/>
        <w:shd w:val="clear" w:color="auto" w:fill="auto"/>
        <w:bidi w:val="0"/>
        <w:spacing w:before="0" w:after="200" w:line="469" w:lineRule="exact"/>
        <w:ind w:left="0" w:right="0" w:firstLine="0"/>
        <w:jc w:val="both"/>
      </w:pPr>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、公司治理的基本状况</w:t>
      </w:r>
      <w:bookmarkEnd w:id="496"/>
      <w:bookmarkEnd w:id="497"/>
      <w:bookmarkEnd w:id="499"/>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报告期内，公司严格按照《公司法》、《证券法》、《深圳证券交易所创业板股票上市 规则》、《深圳证券交易所创业板上市公司规范运作指引》等法律法规及规范性文件的要求, 不断完善公司法人治理结构，建立健全公司内部管理和控制制度，进一步规范公司运作，努 力做好信息披露工作及投资者关系管理，持续提高公司治理水平。截止本报告期末，公司治 理结构的实际情况符合中国证监会发布的有关上市公司治理的规范性文件的要求。</w:t>
      </w:r>
    </w:p>
    <w:p>
      <w:pPr>
        <w:pStyle w:val="Style30"/>
        <w:keepNext w:val="0"/>
        <w:keepLines w:val="0"/>
        <w:widowControl w:val="0"/>
        <w:shd w:val="clear" w:color="auto" w:fill="auto"/>
        <w:tabs>
          <w:tab w:pos="1133" w:val="left"/>
        </w:tabs>
        <w:bidi w:val="0"/>
        <w:spacing w:before="0" w:after="0" w:line="469" w:lineRule="exact"/>
        <w:ind w:left="0" w:right="0" w:firstLine="500"/>
        <w:jc w:val="both"/>
      </w:pPr>
      <w:bookmarkStart w:id="500" w:name="bookmark500"/>
      <w:r>
        <w:rPr>
          <w:color w:val="000000"/>
          <w:spacing w:val="0"/>
          <w:w w:val="100"/>
          <w:position w:val="0"/>
          <w:sz w:val="24"/>
          <w:szCs w:val="24"/>
        </w:rPr>
        <w:t>（</w:t>
      </w:r>
      <w:bookmarkEnd w:id="500"/>
      <w:r>
        <w:rPr>
          <w:color w:val="000000"/>
          <w:spacing w:val="0"/>
          <w:w w:val="100"/>
          <w:position w:val="0"/>
          <w:sz w:val="24"/>
          <w:szCs w:val="24"/>
        </w:rPr>
        <w:t>一）</w:t>
        <w:tab/>
        <w:t>关于股东与股东大会</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公司严格按照《深圳证券交易所创业板股票上市规则》、《深圳证券交易所创业板上市 公司规范运作指引》、《股东大会议事规则》等法规制度的要求，规范地召集、召开股东大 会，平等对待所有股东，尤其保证中小股东享有同等的地位，为广大股东参与股东大会提供 便利，使其充分行使自己的权利。</w:t>
      </w:r>
    </w:p>
    <w:p>
      <w:pPr>
        <w:pStyle w:val="Style30"/>
        <w:keepNext w:val="0"/>
        <w:keepLines w:val="0"/>
        <w:widowControl w:val="0"/>
        <w:shd w:val="clear" w:color="auto" w:fill="auto"/>
        <w:tabs>
          <w:tab w:pos="1133" w:val="left"/>
        </w:tabs>
        <w:bidi w:val="0"/>
        <w:spacing w:before="0" w:after="0" w:line="469" w:lineRule="exact"/>
        <w:ind w:left="0" w:right="0" w:firstLine="500"/>
        <w:jc w:val="both"/>
      </w:pPr>
      <w:bookmarkStart w:id="501" w:name="bookmark501"/>
      <w:r>
        <w:rPr>
          <w:color w:val="000000"/>
          <w:spacing w:val="0"/>
          <w:w w:val="100"/>
          <w:position w:val="0"/>
          <w:sz w:val="24"/>
          <w:szCs w:val="24"/>
        </w:rPr>
        <w:t>（</w:t>
      </w:r>
      <w:bookmarkEnd w:id="501"/>
      <w:r>
        <w:rPr>
          <w:color w:val="000000"/>
          <w:spacing w:val="0"/>
          <w:w w:val="100"/>
          <w:position w:val="0"/>
          <w:sz w:val="24"/>
          <w:szCs w:val="24"/>
        </w:rPr>
        <w:t>二）</w:t>
        <w:tab/>
        <w:t>关于公司与控股股东</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公司控股股东严格按照《公司法》、《证券法》、《深圳证券交易所创业板股票上市规 则》等法律法规及规范性文件的要求，履行出资人的权利和义务，未出现超越股东大会直接 或间接干预公司的决策和经营活动的情况。公司拥有独立完整的业务、人员、资产、财务和 机构，董事会、监事会和内部审计机构根据其议事规则和公司各项规章制度独立运作。</w:t>
      </w:r>
    </w:p>
    <w:p>
      <w:pPr>
        <w:pStyle w:val="Style30"/>
        <w:keepNext w:val="0"/>
        <w:keepLines w:val="0"/>
        <w:widowControl w:val="0"/>
        <w:shd w:val="clear" w:color="auto" w:fill="auto"/>
        <w:tabs>
          <w:tab w:pos="1133" w:val="left"/>
        </w:tabs>
        <w:bidi w:val="0"/>
        <w:spacing w:before="0" w:after="0" w:line="469" w:lineRule="exact"/>
        <w:ind w:left="0" w:right="0" w:firstLine="500"/>
        <w:jc w:val="both"/>
      </w:pPr>
      <w:bookmarkStart w:id="502" w:name="bookmark502"/>
      <w:r>
        <w:rPr>
          <w:color w:val="000000"/>
          <w:spacing w:val="0"/>
          <w:w w:val="100"/>
          <w:position w:val="0"/>
          <w:sz w:val="24"/>
          <w:szCs w:val="24"/>
        </w:rPr>
        <w:t>（</w:t>
      </w:r>
      <w:bookmarkEnd w:id="502"/>
      <w:r>
        <w:rPr>
          <w:color w:val="000000"/>
          <w:spacing w:val="0"/>
          <w:w w:val="100"/>
          <w:position w:val="0"/>
          <w:sz w:val="24"/>
          <w:szCs w:val="24"/>
        </w:rPr>
        <w:t>三）</w:t>
        <w:tab/>
        <w:t>关于董事和董事会</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公司严格按照《公司法》、《公司章程》规定的选聘程序选举董事，公司董事会人数和 人员构成符合法律、法规的要求，各位董事能够以认真负责的态度出席董事会和股东大会， 从公司和全体股东的利益出发，忠实履行职责，积极参加有关培训，学习有关法律法规，促 进董事会规范运作和科学决策。董事会会议程序符合规定，会议记录完整、真实，会议相关 信息披露及时、准确、充分。</w:t>
      </w:r>
    </w:p>
    <w:p>
      <w:pPr>
        <w:pStyle w:val="Style30"/>
        <w:keepNext w:val="0"/>
        <w:keepLines w:val="0"/>
        <w:widowControl w:val="0"/>
        <w:shd w:val="clear" w:color="auto" w:fill="auto"/>
        <w:tabs>
          <w:tab w:pos="1133" w:val="left"/>
        </w:tabs>
        <w:bidi w:val="0"/>
        <w:spacing w:before="0" w:after="0" w:line="469" w:lineRule="exact"/>
        <w:ind w:left="0" w:right="0" w:firstLine="500"/>
        <w:jc w:val="both"/>
      </w:pPr>
      <w:bookmarkStart w:id="503" w:name="bookmark503"/>
      <w:r>
        <w:rPr>
          <w:color w:val="000000"/>
          <w:spacing w:val="0"/>
          <w:w w:val="100"/>
          <w:position w:val="0"/>
          <w:sz w:val="24"/>
          <w:szCs w:val="24"/>
        </w:rPr>
        <w:t>（</w:t>
      </w:r>
      <w:bookmarkEnd w:id="503"/>
      <w:r>
        <w:rPr>
          <w:color w:val="000000"/>
          <w:spacing w:val="0"/>
          <w:w w:val="100"/>
          <w:position w:val="0"/>
          <w:sz w:val="24"/>
          <w:szCs w:val="24"/>
        </w:rPr>
        <w:t>四）</w:t>
        <w:tab/>
        <w:t>关于监事和监事会</w:t>
      </w:r>
    </w:p>
    <w:p>
      <w:pPr>
        <w:pStyle w:val="Style3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 xml:space="preserve">公司严格按照《公司法》、《公司章程》规定的选聘程序选举监事，公司监事会人数和 人员构成符合法律、法规的要求。各位监事能够认真学习有关法律法规、积极参加相关业务 培训、认真履行职责，本着对全体股东尤其是中小股东负责的精神，对公司重大事项、关联 </w:t>
      </w:r>
      <w:r>
        <w:rPr>
          <w:color w:val="000000"/>
          <w:spacing w:val="0"/>
          <w:w w:val="100"/>
          <w:position w:val="0"/>
          <w:sz w:val="24"/>
          <w:szCs w:val="24"/>
        </w:rPr>
        <w:t>交易、财务状况以及董事和其他高级管理人员履行职责的合法、合规性进行监督并发表独立 意见，维护公司及股东的合法权益。</w:t>
      </w:r>
    </w:p>
    <w:p>
      <w:pPr>
        <w:pStyle w:val="Style30"/>
        <w:keepNext w:val="0"/>
        <w:keepLines w:val="0"/>
        <w:widowControl w:val="0"/>
        <w:shd w:val="clear" w:color="auto" w:fill="auto"/>
        <w:tabs>
          <w:tab w:pos="1146" w:val="left"/>
        </w:tabs>
        <w:bidi w:val="0"/>
        <w:spacing w:before="0" w:after="0" w:line="468" w:lineRule="exact"/>
        <w:ind w:left="0" w:right="0" w:firstLine="500"/>
        <w:jc w:val="left"/>
      </w:pPr>
      <w:bookmarkStart w:id="504" w:name="bookmark504"/>
      <w:r>
        <w:rPr>
          <w:color w:val="000000"/>
          <w:spacing w:val="0"/>
          <w:w w:val="100"/>
          <w:position w:val="0"/>
          <w:sz w:val="24"/>
          <w:szCs w:val="24"/>
        </w:rPr>
        <w:t>（</w:t>
      </w:r>
      <w:bookmarkEnd w:id="504"/>
      <w:r>
        <w:rPr>
          <w:color w:val="000000"/>
          <w:spacing w:val="0"/>
          <w:w w:val="100"/>
          <w:position w:val="0"/>
          <w:sz w:val="24"/>
          <w:szCs w:val="24"/>
        </w:rPr>
        <w:t>五）</w:t>
        <w:tab/>
        <w:t>关于绩效评价与激励约束机制：</w:t>
      </w:r>
    </w:p>
    <w:p>
      <w:pPr>
        <w:pStyle w:val="Style3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公司建立并逐步完善公正、透明的董事、监事、高级管理人员的绩效评价标准与激励约 束机制；高级管理人员的聘任公开、透明，符合相关法律、法规的规定。</w:t>
      </w:r>
    </w:p>
    <w:p>
      <w:pPr>
        <w:pStyle w:val="Style30"/>
        <w:keepNext w:val="0"/>
        <w:keepLines w:val="0"/>
        <w:widowControl w:val="0"/>
        <w:shd w:val="clear" w:color="auto" w:fill="auto"/>
        <w:tabs>
          <w:tab w:pos="1146" w:val="left"/>
        </w:tabs>
        <w:bidi w:val="0"/>
        <w:spacing w:before="0" w:after="0" w:line="468" w:lineRule="exact"/>
        <w:ind w:left="0" w:right="0" w:firstLine="500"/>
        <w:jc w:val="left"/>
      </w:pPr>
      <w:bookmarkStart w:id="505" w:name="bookmark505"/>
      <w:r>
        <w:rPr>
          <w:color w:val="000000"/>
          <w:spacing w:val="0"/>
          <w:w w:val="100"/>
          <w:position w:val="0"/>
          <w:sz w:val="24"/>
          <w:szCs w:val="24"/>
        </w:rPr>
        <w:t>（</w:t>
      </w:r>
      <w:bookmarkEnd w:id="505"/>
      <w:r>
        <w:rPr>
          <w:color w:val="000000"/>
          <w:spacing w:val="0"/>
          <w:w w:val="100"/>
          <w:position w:val="0"/>
          <w:sz w:val="24"/>
          <w:szCs w:val="24"/>
        </w:rPr>
        <w:t>六）</w:t>
        <w:tab/>
        <w:t>关于信息披露与透明度：</w:t>
      </w:r>
    </w:p>
    <w:p>
      <w:pPr>
        <w:pStyle w:val="Style30"/>
        <w:keepNext w:val="0"/>
        <w:keepLines w:val="0"/>
        <w:widowControl w:val="0"/>
        <w:shd w:val="clear" w:color="auto" w:fill="auto"/>
        <w:bidi w:val="0"/>
        <w:spacing w:before="0" w:after="0" w:line="468" w:lineRule="exact"/>
        <w:ind w:left="0" w:right="0" w:firstLine="500"/>
        <w:jc w:val="left"/>
      </w:pPr>
      <w:r>
        <w:rPr>
          <w:color w:val="000000"/>
          <w:spacing w:val="0"/>
          <w:w w:val="100"/>
          <w:position w:val="0"/>
          <w:sz w:val="24"/>
          <w:szCs w:val="24"/>
        </w:rPr>
        <w:t xml:space="preserve">公司严格按照有关法律法规以及《公司章程》、《深圳证券交易所创业板股票上市规则》 等的要求，真实、准确、及时、公平、完整地披露有关信息，指定公司董事会秘书负责信息 披露工作，协调公司与投资者的关系，接待股东来访，回答投资者咨询，向投资者提供公司 已披露的资料，并指定《证券时报》、《中国证券报》、《上海证券报》、和巨潮资讯网 </w:t>
      </w:r>
      <w:r>
        <w:rPr>
          <w:color w:val="000000"/>
          <w:spacing w:val="0"/>
          <w:w w:val="100"/>
          <w:position w:val="0"/>
          <w:sz w:val="24"/>
          <w:szCs w:val="24"/>
        </w:rPr>
        <w:t>（www.cninfo.com.cn）</w:t>
      </w:r>
      <w:r>
        <w:rPr>
          <w:color w:val="000000"/>
          <w:spacing w:val="0"/>
          <w:w w:val="100"/>
          <w:position w:val="0"/>
          <w:sz w:val="24"/>
          <w:szCs w:val="24"/>
        </w:rPr>
        <w:t>为公司信息披露的指定报纸和网站，确保公司所有股东能够以平等的 机会获得信息。</w:t>
      </w:r>
    </w:p>
    <w:p>
      <w:pPr>
        <w:pStyle w:val="Style30"/>
        <w:keepNext w:val="0"/>
        <w:keepLines w:val="0"/>
        <w:widowControl w:val="0"/>
        <w:shd w:val="clear" w:color="auto" w:fill="auto"/>
        <w:tabs>
          <w:tab w:pos="1146" w:val="left"/>
        </w:tabs>
        <w:bidi w:val="0"/>
        <w:spacing w:before="0" w:after="0" w:line="468" w:lineRule="exact"/>
        <w:ind w:left="0" w:right="0" w:firstLine="500"/>
        <w:jc w:val="both"/>
      </w:pPr>
      <w:bookmarkStart w:id="506" w:name="bookmark506"/>
      <w:r>
        <w:rPr>
          <w:color w:val="000000"/>
          <w:spacing w:val="0"/>
          <w:w w:val="100"/>
          <w:position w:val="0"/>
          <w:sz w:val="24"/>
          <w:szCs w:val="24"/>
        </w:rPr>
        <w:t>（</w:t>
      </w:r>
      <w:bookmarkEnd w:id="506"/>
      <w:r>
        <w:rPr>
          <w:color w:val="000000"/>
          <w:spacing w:val="0"/>
          <w:w w:val="100"/>
          <w:position w:val="0"/>
          <w:sz w:val="24"/>
          <w:szCs w:val="24"/>
        </w:rPr>
        <w:t>七）</w:t>
        <w:tab/>
        <w:t>关于相关利益者</w:t>
      </w:r>
    </w:p>
    <w:p>
      <w:pPr>
        <w:pStyle w:val="Style30"/>
        <w:keepNext w:val="0"/>
        <w:keepLines w:val="0"/>
        <w:widowControl w:val="0"/>
        <w:shd w:val="clear" w:color="auto" w:fill="auto"/>
        <w:bidi w:val="0"/>
        <w:spacing w:before="0" w:after="480" w:line="468" w:lineRule="exact"/>
        <w:ind w:left="0" w:right="0" w:firstLine="500"/>
        <w:jc w:val="both"/>
      </w:pPr>
      <w:r>
        <w:rPr>
          <w:color w:val="000000"/>
          <w:spacing w:val="0"/>
          <w:w w:val="100"/>
          <w:position w:val="0"/>
          <w:sz w:val="24"/>
          <w:szCs w:val="24"/>
        </w:rPr>
        <w:t>公司充分尊重和维护相关利益者的合法权益，积极与相关利益者合作，加强与各方的沟 通和交流，实现股东、员工、社会等各方利益的协调平衡，共同推动公司持续、健康的发展。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22" w:val="left"/>
        </w:tabs>
        <w:bidi w:val="0"/>
        <w:spacing w:before="0" w:after="220" w:line="468" w:lineRule="exact"/>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w:t>
        <w:tab/>
        <w:t>公司相对于控股股东在业务、人员、资产、机构、财务等方面的独立情况</w:t>
      </w:r>
      <w:bookmarkEnd w:id="507"/>
      <w:bookmarkEnd w:id="508"/>
      <w:bookmarkEnd w:id="510"/>
    </w:p>
    <w:p>
      <w:pPr>
        <w:pStyle w:val="Style30"/>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公司严格按照《公司法》、《证券法》等有关法律、法规和《公司章程》的要求规范运 作，与控股股东在业务、人员、资产、机构、财务等方面完全独立，具有独立完整的业务及 自主经营能力。</w:t>
      </w:r>
    </w:p>
    <w:p>
      <w:pPr>
        <w:pStyle w:val="Style21"/>
        <w:keepNext/>
        <w:keepLines/>
        <w:widowControl w:val="0"/>
        <w:shd w:val="clear" w:color="auto" w:fill="auto"/>
        <w:tabs>
          <w:tab w:pos="526" w:val="left"/>
        </w:tabs>
        <w:bidi w:val="0"/>
        <w:spacing w:before="0" w:after="360" w:line="468"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三</w:t>
      </w:r>
      <w:bookmarkEnd w:id="513"/>
      <w:r>
        <w:rPr>
          <w:color w:val="000000"/>
          <w:spacing w:val="0"/>
          <w:w w:val="100"/>
          <w:position w:val="0"/>
          <w:sz w:val="24"/>
          <w:szCs w:val="24"/>
        </w:rPr>
        <w:t>、</w:t>
        <w:tab/>
        <w:t>同业竞争情况</w:t>
      </w:r>
      <w:bookmarkEnd w:id="511"/>
      <w:bookmarkEnd w:id="512"/>
      <w:bookmarkEnd w:id="51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tabs>
          <w:tab w:pos="526" w:val="left"/>
        </w:tabs>
        <w:bidi w:val="0"/>
        <w:spacing w:before="0" w:after="360" w:line="468" w:lineRule="exact"/>
        <w:ind w:left="0" w:right="0" w:firstLine="0"/>
        <w:jc w:val="left"/>
      </w:pPr>
      <w:bookmarkStart w:id="515" w:name="bookmark515"/>
      <w:r>
        <w:rPr>
          <w:b/>
          <w:bCs/>
          <w:color w:val="000000"/>
          <w:spacing w:val="0"/>
          <w:w w:val="100"/>
          <w:position w:val="0"/>
          <w:sz w:val="24"/>
          <w:szCs w:val="24"/>
        </w:rPr>
        <w:t>四</w:t>
      </w:r>
      <w:bookmarkEnd w:id="515"/>
      <w:r>
        <w:rPr>
          <w:b/>
          <w:bCs/>
          <w:color w:val="000000"/>
          <w:spacing w:val="0"/>
          <w:w w:val="100"/>
          <w:position w:val="0"/>
          <w:sz w:val="24"/>
          <w:szCs w:val="24"/>
        </w:rPr>
        <w:t>、</w:t>
        <w:tab/>
        <w:t>报告期内召开的年度股东大会和临时股东大会的有关情况</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598"/>
        <w:gridCol w:w="1594"/>
        <w:gridCol w:w="1594"/>
        <w:gridCol w:w="1608"/>
        <w:gridCol w:w="1565"/>
        <w:gridCol w:w="16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2016-033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2016-047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2016-066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2016-083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2016-107</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、表决权恢复的优先股股东请求召开临时股东大会</w:t>
      </w:r>
      <w:bookmarkEnd w:id="516"/>
      <w:bookmarkEnd w:id="517"/>
      <w:bookmarkEnd w:id="519"/>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五</w:t>
      </w:r>
      <w:bookmarkEnd w:id="522"/>
      <w:r>
        <w:rPr>
          <w:color w:val="000000"/>
          <w:spacing w:val="0"/>
          <w:w w:val="100"/>
          <w:position w:val="0"/>
          <w:sz w:val="24"/>
          <w:szCs w:val="24"/>
        </w:rPr>
        <w:t>、报告期内独立董事履行职责的情况</w:t>
      </w:r>
      <w:bookmarkEnd w:id="520"/>
      <w:bookmarkEnd w:id="521"/>
      <w:bookmarkEnd w:id="523"/>
    </w:p>
    <w:p>
      <w:pPr>
        <w:pStyle w:val="Style26"/>
        <w:keepNext/>
        <w:keepLines/>
        <w:widowControl w:val="0"/>
        <w:shd w:val="clear" w:color="auto" w:fill="auto"/>
        <w:bidi w:val="0"/>
        <w:spacing w:before="0" w:after="34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、独立董事出席董事会及股东大会的情况</w:t>
      </w:r>
      <w:bookmarkEnd w:id="524"/>
      <w:bookmarkEnd w:id="525"/>
      <w:bookmarkEnd w:id="527"/>
    </w:p>
    <w:tbl>
      <w:tblPr>
        <w:tblOverlap w:val="never"/>
        <w:jc w:val="center"/>
        <w:tblLayout w:type="fixed"/>
      </w:tblPr>
      <w:tblGrid>
        <w:gridCol w:w="1627"/>
        <w:gridCol w:w="1325"/>
        <w:gridCol w:w="1325"/>
        <w:gridCol w:w="1320"/>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刘维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陈靖丰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曹惠民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颜克益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廖卫平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、独立董事对公司有关事项提出异议的情况</w:t>
      </w:r>
      <w:bookmarkEnd w:id="528"/>
      <w:bookmarkEnd w:id="529"/>
      <w:bookmarkEnd w:id="531"/>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47"/>
        <w:keepNext w:val="0"/>
        <w:keepLines w:val="0"/>
        <w:widowControl w:val="0"/>
        <w:shd w:val="clear" w:color="auto" w:fill="auto"/>
        <w:bidi w:val="0"/>
        <w:spacing w:before="0" w:line="240" w:lineRule="auto"/>
        <w:ind w:left="0" w:right="0" w:firstLine="0"/>
        <w:jc w:val="left"/>
      </w:pPr>
      <w:bookmarkStart w:id="532" w:name="bookmark532"/>
      <w:r>
        <w:rPr>
          <w:rFonts w:ascii="Times New Roman" w:eastAsia="Times New Roman" w:hAnsi="Times New Roman" w:cs="Times New Roman"/>
          <w:color w:val="000000"/>
          <w:spacing w:val="0"/>
          <w:w w:val="100"/>
          <w:position w:val="0"/>
        </w:rPr>
        <w:t>3</w:t>
      </w:r>
      <w:bookmarkEnd w:id="532"/>
      <w:r>
        <w:rPr>
          <w:color w:val="000000"/>
          <w:spacing w:val="0"/>
          <w:w w:val="100"/>
          <w:position w:val="0"/>
        </w:rPr>
        <w:t>、独立董事履行职责的其他说明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报告期内，公司独立董事严格按照《关于在上市公司建立独立董事制度的指导意见》、 《深圳证券交易所创业板上市公司规范运作指引》及其他有关法律、法规和《公司章程》、 《独立董事制度》的规定和要求，忠实履行独立董事的职责，充分发挥独立董事的独立性和 专业性作用，全面关注公司的发展状况，及时了解公司的生产经营信息，切实维护公司和全 体股东尤其中小股东的合法权益。</w:t>
      </w:r>
    </w:p>
    <w:p>
      <w:pPr>
        <w:pStyle w:val="Style30"/>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公司独立董事本着勤勉尽责的原则，对提交董事会的议案和相关材料均认真审议，按照 相关要求发表独立意见，同时深入了解公司的经营、管理和内部控制等制度的完善及执行情 况、董事会决议执行情况、财务管理、业务发展等相关事项，阅有关资料，与相关人员沟通, 关注公司的经营、治理情况，为董事会和股东大会的科学决策发挥了积极的作用。</w:t>
      </w:r>
    </w:p>
    <w:p>
      <w:pPr>
        <w:pStyle w:val="Style21"/>
        <w:keepNext/>
        <w:keepLines/>
        <w:widowControl w:val="0"/>
        <w:shd w:val="clear" w:color="auto" w:fill="auto"/>
        <w:bidi w:val="0"/>
        <w:spacing w:before="0" w:after="220" w:line="467"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六</w:t>
      </w:r>
      <w:bookmarkEnd w:id="535"/>
      <w:r>
        <w:rPr>
          <w:color w:val="000000"/>
          <w:spacing w:val="0"/>
          <w:w w:val="100"/>
          <w:position w:val="0"/>
          <w:sz w:val="24"/>
          <w:szCs w:val="24"/>
        </w:rPr>
        <w:t>、董事会下设专门委员会在报告期内履行职责情况</w:t>
      </w:r>
      <w:bookmarkEnd w:id="533"/>
      <w:bookmarkEnd w:id="534"/>
      <w:bookmarkEnd w:id="536"/>
    </w:p>
    <w:p>
      <w:pPr>
        <w:pStyle w:val="Style3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为进一步完善公司法人治理结构，促进公司董事会科学、高效决策以及建立对公司管理 层绩效评价机制和激励机制，参照《上市公司治理准则》及《公司章程》等有关规定，公司 董事会设立审计委员会、薪酬与考核委员会、提名委员会、战略发展委员会四个专门设委员 会，报告期内，各委员会履职情况如下：</w:t>
      </w:r>
    </w:p>
    <w:p>
      <w:pPr>
        <w:pStyle w:val="Style30"/>
        <w:keepNext w:val="0"/>
        <w:keepLines w:val="0"/>
        <w:widowControl w:val="0"/>
        <w:shd w:val="clear" w:color="auto" w:fill="auto"/>
        <w:tabs>
          <w:tab w:pos="1130" w:val="left"/>
        </w:tabs>
        <w:bidi w:val="0"/>
        <w:spacing w:before="0" w:after="0" w:line="467" w:lineRule="exact"/>
        <w:ind w:left="0" w:right="0" w:firstLine="500"/>
        <w:jc w:val="both"/>
      </w:pPr>
      <w:bookmarkStart w:id="537" w:name="bookmark537"/>
      <w:r>
        <w:rPr>
          <w:color w:val="000000"/>
          <w:spacing w:val="0"/>
          <w:w w:val="100"/>
          <w:position w:val="0"/>
          <w:sz w:val="24"/>
          <w:szCs w:val="24"/>
        </w:rPr>
        <w:t>（</w:t>
      </w:r>
      <w:bookmarkEnd w:id="537"/>
      <w:r>
        <w:rPr>
          <w:color w:val="000000"/>
          <w:spacing w:val="0"/>
          <w:w w:val="100"/>
          <w:position w:val="0"/>
          <w:sz w:val="24"/>
          <w:szCs w:val="24"/>
        </w:rPr>
        <w:t>一）</w:t>
        <w:tab/>
        <w:t>审计委员会履职情况</w:t>
      </w:r>
    </w:p>
    <w:p>
      <w:pPr>
        <w:pStyle w:val="Style3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报告期内，审计委员会对内部控制评价报告、财务报表、审计报告、续聘年度审计机构、 定期报告等进行了审议。审计委员会在年报编制及财务报表审计过程中，按照《审计委员会 年度报告工作制度》的要求，认真听取经营层对公司经营情况及重大事项进展情况的汇报， 并与年审注册会计师进行了审计事前、事中、事后沟通，督促年审会计师按时完成审计工作。</w:t>
      </w:r>
    </w:p>
    <w:p>
      <w:pPr>
        <w:pStyle w:val="Style30"/>
        <w:keepNext w:val="0"/>
        <w:keepLines w:val="0"/>
        <w:widowControl w:val="0"/>
        <w:shd w:val="clear" w:color="auto" w:fill="auto"/>
        <w:tabs>
          <w:tab w:pos="1130" w:val="left"/>
        </w:tabs>
        <w:bidi w:val="0"/>
        <w:spacing w:before="0" w:after="0" w:line="467" w:lineRule="exact"/>
        <w:ind w:left="0" w:right="0" w:firstLine="500"/>
        <w:jc w:val="both"/>
      </w:pPr>
      <w:bookmarkStart w:id="538" w:name="bookmark538"/>
      <w:r>
        <w:rPr>
          <w:color w:val="000000"/>
          <w:spacing w:val="0"/>
          <w:w w:val="100"/>
          <w:position w:val="0"/>
          <w:sz w:val="24"/>
          <w:szCs w:val="24"/>
        </w:rPr>
        <w:t>（</w:t>
      </w:r>
      <w:bookmarkEnd w:id="538"/>
      <w:r>
        <w:rPr>
          <w:color w:val="000000"/>
          <w:spacing w:val="0"/>
          <w:w w:val="100"/>
          <w:position w:val="0"/>
          <w:sz w:val="24"/>
          <w:szCs w:val="24"/>
        </w:rPr>
        <w:t>二）</w:t>
        <w:tab/>
        <w:t>薪酬与考核委员会履职情况</w:t>
      </w:r>
    </w:p>
    <w:p>
      <w:pPr>
        <w:pStyle w:val="Style30"/>
        <w:keepNext w:val="0"/>
        <w:keepLines w:val="0"/>
        <w:widowControl w:val="0"/>
        <w:shd w:val="clear" w:color="auto" w:fill="auto"/>
        <w:bidi w:val="0"/>
        <w:spacing w:before="0" w:after="180" w:line="466" w:lineRule="exact"/>
        <w:ind w:left="0" w:right="0" w:firstLine="500"/>
        <w:jc w:val="left"/>
      </w:pPr>
      <w:r>
        <w:rPr>
          <w:color w:val="000000"/>
          <w:spacing w:val="0"/>
          <w:w w:val="100"/>
          <w:position w:val="0"/>
          <w:sz w:val="24"/>
          <w:szCs w:val="24"/>
        </w:rPr>
        <w:t>报告期内，薪酬与考核委员会对公司薪酬及绩效考核情况进行监督，审查董事、监事及 高级管理人员的薪酬情况，对考核和评价标准提出建议，并对公司《2016年股权激励计划》、 《考核办法》和限制性股票激励计划名单等事项进行认真审核，为公司董事会作出正确决策 起到了积极作用。</w:t>
      </w:r>
    </w:p>
    <w:p>
      <w:pPr>
        <w:pStyle w:val="Style30"/>
        <w:keepNext w:val="0"/>
        <w:keepLines w:val="0"/>
        <w:widowControl w:val="0"/>
        <w:shd w:val="clear" w:color="auto" w:fill="auto"/>
        <w:tabs>
          <w:tab w:pos="1146" w:val="left"/>
        </w:tabs>
        <w:bidi w:val="0"/>
        <w:spacing w:before="0" w:after="0" w:line="470" w:lineRule="exact"/>
        <w:ind w:left="0" w:right="0" w:firstLine="500"/>
        <w:jc w:val="both"/>
      </w:pPr>
      <w:bookmarkStart w:id="539" w:name="bookmark539"/>
      <w:r>
        <w:rPr>
          <w:color w:val="000000"/>
          <w:spacing w:val="0"/>
          <w:w w:val="100"/>
          <w:position w:val="0"/>
          <w:sz w:val="24"/>
          <w:szCs w:val="24"/>
        </w:rPr>
        <w:t>（</w:t>
      </w:r>
      <w:bookmarkEnd w:id="539"/>
      <w:r>
        <w:rPr>
          <w:color w:val="000000"/>
          <w:spacing w:val="0"/>
          <w:w w:val="100"/>
          <w:position w:val="0"/>
          <w:sz w:val="24"/>
          <w:szCs w:val="24"/>
        </w:rPr>
        <w:t>三）</w:t>
        <w:tab/>
        <w:t>提名委员会履职情况</w:t>
      </w:r>
    </w:p>
    <w:p>
      <w:pPr>
        <w:pStyle w:val="Style30"/>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报告期内，公司提名委员会严格按照《董事会提名委员会议事规则》的相关要求，勤勉 尽责地履行职责，持续研究与关注高级管理人员选拔制度，对公司董事、高管候选人的教育 背景、职业经历和专业素养等综合情况，进行了充分的调查和了解，对第三届董事会的换届 选举等相关事宜发表了相关审查意见。</w:t>
      </w:r>
    </w:p>
    <w:p>
      <w:pPr>
        <w:pStyle w:val="Style30"/>
        <w:keepNext w:val="0"/>
        <w:keepLines w:val="0"/>
        <w:widowControl w:val="0"/>
        <w:shd w:val="clear" w:color="auto" w:fill="auto"/>
        <w:tabs>
          <w:tab w:pos="1146" w:val="left"/>
        </w:tabs>
        <w:bidi w:val="0"/>
        <w:spacing w:before="0" w:after="0" w:line="470" w:lineRule="exact"/>
        <w:ind w:left="0" w:right="0" w:firstLine="500"/>
        <w:jc w:val="both"/>
      </w:pPr>
      <w:bookmarkStart w:id="540" w:name="bookmark540"/>
      <w:r>
        <w:rPr>
          <w:color w:val="000000"/>
          <w:spacing w:val="0"/>
          <w:w w:val="100"/>
          <w:position w:val="0"/>
          <w:sz w:val="24"/>
          <w:szCs w:val="24"/>
        </w:rPr>
        <w:t>（</w:t>
      </w:r>
      <w:bookmarkEnd w:id="540"/>
      <w:r>
        <w:rPr>
          <w:color w:val="000000"/>
          <w:spacing w:val="0"/>
          <w:w w:val="100"/>
          <w:position w:val="0"/>
          <w:sz w:val="24"/>
          <w:szCs w:val="24"/>
        </w:rPr>
        <w:t>四）</w:t>
        <w:tab/>
        <w:t>战略发展委员会履职情况</w:t>
      </w:r>
    </w:p>
    <w:p>
      <w:pPr>
        <w:pStyle w:val="Style30"/>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报告期内，战略发展委员会主要对公司长期发展战略及对外投资情况进行审议，日常工 作中，董事会战略发展委员会委员对公司重大投资决策及其他影响公司发展的重大事项进行 研究，提出相关建议，并与公司管理层保持密切沟通，对促进公司持续、健康发展，提高公 司战略决策的合理性和科学性起到积极良好的作用。</w:t>
      </w:r>
    </w:p>
    <w:p>
      <w:pPr>
        <w:pStyle w:val="Style21"/>
        <w:keepNext/>
        <w:keepLines/>
        <w:widowControl w:val="0"/>
        <w:shd w:val="clear" w:color="auto" w:fill="auto"/>
        <w:tabs>
          <w:tab w:pos="526" w:val="left"/>
        </w:tabs>
        <w:bidi w:val="0"/>
        <w:spacing w:before="0" w:after="360" w:line="470"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七</w:t>
      </w:r>
      <w:bookmarkEnd w:id="543"/>
      <w:r>
        <w:rPr>
          <w:color w:val="000000"/>
          <w:spacing w:val="0"/>
          <w:w w:val="100"/>
          <w:position w:val="0"/>
          <w:sz w:val="24"/>
          <w:szCs w:val="24"/>
        </w:rPr>
        <w:t>、</w:t>
        <w:tab/>
        <w:t>监事会工作情况</w:t>
      </w:r>
      <w:bookmarkEnd w:id="541"/>
      <w:bookmarkEnd w:id="542"/>
      <w:bookmarkEnd w:id="54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公司监事会对报告期内的监督事项无异议。</w:t>
      </w:r>
    </w:p>
    <w:p>
      <w:pPr>
        <w:pStyle w:val="Style21"/>
        <w:keepNext/>
        <w:keepLines/>
        <w:widowControl w:val="0"/>
        <w:shd w:val="clear" w:color="auto" w:fill="auto"/>
        <w:tabs>
          <w:tab w:pos="526" w:val="left"/>
        </w:tabs>
        <w:bidi w:val="0"/>
        <w:spacing w:before="0" w:after="220" w:line="470"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八</w:t>
      </w:r>
      <w:bookmarkEnd w:id="547"/>
      <w:r>
        <w:rPr>
          <w:color w:val="000000"/>
          <w:spacing w:val="0"/>
          <w:w w:val="100"/>
          <w:position w:val="0"/>
          <w:sz w:val="24"/>
          <w:szCs w:val="24"/>
        </w:rPr>
        <w:t>、</w:t>
        <w:tab/>
        <w:t>高级管理人员的考评及激励情况</w:t>
      </w:r>
      <w:bookmarkEnd w:id="545"/>
      <w:bookmarkEnd w:id="546"/>
      <w:bookmarkEnd w:id="548"/>
    </w:p>
    <w:p>
      <w:pPr>
        <w:pStyle w:val="Style30"/>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公司建立了高级管理人员的选择、考评、激励与约束机制，最大限度地调动公司高级管 理人员的积极性及创造性。董事会下设的薪酬与考核委员会负责对高级管理人员的工作能力、 履职情况进行年终考评，制定薪酬方案并报董事会审批。报告期内，高级管理人员能够严格 按照《公司法》、《公司章程》及国家有关法律法规认真履行职责，积极落实公司股东大会 和董事会相关决议，有效的提升了公司治理水平确保公司各项业务的顺利开展，促进了公司 业绩稳定持续发展。</w:t>
      </w:r>
    </w:p>
    <w:p>
      <w:pPr>
        <w:pStyle w:val="Style30"/>
        <w:keepNext w:val="0"/>
        <w:keepLines w:val="0"/>
        <w:widowControl w:val="0"/>
        <w:shd w:val="clear" w:color="auto" w:fill="auto"/>
        <w:tabs>
          <w:tab w:pos="526" w:val="left"/>
        </w:tabs>
        <w:bidi w:val="0"/>
        <w:spacing w:before="0" w:after="360" w:line="470" w:lineRule="exact"/>
        <w:ind w:left="0" w:right="0" w:firstLine="0"/>
        <w:jc w:val="both"/>
      </w:pPr>
      <w:bookmarkStart w:id="549" w:name="bookmark549"/>
      <w:r>
        <w:rPr>
          <w:b/>
          <w:bCs/>
          <w:color w:val="000000"/>
          <w:spacing w:val="0"/>
          <w:w w:val="100"/>
          <w:position w:val="0"/>
          <w:sz w:val="24"/>
          <w:szCs w:val="24"/>
        </w:rPr>
        <w:t>九</w:t>
      </w:r>
      <w:bookmarkEnd w:id="549"/>
      <w:r>
        <w:rPr>
          <w:b/>
          <w:bCs/>
          <w:color w:val="000000"/>
          <w:spacing w:val="0"/>
          <w:w w:val="100"/>
          <w:position w:val="0"/>
          <w:sz w:val="24"/>
          <w:szCs w:val="24"/>
        </w:rPr>
        <w:t>、</w:t>
        <w:tab/>
        <w:t>内部控制评价报告</w:t>
      </w:r>
    </w:p>
    <w:p>
      <w:pPr>
        <w:pStyle w:val="Style47"/>
        <w:keepNext w:val="0"/>
        <w:keepLines w:val="0"/>
        <w:widowControl w:val="0"/>
        <w:shd w:val="clear" w:color="auto" w:fill="auto"/>
        <w:tabs>
          <w:tab w:pos="446" w:val="left"/>
        </w:tabs>
        <w:bidi w:val="0"/>
        <w:spacing w:before="0" w:line="240" w:lineRule="auto"/>
        <w:ind w:left="0" w:right="0" w:firstLine="0"/>
        <w:jc w:val="both"/>
      </w:pPr>
      <w:bookmarkStart w:id="550" w:name="bookmark550"/>
      <w:r>
        <w:rPr>
          <w:rFonts w:ascii="Times New Roman" w:eastAsia="Times New Roman" w:hAnsi="Times New Roman" w:cs="Times New Roman"/>
          <w:color w:val="000000"/>
          <w:spacing w:val="0"/>
          <w:w w:val="100"/>
          <w:position w:val="0"/>
        </w:rPr>
        <w:t>1</w:t>
      </w:r>
      <w:bookmarkEnd w:id="550"/>
      <w:r>
        <w:rPr>
          <w:color w:val="000000"/>
          <w:spacing w:val="0"/>
          <w:w w:val="100"/>
          <w:position w:val="0"/>
        </w:rPr>
        <w:t>、</w:t>
        <w:tab/>
        <w:t>报告期内发现的内部控制重大缺陷的具体情况</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3"/>
        <w:keepNext w:val="0"/>
        <w:keepLines w:val="0"/>
        <w:widowControl w:val="0"/>
        <w:shd w:val="clear" w:color="auto" w:fill="auto"/>
        <w:tabs>
          <w:tab w:pos="341"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内控自我评价报告</w:t>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）公司确定的财务报告内部控制缺陷评 价的定性标准如下：</w:t>
            </w:r>
            <w:r>
              <w:rPr>
                <w:rFonts w:ascii="Times New Roman" w:eastAsia="Times New Roman" w:hAnsi="Times New Roman" w:cs="Times New Roman"/>
                <w:color w:val="000000"/>
                <w:spacing w:val="0"/>
                <w:w w:val="100"/>
                <w:position w:val="0"/>
              </w:rPr>
              <w:t>1</w:t>
            </w:r>
            <w:r>
              <w:rPr>
                <w:color w:val="000000"/>
                <w:spacing w:val="0"/>
                <w:w w:val="100"/>
                <w:position w:val="0"/>
              </w:rPr>
              <w:t>）重大缺陷的评价标 准①董事、监事和高级管理人员在经营管 理活动中舞弊；②对已经公告的财务报表 进行重大差错更正；③外部审计机构发现 当期财务报表存在重大错报，而内部控制 在运行过程中未能发现该错报。</w:t>
            </w:r>
            <w:r>
              <w:rPr>
                <w:rFonts w:ascii="Times New Roman" w:eastAsia="Times New Roman" w:hAnsi="Times New Roman" w:cs="Times New Roman"/>
                <w:color w:val="000000"/>
                <w:spacing w:val="0"/>
                <w:w w:val="100"/>
                <w:position w:val="0"/>
              </w:rPr>
              <w:t>2</w:t>
            </w:r>
            <w:r>
              <w:rPr>
                <w:color w:val="000000"/>
                <w:spacing w:val="0"/>
                <w:w w:val="100"/>
                <w:position w:val="0"/>
              </w:rPr>
              <w:t>）重要缺 陷的评价标准①未依照公认的会计准则选 择和应用会计政策；②未建立经营管理活 动相关的反舞弊程序和控制措施；③对于 非常规或特殊交易的账务处理没有建立相 应的控制机制或没有实施且没有相应的补 偿性机制。</w:t>
            </w:r>
            <w:r>
              <w:rPr>
                <w:rFonts w:ascii="Times New Roman" w:eastAsia="Times New Roman" w:hAnsi="Times New Roman" w:cs="Times New Roman"/>
                <w:color w:val="000000"/>
                <w:spacing w:val="0"/>
                <w:w w:val="100"/>
                <w:position w:val="0"/>
              </w:rPr>
              <w:t>3</w:t>
            </w:r>
            <w:r>
              <w:rPr>
                <w:color w:val="000000"/>
                <w:spacing w:val="0"/>
                <w:w w:val="100"/>
                <w:position w:val="0"/>
              </w:rPr>
              <w:t>）一般缺陷的评价标准不构成 重大缺陷和重要缺陷的内部控制缺陷，认 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）重大缺陷的评价标准①公司重要业 务事项、环节和高风险领域缺乏制度控 制或制度体系失效，对公司经营造成重 大影响；②公司经营活动严重违反国家 法律法规；③媒体出现负面新闻，涉及 面广且负面影响一直未能消除；④公司 核心管理人员和高级技术人员流失严 重，造成经营活动难以正常进行。</w:t>
            </w:r>
            <w:r>
              <w:rPr>
                <w:rFonts w:ascii="Times New Roman" w:eastAsia="Times New Roman" w:hAnsi="Times New Roman" w:cs="Times New Roman"/>
                <w:color w:val="000000"/>
                <w:spacing w:val="0"/>
                <w:w w:val="100"/>
                <w:position w:val="0"/>
              </w:rPr>
              <w:t>2</w:t>
            </w:r>
            <w:r>
              <w:rPr>
                <w:color w:val="000000"/>
                <w:spacing w:val="0"/>
                <w:w w:val="100"/>
                <w:position w:val="0"/>
              </w:rPr>
              <w:t>） 重要缺陷的评价标准①公司重要业务 事项、环节和高风险领域相关的制度控 制或系统存在缺陷，对公司经营造成重 要影响；②公司重大决策、重大事项、 重要人事任免事项及大额资金支付业 务决策程序不完善或不规范，导致公司 出现重要损失；③公司违犯国家法律、 法规或规范性文件，受到除责令停产停 业、暂扣或吊销许可证及执照以外的行 政处罚；④公司关键岗位业务人员流失 严重。</w:t>
            </w:r>
            <w:r>
              <w:rPr>
                <w:rFonts w:ascii="Times New Roman" w:eastAsia="Times New Roman" w:hAnsi="Times New Roman" w:cs="Times New Roman"/>
                <w:color w:val="000000"/>
                <w:spacing w:val="0"/>
                <w:w w:val="100"/>
                <w:position w:val="0"/>
              </w:rPr>
              <w:t>3</w:t>
            </w:r>
            <w:r>
              <w:rPr>
                <w:color w:val="000000"/>
                <w:spacing w:val="0"/>
                <w:w w:val="100"/>
                <w:position w:val="0"/>
              </w:rPr>
              <w:t>）一般缺陷的评价标准不构成 重大缺陷和重要缺陷的内部控制缺陷， 认定为一般缺陷。</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以本年度财务报表数据为基准，确定公司 财务报表错报（包括漏报）重要程度的定 量标准:重大缺陷:错报</w:t>
            </w:r>
            <w:r>
              <w:rPr>
                <w:color w:val="000000"/>
                <w:spacing w:val="0"/>
                <w:w w:val="100"/>
                <w:position w:val="0"/>
              </w:rPr>
              <w:t>〉二</w:t>
            </w:r>
            <w:r>
              <w:rPr>
                <w:color w:val="000000"/>
                <w:spacing w:val="0"/>
                <w:w w:val="100"/>
                <w:position w:val="0"/>
              </w:rPr>
              <w:t>营业利润的</w:t>
            </w:r>
            <w:r>
              <w:rPr>
                <w:rFonts w:ascii="Times New Roman" w:eastAsia="Times New Roman" w:hAnsi="Times New Roman" w:cs="Times New Roman"/>
                <w:color w:val="000000"/>
                <w:spacing w:val="0"/>
                <w:w w:val="100"/>
                <w:position w:val="0"/>
              </w:rPr>
              <w:t>5%</w:t>
            </w:r>
            <w:r>
              <w:rPr>
                <w:color w:val="000000"/>
                <w:spacing w:val="0"/>
                <w:w w:val="100"/>
                <w:position w:val="0"/>
              </w:rPr>
              <w:t>； 重要缺陷：营业利润的</w:t>
            </w:r>
            <w:r>
              <w:rPr>
                <w:rFonts w:ascii="Times New Roman" w:eastAsia="Times New Roman" w:hAnsi="Times New Roman" w:cs="Times New Roman"/>
                <w:color w:val="000000"/>
                <w:spacing w:val="0"/>
                <w:w w:val="100"/>
                <w:position w:val="0"/>
              </w:rPr>
              <w:t>2%＜=</w:t>
            </w:r>
            <w:r>
              <w:rPr>
                <w:color w:val="000000"/>
                <w:spacing w:val="0"/>
                <w:w w:val="100"/>
                <w:position w:val="0"/>
              </w:rPr>
              <w:t>错报</w:t>
            </w:r>
            <w:r>
              <w:rPr>
                <w:color w:val="000000"/>
                <w:spacing w:val="0"/>
                <w:w w:val="100"/>
                <w:position w:val="0"/>
              </w:rPr>
              <w:t>〈</w:t>
            </w:r>
            <w:r>
              <w:rPr>
                <w:color w:val="000000"/>
                <w:spacing w:val="0"/>
                <w:w w:val="100"/>
                <w:position w:val="0"/>
              </w:rPr>
              <w:t>营业利 润的</w:t>
            </w:r>
            <w:r>
              <w:rPr>
                <w:rFonts w:ascii="Times New Roman" w:eastAsia="Times New Roman" w:hAnsi="Times New Roman" w:cs="Times New Roman"/>
                <w:color w:val="000000"/>
                <w:spacing w:val="0"/>
                <w:w w:val="100"/>
                <w:position w:val="0"/>
              </w:rPr>
              <w:t>5%</w:t>
            </w:r>
            <w:r>
              <w:rPr>
                <w:color w:val="000000"/>
                <w:spacing w:val="0"/>
                <w:w w:val="100"/>
                <w:position w:val="0"/>
              </w:rPr>
              <w:t>； 一般缺陷:错报</w:t>
            </w:r>
            <w:r>
              <w:rPr>
                <w:color w:val="000000"/>
                <w:spacing w:val="0"/>
                <w:w w:val="100"/>
                <w:position w:val="0"/>
              </w:rPr>
              <w:t>〈</w:t>
            </w:r>
            <w:r>
              <w:rPr>
                <w:color w:val="000000"/>
                <w:spacing w:val="0"/>
                <w:w w:val="100"/>
                <w:position w:val="0"/>
              </w:rPr>
              <w:t>营业利润的</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公司确定的非财务报告内部控制缺陷 评价的定量标准如下：重大缺陷：损失 金额达</w:t>
            </w:r>
            <w:r>
              <w:rPr>
                <w:rFonts w:ascii="Times New Roman" w:eastAsia="Times New Roman" w:hAnsi="Times New Roman" w:cs="Times New Roman"/>
                <w:color w:val="000000"/>
                <w:spacing w:val="0"/>
                <w:w w:val="100"/>
                <w:position w:val="0"/>
              </w:rPr>
              <w:t>100</w:t>
            </w:r>
            <w:r>
              <w:rPr>
                <w:color w:val="000000"/>
                <w:spacing w:val="0"/>
                <w:w w:val="100"/>
                <w:position w:val="0"/>
              </w:rPr>
              <w:t>万或以上的；重要缺陷：</w:t>
            </w:r>
            <w:r>
              <w:rPr>
                <w:rFonts w:ascii="Times New Roman" w:eastAsia="Times New Roman" w:hAnsi="Times New Roman" w:cs="Times New Roman"/>
                <w:color w:val="000000"/>
                <w:spacing w:val="0"/>
                <w:w w:val="100"/>
                <w:position w:val="0"/>
              </w:rPr>
              <w:t xml:space="preserve">5 </w:t>
            </w:r>
            <w:r>
              <w:rPr>
                <w:color w:val="000000"/>
                <w:spacing w:val="0"/>
                <w:w w:val="100"/>
                <w:position w:val="0"/>
              </w:rPr>
              <w:t>万</w:t>
            </w:r>
            <w:r>
              <w:rPr>
                <w:color w:val="000000"/>
                <w:spacing w:val="0"/>
                <w:w w:val="100"/>
                <w:position w:val="0"/>
                <w:sz w:val="18"/>
                <w:szCs w:val="18"/>
              </w:rPr>
              <w:t>M</w:t>
            </w:r>
            <w:r>
              <w:rPr>
                <w:color w:val="000000"/>
                <w:spacing w:val="0"/>
                <w:w w:val="100"/>
                <w:position w:val="0"/>
              </w:rPr>
              <w:t>损失金额</w:t>
            </w:r>
            <w:r>
              <w:rPr>
                <w:rFonts w:ascii="Times New Roman" w:eastAsia="Times New Roman" w:hAnsi="Times New Roman" w:cs="Times New Roman"/>
                <w:color w:val="000000"/>
                <w:spacing w:val="0"/>
                <w:w w:val="100"/>
                <w:position w:val="0"/>
              </w:rPr>
              <w:t>＜100</w:t>
            </w:r>
            <w:r>
              <w:rPr>
                <w:color w:val="000000"/>
                <w:spacing w:val="0"/>
                <w:w w:val="100"/>
                <w:position w:val="0"/>
              </w:rPr>
              <w:t>万的；一般缺陷： 损失金额</w:t>
            </w:r>
            <w:r>
              <w:rPr>
                <w:rFonts w:ascii="Times New Roman" w:eastAsia="Times New Roman" w:hAnsi="Times New Roman" w:cs="Times New Roman"/>
                <w:color w:val="000000"/>
                <w:spacing w:val="0"/>
                <w:w w:val="100"/>
                <w:position w:val="0"/>
              </w:rPr>
              <w:t>＜5</w:t>
            </w:r>
            <w:r>
              <w:rPr>
                <w:color w:val="000000"/>
                <w:spacing w:val="0"/>
                <w:w w:val="100"/>
                <w:position w:val="0"/>
              </w:rPr>
              <w:t>万的。</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r>
        <w:rPr>
          <w:color w:val="000000"/>
          <w:spacing w:val="0"/>
          <w:w w:val="100"/>
          <w:position w:val="0"/>
          <w:sz w:val="24"/>
          <w:szCs w:val="24"/>
        </w:rPr>
        <w:t>十、内部控制审计报告或鉴证报告</w:t>
      </w:r>
      <w:bookmarkEnd w:id="551"/>
      <w:bookmarkEnd w:id="552"/>
      <w:bookmarkEnd w:id="553"/>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554" w:name="bookmark554"/>
      <w:bookmarkStart w:id="555" w:name="bookmark555"/>
      <w:bookmarkStart w:id="556" w:name="bookmark556"/>
      <w:r>
        <w:rPr>
          <w:color w:val="000000"/>
          <w:spacing w:val="0"/>
          <w:w w:val="100"/>
          <w:position w:val="0"/>
        </w:rPr>
        <w:t>第十节公司债券相关情况</w:t>
      </w:r>
      <w:bookmarkEnd w:id="554"/>
      <w:bookmarkEnd w:id="555"/>
      <w:bookmarkEnd w:id="55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35" w:right="1033" w:bottom="1503" w:left="1065"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600" w:after="520" w:line="240" w:lineRule="auto"/>
        <w:ind w:left="0" w:right="0" w:firstLine="0"/>
        <w:jc w:val="center"/>
      </w:pPr>
      <w:bookmarkStart w:id="557" w:name="bookmark557"/>
      <w:bookmarkStart w:id="558" w:name="bookmark558"/>
      <w:bookmarkStart w:id="559" w:name="bookmark559"/>
      <w:r>
        <w:rPr>
          <w:color w:val="000000"/>
          <w:spacing w:val="0"/>
          <w:w w:val="100"/>
          <w:position w:val="0"/>
        </w:rPr>
        <w:t>第十一节财务报告</w:t>
      </w:r>
      <w:bookmarkEnd w:id="557"/>
      <w:bookmarkEnd w:id="558"/>
      <w:bookmarkEnd w:id="559"/>
    </w:p>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ZA13739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顾雪峰何剑</w:t>
            </w:r>
          </w:p>
        </w:tc>
      </w:tr>
    </w:tbl>
    <w:p>
      <w:pPr>
        <w:pStyle w:val="Style3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1"/>
        <w:keepNext/>
        <w:keepLines/>
        <w:widowControl w:val="0"/>
        <w:shd w:val="clear" w:color="auto" w:fill="auto"/>
        <w:bidi w:val="0"/>
        <w:spacing w:before="0" w:after="440" w:line="474" w:lineRule="exact"/>
        <w:ind w:left="0" w:right="0" w:firstLine="0"/>
        <w:jc w:val="left"/>
      </w:pPr>
      <w:bookmarkStart w:id="560" w:name="bookmark560"/>
      <w:bookmarkStart w:id="561" w:name="bookmark561"/>
      <w:bookmarkStart w:id="562" w:name="bookmark562"/>
      <w:r>
        <w:rPr>
          <w:color w:val="000000"/>
          <w:spacing w:val="0"/>
          <w:w w:val="100"/>
          <w:position w:val="0"/>
          <w:sz w:val="24"/>
          <w:szCs w:val="24"/>
        </w:rPr>
        <w:t>上海汉得信息技术股份有限公司全体股东：</w:t>
      </w:r>
      <w:bookmarkEnd w:id="560"/>
      <w:bookmarkEnd w:id="561"/>
      <w:bookmarkEnd w:id="562"/>
    </w:p>
    <w:p>
      <w:pPr>
        <w:pStyle w:val="Style30"/>
        <w:keepNext w:val="0"/>
        <w:keepLines w:val="0"/>
        <w:widowControl w:val="0"/>
        <w:shd w:val="clear" w:color="auto" w:fill="auto"/>
        <w:bidi w:val="0"/>
        <w:spacing w:before="0" w:after="440" w:line="468" w:lineRule="exact"/>
        <w:ind w:left="0" w:right="0" w:firstLine="580"/>
        <w:jc w:val="both"/>
      </w:pPr>
      <w:r>
        <w:rPr>
          <w:color w:val="000000"/>
          <w:spacing w:val="0"/>
          <w:w w:val="100"/>
          <w:position w:val="0"/>
          <w:sz w:val="24"/>
          <w:szCs w:val="24"/>
        </w:rPr>
        <w:t>我们审计了后附的上海汉得信息技术股份有限公司（以下简称汉得信息）财务报表，包 括</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日的合并及公司资产负债表、</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年度的合并及公司利润表、合并及公司现 金流量表、合并及公司所有者权益变动表以及财务报表附注。</w:t>
      </w:r>
    </w:p>
    <w:p>
      <w:pPr>
        <w:pStyle w:val="Style21"/>
        <w:keepNext/>
        <w:keepLines/>
        <w:widowControl w:val="0"/>
        <w:shd w:val="clear" w:color="auto" w:fill="auto"/>
        <w:tabs>
          <w:tab w:pos="1102" w:val="left"/>
        </w:tabs>
        <w:bidi w:val="0"/>
        <w:spacing w:before="0" w:after="440" w:line="474" w:lineRule="exact"/>
        <w:ind w:left="0" w:right="0" w:firstLine="580"/>
        <w:jc w:val="both"/>
      </w:pPr>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w:t>
        <w:tab/>
        <w:t>管理层对财务报表的责任</w:t>
      </w:r>
      <w:bookmarkEnd w:id="563"/>
      <w:bookmarkEnd w:id="564"/>
      <w:bookmarkEnd w:id="566"/>
    </w:p>
    <w:p>
      <w:pPr>
        <w:pStyle w:val="Style30"/>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编制和公允列报财务报表是汉得信息管理层的责任。这种责任包括：（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）按照企业会</w:t>
      </w:r>
    </w:p>
    <w:p>
      <w:pPr>
        <w:pStyle w:val="Style30"/>
        <w:keepNext w:val="0"/>
        <w:keepLines w:val="0"/>
        <w:widowControl w:val="0"/>
        <w:shd w:val="clear" w:color="auto" w:fill="auto"/>
        <w:bidi w:val="0"/>
        <w:spacing w:before="0" w:after="440" w:line="480" w:lineRule="exact"/>
        <w:ind w:left="0" w:right="0" w:firstLine="0"/>
        <w:jc w:val="left"/>
      </w:pPr>
      <w:r>
        <w:rPr>
          <w:color w:val="000000"/>
          <w:spacing w:val="0"/>
          <w:w w:val="100"/>
          <w:position w:val="0"/>
          <w:sz w:val="24"/>
          <w:szCs w:val="24"/>
        </w:rPr>
        <w:t>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）设计、执行和维护必要的内部控制， 以使财务报表不存在由于舞弊或错误导致的重大错报。</w:t>
      </w:r>
    </w:p>
    <w:p>
      <w:pPr>
        <w:pStyle w:val="Style21"/>
        <w:keepNext/>
        <w:keepLines/>
        <w:widowControl w:val="0"/>
        <w:shd w:val="clear" w:color="auto" w:fill="auto"/>
        <w:tabs>
          <w:tab w:pos="1102" w:val="left"/>
        </w:tabs>
        <w:bidi w:val="0"/>
        <w:spacing w:before="0" w:after="440" w:line="474" w:lineRule="exact"/>
        <w:ind w:left="0" w:right="0" w:firstLine="580"/>
        <w:jc w:val="both"/>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注册会计师的责任</w:t>
      </w:r>
      <w:bookmarkEnd w:id="567"/>
      <w:bookmarkEnd w:id="568"/>
      <w:bookmarkEnd w:id="570"/>
    </w:p>
    <w:p>
      <w:pPr>
        <w:pStyle w:val="Style30"/>
        <w:keepNext w:val="0"/>
        <w:keepLines w:val="0"/>
        <w:widowControl w:val="0"/>
        <w:shd w:val="clear" w:color="auto" w:fill="auto"/>
        <w:bidi w:val="0"/>
        <w:spacing w:before="0" w:after="440" w:line="466" w:lineRule="exact"/>
        <w:ind w:left="0" w:right="0" w:firstLine="580"/>
        <w:jc w:val="both"/>
      </w:pPr>
      <w:r>
        <w:rPr>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0"/>
        <w:keepNext w:val="0"/>
        <w:keepLines w:val="0"/>
        <w:widowControl w:val="0"/>
        <w:shd w:val="clear" w:color="auto" w:fill="auto"/>
        <w:bidi w:val="0"/>
        <w:spacing w:before="0" w:after="460" w:line="494" w:lineRule="exact"/>
        <w:ind w:left="0" w:right="0" w:firstLine="580"/>
        <w:jc w:val="both"/>
      </w:pPr>
      <w:r>
        <w:rPr>
          <w:color w:val="000000"/>
          <w:spacing w:val="0"/>
          <w:w w:val="100"/>
          <w:position w:val="0"/>
          <w:sz w:val="24"/>
          <w:szCs w:val="24"/>
        </w:rPr>
        <w:t xml:space="preserve">审计工作涉及实施审计程序，以获取有关财务报表金额和披露的审计证据。选择的审计 程序取决于注册会计师的判断，包括对由于舞弊或错误导致的财务报表重大错报风险的评估。 </w:t>
      </w:r>
      <w:r>
        <w:rPr>
          <w:color w:val="000000"/>
          <w:spacing w:val="0"/>
          <w:w w:val="100"/>
          <w:position w:val="0"/>
          <w:sz w:val="24"/>
          <w:szCs w:val="24"/>
        </w:rPr>
        <w:t>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30"/>
        <w:keepNext w:val="0"/>
        <w:keepLines w:val="0"/>
        <w:widowControl w:val="0"/>
        <w:shd w:val="clear" w:color="auto" w:fill="auto"/>
        <w:bidi w:val="0"/>
        <w:spacing w:before="0" w:after="460" w:line="469" w:lineRule="exact"/>
        <w:ind w:left="0" w:right="0" w:firstLine="580"/>
        <w:jc w:val="both"/>
      </w:pPr>
      <w:r>
        <w:rPr>
          <w:color w:val="000000"/>
          <w:spacing w:val="0"/>
          <w:w w:val="100"/>
          <w:position w:val="0"/>
          <w:sz w:val="24"/>
          <w:szCs w:val="24"/>
        </w:rPr>
        <w:t>我们相信，我们获取的审计证据是充分、适当的，为发表审计意见提供了基础。</w:t>
      </w:r>
    </w:p>
    <w:p>
      <w:pPr>
        <w:pStyle w:val="Style21"/>
        <w:keepNext/>
        <w:keepLines/>
        <w:widowControl w:val="0"/>
        <w:shd w:val="clear" w:color="auto" w:fill="auto"/>
        <w:bidi w:val="0"/>
        <w:spacing w:before="0" w:after="460" w:line="469" w:lineRule="exact"/>
        <w:ind w:left="0" w:right="0" w:firstLine="580"/>
        <w:jc w:val="both"/>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、审计意见</w:t>
      </w:r>
      <w:bookmarkEnd w:id="571"/>
      <w:bookmarkEnd w:id="572"/>
      <w:bookmarkEnd w:id="574"/>
    </w:p>
    <w:p>
      <w:pPr>
        <w:pStyle w:val="Style30"/>
        <w:keepNext w:val="0"/>
        <w:keepLines w:val="0"/>
        <w:widowControl w:val="0"/>
        <w:shd w:val="clear" w:color="auto" w:fill="auto"/>
        <w:bidi w:val="0"/>
        <w:spacing w:before="0" w:after="1120" w:line="468" w:lineRule="exact"/>
        <w:ind w:left="0" w:right="0" w:firstLine="580"/>
        <w:jc w:val="both"/>
      </w:pPr>
      <w:r>
        <w:rPr>
          <w:color w:val="000000"/>
          <w:spacing w:val="0"/>
          <w:w w:val="100"/>
          <w:position w:val="0"/>
          <w:sz w:val="24"/>
          <w:szCs w:val="24"/>
        </w:rPr>
        <w:t>我们认为，汉得信息财务报表在所有重大方面按照企业会计准则的规定编制，公允反映 了汉得信息</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日的合并及公司财务状况以及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年度的合并及公司经营成果和现 金流量。</w:t>
      </w:r>
    </w:p>
    <w:p>
      <w:pPr>
        <w:pStyle w:val="Style30"/>
        <w:keepNext w:val="0"/>
        <w:keepLines w:val="0"/>
        <w:widowControl w:val="0"/>
        <w:shd w:val="clear" w:color="auto" w:fill="auto"/>
        <w:tabs>
          <w:tab w:pos="4138" w:val="left"/>
        </w:tabs>
        <w:bidi w:val="0"/>
        <w:spacing w:before="0" w:after="180" w:line="240" w:lineRule="auto"/>
        <w:ind w:left="0" w:right="0" w:firstLine="280"/>
        <w:jc w:val="both"/>
      </w:pPr>
      <w:r>
        <w:rPr>
          <w:b/>
          <w:bCs/>
          <w:color w:val="000000"/>
          <w:spacing w:val="0"/>
          <w:w w:val="100"/>
          <w:position w:val="0"/>
          <w:sz w:val="24"/>
          <w:szCs w:val="24"/>
        </w:rPr>
        <w:t>立信会计师事务所</w:t>
        <w:tab/>
        <w:t>中国注册会计师：顾雪峰</w:t>
      </w:r>
    </w:p>
    <w:p>
      <w:pPr>
        <w:pStyle w:val="Style30"/>
        <w:keepNext w:val="0"/>
        <w:keepLines w:val="0"/>
        <w:widowControl w:val="0"/>
        <w:shd w:val="clear" w:color="auto" w:fill="auto"/>
        <w:bidi w:val="0"/>
        <w:spacing w:before="0" w:after="1120" w:line="240" w:lineRule="auto"/>
        <w:ind w:left="0" w:right="0" w:firstLine="280"/>
        <w:jc w:val="both"/>
      </w:pPr>
      <w:r>
        <w:rPr>
          <w:b/>
          <w:bCs/>
          <w:color w:val="000000"/>
          <w:spacing w:val="0"/>
          <w:w w:val="100"/>
          <w:position w:val="0"/>
          <w:sz w:val="24"/>
          <w:szCs w:val="24"/>
        </w:rPr>
        <w:t>（特殊普通合伙）</w:t>
      </w:r>
    </w:p>
    <w:p>
      <w:pPr>
        <w:pStyle w:val="Style30"/>
        <w:keepNext w:val="0"/>
        <w:keepLines w:val="0"/>
        <w:widowControl w:val="0"/>
        <w:shd w:val="clear" w:color="auto" w:fill="auto"/>
        <w:bidi w:val="0"/>
        <w:spacing w:before="0" w:after="1560" w:line="240" w:lineRule="auto"/>
        <w:ind w:left="4320" w:right="0" w:firstLine="0"/>
        <w:jc w:val="left"/>
      </w:pPr>
      <w:r>
        <w:rPr>
          <w:b/>
          <w:bCs/>
          <w:color w:val="000000"/>
          <w:spacing w:val="0"/>
          <w:w w:val="100"/>
          <w:position w:val="0"/>
          <w:sz w:val="24"/>
          <w:szCs w:val="24"/>
        </w:rPr>
        <w:t>中国注册会计师：何剑</w:t>
      </w:r>
    </w:p>
    <w:p>
      <w:pPr>
        <w:pStyle w:val="Style30"/>
        <w:keepNext w:val="0"/>
        <w:keepLines w:val="0"/>
        <w:widowControl w:val="0"/>
        <w:shd w:val="clear" w:color="auto" w:fill="auto"/>
        <w:tabs>
          <w:tab w:pos="4138" w:val="left"/>
        </w:tabs>
        <w:bidi w:val="0"/>
        <w:spacing w:before="0" w:after="0" w:line="240" w:lineRule="auto"/>
        <w:ind w:left="0" w:right="0" w:firstLine="700"/>
        <w:jc w:val="both"/>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tab/>
        <w:t>二</w:t>
      </w:r>
      <w:r>
        <w:rPr>
          <w:rFonts w:ascii="Times New Roman" w:eastAsia="Times New Roman" w:hAnsi="Times New Roman" w:cs="Times New Roman"/>
          <w:b/>
          <w:bCs/>
          <w:color w:val="000000"/>
          <w:spacing w:val="0"/>
          <w:w w:val="100"/>
          <w:position w:val="0"/>
          <w:sz w:val="24"/>
          <w:szCs w:val="24"/>
        </w:rPr>
        <w:t>O</w:t>
      </w:r>
      <w:r>
        <w:rPr>
          <w:b/>
          <w:bCs/>
          <w:color w:val="000000"/>
          <w:spacing w:val="0"/>
          <w:w w:val="100"/>
          <w:position w:val="0"/>
          <w:sz w:val="24"/>
          <w:szCs w:val="24"/>
        </w:rPr>
        <w:t>一七年四月二十四日</w:t>
      </w:r>
      <w:r>
        <w:br w:type="page"/>
      </w:r>
    </w:p>
    <w:p>
      <w:pPr>
        <w:pStyle w:val="Style21"/>
        <w:keepNext/>
        <w:keepLines/>
        <w:widowControl w:val="0"/>
        <w:shd w:val="clear" w:color="auto" w:fill="auto"/>
        <w:bidi w:val="0"/>
        <w:spacing w:before="0" w:after="360" w:line="240" w:lineRule="auto"/>
        <w:ind w:left="0" w:right="0" w:firstLine="0"/>
        <w:jc w:val="both"/>
      </w:pPr>
      <w:bookmarkStart w:id="575" w:name="bookmark575"/>
      <w:bookmarkStart w:id="576" w:name="bookmark576"/>
      <w:bookmarkStart w:id="577" w:name="bookmark577"/>
      <w:r>
        <w:rPr>
          <w:color w:val="000000"/>
          <w:spacing w:val="0"/>
          <w:w w:val="100"/>
          <w:position w:val="0"/>
          <w:sz w:val="24"/>
          <w:szCs w:val="24"/>
        </w:rPr>
        <w:t>二、财务报表</w:t>
      </w:r>
      <w:bookmarkEnd w:id="575"/>
      <w:bookmarkEnd w:id="576"/>
      <w:bookmarkEnd w:id="577"/>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财务附注中报表的单位为：人民币元</w:t>
      </w:r>
    </w:p>
    <w:p>
      <w:pPr>
        <w:pStyle w:val="Style26"/>
        <w:keepNext/>
        <w:keepLines/>
        <w:widowControl w:val="0"/>
        <w:shd w:val="clear" w:color="auto" w:fill="auto"/>
        <w:bidi w:val="0"/>
        <w:spacing w:before="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、合并资产负债表</w:t>
      </w:r>
      <w:bookmarkEnd w:id="578"/>
      <w:bookmarkEnd w:id="579"/>
      <w:bookmarkEnd w:id="581"/>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编制单位：上海汉得信息技术股份有限公司</w:t>
      </w:r>
    </w:p>
    <w:p>
      <w:pPr>
        <w:pStyle w:val="Style61"/>
        <w:keepNext w:val="0"/>
        <w:keepLines w:val="0"/>
        <w:widowControl w:val="0"/>
        <w:shd w:val="clear" w:color="auto" w:fill="auto"/>
        <w:bidi w:val="0"/>
        <w:spacing w:before="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742,521,911.76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944,594,525.37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67,070,460.30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35,672,795.69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1,092,028,590.62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512,239,606.37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41,352,122.85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40,528,120.00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3,812,949.77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1,787,466.96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36,025,022.59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20,573,112.34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859,143.30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1,055,840.80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6,811,000.00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64,684,299.55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16,313,711.60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2,053,494,500.74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1,580,179,679.13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32,938,523.91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323,411,857.22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299,871,683.76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58,847,698.78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59,843,826.02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33,542,370.46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14,659,092.10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93,960,012.11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45,026,716.36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1,532,919.69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764,798.37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32,932,607.74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29,029,211.57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6,604,849.04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43,005,157.40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583,770,838.95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528,200,485.58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2,637,265,339.69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2,108,380,164.71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26,044,170.67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11,688,333.61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52,258,998.75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43,041,370.46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148,872,397.74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100,433,060.22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28,377,443.01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23,607,972.72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应付股利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300,619,367.62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180,542,179.15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556,177,106.26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359,317,644.63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7,843,333.32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6,531,250.00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8,993,333.32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6,591,600.00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565,170,439.58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365,909,244.63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862,470,134.00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828,624,634.00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597,218,813.15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395,187,864.71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296,281,820.12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177,735,274.12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-1,365,067.42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-216,928.88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105,344,395.37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80,104,990.51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797,160,145.20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605,943,744.54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2,064,546,600.18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1,731,909,030.76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7,548,299.93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10,561,889.32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2,072,094,900.11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1,742,470,920.08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2,637,265,339.69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2,108,380,164.71</w:t>
            </w:r>
          </w:p>
        </w:tc>
      </w:tr>
    </w:tbl>
    <w:p>
      <w:pPr>
        <w:pStyle w:val="Style2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705485</wp:posOffset>
                </wp:positionH>
                <wp:positionV relativeFrom="margin">
                  <wp:posOffset>1563370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wps:txbx>
                      <wps:bodyPr wrap="none" lIns="0" tIns="0" rIns="0" bIns="0">
                        <a:noAutoFit/>
                      </wps:bodyPr>
                    </wps:wsp>
                  </a:graphicData>
                </a:graphic>
              </wp:anchor>
            </w:drawing>
          </mc:Choice>
          <mc:Fallback>
            <w:pict>
              <v:shape id="_x0000_s1040" type="#_x0000_t202" style="position:absolute;margin-left:55.550000000000004pt;margin-top:123.10000000000001pt;width:83.049999999999997pt;height:11.75pt;z-index:-125829373;mso-wrap-distance-left:9.pt;mso-wrap-distance-top:12.pt;mso-wrap-distance-right:40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法定代表人：陈迪清</w:t>
                      </w:r>
                    </w:p>
                  </w:txbxContent>
                </v:textbox>
                <w10:wrap type="topAndBottom" anchorx="page" anchory="margin"/>
              </v:shape>
            </w:pict>
          </mc:Fallback>
        </mc:AlternateContent>
      </w:r>
      <w:r>
        <mc:AlternateContent>
          <mc:Choice Requires="wps">
            <w:drawing>
              <wp:anchor distT="152400" distB="3175" distL="2290445" distR="2513330" simplePos="0" relativeHeight="125829382" behindDoc="0" locked="0" layoutInCell="1" allowOverlap="1">
                <wp:simplePos x="0" y="0"/>
                <wp:positionH relativeFrom="page">
                  <wp:posOffset>2881630</wp:posOffset>
                </wp:positionH>
                <wp:positionV relativeFrom="margin">
                  <wp:posOffset>1563370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wps:txbx>
                      <wps:bodyPr wrap="none" lIns="0" tIns="0" rIns="0" bIns="0">
                        <a:noAutoFit/>
                      </wps:bodyPr>
                    </wps:wsp>
                  </a:graphicData>
                </a:graphic>
              </wp:anchor>
            </w:drawing>
          </mc:Choice>
          <mc:Fallback>
            <w:pict>
              <v:shape id="_x0000_s1042" type="#_x0000_t202" style="position:absolute;margin-left:226.90000000000001pt;margin-top:123.10000000000001pt;width:118.8pt;height:11.5pt;z-index:-125829371;mso-wrap-distance-left:180.34999999999999pt;mso-wrap-distance-top:12.pt;mso-wrap-distance-right:197.90000000000001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主管会计工作负责人：王辛夷</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5502910</wp:posOffset>
                </wp:positionH>
                <wp:positionV relativeFrom="margin">
                  <wp:posOffset>1563370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wps:txbx>
                      <wps:bodyPr wrap="none" lIns="0" tIns="0" rIns="0" bIns="0">
                        <a:noAutoFit/>
                      </wps:bodyPr>
                    </wps:wsp>
                  </a:graphicData>
                </a:graphic>
              </wp:anchor>
            </w:drawing>
          </mc:Choice>
          <mc:Fallback>
            <w:pict>
              <v:shape id="_x0000_s1044" type="#_x0000_t202" style="position:absolute;margin-left:433.30000000000001pt;margin-top:123.10000000000001pt;width:101.3pt;height:11.75pt;z-index:-125829369;mso-wrap-distance-left:386.75pt;mso-wrap-distance-top:12.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会计机构负责人：王辛夷</w:t>
                      </w:r>
                    </w:p>
                  </w:txbxContent>
                </v:textbox>
                <w10:wrap type="topAndBottom" anchorx="page" anchory="margin"/>
              </v:shape>
            </w:pict>
          </mc:Fallback>
        </mc:AlternateContent>
      </w: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、母公司资产负债表</w:t>
      </w:r>
      <w:bookmarkEnd w:id="582"/>
      <w:bookmarkEnd w:id="583"/>
      <w:bookmarkEnd w:id="58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570,949,187.13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779,399,456.85</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54,614,459.00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34,944,595.69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756,603,440.82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505,859,827.75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40,556,513.79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40,238,315.80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1,297,493.06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1,779,731.38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371,595,586.81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50,118,570.81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15,713,711.60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1,800,720,680.61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1,435,468,709.88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32,938,523.91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455,960,856.62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201,545,056.89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319,345,063.23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296,812,986.38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43,822,639.53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42,881,966.03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18,908,834.69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8,730,234.23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342,194.30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748,523.38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28,854,702.72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29,750,032.40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6,564,849.04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42,784,089.44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906,737,664.04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659,252,888.75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2,707,458,344.65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2,094,721,598.63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124,257,518.04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39,024,951.83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46,370,115.12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42,893,792.49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124,770,842.26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89,482,747.99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11,839,277.15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13,078,740.16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294,257,283.45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179,933,134.85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601,499,764.49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364,418,095.79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7,843,333.32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6,531,250.00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8,993,333.32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6,591,600.00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610,493,097.81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371,009,695.79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862,470,134.00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828,624,634.00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627,381,992.21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396,895,442.73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296,281,820.12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177,735,274.12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105,344,395.37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80,104,990.51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798,050,545.38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595,822,109.72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2,096,965,246.84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1,723,711,902.84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2,707,458,344.65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2,094,721,598.63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、合并利润表</w:t>
      </w:r>
      <w:bookmarkEnd w:id="586"/>
      <w:bookmarkEnd w:id="587"/>
      <w:bookmarkEnd w:id="58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1,710,218,028.51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1,218,798,082.68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1,710,218,028.51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1,218,798,082.68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1,503,446,714.67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1,049,616,058.61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1,040,032,075.37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729,908,149.03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9,776,857.72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5,710,837.12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123,277,855.35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70,376,754.09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293,635,087.55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219,298,412.41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-34,690,499.98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-24,395,361.80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71,415,338.66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48,717,267.76</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603,500.00</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-4,676,616.01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201,491,197.83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171,412,774.07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31,691,855.15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27,835,200.15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70,401.05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130,646.53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39,226.23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97,623.72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233,112,651.93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199,117,327.69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1,229,528.76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-15,730,802.26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231,883,123.17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214,848,129.95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241,382,013.60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214,240,021.65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-9,498,890.43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608,108.30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-1,148,138.54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209,359.61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-1,148,138.54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209,359.61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68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-1,148,138.54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209,359.61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-1,148,138.54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209,359.61</w:t>
            </w: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230,734,984.63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215,057,489.56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240,233,875.06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214,449,381.26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-9,498,890.43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608,108.30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3"/>
        <w:keepNext w:val="0"/>
        <w:keepLines w:val="0"/>
        <w:widowControl w:val="0"/>
        <w:shd w:val="clear" w:color="auto" w:fill="auto"/>
        <w:tabs>
          <w:tab w:pos="3389" w:val="left"/>
          <w:tab w:pos="7469" w:val="left"/>
        </w:tabs>
        <w:bidi w:val="0"/>
        <w:spacing w:before="0" w:after="380" w:line="240" w:lineRule="auto"/>
        <w:ind w:left="0" w:right="0" w:firstLine="0"/>
        <w:jc w:val="left"/>
      </w:pPr>
      <w:r>
        <w:rPr>
          <w:color w:val="000000"/>
          <w:spacing w:val="0"/>
          <w:w w:val="100"/>
          <w:position w:val="0"/>
        </w:rPr>
        <w:t>法定代表人：陈迪清</w:t>
        <w:tab/>
        <w:t>主管会计工作负责人：王辛夷</w:t>
        <w:tab/>
        <w:t>会计机构负责人：王辛夷</w:t>
      </w:r>
    </w:p>
    <w:p>
      <w:pPr>
        <w:pStyle w:val="Style26"/>
        <w:keepNext/>
        <w:keepLines/>
        <w:widowControl w:val="0"/>
        <w:shd w:val="clear" w:color="auto" w:fill="auto"/>
        <w:bidi w:val="0"/>
        <w:spacing w:before="0" w:after="3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、母公司利润表</w:t>
      </w:r>
      <w:bookmarkEnd w:id="590"/>
      <w:bookmarkEnd w:id="591"/>
      <w:bookmarkEnd w:id="59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1,534,378,296.21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1,130,996,590.83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955,991,865.23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691,354,090.07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8,385,494.61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5,102,306.70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96,136,426.69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62,969,164.14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221,351,505.44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179,247,835.89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-30,386,467.34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-22,407,519.90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52,457,174.69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54,563,332.83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-4,676,538.81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225,162,258.08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162,398,131.10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28,044,063.05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26,035,730.65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193,801.05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253,177,052.33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188,433,861.75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783,003.73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-20,851,579.05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252,394,048.60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209,285,440.80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252,394,048.60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209,285,440.80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、合并现金流量表</w:t>
      </w:r>
      <w:bookmarkEnd w:id="594"/>
      <w:bookmarkEnd w:id="595"/>
      <w:bookmarkEnd w:id="59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1,537,047,168.16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1,182,904,625.62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1,121,733.77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173,034.50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68,341,673.17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107,503,526.36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1,606,510,575.10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1,290,581,186.48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554,869,832.33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409,979,187.97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691,141,270.40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501,736,801.28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81,914,096.82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77,845,936.11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549,046,056.61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94,891,107.43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1,876,971,256.16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1,084,453,032.79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-270,460,681.06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206,128,153.69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3,061,476.09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97,461.00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rPr>
              <w:t>38,152.42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39,345,408.65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42,542,498.16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61,236,560.69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73,307,927.80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119,677,049.99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60,367,089.44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180,913,610.68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133,675,017.24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-138,371,112.52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-133,675,017.24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233,813,985.00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57,336,260.00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36,829,700.00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233,813,985.00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57,336,260.00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24,926,208.08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47,334.53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19,449,361.24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4,891,573.88</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44,375,569.32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4,938,908.41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189,438,415.68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52,397,351.59</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14,953,161.94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15,786,945.09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-204,440,215.96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140,637,433.13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939,258,934.97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798,621,501.84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734,818,719.01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939,258,934.97</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6</w:t>
      </w:r>
      <w:bookmarkEnd w:id="600"/>
      <w:r>
        <w:rPr>
          <w:color w:val="000000"/>
          <w:spacing w:val="0"/>
          <w:w w:val="100"/>
          <w:position w:val="0"/>
        </w:rPr>
        <w:t>、母公司现金流量表</w:t>
      </w:r>
      <w:bookmarkEnd w:id="598"/>
      <w:bookmarkEnd w:id="599"/>
      <w:bookmarkEnd w:id="601"/>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1,310,524,153.47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1,109,155,644.64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1,102,602.25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104,099.34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56,429,887.13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55,845,715.56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1,368,056,642.85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1,165,105,459.54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515,206,796.61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439,732,813.27</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522,927,411.19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417,920,045.34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58,305,799.66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66,298,716.71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454,871,915.82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71,862,743.20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1,551,311,923.28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995,814,318.52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-183,255,280.43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169,291,141.02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3,061,476.09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8,099.99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5,167,037.08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44,133,588.56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61,732,634.06</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154,934,559.73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168,830,014.44</w:t>
            </w: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199,068,148.29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230,562,648.50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-193,901,111.21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-230,562,648.50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196,984,285.00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55,336,260.00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196,984,285.00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55,336,260.00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24,926,208.08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47,334.53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19,449,361.24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4,891,573.88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44,375,569.32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4,938,908.41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152,608,715.68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50,397,351.59</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13,729,803.89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15,287,861.84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-210,817,872.07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4,413,705.95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774,063,866.45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769,650,160.50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563,245,994.38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774,063,866.45</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7</w:t>
      </w:r>
      <w:bookmarkEnd w:id="604"/>
      <w:r>
        <w:rPr>
          <w:color w:val="000000"/>
          <w:spacing w:val="0"/>
          <w:w w:val="100"/>
          <w:position w:val="0"/>
        </w:rPr>
        <w:t>、合并所有者权益变动表</w:t>
      </w:r>
      <w:bookmarkEnd w:id="602"/>
      <w:bookmarkEnd w:id="603"/>
      <w:bookmarkEnd w:id="60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395,187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177,735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80,104,</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605,943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1,742,4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395,187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177,735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80,104,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605,943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10,561,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70,920.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2"/>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118,546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191,216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-3,013,5</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329,623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241,382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-9,498,8</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230,734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2"/>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118,546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6,485,3</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123,815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33,845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2"/>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217,221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196,984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36,829,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90,912,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13,265,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264.48</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-28,455,</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601.04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-78,437,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-30,344,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398.96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19,637,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-50,165,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2"/>
        <w:gridCol w:w="667"/>
        <w:gridCol w:w="667"/>
        <w:gridCol w:w="662"/>
        <w:gridCol w:w="66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862,47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0,134.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597,218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296,281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105,344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797,160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7,548,2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2,072,0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94,900.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549,06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595,046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412,632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1,623,4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48,516.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81.02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28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-180,40</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182,469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5,246.9</w:t>
            </w: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549,06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597,110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182,469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7,953,7</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43,269.</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,387.64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,080.49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446.43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81.02</w:t>
            </w: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44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-4,733,8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209,359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193,311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299,427</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2,522.9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08.30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608,108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215,057</w:t>
            </w:r>
          </w:p>
        </w:tc>
      </w:tr>
      <w:tr>
        <w:trPr>
          <w:trHeight w:val="355"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,489.56</w:t>
            </w: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2"/>
        <w:gridCol w:w="667"/>
        <w:gridCol w:w="662"/>
        <w:gridCol w:w="667"/>
        <w:gridCol w:w="677"/>
        <w:gridCol w:w="653"/>
        <w:gridCol w:w="667"/>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-4,733,8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84,370,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161.44</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64,046,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71,072,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8,563,4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-4,733,8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2,878.0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395,187</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177,735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80,104,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605,943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70,920.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8</w:t>
      </w:r>
      <w:bookmarkEnd w:id="608"/>
      <w:r>
        <w:rPr>
          <w:color w:val="000000"/>
          <w:spacing w:val="0"/>
          <w:w w:val="100"/>
          <w:position w:val="0"/>
        </w:rPr>
        <w:t>、母公司所有者权益变动表</w:t>
      </w:r>
      <w:bookmarkEnd w:id="606"/>
      <w:bookmarkEnd w:id="607"/>
      <w:bookmarkEnd w:id="609"/>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396,895,4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80,104,99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595,822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1,723,711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,902.84</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828,624,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396,895,4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80,104,99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595,822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1,723,711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,109.72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,902.84</w:t>
            </w:r>
          </w:p>
        </w:tc>
      </w:tr>
      <w:tr>
        <w:trPr>
          <w:trHeight w:val="60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230,486,5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373,253,3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,435.66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252,394,0</w:t>
            </w:r>
          </w:p>
        </w:tc>
      </w:tr>
      <w:tr>
        <w:trPr>
          <w:trHeight w:val="34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,048.60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230,486,5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145,785,5</w:t>
            </w:r>
          </w:p>
        </w:tc>
      </w:tr>
      <w:tr>
        <w:trPr>
          <w:trHeight w:val="3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03.48</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251,066,7</w:t>
            </w:r>
          </w:p>
        </w:tc>
      </w:tr>
      <w:tr>
        <w:trPr>
          <w:trHeight w:val="3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13,265,26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-183,719,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020.52</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78,437,73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-50,165,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-24,926,2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612.94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08.08</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-25,239,</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404.86</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-24,926,2</w:t>
            </w:r>
          </w:p>
        </w:tc>
      </w:tr>
      <w:tr>
        <w:trPr>
          <w:trHeight w:val="3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208.08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862,470,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627,381,9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296,281,8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105,344,3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798,050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,545.38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2,096,965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549,065,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596,754,1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59,176,44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1,612,461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2,063,833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182,469,0</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549,065,</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598,817,9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182,469,0</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59,176,44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407,465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1,432,056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,300.60</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279,558,</w:t>
            </w:r>
          </w:p>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188,356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291,655,6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02.24</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209,285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209,285,4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5,026,00</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72,610,35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82,370,16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64,046,87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69,072,87</w:t>
            </w:r>
          </w:p>
        </w:tc>
      </w:tr>
    </w:tbl>
    <w:p>
      <w:pPr>
        <w:widowControl w:val="0"/>
        <w:spacing w:line="1" w:lineRule="exact"/>
      </w:pPr>
      <w:r>
        <w:br w:type="page"/>
      </w:r>
    </w:p>
    <w:tbl>
      <w:tblPr>
        <w:tblOverlap w:val="never"/>
        <w:jc w:val="center"/>
        <w:tblLayout w:type="fixed"/>
      </w:tblPr>
      <w:tblGrid>
        <w:gridCol w:w="1445"/>
        <w:gridCol w:w="691"/>
        <w:gridCol w:w="662"/>
        <w:gridCol w:w="667"/>
        <w:gridCol w:w="662"/>
        <w:gridCol w:w="802"/>
        <w:gridCol w:w="797"/>
        <w:gridCol w:w="797"/>
        <w:gridCol w:w="797"/>
        <w:gridCol w:w="797"/>
        <w:gridCol w:w="677"/>
        <w:gridCol w:w="79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8,563,483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-4,733,80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13,297,28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20,928,54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20,928,54</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-20,928,</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544.08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274,532,</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274,532,</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-274,532,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828,624,</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396,895,4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177,735,2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80,104,99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595,822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1,723,711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,902.84</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sz w:val="24"/>
          <w:szCs w:val="24"/>
        </w:rPr>
        <w:t>三</w:t>
      </w:r>
      <w:bookmarkEnd w:id="612"/>
      <w:r>
        <w:rPr>
          <w:color w:val="000000"/>
          <w:spacing w:val="0"/>
          <w:w w:val="100"/>
          <w:position w:val="0"/>
          <w:sz w:val="24"/>
          <w:szCs w:val="24"/>
        </w:rPr>
        <w:t>、公司基本情况</w:t>
      </w:r>
      <w:bookmarkEnd w:id="610"/>
      <w:bookmarkEnd w:id="611"/>
      <w:bookmarkEnd w:id="613"/>
    </w:p>
    <w:p>
      <w:pPr>
        <w:pStyle w:val="Style23"/>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上海汉得信息技术股份有限公司（以下简称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）前身是上海全富汉得软件技术有限公司，系于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月经上海市人民政府批准，由</w:t>
      </w:r>
      <w:r>
        <w:rPr>
          <w:rFonts w:ascii="Times New Roman" w:eastAsia="Times New Roman" w:hAnsi="Times New Roman" w:cs="Times New Roman"/>
          <w:color w:val="000000"/>
          <w:spacing w:val="0"/>
          <w:w w:val="100"/>
          <w:position w:val="0"/>
        </w:rPr>
        <w:t>SINO-TWINWOOD PTE.,LT D</w:t>
      </w:r>
      <w:r>
        <w:rPr>
          <w:color w:val="000000"/>
          <w:spacing w:val="0"/>
          <w:w w:val="100"/>
          <w:position w:val="0"/>
        </w:rPr>
        <w:t>投资设立的有限公司，注册资本为</w:t>
      </w:r>
      <w:r>
        <w:rPr>
          <w:rFonts w:ascii="Times New Roman" w:eastAsia="Times New Roman" w:hAnsi="Times New Roman" w:cs="Times New Roman"/>
          <w:color w:val="000000"/>
          <w:spacing w:val="0"/>
          <w:w w:val="100"/>
          <w:position w:val="0"/>
        </w:rPr>
        <w:t>215</w:t>
      </w:r>
      <w:r>
        <w:rPr>
          <w:color w:val="000000"/>
          <w:spacing w:val="0"/>
          <w:w w:val="100"/>
          <w:position w:val="0"/>
        </w:rPr>
        <w:t>万美元。中华人民共和国 外商投资企业批准证书的批准号为商外资沪青独资字</w:t>
      </w:r>
      <w:r>
        <w:rPr>
          <w:rFonts w:ascii="Times New Roman" w:eastAsia="Times New Roman" w:hAnsi="Times New Roman" w:cs="Times New Roman"/>
          <w:color w:val="000000"/>
          <w:spacing w:val="0"/>
          <w:w w:val="100"/>
          <w:position w:val="0"/>
        </w:rPr>
        <w:t>[2002]1793</w:t>
      </w:r>
      <w:r>
        <w:rPr>
          <w:color w:val="000000"/>
          <w:spacing w:val="0"/>
          <w:w w:val="100"/>
          <w:position w:val="0"/>
        </w:rPr>
        <w:t>。公司的企业法人营业执照注册号：</w:t>
      </w:r>
      <w:r>
        <w:rPr>
          <w:rFonts w:ascii="Times New Roman" w:eastAsia="Times New Roman" w:hAnsi="Times New Roman" w:cs="Times New Roman"/>
          <w:color w:val="000000"/>
          <w:spacing w:val="0"/>
          <w:w w:val="100"/>
          <w:position w:val="0"/>
        </w:rPr>
        <w:t xml:space="preserve">310000400308460 </w:t>
      </w:r>
      <w:r>
        <w:rPr>
          <w:color w:val="000000"/>
          <w:spacing w:val="0"/>
          <w:w w:val="100"/>
          <w:position w:val="0"/>
        </w:rPr>
        <w:t>（青 浦）。</w:t>
      </w:r>
    </w:p>
    <w:p>
      <w:pPr>
        <w:pStyle w:val="Style61"/>
        <w:keepNext w:val="0"/>
        <w:keepLines w:val="0"/>
        <w:widowControl w:val="0"/>
        <w:shd w:val="clear" w:color="auto" w:fill="auto"/>
        <w:bidi w:val="0"/>
        <w:spacing w:before="0" w:after="0" w:line="360" w:lineRule="auto"/>
        <w:ind w:left="0" w:right="0" w:firstLine="360"/>
        <w:jc w:val="both"/>
      </w:pPr>
      <w:r>
        <w:rPr>
          <w:color w:val="000000"/>
          <w:spacing w:val="0"/>
          <w:w w:val="100"/>
          <w:position w:val="0"/>
        </w:rPr>
        <w:t>2007</w:t>
      </w:r>
      <w:r>
        <w:rPr>
          <w:rFonts w:ascii="SimSun" w:eastAsia="SimSun" w:hAnsi="SimSun" w:cs="SimSun"/>
          <w:color w:val="000000"/>
          <w:spacing w:val="0"/>
          <w:w w:val="100"/>
          <w:position w:val="0"/>
        </w:rPr>
        <w:t>年投资方</w:t>
      </w:r>
      <w:r>
        <w:rPr>
          <w:color w:val="000000"/>
          <w:spacing w:val="0"/>
          <w:w w:val="100"/>
          <w:position w:val="0"/>
        </w:rPr>
        <w:t>SINO-TWINWOOD PTE. LTD</w:t>
      </w:r>
      <w:r>
        <w:rPr>
          <w:rFonts w:ascii="SimSun" w:eastAsia="SimSun" w:hAnsi="SimSun" w:cs="SimSun"/>
          <w:color w:val="000000"/>
          <w:spacing w:val="0"/>
          <w:w w:val="100"/>
          <w:position w:val="0"/>
        </w:rPr>
        <w:t>更名为</w:t>
      </w:r>
      <w:r>
        <w:rPr>
          <w:color w:val="000000"/>
          <w:spacing w:val="0"/>
          <w:w w:val="100"/>
          <w:position w:val="0"/>
        </w:rPr>
        <w:t>Hand Enterprise Solutions Pte.</w:t>
      </w:r>
      <w:r>
        <w:rPr>
          <w:rFonts w:ascii="SimSun" w:eastAsia="SimSun" w:hAnsi="SimSun" w:cs="SimSun"/>
          <w:color w:val="000000"/>
          <w:spacing w:val="0"/>
          <w:w w:val="100"/>
          <w:position w:val="0"/>
        </w:rPr>
        <w:t>，</w:t>
      </w:r>
      <w:r>
        <w:rPr>
          <w:color w:val="000000"/>
          <w:spacing w:val="0"/>
          <w:w w:val="100"/>
          <w:position w:val="0"/>
        </w:rPr>
        <w:t>Ltd</w:t>
      </w:r>
      <w:r>
        <w:rPr>
          <w:rFonts w:ascii="SimSun" w:eastAsia="SimSun" w:hAnsi="SimSun" w:cs="SimSun"/>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月，本公司由上海全富汉得软件技术有限公司更名为上海汉得信息技术有限公司。</w:t>
      </w:r>
    </w:p>
    <w:p>
      <w:pPr>
        <w:pStyle w:val="Style6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 xml:space="preserve">日 </w:t>
      </w:r>
      <w:r>
        <w:rPr>
          <w:color w:val="000000"/>
          <w:spacing w:val="0"/>
          <w:w w:val="100"/>
          <w:position w:val="0"/>
        </w:rPr>
        <w:t>Hand Enterprise Solutions Pte. Ltd</w:t>
      </w:r>
      <w:r>
        <w:rPr>
          <w:rFonts w:ascii="SimSun" w:eastAsia="SimSun" w:hAnsi="SimSun" w:cs="SimSun"/>
          <w:color w:val="000000"/>
          <w:spacing w:val="0"/>
          <w:w w:val="100"/>
          <w:position w:val="0"/>
        </w:rPr>
        <w:t>将其持有的本公司</w:t>
      </w:r>
      <w:r>
        <w:rPr>
          <w:color w:val="000000"/>
          <w:spacing w:val="0"/>
          <w:w w:val="100"/>
          <w:position w:val="0"/>
        </w:rPr>
        <w:t>100%</w:t>
      </w:r>
      <w:r>
        <w:rPr>
          <w:rFonts w:ascii="SimSun" w:eastAsia="SimSun" w:hAnsi="SimSun" w:cs="SimSun"/>
          <w:color w:val="000000"/>
          <w:spacing w:val="0"/>
          <w:w w:val="100"/>
          <w:position w:val="0"/>
        </w:rPr>
        <w:t xml:space="preserve">股权分别转让给上海迪宣投资管理有限公司、 </w:t>
      </w:r>
      <w:r>
        <w:rPr>
          <w:rStyle w:val="CharStyle24"/>
          <w:rFonts w:ascii="Times New Roman" w:eastAsia="Times New Roman" w:hAnsi="Times New Roman" w:cs="Times New Roman"/>
        </w:rPr>
        <w:t>Inspire East Investments Limited</w:t>
      </w:r>
      <w:r>
        <w:rPr>
          <w:rStyle w:val="CharStyle24"/>
        </w:rPr>
        <w:t xml:space="preserve">&gt; </w:t>
      </w:r>
      <w:r>
        <w:rPr>
          <w:rStyle w:val="CharStyle24"/>
          <w:rFonts w:ascii="Times New Roman" w:eastAsia="Times New Roman" w:hAnsi="Times New Roman" w:cs="Times New Roman"/>
        </w:rPr>
        <w:t>The China Fund,Inc.</w:t>
      </w:r>
      <w:r>
        <w:rPr>
          <w:rStyle w:val="CharStyle24"/>
        </w:rPr>
        <w:t>、</w:t>
      </w:r>
      <w:r>
        <w:rPr>
          <w:rStyle w:val="CharStyle24"/>
        </w:rPr>
        <w:t>上海得帆投资管理有限公司、上海得竞投资管理有限公司、上海得拓 投资管理有限公司和上海得逸投资管理有限公司。转让完成后，上海迪宣投资管理有限公司持有本公司</w:t>
      </w:r>
      <w:r>
        <w:rPr>
          <w:rStyle w:val="CharStyle24"/>
          <w:rFonts w:ascii="Times New Roman" w:eastAsia="Times New Roman" w:hAnsi="Times New Roman" w:cs="Times New Roman"/>
        </w:rPr>
        <w:t>50.569%</w:t>
      </w:r>
      <w:r>
        <w:rPr>
          <w:rStyle w:val="CharStyle24"/>
        </w:rPr>
        <w:t xml:space="preserve">的股权，计 </w:t>
      </w:r>
      <w:r>
        <w:rPr>
          <w:rStyle w:val="CharStyle24"/>
          <w:rFonts w:ascii="Times New Roman" w:eastAsia="Times New Roman" w:hAnsi="Times New Roman" w:cs="Times New Roman"/>
        </w:rPr>
        <w:t>108.7</w:t>
      </w:r>
      <w:r>
        <w:rPr>
          <w:rStyle w:val="CharStyle24"/>
          <w:rFonts w:ascii="Times New Roman" w:eastAsia="Times New Roman" w:hAnsi="Times New Roman" w:cs="Times New Roman"/>
        </w:rPr>
        <w:t>2</w:t>
      </w:r>
      <w:r>
        <w:rPr>
          <w:rStyle w:val="CharStyle24"/>
        </w:rPr>
        <w:t>万美元；</w:t>
      </w:r>
      <w:r>
        <w:rPr>
          <w:rStyle w:val="CharStyle24"/>
          <w:rFonts w:ascii="Times New Roman" w:eastAsia="Times New Roman" w:hAnsi="Times New Roman" w:cs="Times New Roman"/>
        </w:rPr>
        <w:t>Inspire East Investments Limited</w:t>
      </w:r>
      <w:r>
        <w:rPr>
          <w:rStyle w:val="CharStyle24"/>
        </w:rPr>
        <w:t>持有本公司</w:t>
      </w:r>
      <w:r>
        <w:rPr>
          <w:rStyle w:val="CharStyle24"/>
          <w:rFonts w:ascii="Times New Roman" w:eastAsia="Times New Roman" w:hAnsi="Times New Roman" w:cs="Times New Roman"/>
        </w:rPr>
        <w:t>9.364%</w:t>
      </w:r>
      <w:r>
        <w:rPr>
          <w:rStyle w:val="CharStyle24"/>
        </w:rPr>
        <w:t>的股权，计</w:t>
      </w:r>
      <w:r>
        <w:rPr>
          <w:rStyle w:val="CharStyle24"/>
          <w:rFonts w:ascii="Times New Roman" w:eastAsia="Times New Roman" w:hAnsi="Times New Roman" w:cs="Times New Roman"/>
        </w:rPr>
        <w:t>20.135</w:t>
      </w:r>
      <w:r>
        <w:rPr>
          <w:rStyle w:val="CharStyle24"/>
        </w:rPr>
        <w:t>万美元；</w:t>
      </w:r>
      <w:r>
        <w:rPr>
          <w:rStyle w:val="CharStyle24"/>
          <w:rFonts w:ascii="Times New Roman" w:eastAsia="Times New Roman" w:hAnsi="Times New Roman" w:cs="Times New Roman"/>
        </w:rPr>
        <w:t>The China Fund,Inc</w:t>
      </w:r>
      <w:r>
        <w:rPr>
          <w:rStyle w:val="CharStyle24"/>
          <w:rFonts w:ascii="Times New Roman" w:eastAsia="Times New Roman" w:hAnsi="Times New Roman" w:cs="Times New Roman"/>
        </w:rPr>
        <w:t>.</w:t>
      </w:r>
      <w:r>
        <w:rPr>
          <w:rStyle w:val="CharStyle24"/>
        </w:rPr>
        <w:t xml:space="preserve">持有本公司 </w:t>
      </w:r>
      <w:r>
        <w:rPr>
          <w:rStyle w:val="CharStyle24"/>
          <w:rFonts w:ascii="Times New Roman" w:eastAsia="Times New Roman" w:hAnsi="Times New Roman" w:cs="Times New Roman"/>
        </w:rPr>
        <w:t>9.364%</w:t>
      </w:r>
      <w:r>
        <w:rPr>
          <w:rStyle w:val="CharStyle24"/>
        </w:rPr>
        <w:t>的股权，计</w:t>
      </w:r>
      <w:r>
        <w:rPr>
          <w:rStyle w:val="CharStyle24"/>
          <w:rFonts w:ascii="Times New Roman" w:eastAsia="Times New Roman" w:hAnsi="Times New Roman" w:cs="Times New Roman"/>
        </w:rPr>
        <w:t>20.135</w:t>
      </w:r>
      <w:r>
        <w:rPr>
          <w:rStyle w:val="CharStyle24"/>
        </w:rPr>
        <w:t>万美元；上海得帆投资管理有限公司持有本公司</w:t>
      </w:r>
      <w:r>
        <w:rPr>
          <w:rStyle w:val="CharStyle24"/>
          <w:rFonts w:ascii="Times New Roman" w:eastAsia="Times New Roman" w:hAnsi="Times New Roman" w:cs="Times New Roman"/>
        </w:rPr>
        <w:t>7.594%</w:t>
      </w:r>
      <w:r>
        <w:rPr>
          <w:rStyle w:val="CharStyle24"/>
        </w:rPr>
        <w:t>的股权，计</w:t>
      </w:r>
      <w:r>
        <w:rPr>
          <w:rStyle w:val="CharStyle24"/>
          <w:rFonts w:ascii="Times New Roman" w:eastAsia="Times New Roman" w:hAnsi="Times New Roman" w:cs="Times New Roman"/>
        </w:rPr>
        <w:t>16.33</w:t>
      </w:r>
      <w:r>
        <w:rPr>
          <w:rStyle w:val="CharStyle24"/>
        </w:rPr>
        <w:t>万美元；上海得竞投资管 理有限公司持有本公司</w:t>
      </w:r>
      <w:r>
        <w:rPr>
          <w:rStyle w:val="CharStyle24"/>
          <w:rFonts w:ascii="Times New Roman" w:eastAsia="Times New Roman" w:hAnsi="Times New Roman" w:cs="Times New Roman"/>
        </w:rPr>
        <w:t>5.232%</w:t>
      </w:r>
      <w:r>
        <w:rPr>
          <w:rStyle w:val="CharStyle24"/>
        </w:rPr>
        <w:t>的股权，计</w:t>
      </w:r>
      <w:r>
        <w:rPr>
          <w:rStyle w:val="CharStyle24"/>
          <w:rFonts w:ascii="Times New Roman" w:eastAsia="Times New Roman" w:hAnsi="Times New Roman" w:cs="Times New Roman"/>
        </w:rPr>
        <w:t>11.25</w:t>
      </w:r>
      <w:r>
        <w:rPr>
          <w:rStyle w:val="CharStyle24"/>
        </w:rPr>
        <w:t>万美元；上海得拓投资管理有限公司持有本公司</w:t>
      </w:r>
      <w:r>
        <w:rPr>
          <w:rStyle w:val="CharStyle24"/>
          <w:rFonts w:ascii="Times New Roman" w:eastAsia="Times New Roman" w:hAnsi="Times New Roman" w:cs="Times New Roman"/>
        </w:rPr>
        <w:t>5.745%</w:t>
      </w:r>
      <w:r>
        <w:rPr>
          <w:rStyle w:val="CharStyle24"/>
        </w:rPr>
        <w:t>的股权，计</w:t>
      </w:r>
      <w:r>
        <w:rPr>
          <w:rStyle w:val="CharStyle24"/>
          <w:rFonts w:ascii="Times New Roman" w:eastAsia="Times New Roman" w:hAnsi="Times New Roman" w:cs="Times New Roman"/>
        </w:rPr>
        <w:t>12.35</w:t>
      </w:r>
      <w:r>
        <w:rPr>
          <w:rStyle w:val="CharStyle24"/>
        </w:rPr>
        <w:t>万美 元；上海得逸投资管理有限公司持有本公司</w:t>
      </w:r>
      <w:r>
        <w:rPr>
          <w:rStyle w:val="CharStyle24"/>
          <w:rFonts w:ascii="Times New Roman" w:eastAsia="Times New Roman" w:hAnsi="Times New Roman" w:cs="Times New Roman"/>
        </w:rPr>
        <w:t>12.132%</w:t>
      </w:r>
      <w:r>
        <w:rPr>
          <w:rStyle w:val="CharStyle24"/>
        </w:rPr>
        <w:t>的股权，计</w:t>
      </w:r>
      <w:r>
        <w:rPr>
          <w:rStyle w:val="CharStyle24"/>
          <w:rFonts w:ascii="Times New Roman" w:eastAsia="Times New Roman" w:hAnsi="Times New Roman" w:cs="Times New Roman"/>
        </w:rPr>
        <w:t>26.08</w:t>
      </w:r>
      <w:r>
        <w:rPr>
          <w:rStyle w:val="CharStyle24"/>
        </w:rPr>
        <w:t>万美元。</w:t>
      </w:r>
    </w:p>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日，本公司董事会作出决议，同意本公司整体变更为股份有限公司，同日，本公司的全体股东签订了《发 起人协议》。上海商务委于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日以沪商外资批</w:t>
      </w:r>
      <w:r>
        <w:rPr>
          <w:rFonts w:ascii="Times New Roman" w:eastAsia="Times New Roman" w:hAnsi="Times New Roman" w:cs="Times New Roman"/>
          <w:color w:val="000000"/>
          <w:spacing w:val="0"/>
          <w:w w:val="100"/>
          <w:position w:val="0"/>
        </w:rPr>
        <w:t>[2010]28</w:t>
      </w:r>
      <w:r>
        <w:rPr>
          <w:color w:val="000000"/>
          <w:spacing w:val="0"/>
          <w:w w:val="100"/>
          <w:position w:val="0"/>
        </w:rPr>
        <w:t>号《市商务委关于同意上海汉得信息技术有限公司变更为外 商投资股份有限公司的批复》批准本公司整体变更为股份有限公司，上海市人民政府同意本公司整体变更为股份有限公司， 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日颁发商外资沪股份字</w:t>
      </w:r>
      <w:r>
        <w:rPr>
          <w:rFonts w:ascii="Times New Roman" w:eastAsia="Times New Roman" w:hAnsi="Times New Roman" w:cs="Times New Roman"/>
          <w:color w:val="000000"/>
          <w:spacing w:val="0"/>
          <w:w w:val="100"/>
          <w:position w:val="0"/>
        </w:rPr>
        <w:t>[2002]1793</w:t>
      </w:r>
      <w:r>
        <w:rPr>
          <w:color w:val="000000"/>
          <w:spacing w:val="0"/>
          <w:w w:val="100"/>
          <w:position w:val="0"/>
        </w:rPr>
        <w:t>号《中华人民共和国外商投资企业批准证书》。根据董事会决议及发起 人协议，本公司各股东以其所拥有的截止</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日上海汉得信息技术有限公司的净资产</w:t>
      </w:r>
      <w:r>
        <w:rPr>
          <w:rFonts w:ascii="Times New Roman" w:eastAsia="Times New Roman" w:hAnsi="Times New Roman" w:cs="Times New Roman"/>
          <w:color w:val="000000"/>
          <w:spacing w:val="0"/>
          <w:w w:val="100"/>
          <w:position w:val="0"/>
        </w:rPr>
        <w:t>14,035.68</w:t>
      </w:r>
      <w:r>
        <w:rPr>
          <w:color w:val="000000"/>
          <w:spacing w:val="0"/>
          <w:w w:val="100"/>
          <w:position w:val="0"/>
        </w:rPr>
        <w:t>万元按原出资比例认 购公司股份，按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0.6108</w:t>
      </w:r>
      <w:r>
        <w:rPr>
          <w:color w:val="000000"/>
          <w:spacing w:val="0"/>
          <w:w w:val="100"/>
          <w:position w:val="0"/>
        </w:rPr>
        <w:t>的比例折合股份总额，共计</w:t>
      </w:r>
      <w:r>
        <w:rPr>
          <w:rFonts w:ascii="Times New Roman" w:eastAsia="Times New Roman" w:hAnsi="Times New Roman" w:cs="Times New Roman"/>
          <w:color w:val="000000"/>
          <w:spacing w:val="0"/>
          <w:w w:val="100"/>
          <w:position w:val="0"/>
        </w:rPr>
        <w:t>8,572.45</w:t>
      </w:r>
      <w:r>
        <w:rPr>
          <w:color w:val="000000"/>
          <w:spacing w:val="0"/>
          <w:w w:val="100"/>
          <w:position w:val="0"/>
        </w:rPr>
        <w:t>万股，净资产大于股本部分</w:t>
      </w:r>
      <w:r>
        <w:rPr>
          <w:rFonts w:ascii="Times New Roman" w:eastAsia="Times New Roman" w:hAnsi="Times New Roman" w:cs="Times New Roman"/>
          <w:color w:val="000000"/>
          <w:spacing w:val="0"/>
          <w:w w:val="100"/>
          <w:position w:val="0"/>
        </w:rPr>
        <w:t>5,463.23</w:t>
      </w:r>
      <w:r>
        <w:rPr>
          <w:color w:val="000000"/>
          <w:spacing w:val="0"/>
          <w:w w:val="100"/>
          <w:position w:val="0"/>
        </w:rPr>
        <w:t>万元计入资本公积。立信 会计师事务所有限公司就此次整体变更出具了信会师报字（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10274</w:t>
      </w:r>
      <w:r>
        <w:rPr>
          <w:color w:val="000000"/>
          <w:spacing w:val="0"/>
          <w:w w:val="100"/>
          <w:position w:val="0"/>
        </w:rPr>
        <w:t>号《验资报告》。上海市工商行政管理局于</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日换发了《企业法人营业执照》，注册号</w:t>
      </w:r>
      <w:r>
        <w:rPr>
          <w:rFonts w:ascii="Times New Roman" w:eastAsia="Times New Roman" w:hAnsi="Times New Roman" w:cs="Times New Roman"/>
          <w:color w:val="000000"/>
          <w:spacing w:val="0"/>
          <w:w w:val="100"/>
          <w:position w:val="0"/>
        </w:rPr>
        <w:t>/</w:t>
      </w:r>
      <w:r>
        <w:rPr>
          <w:color w:val="000000"/>
          <w:spacing w:val="0"/>
          <w:w w:val="100"/>
          <w:position w:val="0"/>
        </w:rPr>
        <w:t>统一社会信用代码：</w:t>
      </w:r>
      <w:r>
        <w:rPr>
          <w:rFonts w:ascii="Times New Roman" w:eastAsia="Times New Roman" w:hAnsi="Times New Roman" w:cs="Times New Roman"/>
          <w:color w:val="000000"/>
          <w:spacing w:val="0"/>
          <w:w w:val="100"/>
          <w:position w:val="0"/>
        </w:rPr>
        <w:t xml:space="preserve">310000400308460 </w:t>
      </w:r>
      <w:r>
        <w:rPr>
          <w:color w:val="000000"/>
          <w:spacing w:val="0"/>
          <w:w w:val="100"/>
          <w:position w:val="0"/>
        </w:rPr>
        <w:t>（市局）。</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[2010]1835</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3,000</w:t>
      </w:r>
      <w:r>
        <w:rPr>
          <w:color w:val="000000"/>
          <w:spacing w:val="0"/>
          <w:w w:val="100"/>
          <w:position w:val="0"/>
        </w:rPr>
        <w:t>万股，增加注册资本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万元，增加后的注册资本为人民币</w:t>
      </w:r>
      <w:r>
        <w:rPr>
          <w:rFonts w:ascii="Times New Roman" w:eastAsia="Times New Roman" w:hAnsi="Times New Roman" w:cs="Times New Roman"/>
          <w:color w:val="000000"/>
          <w:spacing w:val="0"/>
          <w:w w:val="100"/>
          <w:position w:val="0"/>
        </w:rPr>
        <w:t>11,572.45</w:t>
      </w:r>
      <w:r>
        <w:rPr>
          <w:color w:val="000000"/>
          <w:spacing w:val="0"/>
          <w:w w:val="100"/>
          <w:position w:val="0"/>
        </w:rPr>
        <w:t>万元。公司于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日在深圳证券交易所挂 牌上市，深圳证券交易所创业板</w:t>
      </w:r>
      <w:r>
        <w:rPr>
          <w:rFonts w:ascii="Times New Roman" w:eastAsia="Times New Roman" w:hAnsi="Times New Roman" w:cs="Times New Roman"/>
          <w:color w:val="000000"/>
          <w:spacing w:val="0"/>
          <w:w w:val="100"/>
          <w:position w:val="0"/>
        </w:rPr>
        <w:t>A</w:t>
      </w:r>
      <w:r>
        <w:rPr>
          <w:color w:val="000000"/>
          <w:spacing w:val="0"/>
          <w:w w:val="100"/>
          <w:position w:val="0"/>
        </w:rPr>
        <w:t>股交易代码：</w:t>
      </w:r>
      <w:r>
        <w:rPr>
          <w:rFonts w:ascii="Times New Roman" w:eastAsia="Times New Roman" w:hAnsi="Times New Roman" w:cs="Times New Roman"/>
          <w:color w:val="000000"/>
          <w:spacing w:val="0"/>
          <w:w w:val="100"/>
          <w:position w:val="0"/>
        </w:rPr>
        <w:t>300170</w:t>
      </w:r>
      <w:r>
        <w:rPr>
          <w:color w:val="000000"/>
          <w:spacing w:val="0"/>
          <w:w w:val="100"/>
          <w:position w:val="0"/>
        </w:rPr>
        <w:t xml:space="preserve">, </w:t>
      </w:r>
      <w:r>
        <w:rPr>
          <w:rFonts w:ascii="Times New Roman" w:eastAsia="Times New Roman" w:hAnsi="Times New Roman" w:cs="Times New Roman"/>
          <w:color w:val="000000"/>
          <w:spacing w:val="0"/>
          <w:w w:val="100"/>
          <w:position w:val="0"/>
        </w:rPr>
        <w:t>A</w:t>
      </w:r>
      <w:r>
        <w:rPr>
          <w:color w:val="000000"/>
          <w:spacing w:val="0"/>
          <w:w w:val="100"/>
          <w:position w:val="0"/>
        </w:rPr>
        <w:t>股简称：汉得信息。所属行业为软件服务类。</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日股本</w:t>
      </w:r>
      <w:r>
        <w:rPr>
          <w:rFonts w:ascii="Times New Roman" w:eastAsia="Times New Roman" w:hAnsi="Times New Roman" w:cs="Times New Roman"/>
          <w:color w:val="000000"/>
          <w:spacing w:val="0"/>
          <w:w w:val="100"/>
          <w:position w:val="0"/>
        </w:rPr>
        <w:t>11,572.45</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 xml:space="preserve">4 </w:t>
      </w:r>
      <w:r>
        <w:rPr>
          <w:color w:val="000000"/>
          <w:spacing w:val="0"/>
          <w:w w:val="100"/>
          <w:position w:val="0"/>
        </w:rPr>
        <w:t>股，共计转增</w:t>
      </w:r>
      <w:r>
        <w:rPr>
          <w:rFonts w:ascii="Times New Roman" w:eastAsia="Times New Roman" w:hAnsi="Times New Roman" w:cs="Times New Roman"/>
          <w:color w:val="000000"/>
          <w:spacing w:val="0"/>
          <w:w w:val="100"/>
          <w:position w:val="0"/>
        </w:rPr>
        <w:t>4,628.98</w:t>
      </w:r>
      <w:r>
        <w:rPr>
          <w:color w:val="000000"/>
          <w:spacing w:val="0"/>
          <w:w w:val="100"/>
          <w:position w:val="0"/>
        </w:rPr>
        <w:t>万股，转增后股本为</w:t>
      </w:r>
      <w:r>
        <w:rPr>
          <w:rFonts w:ascii="Times New Roman" w:eastAsia="Times New Roman" w:hAnsi="Times New Roman" w:cs="Times New Roman"/>
          <w:color w:val="000000"/>
          <w:spacing w:val="0"/>
          <w:w w:val="100"/>
          <w:position w:val="0"/>
        </w:rPr>
        <w:t>16,201.43</w:t>
      </w:r>
      <w:r>
        <w:rPr>
          <w:color w:val="000000"/>
          <w:spacing w:val="0"/>
          <w:w w:val="100"/>
          <w:position w:val="0"/>
        </w:rPr>
        <w:t>万元。</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年度第一次临时股东大会及</w:t>
      </w:r>
      <w:r>
        <w:rPr>
          <w:rFonts w:ascii="Times New Roman" w:eastAsia="Times New Roman" w:hAnsi="Times New Roman" w:cs="Times New Roman"/>
          <w:color w:val="000000"/>
          <w:spacing w:val="0"/>
          <w:w w:val="100"/>
          <w:position w:val="0"/>
        </w:rPr>
        <w:t>2011</w:t>
      </w:r>
      <w:r>
        <w:rPr>
          <w:color w:val="000000"/>
          <w:spacing w:val="0"/>
          <w:w w:val="100"/>
          <w:position w:val="0"/>
        </w:rPr>
        <w:t>年度第一届董事会第十七次（临时）会议决议通过，并经中国证券监督委员 会审核通过，向本公司</w:t>
      </w:r>
      <w:r>
        <w:rPr>
          <w:rFonts w:ascii="Times New Roman" w:eastAsia="Times New Roman" w:hAnsi="Times New Roman" w:cs="Times New Roman"/>
          <w:color w:val="000000"/>
          <w:spacing w:val="0"/>
          <w:w w:val="100"/>
          <w:position w:val="0"/>
        </w:rPr>
        <w:t>314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599.35</w:t>
      </w:r>
      <w:r>
        <w:rPr>
          <w:color w:val="000000"/>
          <w:spacing w:val="0"/>
          <w:w w:val="100"/>
          <w:position w:val="0"/>
        </w:rPr>
        <w:t>万股限制性股票，并确定授予日为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日。授予股票来源为向激励 对象定向发行人民币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股普通股限制性股票。本次定向发行完成后本公司股本总额为</w:t>
      </w:r>
      <w:r>
        <w:rPr>
          <w:rFonts w:ascii="Times New Roman" w:eastAsia="Times New Roman" w:hAnsi="Times New Roman" w:cs="Times New Roman"/>
          <w:color w:val="000000"/>
          <w:spacing w:val="0"/>
          <w:w w:val="100"/>
          <w:position w:val="0"/>
        </w:rPr>
        <w:t>16,800.78</w:t>
      </w:r>
      <w:r>
        <w:rPr>
          <w:color w:val="000000"/>
          <w:spacing w:val="0"/>
          <w:w w:val="100"/>
          <w:position w:val="0"/>
        </w:rPr>
        <w:t>万元。</w:t>
      </w:r>
    </w:p>
    <w:p>
      <w:pPr>
        <w:pStyle w:val="Style23"/>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年，公司回购并注销</w:t>
      </w:r>
      <w:r>
        <w:rPr>
          <w:rFonts w:ascii="Times New Roman" w:eastAsia="Times New Roman" w:hAnsi="Times New Roman" w:cs="Times New Roman"/>
          <w:color w:val="000000"/>
          <w:spacing w:val="0"/>
          <w:w w:val="100"/>
          <w:position w:val="0"/>
        </w:rPr>
        <w:t>19.50</w:t>
      </w:r>
      <w:r>
        <w:rPr>
          <w:color w:val="000000"/>
          <w:spacing w:val="0"/>
          <w:w w:val="100"/>
          <w:position w:val="0"/>
        </w:rPr>
        <w:t>万股限制性股票。</w:t>
      </w:r>
    </w:p>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日，根据公司第一届董事会第三十八次（临时）会议关于授予限制性股票的决议、第一届董事会第三十九 次（临时）会议对授予股数和人数的调整以及《上海汉得信息技术股份有限公司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年限制性股票激励计划（草案修订稿）》 相关要求，公司董事会实施并完成了限制性股票的授予工作，向激励对象定向发行</w:t>
      </w:r>
      <w:r>
        <w:rPr>
          <w:rFonts w:ascii="Times New Roman" w:eastAsia="Times New Roman" w:hAnsi="Times New Roman" w:cs="Times New Roman"/>
          <w:color w:val="000000"/>
          <w:spacing w:val="0"/>
          <w:w w:val="100"/>
          <w:position w:val="0"/>
        </w:rPr>
        <w:t>963.50</w:t>
      </w:r>
      <w:r>
        <w:rPr>
          <w:color w:val="000000"/>
          <w:spacing w:val="0"/>
          <w:w w:val="100"/>
          <w:position w:val="0"/>
        </w:rPr>
        <w:t>万股限制性股票。</w:t>
      </w:r>
    </w:p>
    <w:p>
      <w:pPr>
        <w:pStyle w:val="Style23"/>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日股本</w:t>
      </w:r>
      <w:r>
        <w:rPr>
          <w:rFonts w:ascii="Times New Roman" w:eastAsia="Times New Roman" w:hAnsi="Times New Roman" w:cs="Times New Roman"/>
          <w:color w:val="000000"/>
          <w:spacing w:val="0"/>
          <w:w w:val="100"/>
          <w:position w:val="0"/>
        </w:rPr>
        <w:t>17,744.78</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 xml:space="preserve">5 </w:t>
      </w:r>
      <w:r>
        <w:rPr>
          <w:color w:val="000000"/>
          <w:spacing w:val="0"/>
          <w:w w:val="100"/>
          <w:position w:val="0"/>
        </w:rPr>
        <w:t>股，共计转增</w:t>
      </w:r>
      <w:r>
        <w:rPr>
          <w:rFonts w:ascii="Times New Roman" w:eastAsia="Times New Roman" w:hAnsi="Times New Roman" w:cs="Times New Roman"/>
          <w:color w:val="000000"/>
          <w:spacing w:val="0"/>
          <w:w w:val="100"/>
          <w:position w:val="0"/>
        </w:rPr>
        <w:t>8,872.39</w:t>
      </w:r>
      <w:r>
        <w:rPr>
          <w:color w:val="000000"/>
          <w:spacing w:val="0"/>
          <w:w w:val="100"/>
          <w:position w:val="0"/>
        </w:rPr>
        <w:t>万股，转增后股本为</w:t>
      </w:r>
      <w:r>
        <w:rPr>
          <w:rFonts w:ascii="Times New Roman" w:eastAsia="Times New Roman" w:hAnsi="Times New Roman" w:cs="Times New Roman"/>
          <w:color w:val="000000"/>
          <w:spacing w:val="0"/>
          <w:w w:val="100"/>
          <w:position w:val="0"/>
        </w:rPr>
        <w:t>26,617.17</w:t>
      </w:r>
      <w:r>
        <w:rPr>
          <w:color w:val="000000"/>
          <w:spacing w:val="0"/>
          <w:w w:val="100"/>
          <w:position w:val="0"/>
        </w:rPr>
        <w:t>万元。</w:t>
      </w:r>
    </w:p>
    <w:p>
      <w:pPr>
        <w:pStyle w:val="Style23"/>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月，公司回购并注销</w:t>
      </w:r>
      <w:r>
        <w:rPr>
          <w:rFonts w:ascii="Times New Roman" w:eastAsia="Times New Roman" w:hAnsi="Times New Roman" w:cs="Times New Roman"/>
          <w:color w:val="000000"/>
          <w:spacing w:val="0"/>
          <w:w w:val="100"/>
          <w:position w:val="0"/>
        </w:rPr>
        <w:t>149.96</w:t>
      </w:r>
      <w:r>
        <w:rPr>
          <w:color w:val="000000"/>
          <w:spacing w:val="0"/>
          <w:w w:val="100"/>
          <w:position w:val="0"/>
        </w:rPr>
        <w:t>万股限制性股票。</w:t>
      </w:r>
    </w:p>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月，根据公司第二届董事会第八次（临时）会议关于授予限制性股票的决议、第二届董事会第十次（临时）会 议通过《关于调整公司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年限制性股票激励计划的议案》对授予股数和人数的调整及《上海汉得信息技术股份有限公司 </w:t>
      </w:r>
      <w:r>
        <w:rPr>
          <w:rFonts w:ascii="Times New Roman" w:eastAsia="Times New Roman" w:hAnsi="Times New Roman" w:cs="Times New Roman"/>
          <w:color w:val="000000"/>
          <w:spacing w:val="0"/>
          <w:w w:val="100"/>
          <w:position w:val="0"/>
        </w:rPr>
        <w:t>2013</w:t>
      </w:r>
      <w:r>
        <w:rPr>
          <w:color w:val="000000"/>
          <w:spacing w:val="0"/>
          <w:w w:val="100"/>
          <w:position w:val="0"/>
        </w:rPr>
        <w:t>年限制性股票激励计划（草案修订稿）》相关要求，公司董事会实施并完成了限制性股票的授予工作，向激励对象定 向发行</w:t>
      </w:r>
      <w:r>
        <w:rPr>
          <w:rFonts w:ascii="Times New Roman" w:eastAsia="Times New Roman" w:hAnsi="Times New Roman" w:cs="Times New Roman"/>
          <w:color w:val="000000"/>
          <w:spacing w:val="0"/>
          <w:w w:val="100"/>
          <w:position w:val="0"/>
        </w:rPr>
        <w:t>552.60</w:t>
      </w:r>
      <w:r>
        <w:rPr>
          <w:color w:val="000000"/>
          <w:spacing w:val="0"/>
          <w:w w:val="100"/>
          <w:position w:val="0"/>
        </w:rPr>
        <w:t>万股限制性股票。</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日股本</w:t>
      </w:r>
      <w:r>
        <w:rPr>
          <w:rFonts w:ascii="Times New Roman" w:eastAsia="Times New Roman" w:hAnsi="Times New Roman" w:cs="Times New Roman"/>
          <w:color w:val="000000"/>
          <w:spacing w:val="0"/>
          <w:w w:val="100"/>
          <w:position w:val="0"/>
        </w:rPr>
        <w:t>27,019.81</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股由资本公积金转增 </w:t>
      </w:r>
      <w:r>
        <w:rPr>
          <w:rFonts w:ascii="Times New Roman" w:eastAsia="Times New Roman" w:hAnsi="Times New Roman" w:cs="Times New Roman"/>
          <w:color w:val="000000"/>
          <w:spacing w:val="0"/>
          <w:w w:val="100"/>
          <w:position w:val="0"/>
        </w:rPr>
        <w:t>9.850981</w:t>
      </w:r>
      <w:r>
        <w:rPr>
          <w:color w:val="000000"/>
          <w:spacing w:val="0"/>
          <w:w w:val="100"/>
          <w:position w:val="0"/>
        </w:rPr>
        <w:t>股，共计转增</w:t>
      </w:r>
      <w:r>
        <w:rPr>
          <w:rFonts w:ascii="Times New Roman" w:eastAsia="Times New Roman" w:hAnsi="Times New Roman" w:cs="Times New Roman"/>
          <w:color w:val="000000"/>
          <w:spacing w:val="0"/>
          <w:w w:val="100"/>
          <w:position w:val="0"/>
        </w:rPr>
        <w:t>26,617.16</w:t>
      </w:r>
      <w:r>
        <w:rPr>
          <w:color w:val="000000"/>
          <w:spacing w:val="0"/>
          <w:w w:val="100"/>
          <w:position w:val="0"/>
        </w:rPr>
        <w:t>万股，转增后股本为</w:t>
      </w:r>
      <w:r>
        <w:rPr>
          <w:rFonts w:ascii="Times New Roman" w:eastAsia="Times New Roman" w:hAnsi="Times New Roman" w:cs="Times New Roman"/>
          <w:color w:val="000000"/>
          <w:spacing w:val="0"/>
          <w:w w:val="100"/>
          <w:position w:val="0"/>
        </w:rPr>
        <w:t>53,636.98</w:t>
      </w:r>
      <w:r>
        <w:rPr>
          <w:color w:val="000000"/>
          <w:spacing w:val="0"/>
          <w:w w:val="100"/>
          <w:position w:val="0"/>
        </w:rPr>
        <w:t>万元。</w:t>
      </w:r>
    </w:p>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月，根据公司第二届董事会第二十二次（临时）会议关于授予限制性股票的决议、第二届董事会第二十三次 （临时）会议通过的《关于调整公司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年限制性股票激励计划的议案》对授予股数和人数的调整及《上海汉得信息技术 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年限制性股票激励计划（草案）》相关要求，公司董事会实施并完成了限制性股票的授予工作，向激励 对象定向发行</w:t>
      </w:r>
      <w:r>
        <w:rPr>
          <w:rFonts w:ascii="Times New Roman" w:eastAsia="Times New Roman" w:hAnsi="Times New Roman" w:cs="Times New Roman"/>
          <w:color w:val="000000"/>
          <w:spacing w:val="0"/>
          <w:w w:val="100"/>
          <w:position w:val="0"/>
        </w:rPr>
        <w:t>12,696,000</w:t>
      </w:r>
      <w:r>
        <w:rPr>
          <w:color w:val="000000"/>
          <w:spacing w:val="0"/>
          <w:w w:val="100"/>
          <w:position w:val="0"/>
        </w:rPr>
        <w:t>股限制性股票。</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年年度股东大会决议，以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日总股本</w:t>
      </w:r>
      <w:r>
        <w:rPr>
          <w:rFonts w:ascii="Times New Roman" w:eastAsia="Times New Roman" w:hAnsi="Times New Roman" w:cs="Times New Roman"/>
          <w:color w:val="000000"/>
          <w:spacing w:val="0"/>
          <w:w w:val="100"/>
          <w:position w:val="0"/>
        </w:rPr>
        <w:t>549,065,756</w:t>
      </w:r>
      <w:r>
        <w:rPr>
          <w:color w:val="000000"/>
          <w:spacing w:val="0"/>
          <w:w w:val="100"/>
          <w:position w:val="0"/>
        </w:rPr>
        <w:t>股为基数，以资本公积金向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274,532,878</w:t>
      </w:r>
      <w:r>
        <w:rPr>
          <w:color w:val="000000"/>
          <w:spacing w:val="0"/>
          <w:w w:val="100"/>
          <w:position w:val="0"/>
        </w:rPr>
        <w:t>股，转增后总股本增至</w:t>
      </w:r>
      <w:r>
        <w:rPr>
          <w:rFonts w:ascii="Times New Roman" w:eastAsia="Times New Roman" w:hAnsi="Times New Roman" w:cs="Times New Roman"/>
          <w:color w:val="000000"/>
          <w:spacing w:val="0"/>
          <w:w w:val="100"/>
          <w:position w:val="0"/>
        </w:rPr>
        <w:t>823,598,634</w:t>
      </w:r>
      <w:r>
        <w:rPr>
          <w:color w:val="000000"/>
          <w:spacing w:val="0"/>
          <w:w w:val="100"/>
          <w:position w:val="0"/>
        </w:rPr>
        <w:t>股。</w:t>
      </w:r>
    </w:p>
    <w:p>
      <w:pPr>
        <w:pStyle w:val="Style23"/>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月，根据公司第二届董事会第三十六次（临时）会议关于授予限制性股票的决议、第二届董事会第三十九次（临 时）会议通过《关于调整公司</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年限制性股票激励计划的议案》对授予股数和人数的调整及《上海汉得信息技术股份有限 公司</w:t>
      </w:r>
      <w:r>
        <w:rPr>
          <w:rFonts w:ascii="Times New Roman" w:eastAsia="Times New Roman" w:hAnsi="Times New Roman" w:cs="Times New Roman"/>
          <w:color w:val="000000"/>
          <w:spacing w:val="0"/>
          <w:w w:val="100"/>
          <w:position w:val="0"/>
        </w:rPr>
        <w:t>2015</w:t>
      </w:r>
      <w:r>
        <w:rPr>
          <w:color w:val="000000"/>
          <w:spacing w:val="0"/>
          <w:w w:val="100"/>
          <w:position w:val="0"/>
        </w:rPr>
        <w:t>年限制性股票激励计划（草案）》相关要求，公司董事会实施并完成了限制性股票的授予工作，向激励对象定向发</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w:t>
      </w:r>
      <w:r>
        <w:rPr>
          <w:rFonts w:ascii="Times New Roman" w:eastAsia="Times New Roman" w:hAnsi="Times New Roman" w:cs="Times New Roman"/>
          <w:color w:val="000000"/>
          <w:spacing w:val="0"/>
          <w:w w:val="100"/>
          <w:position w:val="0"/>
        </w:rPr>
        <w:t>5,026,000</w:t>
      </w:r>
      <w:r>
        <w:rPr>
          <w:color w:val="000000"/>
          <w:spacing w:val="0"/>
          <w:w w:val="100"/>
          <w:position w:val="0"/>
        </w:rPr>
        <w:t>股限制性股票，增发后股本增至</w:t>
      </w:r>
      <w:r>
        <w:rPr>
          <w:rFonts w:ascii="Times New Roman" w:eastAsia="Times New Roman" w:hAnsi="Times New Roman" w:cs="Times New Roman"/>
          <w:color w:val="000000"/>
          <w:spacing w:val="0"/>
          <w:w w:val="100"/>
          <w:position w:val="0"/>
        </w:rPr>
        <w:t>82,862.46</w:t>
      </w:r>
      <w:r>
        <w:rPr>
          <w:color w:val="000000"/>
          <w:spacing w:val="0"/>
          <w:w w:val="100"/>
          <w:position w:val="0"/>
        </w:rPr>
        <w:t>万股。</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2392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〈关于核准上海汉得信息技术股份有限公司向赵旭民等发行股 份购买资产的批复〉的规定，公司董事会于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月完成了限制性股票的发行工作，向赵旭民、刘涛发行</w:t>
      </w:r>
      <w:r>
        <w:rPr>
          <w:rFonts w:ascii="Times New Roman" w:eastAsia="Times New Roman" w:hAnsi="Times New Roman" w:cs="Times New Roman"/>
          <w:color w:val="000000"/>
          <w:spacing w:val="0"/>
          <w:w w:val="100"/>
          <w:position w:val="0"/>
        </w:rPr>
        <w:t>6,750,000</w:t>
      </w:r>
      <w:r>
        <w:rPr>
          <w:color w:val="000000"/>
          <w:spacing w:val="0"/>
          <w:w w:val="100"/>
          <w:position w:val="0"/>
        </w:rPr>
        <w:t>股限制 性股票，收购其持有的扬州达美投资管理有限公司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23"/>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月，根据公司第二届董事会第四十六次（临时）会议关于授予限制性股票的决议、第三届董事会第二次（临时） 会议通过的《关于调整公司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年限制性股票激励计划的议案》对授予股数和人数的调整及《上海汉得信息技术股份有限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年限制性股票激励计划（草案）》相关要求，公司董事会实施并完成了限制性股票的授予工作，向激励对象定向发 行</w:t>
      </w:r>
      <w:r>
        <w:rPr>
          <w:rFonts w:ascii="Times New Roman" w:eastAsia="Times New Roman" w:hAnsi="Times New Roman" w:cs="Times New Roman"/>
          <w:color w:val="000000"/>
          <w:spacing w:val="0"/>
          <w:w w:val="100"/>
          <w:position w:val="0"/>
        </w:rPr>
        <w:t>27,095,500</w:t>
      </w:r>
      <w:r>
        <w:rPr>
          <w:color w:val="000000"/>
          <w:spacing w:val="0"/>
          <w:w w:val="100"/>
          <w:position w:val="0"/>
        </w:rPr>
        <w:t>股限制性股票。本次增发后股本增至</w:t>
      </w:r>
      <w:r>
        <w:rPr>
          <w:rFonts w:ascii="Times New Roman" w:eastAsia="Times New Roman" w:hAnsi="Times New Roman" w:cs="Times New Roman"/>
          <w:color w:val="000000"/>
          <w:spacing w:val="0"/>
          <w:w w:val="100"/>
          <w:position w:val="0"/>
        </w:rPr>
        <w:t>86,247.01</w:t>
      </w:r>
      <w:r>
        <w:rPr>
          <w:color w:val="000000"/>
          <w:spacing w:val="0"/>
          <w:w w:val="100"/>
          <w:position w:val="0"/>
        </w:rPr>
        <w:t>万股。</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86,247.01</w:t>
      </w:r>
      <w:r>
        <w:rPr>
          <w:color w:val="000000"/>
          <w:spacing w:val="0"/>
          <w:w w:val="100"/>
          <w:position w:val="0"/>
        </w:rPr>
        <w:t>万股，注册资本为</w:t>
      </w:r>
      <w:r>
        <w:rPr>
          <w:rFonts w:ascii="Times New Roman" w:eastAsia="Times New Roman" w:hAnsi="Times New Roman" w:cs="Times New Roman"/>
          <w:color w:val="000000"/>
          <w:spacing w:val="0"/>
          <w:w w:val="100"/>
          <w:position w:val="0"/>
        </w:rPr>
        <w:t>82,359.8634</w:t>
      </w:r>
      <w:r>
        <w:rPr>
          <w:color w:val="000000"/>
          <w:spacing w:val="0"/>
          <w:w w:val="100"/>
          <w:position w:val="0"/>
        </w:rPr>
        <w:t>万元。</w:t>
      </w:r>
    </w:p>
    <w:p>
      <w:pPr>
        <w:pStyle w:val="Style23"/>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注册地：上海市青浦工业园区外青松公路</w:t>
      </w:r>
      <w:r>
        <w:rPr>
          <w:rFonts w:ascii="Times New Roman" w:eastAsia="Times New Roman" w:hAnsi="Times New Roman" w:cs="Times New Roman"/>
          <w:color w:val="000000"/>
          <w:spacing w:val="0"/>
          <w:w w:val="100"/>
          <w:position w:val="0"/>
        </w:rPr>
        <w:t>5500</w:t>
      </w:r>
      <w:r>
        <w:rPr>
          <w:color w:val="000000"/>
          <w:spacing w:val="0"/>
          <w:w w:val="100"/>
          <w:position w:val="0"/>
        </w:rPr>
        <w:t>号</w:t>
      </w:r>
      <w:r>
        <w:rPr>
          <w:rFonts w:ascii="Times New Roman" w:eastAsia="Times New Roman" w:hAnsi="Times New Roman" w:cs="Times New Roman"/>
          <w:color w:val="000000"/>
          <w:spacing w:val="0"/>
          <w:w w:val="100"/>
          <w:position w:val="0"/>
        </w:rPr>
        <w:t>303</w:t>
      </w:r>
      <w:r>
        <w:rPr>
          <w:color w:val="000000"/>
          <w:spacing w:val="0"/>
          <w:w w:val="100"/>
          <w:position w:val="0"/>
        </w:rPr>
        <w:t>室，总部地址：上海市青浦区汇联路</w:t>
      </w:r>
      <w:r>
        <w:rPr>
          <w:rFonts w:ascii="Times New Roman" w:eastAsia="Times New Roman" w:hAnsi="Times New Roman" w:cs="Times New Roman"/>
          <w:color w:val="000000"/>
          <w:spacing w:val="0"/>
          <w:w w:val="100"/>
          <w:position w:val="0"/>
        </w:rPr>
        <w:t>33</w:t>
      </w:r>
      <w:r>
        <w:rPr>
          <w:color w:val="000000"/>
          <w:spacing w:val="0"/>
          <w:w w:val="100"/>
          <w:position w:val="0"/>
        </w:rPr>
        <w:t>号。本公司主要经营活动为： 研究、开发和生产计算机软件、信息系统和网络产品，从事信息系统和网络产品，从事信息系统和数据管理系统的安装以及 信息系统的集成，提供技术开发、咨询服务以及与该服务相关的客户支持服务，提供整体企业信息系统解决方案，销售公司 自产产品。（涉及许可经营的凭许可证经营），主要产品为自产的软件、外购软件，提供主要劳务内容为技术开发、咨询服 务、客户支持服务。</w:t>
      </w:r>
    </w:p>
    <w:p>
      <w:pPr>
        <w:pStyle w:val="Style23"/>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33"/>
        <w:keepNext w:val="0"/>
        <w:keepLines w:val="0"/>
        <w:widowControl w:val="0"/>
        <w:shd w:val="clear" w:color="auto" w:fill="auto"/>
        <w:bidi w:val="0"/>
        <w:spacing w:before="0" w:after="0" w:line="240" w:lineRule="auto"/>
        <w:ind w:left="504"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6446"/>
        <w:gridCol w:w="3230"/>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汉得日本株式会社</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汉得日本</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上海夏尔软件有限公司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夏尔软件</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上海汉得欧俊信息技术有限公司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汉得欧俊</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HAND ENTERPRISE SOLUTIONS(SINGAPORE) PTE.,LTD.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汉得新加坡</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随身科技（上海）有限公司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随身科技</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上海汉得融晶信息科技有限公司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汉得融晶</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上海汉得商业保理有限公司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汉得保理</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HAND ENTERPRISE SOLUTIONS USA.,LTD.</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汉得俄亥俄州</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上海汉得微扬信息技术有限公司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汉得微扬</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上海汉得知云软件有限公司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汉得知云</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上海达美信息技术有限公司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上海达美</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扬州达美投资管理有限公司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扬州达美</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上海甄汇信息科技有限公司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甄汇信息</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HAND ENTERPRISE SOLUTIONS USA.INC.</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汉得加利福尼亚州</w:t>
            </w:r>
          </w:p>
        </w:tc>
      </w:tr>
    </w:tbl>
    <w:p>
      <w:pPr>
        <w:pStyle w:val="Style33"/>
        <w:keepNext w:val="0"/>
        <w:keepLines w:val="0"/>
        <w:widowControl w:val="0"/>
        <w:shd w:val="clear" w:color="auto" w:fill="auto"/>
        <w:bidi w:val="0"/>
        <w:spacing w:before="0" w:after="0" w:line="240" w:lineRule="auto"/>
        <w:ind w:left="437" w:right="0" w:firstLine="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、财务报表的编制基础</w:t>
      </w:r>
      <w:bookmarkEnd w:id="614"/>
      <w:bookmarkEnd w:id="615"/>
      <w:bookmarkEnd w:id="617"/>
    </w:p>
    <w:p>
      <w:pPr>
        <w:pStyle w:val="Style26"/>
        <w:keepNext/>
        <w:keepLines/>
        <w:widowControl w:val="0"/>
        <w:shd w:val="clear" w:color="auto" w:fill="auto"/>
        <w:bidi w:val="0"/>
        <w:spacing w:before="0" w:after="26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、编制基础</w:t>
      </w:r>
      <w:bookmarkEnd w:id="618"/>
      <w:bookmarkEnd w:id="619"/>
      <w:bookmarkEnd w:id="621"/>
    </w:p>
    <w:p>
      <w:pPr>
        <w:pStyle w:val="Style23"/>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 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号——财务报告的一般规定》的披露规定编制财务报表。</w:t>
      </w:r>
    </w:p>
    <w:p>
      <w:pPr>
        <w:pStyle w:val="Style26"/>
        <w:keepNext/>
        <w:keepLines/>
        <w:widowControl w:val="0"/>
        <w:shd w:val="clear" w:color="auto" w:fill="auto"/>
        <w:bidi w:val="0"/>
        <w:spacing w:before="0" w:after="26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、持续经营</w:t>
      </w:r>
      <w:bookmarkEnd w:id="622"/>
      <w:bookmarkEnd w:id="623"/>
      <w:bookmarkEnd w:id="625"/>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1"/>
        <w:keepNext/>
        <w:keepLines/>
        <w:widowControl w:val="0"/>
        <w:shd w:val="clear" w:color="auto" w:fill="auto"/>
        <w:bidi w:val="0"/>
        <w:spacing w:before="0" w:after="2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五</w:t>
      </w:r>
      <w:bookmarkEnd w:id="628"/>
      <w:r>
        <w:rPr>
          <w:color w:val="000000"/>
          <w:spacing w:val="0"/>
          <w:w w:val="100"/>
          <w:position w:val="0"/>
          <w:sz w:val="24"/>
          <w:szCs w:val="24"/>
        </w:rPr>
        <w:t>、重要会计政策及会计估计</w:t>
      </w:r>
      <w:bookmarkEnd w:id="626"/>
      <w:bookmarkEnd w:id="627"/>
      <w:bookmarkEnd w:id="629"/>
    </w:p>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rPr>
        <w:t>“</w:t>
      </w:r>
      <w:r>
        <w:rPr>
          <w:color w:val="000000"/>
          <w:spacing w:val="0"/>
          <w:w w:val="100"/>
          <w:position w:val="0"/>
        </w:rPr>
        <w:t>三、（二十二）收入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tabs>
          <w:tab w:pos="373" w:val="left"/>
        </w:tabs>
        <w:bidi w:val="0"/>
        <w:spacing w:before="0" w:after="2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遵循企业会计准则的声明</w:t>
      </w:r>
      <w:bookmarkEnd w:id="630"/>
      <w:bookmarkEnd w:id="631"/>
      <w:bookmarkEnd w:id="633"/>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26"/>
        <w:keepNext/>
        <w:keepLines/>
        <w:widowControl w:val="0"/>
        <w:shd w:val="clear" w:color="auto" w:fill="auto"/>
        <w:tabs>
          <w:tab w:pos="382" w:val="left"/>
        </w:tabs>
        <w:bidi w:val="0"/>
        <w:spacing w:before="0" w:after="2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会计期间</w:t>
      </w:r>
      <w:bookmarkEnd w:id="634"/>
      <w:bookmarkEnd w:id="635"/>
      <w:bookmarkEnd w:id="637"/>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26"/>
        <w:keepNext/>
        <w:keepLines/>
        <w:widowControl w:val="0"/>
        <w:shd w:val="clear" w:color="auto" w:fill="auto"/>
        <w:tabs>
          <w:tab w:pos="382" w:val="left"/>
        </w:tabs>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营业周期</w:t>
      </w:r>
      <w:bookmarkEnd w:id="638"/>
      <w:bookmarkEnd w:id="639"/>
      <w:bookmarkEnd w:id="641"/>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26"/>
        <w:keepNext/>
        <w:keepLines/>
        <w:widowControl w:val="0"/>
        <w:shd w:val="clear" w:color="auto" w:fill="auto"/>
        <w:tabs>
          <w:tab w:pos="382" w:val="left"/>
        </w:tabs>
        <w:bidi w:val="0"/>
        <w:spacing w:before="0" w:after="26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w:t>
        <w:tab/>
        <w:t>记账本位币</w:t>
      </w:r>
      <w:bookmarkEnd w:id="642"/>
      <w:bookmarkEnd w:id="643"/>
      <w:bookmarkEnd w:id="645"/>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本公司采用人民币为记账本位币。</w:t>
      </w:r>
    </w:p>
    <w:p>
      <w:pPr>
        <w:pStyle w:val="Style26"/>
        <w:keepNext/>
        <w:keepLines/>
        <w:widowControl w:val="0"/>
        <w:shd w:val="clear" w:color="auto" w:fill="auto"/>
        <w:tabs>
          <w:tab w:pos="382" w:val="left"/>
        </w:tabs>
        <w:bidi w:val="0"/>
        <w:spacing w:before="0" w:after="2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w:t>
        <w:tab/>
        <w:t>同一控制下和非同一控制下企业合并的会计处理方法</w:t>
      </w:r>
      <w:bookmarkEnd w:id="646"/>
      <w:bookmarkEnd w:id="647"/>
      <w:bookmarkEnd w:id="649"/>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26"/>
        <w:keepNext/>
        <w:keepLines/>
        <w:widowControl w:val="0"/>
        <w:shd w:val="clear" w:color="auto" w:fill="auto"/>
        <w:tabs>
          <w:tab w:pos="382" w:val="left"/>
        </w:tabs>
        <w:bidi w:val="0"/>
        <w:spacing w:before="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6</w:t>
      </w:r>
      <w:bookmarkEnd w:id="652"/>
      <w:r>
        <w:rPr>
          <w:color w:val="000000"/>
          <w:spacing w:val="0"/>
          <w:w w:val="100"/>
          <w:position w:val="0"/>
        </w:rPr>
        <w:t>、</w:t>
        <w:tab/>
        <w:t>合并财务报表的编制方法</w:t>
      </w:r>
      <w:bookmarkEnd w:id="650"/>
      <w:bookmarkEnd w:id="651"/>
      <w:bookmarkEnd w:id="653"/>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合并范围</w:t>
      </w:r>
    </w:p>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本公司合并财务报表的合并范围以控制为基础确定，所有子公司（包括本公司所控制的被投资方可分割的部分）均纳入合并 财务报表。</w:t>
      </w:r>
    </w:p>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w:t>
      </w:r>
      <w:r>
        <w:rPr>
          <w:b/>
          <w:bCs/>
          <w:color w:val="000000"/>
          <w:spacing w:val="0"/>
          <w:w w:val="100"/>
          <w:position w:val="0"/>
        </w:rPr>
        <w:t>合并程序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调整。</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23"/>
        <w:keepNext w:val="0"/>
        <w:keepLines w:val="0"/>
        <w:widowControl w:val="0"/>
        <w:shd w:val="clear" w:color="auto" w:fill="auto"/>
        <w:tabs>
          <w:tab w:pos="382" w:val="left"/>
        </w:tabs>
        <w:bidi w:val="0"/>
        <w:spacing w:before="0" w:after="0" w:line="311" w:lineRule="exact"/>
        <w:ind w:left="0" w:right="0" w:firstLine="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1）</w:t>
        <w:tab/>
      </w:r>
      <w:r>
        <w:rPr>
          <w:color w:val="000000"/>
          <w:spacing w:val="0"/>
          <w:w w:val="100"/>
          <w:position w:val="0"/>
        </w:rPr>
        <w:t>增加子公司或业务</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23"/>
        <w:keepNext w:val="0"/>
        <w:keepLines w:val="0"/>
        <w:widowControl w:val="0"/>
        <w:shd w:val="clear" w:color="auto" w:fill="auto"/>
        <w:tabs>
          <w:tab w:pos="382" w:val="left"/>
        </w:tabs>
        <w:bidi w:val="0"/>
        <w:spacing w:before="0" w:after="0" w:line="311" w:lineRule="exact"/>
        <w:ind w:left="0" w:right="0" w:firstLine="0"/>
        <w:jc w:val="both"/>
      </w:pPr>
      <w:bookmarkStart w:id="655" w:name="bookmark655"/>
      <w:r>
        <w:rPr>
          <w:color w:val="000000"/>
          <w:spacing w:val="0"/>
          <w:w w:val="100"/>
          <w:position w:val="0"/>
          <w:sz w:val="18"/>
          <w:szCs w:val="18"/>
        </w:rPr>
        <w:t>（</w:t>
      </w:r>
      <w:bookmarkEnd w:id="655"/>
      <w:r>
        <w:rPr>
          <w:color w:val="000000"/>
          <w:spacing w:val="0"/>
          <w:w w:val="100"/>
          <w:position w:val="0"/>
          <w:sz w:val="18"/>
          <w:szCs w:val="18"/>
        </w:rPr>
        <w:t>2）</w:t>
        <w:tab/>
      </w:r>
      <w:r>
        <w:rPr>
          <w:color w:val="000000"/>
          <w:spacing w:val="0"/>
          <w:w w:val="100"/>
          <w:position w:val="0"/>
        </w:rPr>
        <w:t>处置子公司或业务</w:t>
      </w:r>
    </w:p>
    <w:p>
      <w:pPr>
        <w:pStyle w:val="Style23"/>
        <w:keepNext w:val="0"/>
        <w:keepLines w:val="0"/>
        <w:widowControl w:val="0"/>
        <w:numPr>
          <w:ilvl w:val="0"/>
          <w:numId w:val="17"/>
        </w:numPr>
        <w:shd w:val="clear" w:color="auto" w:fill="auto"/>
        <w:tabs>
          <w:tab w:pos="315" w:val="left"/>
        </w:tabs>
        <w:bidi w:val="0"/>
        <w:spacing w:before="0" w:after="0" w:line="311" w:lineRule="exact"/>
        <w:ind w:left="0" w:right="0" w:firstLine="0"/>
        <w:jc w:val="both"/>
      </w:pPr>
      <w:bookmarkStart w:id="656" w:name="bookmark656"/>
      <w:bookmarkEnd w:id="656"/>
      <w:r>
        <w:rPr>
          <w:color w:val="000000"/>
          <w:spacing w:val="0"/>
          <w:w w:val="100"/>
          <w:position w:val="0"/>
        </w:rPr>
        <w:t>一般处理方法</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23"/>
        <w:keepNext w:val="0"/>
        <w:keepLines w:val="0"/>
        <w:widowControl w:val="0"/>
        <w:numPr>
          <w:ilvl w:val="0"/>
          <w:numId w:val="17"/>
        </w:numPr>
        <w:shd w:val="clear" w:color="auto" w:fill="auto"/>
        <w:tabs>
          <w:tab w:pos="315" w:val="left"/>
        </w:tabs>
        <w:bidi w:val="0"/>
        <w:spacing w:before="0" w:after="0" w:line="311" w:lineRule="exact"/>
        <w:ind w:left="0" w:right="0" w:firstLine="0"/>
        <w:jc w:val="both"/>
      </w:pPr>
      <w:bookmarkStart w:id="657" w:name="bookmark657"/>
      <w:bookmarkEnd w:id="657"/>
      <w:r>
        <w:rPr>
          <w:color w:val="000000"/>
          <w:spacing w:val="0"/>
          <w:w w:val="100"/>
          <w:position w:val="0"/>
        </w:rPr>
        <w:t>分步处置子公司</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3"/>
        <w:keepNext w:val="0"/>
        <w:keepLines w:val="0"/>
        <w:widowControl w:val="0"/>
        <w:numPr>
          <w:ilvl w:val="0"/>
          <w:numId w:val="19"/>
        </w:numPr>
        <w:shd w:val="clear" w:color="auto" w:fill="auto"/>
        <w:tabs>
          <w:tab w:pos="337" w:val="left"/>
        </w:tabs>
        <w:bidi w:val="0"/>
        <w:spacing w:before="0" w:after="0" w:line="311" w:lineRule="exact"/>
        <w:ind w:left="0" w:right="0" w:firstLine="0"/>
        <w:jc w:val="both"/>
      </w:pPr>
      <w:bookmarkStart w:id="658" w:name="bookmark658"/>
      <w:bookmarkEnd w:id="658"/>
      <w:r>
        <w:rPr>
          <w:color w:val="000000"/>
          <w:spacing w:val="0"/>
          <w:w w:val="100"/>
          <w:position w:val="0"/>
        </w:rPr>
        <w:t>这些交易是同时或者在考虑了彼此影响的情况下订立的；</w:t>
      </w:r>
    </w:p>
    <w:p>
      <w:pPr>
        <w:pStyle w:val="Style23"/>
        <w:keepNext w:val="0"/>
        <w:keepLines w:val="0"/>
        <w:widowControl w:val="0"/>
        <w:numPr>
          <w:ilvl w:val="0"/>
          <w:numId w:val="19"/>
        </w:numPr>
        <w:shd w:val="clear" w:color="auto" w:fill="auto"/>
        <w:tabs>
          <w:tab w:pos="337" w:val="left"/>
        </w:tabs>
        <w:bidi w:val="0"/>
        <w:spacing w:before="0" w:after="0" w:line="311" w:lineRule="exact"/>
        <w:ind w:left="0" w:right="0" w:firstLine="0"/>
        <w:jc w:val="both"/>
      </w:pPr>
      <w:bookmarkStart w:id="659" w:name="bookmark659"/>
      <w:bookmarkEnd w:id="659"/>
      <w:r>
        <w:rPr>
          <w:color w:val="000000"/>
          <w:spacing w:val="0"/>
          <w:w w:val="100"/>
          <w:position w:val="0"/>
        </w:rPr>
        <w:t>这些交易整体才能达成一项完整的商业结果；</w:t>
      </w:r>
    </w:p>
    <w:p>
      <w:pPr>
        <w:pStyle w:val="Style23"/>
        <w:keepNext w:val="0"/>
        <w:keepLines w:val="0"/>
        <w:widowControl w:val="0"/>
        <w:numPr>
          <w:ilvl w:val="0"/>
          <w:numId w:val="19"/>
        </w:numPr>
        <w:shd w:val="clear" w:color="auto" w:fill="auto"/>
        <w:tabs>
          <w:tab w:pos="348" w:val="left"/>
        </w:tabs>
        <w:bidi w:val="0"/>
        <w:spacing w:before="0" w:after="0" w:line="311" w:lineRule="exact"/>
        <w:ind w:left="0" w:right="0" w:firstLine="0"/>
        <w:jc w:val="both"/>
      </w:pPr>
      <w:bookmarkStart w:id="660" w:name="bookmark660"/>
      <w:bookmarkEnd w:id="660"/>
      <w:r>
        <w:rPr>
          <w:color w:val="000000"/>
          <w:spacing w:val="0"/>
          <w:w w:val="100"/>
          <w:position w:val="0"/>
        </w:rPr>
        <w:t>一项交易的发生取决于其他至少一项交易的发生；</w:t>
      </w:r>
    </w:p>
    <w:p>
      <w:pPr>
        <w:pStyle w:val="Style23"/>
        <w:keepNext w:val="0"/>
        <w:keepLines w:val="0"/>
        <w:widowControl w:val="0"/>
        <w:numPr>
          <w:ilvl w:val="0"/>
          <w:numId w:val="19"/>
        </w:numPr>
        <w:shd w:val="clear" w:color="auto" w:fill="auto"/>
        <w:tabs>
          <w:tab w:pos="348" w:val="left"/>
        </w:tabs>
        <w:bidi w:val="0"/>
        <w:spacing w:before="0" w:after="0" w:line="311" w:lineRule="exact"/>
        <w:ind w:left="0" w:right="0" w:firstLine="0"/>
        <w:jc w:val="both"/>
      </w:pPr>
      <w:bookmarkStart w:id="661" w:name="bookmark661"/>
      <w:bookmarkEnd w:id="661"/>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23"/>
        <w:keepNext w:val="0"/>
        <w:keepLines w:val="0"/>
        <w:widowControl w:val="0"/>
        <w:shd w:val="clear" w:color="auto" w:fill="auto"/>
        <w:tabs>
          <w:tab w:pos="440" w:val="left"/>
        </w:tabs>
        <w:bidi w:val="0"/>
        <w:spacing w:before="0" w:after="0" w:line="311" w:lineRule="exact"/>
        <w:ind w:left="0" w:right="0" w:firstLine="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3）</w:t>
        <w:tab/>
      </w:r>
      <w:r>
        <w:rPr>
          <w:color w:val="000000"/>
          <w:spacing w:val="0"/>
          <w:w w:val="100"/>
          <w:position w:val="0"/>
        </w:rPr>
        <w:t>购买子公司少数股权</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3"/>
        <w:keepNext w:val="0"/>
        <w:keepLines w:val="0"/>
        <w:widowControl w:val="0"/>
        <w:shd w:val="clear" w:color="auto" w:fill="auto"/>
        <w:tabs>
          <w:tab w:pos="440" w:val="left"/>
        </w:tabs>
        <w:bidi w:val="0"/>
        <w:spacing w:before="0" w:after="0" w:line="311" w:lineRule="exact"/>
        <w:ind w:left="0" w:right="0" w:firstLine="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4）</w:t>
        <w:tab/>
      </w:r>
      <w:r>
        <w:rPr>
          <w:color w:val="000000"/>
          <w:spacing w:val="0"/>
          <w:w w:val="100"/>
          <w:position w:val="0"/>
        </w:rPr>
        <w:t>不丧失控制权的情况下部分处置对子公司的股权投资</w:t>
      </w:r>
    </w:p>
    <w:p>
      <w:pPr>
        <w:pStyle w:val="Style23"/>
        <w:keepNext w:val="0"/>
        <w:keepLines w:val="0"/>
        <w:widowControl w:val="0"/>
        <w:shd w:val="clear" w:color="auto" w:fill="auto"/>
        <w:bidi w:val="0"/>
        <w:spacing w:before="0" w:after="980" w:line="311" w:lineRule="exact"/>
        <w:ind w:left="0" w:right="0" w:firstLine="0"/>
        <w:jc w:val="both"/>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26"/>
        <w:keepNext/>
        <w:keepLines/>
        <w:widowControl w:val="0"/>
        <w:shd w:val="clear" w:color="auto" w:fill="auto"/>
        <w:tabs>
          <w:tab w:pos="378" w:val="left"/>
        </w:tabs>
        <w:bidi w:val="0"/>
        <w:spacing w:before="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7</w:t>
      </w:r>
      <w:bookmarkEnd w:id="666"/>
      <w:r>
        <w:rPr>
          <w:color w:val="000000"/>
          <w:spacing w:val="0"/>
          <w:w w:val="100"/>
          <w:position w:val="0"/>
        </w:rPr>
        <w:t>、</w:t>
        <w:tab/>
        <w:t>合营安排分类及共同经营会计处理方法</w:t>
      </w:r>
      <w:bookmarkEnd w:id="664"/>
      <w:bookmarkEnd w:id="665"/>
      <w:bookmarkEnd w:id="667"/>
    </w:p>
    <w:p>
      <w:pPr>
        <w:pStyle w:val="Style26"/>
        <w:keepNext/>
        <w:keepLines/>
        <w:widowControl w:val="0"/>
        <w:shd w:val="clear" w:color="auto" w:fill="auto"/>
        <w:tabs>
          <w:tab w:pos="382" w:val="left"/>
        </w:tabs>
        <w:bidi w:val="0"/>
        <w:spacing w:before="0" w:after="260" w:line="240" w:lineRule="auto"/>
        <w:ind w:left="0" w:right="0" w:firstLine="0"/>
        <w:jc w:val="both"/>
      </w:pPr>
      <w:bookmarkStart w:id="664" w:name="bookmark664"/>
      <w:bookmarkStart w:id="665" w:name="bookmark665"/>
      <w:bookmarkStart w:id="668" w:name="bookmark668"/>
      <w:bookmarkStart w:id="669" w:name="bookmark669"/>
      <w:r>
        <w:rPr>
          <w:rFonts w:ascii="Times New Roman" w:eastAsia="Times New Roman" w:hAnsi="Times New Roman" w:cs="Times New Roman"/>
          <w:color w:val="000000"/>
          <w:spacing w:val="0"/>
          <w:w w:val="100"/>
          <w:position w:val="0"/>
        </w:rPr>
        <w:t>8</w:t>
      </w:r>
      <w:bookmarkEnd w:id="668"/>
      <w:r>
        <w:rPr>
          <w:color w:val="000000"/>
          <w:spacing w:val="0"/>
          <w:w w:val="100"/>
          <w:position w:val="0"/>
        </w:rPr>
        <w:t>、</w:t>
        <w:tab/>
        <w:t>现金及现金等价物的确定标准</w:t>
      </w:r>
      <w:bookmarkEnd w:id="664"/>
      <w:bookmarkEnd w:id="665"/>
      <w:bookmarkEnd w:id="669"/>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26"/>
        <w:keepNext/>
        <w:keepLines/>
        <w:widowControl w:val="0"/>
        <w:shd w:val="clear" w:color="auto" w:fill="auto"/>
        <w:tabs>
          <w:tab w:pos="382" w:val="left"/>
        </w:tabs>
        <w:bidi w:val="0"/>
        <w:spacing w:before="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9</w:t>
      </w:r>
      <w:bookmarkEnd w:id="672"/>
      <w:r>
        <w:rPr>
          <w:color w:val="000000"/>
          <w:spacing w:val="0"/>
          <w:w w:val="100"/>
          <w:position w:val="0"/>
        </w:rPr>
        <w:t>、</w:t>
        <w:tab/>
        <w:t>外币业务和外币报表折算</w:t>
      </w:r>
      <w:bookmarkEnd w:id="670"/>
      <w:bookmarkEnd w:id="671"/>
      <w:bookmarkEnd w:id="673"/>
    </w:p>
    <w:p>
      <w:pPr>
        <w:pStyle w:val="Style23"/>
        <w:keepNext w:val="0"/>
        <w:keepLines w:val="0"/>
        <w:widowControl w:val="0"/>
        <w:numPr>
          <w:ilvl w:val="0"/>
          <w:numId w:val="21"/>
        </w:numPr>
        <w:shd w:val="clear" w:color="auto" w:fill="auto"/>
        <w:tabs>
          <w:tab w:pos="332" w:val="left"/>
        </w:tabs>
        <w:bidi w:val="0"/>
        <w:spacing w:before="0" w:after="0" w:line="240" w:lineRule="auto"/>
        <w:ind w:left="0" w:right="0" w:firstLine="0"/>
        <w:jc w:val="both"/>
      </w:pPr>
      <w:bookmarkStart w:id="674" w:name="bookmark674"/>
      <w:bookmarkEnd w:id="674"/>
      <w:r>
        <w:rPr>
          <w:b/>
          <w:bCs/>
          <w:color w:val="000000"/>
          <w:spacing w:val="0"/>
          <w:w w:val="100"/>
          <w:position w:val="0"/>
        </w:rPr>
        <w:t>外币业务</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23"/>
        <w:keepNext w:val="0"/>
        <w:keepLines w:val="0"/>
        <w:widowControl w:val="0"/>
        <w:shd w:val="clear" w:color="auto" w:fill="auto"/>
        <w:bidi w:val="0"/>
        <w:spacing w:before="0" w:after="400" w:line="317"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23"/>
        <w:keepNext w:val="0"/>
        <w:keepLines w:val="0"/>
        <w:widowControl w:val="0"/>
        <w:numPr>
          <w:ilvl w:val="0"/>
          <w:numId w:val="21"/>
        </w:numPr>
        <w:shd w:val="clear" w:color="auto" w:fill="auto"/>
        <w:tabs>
          <w:tab w:pos="332" w:val="left"/>
        </w:tabs>
        <w:bidi w:val="0"/>
        <w:spacing w:before="0" w:after="0" w:line="240" w:lineRule="auto"/>
        <w:ind w:left="0" w:right="0" w:firstLine="0"/>
        <w:jc w:val="both"/>
      </w:pPr>
      <w:bookmarkStart w:id="675" w:name="bookmark675"/>
      <w:bookmarkEnd w:id="675"/>
      <w:r>
        <w:rPr>
          <w:b/>
          <w:bCs/>
          <w:color w:val="000000"/>
          <w:spacing w:val="0"/>
          <w:w w:val="100"/>
          <w:position w:val="0"/>
        </w:rPr>
        <w:t>外币财务报表的折算</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 用发生时的即期汇率折算。利润表中的收入和费用项目，采用期初期末平均汇率折算。</w:t>
      </w:r>
    </w:p>
    <w:p>
      <w:pPr>
        <w:pStyle w:val="Style23"/>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处置境外经营时，将与该境外经营相关的外币财务报表折算差额，自所有者权益项目转入处置当期损益。</w:t>
      </w:r>
    </w:p>
    <w:p>
      <w:pPr>
        <w:pStyle w:val="Style26"/>
        <w:keepNext/>
        <w:keepLines/>
        <w:widowControl w:val="0"/>
        <w:shd w:val="clear" w:color="auto" w:fill="auto"/>
        <w:tabs>
          <w:tab w:pos="478"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1</w:t>
      </w:r>
      <w:bookmarkEnd w:id="67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76"/>
      <w:bookmarkEnd w:id="677"/>
      <w:bookmarkEnd w:id="679"/>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金融工具包括金融资产、金融负债和权益工具。</w:t>
      </w:r>
    </w:p>
    <w:p>
      <w:pPr>
        <w:pStyle w:val="Style23"/>
        <w:keepNext w:val="0"/>
        <w:keepLines w:val="0"/>
        <w:widowControl w:val="0"/>
        <w:shd w:val="clear" w:color="auto" w:fill="auto"/>
        <w:tabs>
          <w:tab w:pos="344" w:val="left"/>
        </w:tabs>
        <w:bidi w:val="0"/>
        <w:spacing w:before="0" w:after="0" w:line="240" w:lineRule="auto"/>
        <w:ind w:left="0" w:right="0" w:firstLine="0"/>
        <w:jc w:val="left"/>
      </w:pPr>
      <w:bookmarkStart w:id="680" w:name="bookmark680"/>
      <w:r>
        <w:rPr>
          <w:rFonts w:ascii="Times New Roman" w:eastAsia="Times New Roman" w:hAnsi="Times New Roman" w:cs="Times New Roman"/>
          <w:b/>
          <w:bCs/>
          <w:color w:val="000000"/>
          <w:spacing w:val="0"/>
          <w:w w:val="100"/>
          <w:position w:val="0"/>
        </w:rPr>
        <w:t>1</w:t>
      </w:r>
      <w:bookmarkEnd w:id="680"/>
      <w:r>
        <w:rPr>
          <w:b/>
          <w:bCs/>
          <w:color w:val="000000"/>
          <w:spacing w:val="0"/>
          <w:w w:val="100"/>
          <w:position w:val="0"/>
        </w:rPr>
        <w:t>、</w:t>
        <w:tab/>
        <w:t>金融工具的分类</w:t>
      </w:r>
    </w:p>
    <w:p>
      <w:pPr>
        <w:pStyle w:val="Style23"/>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金融资产和金融负债于初始确认时分类为：以公允价值计量且其变动计入当期损益的金融资产或金融负债，包括交易性金融 资产或金融负债和直接指定为以公允价值计量且其变动计入当期损益的金融资产或金融负债；持有至到期投资；应收款项； 可供出售金融资产；其他金融负债等。</w:t>
      </w:r>
    </w:p>
    <w:p>
      <w:pPr>
        <w:pStyle w:val="Style23"/>
        <w:keepNext w:val="0"/>
        <w:keepLines w:val="0"/>
        <w:widowControl w:val="0"/>
        <w:shd w:val="clear" w:color="auto" w:fill="auto"/>
        <w:tabs>
          <w:tab w:pos="358" w:val="left"/>
        </w:tabs>
        <w:bidi w:val="0"/>
        <w:spacing w:before="0" w:after="0" w:line="240" w:lineRule="auto"/>
        <w:ind w:left="0" w:right="0" w:firstLine="0"/>
        <w:jc w:val="left"/>
      </w:pPr>
      <w:bookmarkStart w:id="681" w:name="bookmark681"/>
      <w:r>
        <w:rPr>
          <w:rFonts w:ascii="Times New Roman" w:eastAsia="Times New Roman" w:hAnsi="Times New Roman" w:cs="Times New Roman"/>
          <w:b/>
          <w:bCs/>
          <w:color w:val="000000"/>
          <w:spacing w:val="0"/>
          <w:w w:val="100"/>
          <w:position w:val="0"/>
        </w:rPr>
        <w:t>2</w:t>
      </w:r>
      <w:bookmarkEnd w:id="681"/>
      <w:r>
        <w:rPr>
          <w:b/>
          <w:bCs/>
          <w:color w:val="000000"/>
          <w:spacing w:val="0"/>
          <w:w w:val="100"/>
          <w:position w:val="0"/>
        </w:rPr>
        <w:t>、</w:t>
        <w:tab/>
        <w:t>金融工具的确认依据和计量方法</w:t>
      </w:r>
    </w:p>
    <w:p>
      <w:pPr>
        <w:pStyle w:val="Style23"/>
        <w:keepNext w:val="0"/>
        <w:keepLines w:val="0"/>
        <w:widowControl w:val="0"/>
        <w:shd w:val="clear" w:color="auto" w:fill="auto"/>
        <w:bidi w:val="0"/>
        <w:spacing w:before="0" w:after="0" w:line="312" w:lineRule="exact"/>
        <w:ind w:left="0" w:right="0" w:firstLine="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取得时以公允价值（扣除已宣告但尚未发放的现金股利或已到付息期但尚未领取的债券利息）作为初始确认金额，相关的交 </w:t>
      </w:r>
      <w:r>
        <w:rPr>
          <w:color w:val="000000"/>
          <w:spacing w:val="0"/>
          <w:w w:val="100"/>
          <w:position w:val="0"/>
        </w:rPr>
        <w:t>易费用计入当期损益。</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3"/>
        <w:keepNext w:val="0"/>
        <w:keepLines w:val="0"/>
        <w:widowControl w:val="0"/>
        <w:shd w:val="clear" w:color="auto" w:fill="auto"/>
        <w:tabs>
          <w:tab w:pos="440" w:val="left"/>
        </w:tabs>
        <w:bidi w:val="0"/>
        <w:spacing w:before="0" w:after="0" w:line="311" w:lineRule="exact"/>
        <w:ind w:left="0" w:right="0" w:firstLine="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持有期间按照摊余成本和实际利率（如实际利率与票面利率差别较小的，按票面利率）计算确认利息收入，计入投资收益。 实际利率在取得时确定，在该预期存续期间或适用的更短期间内保持不变。</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处置时，将所取得价款与该投资账面价值之间的差额计入投资收益。</w:t>
      </w:r>
    </w:p>
    <w:p>
      <w:pPr>
        <w:pStyle w:val="Style23"/>
        <w:keepNext w:val="0"/>
        <w:keepLines w:val="0"/>
        <w:widowControl w:val="0"/>
        <w:shd w:val="clear" w:color="auto" w:fill="auto"/>
        <w:tabs>
          <w:tab w:pos="440" w:val="left"/>
        </w:tabs>
        <w:bidi w:val="0"/>
        <w:spacing w:before="0" w:after="0" w:line="311" w:lineRule="exact"/>
        <w:ind w:left="0" w:right="0" w:firstLine="0"/>
        <w:jc w:val="left"/>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收回或处置时，将取得的价款与该应收款项账面价值之间的差额计入当期损益。</w:t>
      </w:r>
    </w:p>
    <w:p>
      <w:pPr>
        <w:pStyle w:val="Style23"/>
        <w:keepNext w:val="0"/>
        <w:keepLines w:val="0"/>
        <w:widowControl w:val="0"/>
        <w:shd w:val="clear" w:color="auto" w:fill="auto"/>
        <w:tabs>
          <w:tab w:pos="440" w:val="left"/>
        </w:tabs>
        <w:bidi w:val="0"/>
        <w:spacing w:before="0" w:after="0" w:line="311" w:lineRule="exact"/>
        <w:ind w:left="0" w:right="0" w:firstLine="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持有期间将取得的利息或现金股利确认为投资收益。期末以公允价值计量且将公允价值变动计入其他综合收益。但是，在活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23"/>
        <w:keepNext w:val="0"/>
        <w:keepLines w:val="0"/>
        <w:widowControl w:val="0"/>
        <w:shd w:val="clear" w:color="auto" w:fill="auto"/>
        <w:tabs>
          <w:tab w:pos="440" w:val="left"/>
        </w:tabs>
        <w:bidi w:val="0"/>
        <w:spacing w:before="0" w:after="0" w:line="311" w:lineRule="exact"/>
        <w:ind w:left="0" w:right="0" w:firstLine="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23"/>
        <w:keepNext w:val="0"/>
        <w:keepLines w:val="0"/>
        <w:widowControl w:val="0"/>
        <w:shd w:val="clear" w:color="auto" w:fill="auto"/>
        <w:bidi w:val="0"/>
        <w:spacing w:before="0" w:after="80" w:line="311"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23"/>
        <w:keepNext w:val="0"/>
        <w:keepLines w:val="0"/>
        <w:widowControl w:val="0"/>
        <w:shd w:val="clear" w:color="auto" w:fill="auto"/>
        <w:tabs>
          <w:tab w:pos="389" w:val="left"/>
        </w:tabs>
        <w:bidi w:val="0"/>
        <w:spacing w:before="0" w:after="0" w:line="240" w:lineRule="auto"/>
        <w:ind w:left="0" w:right="0" w:firstLine="0"/>
        <w:jc w:val="both"/>
      </w:pPr>
      <w:bookmarkStart w:id="687" w:name="bookmark687"/>
      <w:r>
        <w:rPr>
          <w:rFonts w:ascii="Times New Roman" w:eastAsia="Times New Roman" w:hAnsi="Times New Roman" w:cs="Times New Roman"/>
          <w:b/>
          <w:bCs/>
          <w:color w:val="000000"/>
          <w:spacing w:val="0"/>
          <w:w w:val="100"/>
          <w:position w:val="0"/>
        </w:rPr>
        <w:t>3</w:t>
      </w:r>
      <w:bookmarkEnd w:id="687"/>
      <w:r>
        <w:rPr>
          <w:b/>
          <w:bCs/>
          <w:color w:val="000000"/>
          <w:spacing w:val="0"/>
          <w:w w:val="100"/>
          <w:position w:val="0"/>
        </w:rPr>
        <w:t>、</w:t>
        <w:tab/>
        <w:t>金融资产转移的确认依据和计量方法</w:t>
      </w:r>
    </w:p>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3"/>
        <w:keepNext w:val="0"/>
        <w:keepLines w:val="0"/>
        <w:widowControl w:val="0"/>
        <w:shd w:val="clear" w:color="auto" w:fill="auto"/>
        <w:tabs>
          <w:tab w:pos="440" w:val="left"/>
        </w:tabs>
        <w:bidi w:val="0"/>
        <w:spacing w:before="0" w:after="0" w:line="320" w:lineRule="exact"/>
        <w:ind w:left="0" w:right="0" w:firstLine="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3"/>
        <w:keepNext w:val="0"/>
        <w:keepLines w:val="0"/>
        <w:widowControl w:val="0"/>
        <w:shd w:val="clear" w:color="auto" w:fill="auto"/>
        <w:tabs>
          <w:tab w:pos="536" w:val="left"/>
        </w:tabs>
        <w:bidi w:val="0"/>
        <w:spacing w:before="0" w:after="0" w:line="320" w:lineRule="exact"/>
        <w:ind w:left="0" w:right="0" w:firstLine="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因转移而收到的对价，与原直接计入所有者权益的公允价值变动累计额（涉及转移的金融资产为可供出售金融资产的 情形）之和。</w:t>
      </w:r>
    </w:p>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3"/>
        <w:keepNext w:val="0"/>
        <w:keepLines w:val="0"/>
        <w:widowControl w:val="0"/>
        <w:shd w:val="clear" w:color="auto" w:fill="auto"/>
        <w:tabs>
          <w:tab w:pos="440" w:val="left"/>
        </w:tabs>
        <w:bidi w:val="0"/>
        <w:spacing w:before="0" w:after="0" w:line="320" w:lineRule="exact"/>
        <w:ind w:left="0" w:right="0" w:firstLine="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3"/>
        <w:keepNext w:val="0"/>
        <w:keepLines w:val="0"/>
        <w:widowControl w:val="0"/>
        <w:shd w:val="clear" w:color="auto" w:fill="auto"/>
        <w:tabs>
          <w:tab w:pos="531" w:val="left"/>
        </w:tabs>
        <w:bidi w:val="0"/>
        <w:spacing w:before="0" w:after="0" w:line="320" w:lineRule="exact"/>
        <w:ind w:left="0" w:right="0" w:firstLine="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终止确认部分的对价，与原直接计入所有者权益的公允价值变动累计额中对应终止确认部分的金额（涉及转移的金融 资产为可供出售金融资产的情形）之和。</w:t>
      </w:r>
    </w:p>
    <w:p>
      <w:pPr>
        <w:pStyle w:val="Style23"/>
        <w:keepNext w:val="0"/>
        <w:keepLines w:val="0"/>
        <w:widowControl w:val="0"/>
        <w:shd w:val="clear" w:color="auto" w:fill="auto"/>
        <w:bidi w:val="0"/>
        <w:spacing w:before="0" w:after="80" w:line="320"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23"/>
        <w:keepNext w:val="0"/>
        <w:keepLines w:val="0"/>
        <w:widowControl w:val="0"/>
        <w:shd w:val="clear" w:color="auto" w:fill="auto"/>
        <w:tabs>
          <w:tab w:pos="389" w:val="left"/>
        </w:tabs>
        <w:bidi w:val="0"/>
        <w:spacing w:before="0" w:after="0" w:line="240" w:lineRule="auto"/>
        <w:ind w:left="0" w:right="0" w:firstLine="0"/>
        <w:jc w:val="both"/>
      </w:pPr>
      <w:bookmarkStart w:id="692" w:name="bookmark692"/>
      <w:r>
        <w:rPr>
          <w:rFonts w:ascii="Times New Roman" w:eastAsia="Times New Roman" w:hAnsi="Times New Roman" w:cs="Times New Roman"/>
          <w:b/>
          <w:bCs/>
          <w:color w:val="000000"/>
          <w:spacing w:val="0"/>
          <w:w w:val="100"/>
          <w:position w:val="0"/>
        </w:rPr>
        <w:t>4</w:t>
      </w:r>
      <w:bookmarkEnd w:id="692"/>
      <w:r>
        <w:rPr>
          <w:b/>
          <w:bCs/>
          <w:color w:val="000000"/>
          <w:spacing w:val="0"/>
          <w:w w:val="100"/>
          <w:position w:val="0"/>
        </w:rPr>
        <w:t>、</w:t>
        <w:tab/>
        <w:t>金融负债终止确认条件</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金融负债全部或部分终止确认时，终止确认的金融负债账面价值与支付对价（包括转出的非现金资产或承担的新金融负债） </w:t>
      </w:r>
      <w:r>
        <w:rPr>
          <w:color w:val="000000"/>
          <w:spacing w:val="0"/>
          <w:w w:val="100"/>
          <w:position w:val="0"/>
        </w:rPr>
        <w:t>之间的差额，计入当期损益。</w:t>
      </w:r>
    </w:p>
    <w:p>
      <w:pPr>
        <w:pStyle w:val="Style23"/>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23"/>
        <w:keepNext w:val="0"/>
        <w:keepLines w:val="0"/>
        <w:widowControl w:val="0"/>
        <w:shd w:val="clear" w:color="auto" w:fill="auto"/>
        <w:tabs>
          <w:tab w:pos="429" w:val="left"/>
        </w:tabs>
        <w:bidi w:val="0"/>
        <w:spacing w:before="0" w:after="0" w:line="240" w:lineRule="auto"/>
        <w:ind w:left="0" w:right="0" w:firstLine="0"/>
        <w:jc w:val="both"/>
      </w:pPr>
      <w:bookmarkStart w:id="693" w:name="bookmark693"/>
      <w:r>
        <w:rPr>
          <w:rFonts w:ascii="Times New Roman" w:eastAsia="Times New Roman" w:hAnsi="Times New Roman" w:cs="Times New Roman"/>
          <w:b/>
          <w:bCs/>
          <w:color w:val="000000"/>
          <w:spacing w:val="0"/>
          <w:w w:val="100"/>
          <w:position w:val="0"/>
        </w:rPr>
        <w:t>5</w:t>
      </w:r>
      <w:bookmarkEnd w:id="693"/>
      <w:r>
        <w:rPr>
          <w:b/>
          <w:bCs/>
          <w:color w:val="000000"/>
          <w:spacing w:val="0"/>
          <w:w w:val="100"/>
          <w:position w:val="0"/>
        </w:rPr>
        <w:t>、</w:t>
        <w:tab/>
        <w:t>金融资产和金融负债的公允价值的确定方法</w:t>
      </w:r>
    </w:p>
    <w:p>
      <w:pPr>
        <w:pStyle w:val="Style23"/>
        <w:keepNext w:val="0"/>
        <w:keepLines w:val="0"/>
        <w:widowControl w:val="0"/>
        <w:shd w:val="clear" w:color="auto" w:fill="auto"/>
        <w:bidi w:val="0"/>
        <w:spacing w:before="0" w:after="80" w:line="315"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23"/>
        <w:keepNext w:val="0"/>
        <w:keepLines w:val="0"/>
        <w:widowControl w:val="0"/>
        <w:shd w:val="clear" w:color="auto" w:fill="auto"/>
        <w:tabs>
          <w:tab w:pos="429" w:val="left"/>
        </w:tabs>
        <w:bidi w:val="0"/>
        <w:spacing w:before="0" w:after="0" w:line="240" w:lineRule="auto"/>
        <w:ind w:left="0" w:right="0" w:firstLine="0"/>
        <w:jc w:val="both"/>
      </w:pPr>
      <w:bookmarkStart w:id="694" w:name="bookmark694"/>
      <w:r>
        <w:rPr>
          <w:rFonts w:ascii="Times New Roman" w:eastAsia="Times New Roman" w:hAnsi="Times New Roman" w:cs="Times New Roman"/>
          <w:b/>
          <w:bCs/>
          <w:color w:val="000000"/>
          <w:spacing w:val="0"/>
          <w:w w:val="100"/>
          <w:position w:val="0"/>
        </w:rPr>
        <w:t>6</w:t>
      </w:r>
      <w:bookmarkEnd w:id="694"/>
      <w:r>
        <w:rPr>
          <w:b/>
          <w:bCs/>
          <w:color w:val="000000"/>
          <w:spacing w:val="0"/>
          <w:w w:val="100"/>
          <w:position w:val="0"/>
        </w:rPr>
        <w:t>、</w:t>
        <w:tab/>
        <w:t>金融资产（不含应收款项）减值的测试方法及会计处理方法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可供出售权益工具投资发生的减值损失，不通过损益转回。</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本公司对可供出售权益工具投资减值的认定标准为：</w:t>
      </w:r>
    </w:p>
    <w:p>
      <w:pPr>
        <w:pStyle w:val="Style23"/>
        <w:keepNext w:val="0"/>
        <w:keepLines w:val="0"/>
        <w:widowControl w:val="0"/>
        <w:shd w:val="clear" w:color="auto" w:fill="auto"/>
        <w:tabs>
          <w:tab w:pos="531" w:val="left"/>
        </w:tabs>
        <w:bidi w:val="0"/>
        <w:spacing w:before="0" w:after="0" w:line="314" w:lineRule="exact"/>
        <w:ind w:left="0" w:right="0" w:firstLine="0"/>
        <w:jc w:val="both"/>
      </w:pPr>
      <w:bookmarkStart w:id="696" w:name="bookmark696"/>
      <w:r>
        <w:rPr>
          <w:color w:val="000000"/>
          <w:spacing w:val="0"/>
          <w:w w:val="100"/>
          <w:position w:val="0"/>
        </w:rPr>
        <w:t>（</w:t>
      </w:r>
      <w:bookmarkEnd w:id="696"/>
      <w:r>
        <w:rPr>
          <w:color w:val="000000"/>
          <w:spacing w:val="0"/>
          <w:w w:val="100"/>
          <w:position w:val="0"/>
        </w:rPr>
        <w:t>一）</w:t>
        <w:tab/>
        <w:t>发行方发生严重财务困难；</w:t>
      </w:r>
    </w:p>
    <w:p>
      <w:pPr>
        <w:pStyle w:val="Style23"/>
        <w:keepNext w:val="0"/>
        <w:keepLines w:val="0"/>
        <w:widowControl w:val="0"/>
        <w:shd w:val="clear" w:color="auto" w:fill="auto"/>
        <w:tabs>
          <w:tab w:pos="531" w:val="left"/>
        </w:tabs>
        <w:bidi w:val="0"/>
        <w:spacing w:before="0" w:after="0" w:line="314" w:lineRule="exact"/>
        <w:ind w:left="0" w:right="0" w:firstLine="0"/>
        <w:jc w:val="both"/>
      </w:pPr>
      <w:bookmarkStart w:id="697" w:name="bookmark697"/>
      <w:r>
        <w:rPr>
          <w:color w:val="000000"/>
          <w:spacing w:val="0"/>
          <w:w w:val="100"/>
          <w:position w:val="0"/>
        </w:rPr>
        <w:t>（</w:t>
      </w:r>
      <w:bookmarkEnd w:id="697"/>
      <w:r>
        <w:rPr>
          <w:color w:val="000000"/>
          <w:spacing w:val="0"/>
          <w:w w:val="100"/>
          <w:position w:val="0"/>
        </w:rPr>
        <w:t>二）</w:t>
        <w:tab/>
        <w:t>因发行方发生重大财务困难，该金融资产无法在活跃市场继续交易；</w:t>
      </w:r>
    </w:p>
    <w:p>
      <w:pPr>
        <w:pStyle w:val="Style23"/>
        <w:keepNext w:val="0"/>
        <w:keepLines w:val="0"/>
        <w:widowControl w:val="0"/>
        <w:shd w:val="clear" w:color="auto" w:fill="auto"/>
        <w:tabs>
          <w:tab w:pos="627" w:val="left"/>
        </w:tabs>
        <w:bidi w:val="0"/>
        <w:spacing w:before="0" w:after="0" w:line="314" w:lineRule="exact"/>
        <w:ind w:left="0" w:right="0" w:firstLine="0"/>
        <w:jc w:val="both"/>
      </w:pPr>
      <w:bookmarkStart w:id="698" w:name="bookmark698"/>
      <w:r>
        <w:rPr>
          <w:color w:val="000000"/>
          <w:spacing w:val="0"/>
          <w:w w:val="100"/>
          <w:position w:val="0"/>
        </w:rPr>
        <w:t>（</w:t>
      </w:r>
      <w:bookmarkEnd w:id="698"/>
      <w:r>
        <w:rPr>
          <w:color w:val="000000"/>
          <w:spacing w:val="0"/>
          <w:w w:val="100"/>
          <w:position w:val="0"/>
        </w:rPr>
        <w:t>三）</w:t>
        <w:tab/>
        <w:t>权益工具发行方经营所处的技术、市场、经济或法律环境等发生重大不利变化，使权益工具投资人可能无法收回投资 成本；</w:t>
      </w:r>
    </w:p>
    <w:p>
      <w:pPr>
        <w:pStyle w:val="Style23"/>
        <w:keepNext w:val="0"/>
        <w:keepLines w:val="0"/>
        <w:widowControl w:val="0"/>
        <w:shd w:val="clear" w:color="auto" w:fill="auto"/>
        <w:tabs>
          <w:tab w:pos="531" w:val="left"/>
        </w:tabs>
        <w:bidi w:val="0"/>
        <w:spacing w:before="0" w:after="0" w:line="314" w:lineRule="exact"/>
        <w:ind w:left="0" w:right="0" w:firstLine="0"/>
        <w:jc w:val="both"/>
      </w:pPr>
      <w:bookmarkStart w:id="699" w:name="bookmark699"/>
      <w:r>
        <w:rPr>
          <w:color w:val="000000"/>
          <w:spacing w:val="0"/>
          <w:w w:val="100"/>
          <w:position w:val="0"/>
        </w:rPr>
        <w:t>（</w:t>
      </w:r>
      <w:bookmarkEnd w:id="699"/>
      <w:r>
        <w:rPr>
          <w:color w:val="000000"/>
          <w:spacing w:val="0"/>
          <w:w w:val="100"/>
          <w:position w:val="0"/>
        </w:rPr>
        <w:t>四）</w:t>
        <w:tab/>
        <w:t>权益工具投资的公允价值发生严重或非暂时性下跌；</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的标准为：</w:t>
      </w:r>
      <w:r>
        <w:rPr>
          <w:rFonts w:ascii="Times New Roman" w:eastAsia="Times New Roman" w:hAnsi="Times New Roman" w:cs="Times New Roman"/>
          <w:color w:val="000000"/>
          <w:spacing w:val="0"/>
          <w:w w:val="100"/>
          <w:position w:val="0"/>
        </w:rPr>
        <w:t>50%</w:t>
      </w:r>
      <w:r>
        <w:rPr>
          <w:color w:val="000000"/>
          <w:spacing w:val="0"/>
          <w:w w:val="100"/>
          <w:position w:val="0"/>
        </w:rPr>
        <w:t>；公允价值下跌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的标准为：</w:t>
      </w:r>
      <w:r>
        <w:rPr>
          <w:rFonts w:ascii="Times New Roman" w:eastAsia="Times New Roman" w:hAnsi="Times New Roman" w:cs="Times New Roman"/>
          <w:color w:val="000000"/>
          <w:spacing w:val="0"/>
          <w:w w:val="100"/>
          <w:position w:val="0"/>
        </w:rPr>
        <w:t>1</w:t>
      </w:r>
      <w:r>
        <w:rPr>
          <w:color w:val="000000"/>
          <w:spacing w:val="0"/>
          <w:w w:val="100"/>
          <w:position w:val="0"/>
        </w:rPr>
        <w:t>年；投资成 本的计算方法为：交易价时支付对价的公允价值和交易费用；持续下跌期间的确定依据为：</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3"/>
        <w:keepNext w:val="0"/>
        <w:keepLines w:val="0"/>
        <w:widowControl w:val="0"/>
        <w:shd w:val="clear" w:color="auto" w:fill="auto"/>
        <w:tabs>
          <w:tab w:pos="445" w:val="left"/>
        </w:tabs>
        <w:bidi w:val="0"/>
        <w:spacing w:before="0" w:after="0" w:line="314" w:lineRule="exact"/>
        <w:ind w:left="0" w:right="0" w:firstLine="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23"/>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持有至到期投资减值损失的计量比照应收款项减值损失计量方法处理。</w:t>
      </w:r>
    </w:p>
    <w:p>
      <w:pPr>
        <w:pStyle w:val="Style26"/>
        <w:keepNext/>
        <w:keepLines/>
        <w:widowControl w:val="0"/>
        <w:shd w:val="clear" w:color="auto" w:fill="auto"/>
        <w:bidi w:val="0"/>
        <w:spacing w:before="0" w:after="34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01"/>
      <w:bookmarkEnd w:id="702"/>
      <w:bookmarkEnd w:id="704"/>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应收款项余额前三名且金额在</w:t>
            </w:r>
            <w:r>
              <w:rPr>
                <w:rFonts w:ascii="Times New Roman" w:eastAsia="Times New Roman" w:hAnsi="Times New Roman" w:cs="Times New Roman"/>
                <w:color w:val="000000"/>
                <w:spacing w:val="0"/>
                <w:w w:val="100"/>
                <w:position w:val="0"/>
              </w:rPr>
              <w:t>300</w:t>
            </w:r>
            <w:r>
              <w:rPr>
                <w:color w:val="000000"/>
                <w:spacing w:val="0"/>
                <w:w w:val="100"/>
                <w:position w:val="0"/>
              </w:rPr>
              <w:t>万元以上。</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39" w:line="1" w:lineRule="exact"/>
      </w:pPr>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）按信用风险特征组合计提坏账准备的应收款项</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spacing w:lineRule="exact" w:line="1"/>
        <w:rPr>
          <w:sz w:val="2"/>
          <w:szCs w:val="2"/>
        </w:rPr>
      </w:pPr>
      <w:r>
        <w:br w:type="page"/>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w:t>
            </w:r>
            <w:r>
              <w:rPr>
                <w:rFonts w:ascii="Times New Roman" w:eastAsia="Times New Roman" w:hAnsi="Times New Roman" w:cs="Times New Roman"/>
                <w:color w:val="000000"/>
                <w:spacing w:val="0"/>
                <w:w w:val="100"/>
                <w:position w:val="0"/>
              </w:rPr>
              <w:t>“</w:t>
            </w:r>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组坏账准备计提比例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1-3</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4-6</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7-12</w:t>
            </w:r>
            <w:r>
              <w:rPr>
                <w:color w:val="000000"/>
                <w:spacing w:val="0"/>
                <w:w w:val="100"/>
                <w:position w:val="0"/>
              </w:rPr>
              <w:t>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rPr>
              <w:t>12</w:t>
            </w:r>
            <w:r>
              <w:rPr>
                <w:color w:val="000000"/>
                <w:spacing w:val="0"/>
                <w:w w:val="100"/>
                <w:position w:val="0"/>
              </w:rPr>
              <w:t>月以上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以上为</w:t>
            </w:r>
            <w:r>
              <w:rPr>
                <w:rFonts w:ascii="Times New Roman" w:eastAsia="Times New Roman" w:hAnsi="Times New Roman" w:cs="Times New Roman"/>
                <w:color w:val="000000"/>
                <w:spacing w:val="0"/>
                <w:w w:val="100"/>
                <w:position w:val="0"/>
              </w:rPr>
              <w:t>“</w:t>
            </w:r>
            <w:r>
              <w:rPr>
                <w:color w:val="000000"/>
                <w:spacing w:val="0"/>
                <w:w w:val="100"/>
                <w:position w:val="0"/>
              </w:rPr>
              <w:t>应收保理款</w:t>
            </w:r>
            <w:r>
              <w:rPr>
                <w:rFonts w:ascii="Times New Roman" w:eastAsia="Times New Roman" w:hAnsi="Times New Roman" w:cs="Times New Roman"/>
                <w:color w:val="000000"/>
                <w:spacing w:val="0"/>
                <w:w w:val="100"/>
                <w:position w:val="0"/>
              </w:rPr>
              <w:t>”</w:t>
            </w:r>
            <w:r>
              <w:rPr>
                <w:color w:val="000000"/>
                <w:spacing w:val="0"/>
                <w:w w:val="100"/>
                <w:position w:val="0"/>
              </w:rPr>
              <w:t>组坏账准备计提比 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)单项金额不重大但单独计提坏账准备的应收款项</w:t>
      </w:r>
    </w:p>
    <w:tbl>
      <w:tblPr>
        <w:tblOverlap w:val="never"/>
        <w:jc w:val="center"/>
        <w:tblLayout w:type="fixed"/>
      </w:tblPr>
      <w:tblGrid>
        <w:gridCol w:w="4786"/>
        <w:gridCol w:w="47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经测试，有客观证据表明单项金额虽不重大，但因其发生了 特殊减值，不适合按照按组合计提坏账准备应收款项。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单独进行减值测试，结合现时情况分析确定坏账准备计提的 比例。</w:t>
            </w:r>
          </w:p>
        </w:tc>
      </w:tr>
    </w:tbl>
    <w:p>
      <w:pPr>
        <w:widowControl w:val="0"/>
        <w:spacing w:after="359" w:line="1" w:lineRule="exact"/>
      </w:pPr>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)其他说明</w:t>
      </w:r>
    </w:p>
    <w:p>
      <w:pPr>
        <w:pStyle w:val="Style2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期末对于上海汉得信息技术股份有限公司合并报表范围内公司的应收款项单独进行减值测试。如有客观证据表明其发生了减 值的，根据其未来现金流量现值低于其账面价值的差额，确认减值损失，计提坏账准备。如经测试未发现减值的，则不计提 坏账准备。短期应收款项的预计未来现金流量与其现值相差很小的，在确定相关减值损失时，可不对其预计未来现金流量进 行折现。</w:t>
      </w:r>
    </w:p>
    <w:p>
      <w:pPr>
        <w:pStyle w:val="Style26"/>
        <w:keepNext/>
        <w:keepLines/>
        <w:widowControl w:val="0"/>
        <w:shd w:val="clear" w:color="auto" w:fill="auto"/>
        <w:bidi w:val="0"/>
        <w:spacing w:before="0" w:after="2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05"/>
      <w:bookmarkEnd w:id="706"/>
      <w:bookmarkEnd w:id="708"/>
    </w:p>
    <w:p>
      <w:pPr>
        <w:pStyle w:val="Style23"/>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存货的分类</w:t>
      </w:r>
    </w:p>
    <w:p>
      <w:pPr>
        <w:pStyle w:val="Style23"/>
        <w:keepNext w:val="0"/>
        <w:keepLines w:val="0"/>
        <w:widowControl w:val="0"/>
        <w:shd w:val="clear" w:color="auto" w:fill="auto"/>
        <w:bidi w:val="0"/>
        <w:spacing w:before="0" w:after="80" w:line="313" w:lineRule="exact"/>
        <w:ind w:left="0" w:right="0" w:firstLine="0"/>
        <w:jc w:val="left"/>
      </w:pPr>
      <w:r>
        <w:rPr>
          <w:color w:val="000000"/>
          <w:spacing w:val="0"/>
          <w:w w:val="100"/>
          <w:position w:val="0"/>
        </w:rPr>
        <w:t>存货分类为：库存商品。</w:t>
      </w:r>
    </w:p>
    <w:p>
      <w:pPr>
        <w:pStyle w:val="Style23"/>
        <w:keepNext w:val="0"/>
        <w:keepLines w:val="0"/>
        <w:widowControl w:val="0"/>
        <w:numPr>
          <w:ilvl w:val="0"/>
          <w:numId w:val="23"/>
        </w:numPr>
        <w:shd w:val="clear" w:color="auto" w:fill="auto"/>
        <w:tabs>
          <w:tab w:pos="320" w:val="left"/>
        </w:tabs>
        <w:bidi w:val="0"/>
        <w:spacing w:before="0" w:after="0" w:line="240" w:lineRule="auto"/>
        <w:ind w:left="0" w:right="0" w:firstLine="0"/>
        <w:jc w:val="both"/>
      </w:pPr>
      <w:bookmarkStart w:id="709" w:name="bookmark709"/>
      <w:bookmarkEnd w:id="709"/>
      <w:r>
        <w:rPr>
          <w:b/>
          <w:bCs/>
          <w:color w:val="000000"/>
          <w:spacing w:val="0"/>
          <w:w w:val="100"/>
          <w:position w:val="0"/>
        </w:rPr>
        <w:t>发出存货的计价方法</w:t>
      </w:r>
    </w:p>
    <w:p>
      <w:pPr>
        <w:pStyle w:val="Style23"/>
        <w:keepNext w:val="0"/>
        <w:keepLines w:val="0"/>
        <w:widowControl w:val="0"/>
        <w:shd w:val="clear" w:color="auto" w:fill="auto"/>
        <w:bidi w:val="0"/>
        <w:spacing w:before="0" w:after="80" w:line="313" w:lineRule="exact"/>
        <w:ind w:left="0" w:right="0" w:firstLine="0"/>
        <w:jc w:val="both"/>
      </w:pPr>
      <w:r>
        <w:rPr>
          <w:color w:val="000000"/>
          <w:spacing w:val="0"/>
          <w:w w:val="100"/>
          <w:position w:val="0"/>
        </w:rPr>
        <w:t>存货发出时按个别认定法计价。</w:t>
      </w:r>
    </w:p>
    <w:p>
      <w:pPr>
        <w:pStyle w:val="Style23"/>
        <w:keepNext w:val="0"/>
        <w:keepLines w:val="0"/>
        <w:widowControl w:val="0"/>
        <w:numPr>
          <w:ilvl w:val="0"/>
          <w:numId w:val="23"/>
        </w:numPr>
        <w:shd w:val="clear" w:color="auto" w:fill="auto"/>
        <w:tabs>
          <w:tab w:pos="320" w:val="left"/>
        </w:tabs>
        <w:bidi w:val="0"/>
        <w:spacing w:before="0" w:after="0" w:line="240" w:lineRule="auto"/>
        <w:ind w:left="0" w:right="0" w:firstLine="0"/>
        <w:jc w:val="both"/>
      </w:pPr>
      <w:bookmarkStart w:id="710" w:name="bookmark710"/>
      <w:bookmarkEnd w:id="710"/>
      <w:r>
        <w:rPr>
          <w:b/>
          <w:bCs/>
          <w:color w:val="000000"/>
          <w:spacing w:val="0"/>
          <w:w w:val="100"/>
          <w:position w:val="0"/>
        </w:rPr>
        <w:t>不同类别存货可变现净值的确定依据</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23"/>
        <w:keepNext w:val="0"/>
        <w:keepLines w:val="0"/>
        <w:widowControl w:val="0"/>
        <w:shd w:val="clear" w:color="auto" w:fill="auto"/>
        <w:bidi w:val="0"/>
        <w:spacing w:before="0" w:after="80" w:line="313"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 本期期末存货项目的可变现净值以资产负债表日市场价格为基础确定。</w:t>
      </w:r>
    </w:p>
    <w:p>
      <w:pPr>
        <w:pStyle w:val="Style23"/>
        <w:keepNext w:val="0"/>
        <w:keepLines w:val="0"/>
        <w:widowControl w:val="0"/>
        <w:numPr>
          <w:ilvl w:val="0"/>
          <w:numId w:val="23"/>
        </w:numPr>
        <w:shd w:val="clear" w:color="auto" w:fill="auto"/>
        <w:tabs>
          <w:tab w:pos="320" w:val="left"/>
        </w:tabs>
        <w:bidi w:val="0"/>
        <w:spacing w:before="0" w:after="0" w:line="240" w:lineRule="auto"/>
        <w:ind w:left="0" w:right="0" w:firstLine="0"/>
        <w:jc w:val="both"/>
      </w:pPr>
      <w:bookmarkStart w:id="711" w:name="bookmark711"/>
      <w:bookmarkEnd w:id="711"/>
      <w:r>
        <w:rPr>
          <w:b/>
          <w:bCs/>
          <w:color w:val="000000"/>
          <w:spacing w:val="0"/>
          <w:w w:val="100"/>
          <w:position w:val="0"/>
        </w:rPr>
        <w:t>存货的盘存制度</w:t>
      </w:r>
    </w:p>
    <w:p>
      <w:pPr>
        <w:pStyle w:val="Style23"/>
        <w:keepNext w:val="0"/>
        <w:keepLines w:val="0"/>
        <w:widowControl w:val="0"/>
        <w:shd w:val="clear" w:color="auto" w:fill="auto"/>
        <w:bidi w:val="0"/>
        <w:spacing w:before="0" w:after="80" w:line="313" w:lineRule="exact"/>
        <w:ind w:left="0" w:right="0" w:firstLine="0"/>
        <w:jc w:val="both"/>
      </w:pPr>
      <w:r>
        <w:rPr>
          <w:color w:val="000000"/>
          <w:spacing w:val="0"/>
          <w:w w:val="100"/>
          <w:position w:val="0"/>
        </w:rPr>
        <w:t>采用永续盘存制。</w:t>
      </w:r>
    </w:p>
    <w:p>
      <w:pPr>
        <w:pStyle w:val="Style23"/>
        <w:keepNext w:val="0"/>
        <w:keepLines w:val="0"/>
        <w:widowControl w:val="0"/>
        <w:numPr>
          <w:ilvl w:val="0"/>
          <w:numId w:val="23"/>
        </w:numPr>
        <w:shd w:val="clear" w:color="auto" w:fill="auto"/>
        <w:tabs>
          <w:tab w:pos="320" w:val="left"/>
        </w:tabs>
        <w:bidi w:val="0"/>
        <w:spacing w:before="0" w:after="0" w:line="240" w:lineRule="auto"/>
        <w:ind w:left="0" w:right="0" w:firstLine="0"/>
        <w:jc w:val="both"/>
      </w:pPr>
      <w:bookmarkStart w:id="712" w:name="bookmark712"/>
      <w:bookmarkEnd w:id="712"/>
      <w:r>
        <w:rPr>
          <w:b/>
          <w:bCs/>
          <w:color w:val="000000"/>
          <w:spacing w:val="0"/>
          <w:w w:val="100"/>
          <w:position w:val="0"/>
        </w:rPr>
        <w:t>低值易耗品和包装物的摊销方法</w:t>
      </w:r>
    </w:p>
    <w:p>
      <w:pPr>
        <w:pStyle w:val="Style23"/>
        <w:keepNext w:val="0"/>
        <w:keepLines w:val="0"/>
        <w:widowControl w:val="0"/>
        <w:shd w:val="clear" w:color="auto" w:fill="auto"/>
        <w:tabs>
          <w:tab w:pos="440" w:val="left"/>
        </w:tabs>
        <w:bidi w:val="0"/>
        <w:spacing w:before="0" w:after="0" w:line="313" w:lineRule="exact"/>
        <w:ind w:left="0" w:right="0" w:firstLine="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23"/>
        <w:keepNext w:val="0"/>
        <w:keepLines w:val="0"/>
        <w:widowControl w:val="0"/>
        <w:shd w:val="clear" w:color="auto" w:fill="auto"/>
        <w:tabs>
          <w:tab w:pos="440" w:val="left"/>
        </w:tabs>
        <w:bidi w:val="0"/>
        <w:spacing w:before="0" w:after="360" w:line="313" w:lineRule="exact"/>
        <w:ind w:left="0" w:right="0" w:firstLine="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6"/>
        <w:keepNext/>
        <w:keepLines/>
        <w:widowControl w:val="0"/>
        <w:shd w:val="clear" w:color="auto" w:fill="auto"/>
        <w:tabs>
          <w:tab w:pos="478" w:val="left"/>
        </w:tabs>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15"/>
      <w:bookmarkEnd w:id="716"/>
      <w:bookmarkEnd w:id="718"/>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本公司将同时满足下列条件的组成部分（或非流动资产）确认为持有待售：</w:t>
      </w:r>
    </w:p>
    <w:p>
      <w:pPr>
        <w:pStyle w:val="Style23"/>
        <w:keepNext w:val="0"/>
        <w:keepLines w:val="0"/>
        <w:widowControl w:val="0"/>
        <w:shd w:val="clear" w:color="auto" w:fill="auto"/>
        <w:tabs>
          <w:tab w:pos="445" w:val="left"/>
        </w:tabs>
        <w:bidi w:val="0"/>
        <w:spacing w:before="0" w:after="0" w:line="313" w:lineRule="exact"/>
        <w:ind w:left="0" w:right="0" w:firstLine="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23"/>
        <w:keepNext w:val="0"/>
        <w:keepLines w:val="0"/>
        <w:widowControl w:val="0"/>
        <w:shd w:val="clear" w:color="auto" w:fill="auto"/>
        <w:tabs>
          <w:tab w:pos="546" w:val="left"/>
        </w:tabs>
        <w:bidi w:val="0"/>
        <w:spacing w:before="0" w:after="0" w:line="322" w:lineRule="exact"/>
        <w:ind w:left="0" w:right="0" w:firstLine="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公司已经就处置该组成部分（或非流动资产）作出决议，如按规定需得到股东批准的，已经取得股东大会或相应权力 机构的批准；</w:t>
      </w:r>
    </w:p>
    <w:p>
      <w:pPr>
        <w:pStyle w:val="Style23"/>
        <w:keepNext w:val="0"/>
        <w:keepLines w:val="0"/>
        <w:widowControl w:val="0"/>
        <w:shd w:val="clear" w:color="auto" w:fill="auto"/>
        <w:tabs>
          <w:tab w:pos="445" w:val="left"/>
        </w:tabs>
        <w:bidi w:val="0"/>
        <w:spacing w:before="0" w:after="0" w:line="322" w:lineRule="exact"/>
        <w:ind w:left="0" w:right="0" w:firstLine="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23"/>
        <w:keepNext w:val="0"/>
        <w:keepLines w:val="0"/>
        <w:widowControl w:val="0"/>
        <w:shd w:val="clear" w:color="auto" w:fill="auto"/>
        <w:tabs>
          <w:tab w:pos="445" w:val="left"/>
        </w:tabs>
        <w:bidi w:val="0"/>
        <w:spacing w:before="0" w:after="360" w:line="322" w:lineRule="exact"/>
        <w:ind w:left="0" w:right="0" w:firstLine="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26"/>
        <w:keepNext/>
        <w:keepLines/>
        <w:widowControl w:val="0"/>
        <w:shd w:val="clear" w:color="auto" w:fill="auto"/>
        <w:tabs>
          <w:tab w:pos="478" w:val="left"/>
        </w:tabs>
        <w:bidi w:val="0"/>
        <w:spacing w:before="0" w:line="240" w:lineRule="auto"/>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23"/>
      <w:bookmarkEnd w:id="724"/>
      <w:bookmarkEnd w:id="726"/>
    </w:p>
    <w:p>
      <w:pPr>
        <w:pStyle w:val="Style23"/>
        <w:keepNext w:val="0"/>
        <w:keepLines w:val="0"/>
        <w:widowControl w:val="0"/>
        <w:numPr>
          <w:ilvl w:val="0"/>
          <w:numId w:val="25"/>
        </w:numPr>
        <w:shd w:val="clear" w:color="auto" w:fill="auto"/>
        <w:tabs>
          <w:tab w:pos="306" w:val="left"/>
        </w:tabs>
        <w:bidi w:val="0"/>
        <w:spacing w:before="0" w:after="0" w:line="240" w:lineRule="auto"/>
        <w:ind w:left="0" w:right="0" w:firstLine="0"/>
        <w:jc w:val="both"/>
      </w:pPr>
      <w:bookmarkStart w:id="727" w:name="bookmark727"/>
      <w:bookmarkEnd w:id="727"/>
      <w:r>
        <w:rPr>
          <w:b/>
          <w:bCs/>
          <w:color w:val="000000"/>
          <w:spacing w:val="0"/>
          <w:w w:val="100"/>
          <w:position w:val="0"/>
        </w:rPr>
        <w:t>共同控制、重大影响的判断标准</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23"/>
        <w:keepNext w:val="0"/>
        <w:keepLines w:val="0"/>
        <w:widowControl w:val="0"/>
        <w:shd w:val="clear" w:color="auto" w:fill="auto"/>
        <w:bidi w:val="0"/>
        <w:spacing w:before="0" w:after="80" w:line="307"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w:t>
      </w:r>
    </w:p>
    <w:p>
      <w:pPr>
        <w:pStyle w:val="Style23"/>
        <w:keepNext w:val="0"/>
        <w:keepLines w:val="0"/>
        <w:widowControl w:val="0"/>
        <w:numPr>
          <w:ilvl w:val="0"/>
          <w:numId w:val="25"/>
        </w:numPr>
        <w:shd w:val="clear" w:color="auto" w:fill="auto"/>
        <w:tabs>
          <w:tab w:pos="320" w:val="left"/>
        </w:tabs>
        <w:bidi w:val="0"/>
        <w:spacing w:before="0" w:after="0" w:line="240" w:lineRule="auto"/>
        <w:ind w:left="0" w:right="0" w:firstLine="0"/>
        <w:jc w:val="both"/>
      </w:pPr>
      <w:bookmarkStart w:id="728" w:name="bookmark728"/>
      <w:bookmarkEnd w:id="728"/>
      <w:r>
        <w:rPr>
          <w:b/>
          <w:bCs/>
          <w:color w:val="000000"/>
          <w:spacing w:val="0"/>
          <w:w w:val="100"/>
          <w:position w:val="0"/>
        </w:rPr>
        <w:t>初始投资成本的确定</w:t>
      </w:r>
    </w:p>
    <w:p>
      <w:pPr>
        <w:pStyle w:val="Style23"/>
        <w:keepNext w:val="0"/>
        <w:keepLines w:val="0"/>
        <w:widowControl w:val="0"/>
        <w:shd w:val="clear" w:color="auto" w:fill="auto"/>
        <w:bidi w:val="0"/>
        <w:spacing w:before="0" w:after="0" w:line="312" w:lineRule="exact"/>
        <w:ind w:left="0" w:right="0" w:firstLine="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23"/>
        <w:keepNext w:val="0"/>
        <w:keepLines w:val="0"/>
        <w:widowControl w:val="0"/>
        <w:shd w:val="clear" w:color="auto" w:fill="auto"/>
        <w:bidi w:val="0"/>
        <w:spacing w:before="0" w:after="80" w:line="312"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23"/>
        <w:keepNext w:val="0"/>
        <w:keepLines w:val="0"/>
        <w:widowControl w:val="0"/>
        <w:shd w:val="clear" w:color="auto" w:fill="auto"/>
        <w:bidi w:val="0"/>
        <w:spacing w:before="0" w:after="0" w:line="309" w:lineRule="exact"/>
        <w:ind w:left="0" w:right="0" w:firstLine="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2</w:t>
      </w:r>
      <w:r>
        <w:rPr>
          <w:color w:val="000000"/>
          <w:spacing w:val="0"/>
          <w:w w:val="100"/>
          <w:position w:val="0"/>
        </w:rPr>
        <w:t>）其他方式取得的长期股权投资</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23"/>
        <w:keepNext w:val="0"/>
        <w:keepLines w:val="0"/>
        <w:widowControl w:val="0"/>
        <w:shd w:val="clear" w:color="auto" w:fill="auto"/>
        <w:bidi w:val="0"/>
        <w:spacing w:before="0" w:after="80" w:line="309" w:lineRule="exact"/>
        <w:ind w:left="0" w:right="0" w:firstLine="0"/>
        <w:jc w:val="both"/>
      </w:pPr>
      <w:r>
        <w:rPr>
          <w:color w:val="000000"/>
          <w:spacing w:val="0"/>
          <w:w w:val="100"/>
          <w:position w:val="0"/>
        </w:rPr>
        <w:t>通过债务重组取得的长期股权投资，其初始投资成本按照公允价值为基础确定。</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后续计量及损益确认方法</w:t>
      </w:r>
    </w:p>
    <w:p>
      <w:pPr>
        <w:pStyle w:val="Style23"/>
        <w:keepNext w:val="0"/>
        <w:keepLines w:val="0"/>
        <w:widowControl w:val="0"/>
        <w:shd w:val="clear" w:color="auto" w:fill="auto"/>
        <w:tabs>
          <w:tab w:pos="389" w:val="left"/>
        </w:tabs>
        <w:bidi w:val="0"/>
        <w:spacing w:before="0" w:after="0" w:line="313" w:lineRule="exact"/>
        <w:ind w:left="0" w:right="0" w:firstLine="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23"/>
        <w:keepNext w:val="0"/>
        <w:keepLines w:val="0"/>
        <w:widowControl w:val="0"/>
        <w:shd w:val="clear" w:color="auto" w:fill="auto"/>
        <w:tabs>
          <w:tab w:pos="389" w:val="left"/>
        </w:tabs>
        <w:bidi w:val="0"/>
        <w:spacing w:before="0" w:after="0" w:line="313" w:lineRule="exact"/>
        <w:ind w:left="0" w:right="0" w:firstLine="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23"/>
        <w:keepNext w:val="0"/>
        <w:keepLines w:val="0"/>
        <w:widowControl w:val="0"/>
        <w:shd w:val="clear" w:color="auto" w:fill="auto"/>
        <w:tabs>
          <w:tab w:pos="389" w:val="left"/>
        </w:tabs>
        <w:bidi w:val="0"/>
        <w:spacing w:before="0" w:after="0" w:line="313" w:lineRule="exact"/>
        <w:ind w:left="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处置长期股权投资，其账面价值与实际取得价款的差额，计入当期损益。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因处置部分股权投资、因其他投资方对子公司增资而导致本公司持股比例下降等原因丧失了对被投资单位控制权的，在编制 个别财务报表时，剩余股权能够对被投资单位实施共同控制或重大影响的，改按权益法核算，并对该剩余股权视同自取得时 即采用权益法核算进行调整；剩余股权不能对被投资单位实施共同控制或施加重大影响的，改按金融工具确认和计量准则的 </w:t>
      </w:r>
      <w:r>
        <w:rPr>
          <w:color w:val="000000"/>
          <w:spacing w:val="0"/>
          <w:w w:val="100"/>
          <w:position w:val="0"/>
        </w:rPr>
        <w:t>有关规定进行会计处理，其在丧失控制之日的公允价值与账面价值间的差额计入当期损益。</w:t>
      </w:r>
    </w:p>
    <w:p>
      <w:pPr>
        <w:pStyle w:val="Style2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26"/>
        <w:keepNext/>
        <w:keepLines/>
        <w:widowControl w:val="0"/>
        <w:shd w:val="clear" w:color="auto" w:fill="auto"/>
        <w:tabs>
          <w:tab w:pos="478" w:val="left"/>
        </w:tabs>
        <w:bidi w:val="0"/>
        <w:spacing w:before="0" w:after="28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34"/>
      <w:bookmarkEnd w:id="735"/>
      <w:bookmarkEnd w:id="737"/>
    </w:p>
    <w:p>
      <w:pPr>
        <w:pStyle w:val="Style2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投资性房地产计量模式</w:t>
      </w:r>
    </w:p>
    <w:p>
      <w:pPr>
        <w:pStyle w:val="Style2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不适用</w:t>
      </w:r>
    </w:p>
    <w:p>
      <w:pPr>
        <w:pStyle w:val="Style26"/>
        <w:keepNext/>
        <w:keepLines/>
        <w:widowControl w:val="0"/>
        <w:shd w:val="clear" w:color="auto" w:fill="auto"/>
        <w:tabs>
          <w:tab w:pos="478" w:val="left"/>
        </w:tabs>
        <w:bidi w:val="0"/>
        <w:spacing w:before="0" w:after="340" w:line="240" w:lineRule="auto"/>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38"/>
      <w:bookmarkEnd w:id="739"/>
      <w:bookmarkEnd w:id="741"/>
    </w:p>
    <w:p>
      <w:pPr>
        <w:pStyle w:val="Style26"/>
        <w:keepNext/>
        <w:keepLines/>
        <w:widowControl w:val="0"/>
        <w:shd w:val="clear" w:color="auto" w:fill="auto"/>
        <w:bidi w:val="0"/>
        <w:spacing w:before="0" w:after="280" w:line="240" w:lineRule="auto"/>
        <w:ind w:left="0" w:right="0" w:firstLine="0"/>
        <w:jc w:val="both"/>
      </w:pPr>
      <w:bookmarkStart w:id="738" w:name="bookmark738"/>
      <w:bookmarkStart w:id="739" w:name="bookmark739"/>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38"/>
      <w:bookmarkEnd w:id="739"/>
      <w:bookmarkEnd w:id="743"/>
    </w:p>
    <w:p>
      <w:pPr>
        <w:pStyle w:val="Style23"/>
        <w:keepNext w:val="0"/>
        <w:keepLines w:val="0"/>
        <w:widowControl w:val="0"/>
        <w:shd w:val="clear" w:color="auto" w:fill="auto"/>
        <w:bidi w:val="0"/>
        <w:spacing w:before="0" w:after="34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26"/>
        <w:keepNext/>
        <w:keepLines/>
        <w:widowControl w:val="0"/>
        <w:shd w:val="clear" w:color="auto" w:fill="auto"/>
        <w:bidi w:val="0"/>
        <w:spacing w:before="0" w:after="340" w:line="240" w:lineRule="auto"/>
        <w:ind w:left="0" w:right="0" w:firstLine="14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44"/>
      <w:bookmarkEnd w:id="745"/>
      <w:bookmarkEnd w:id="747"/>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18.00-33.33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20.00</w:t>
            </w:r>
          </w:p>
        </w:tc>
      </w:tr>
    </w:tbl>
    <w:p>
      <w:pPr>
        <w:widowControl w:val="0"/>
        <w:spacing w:after="279" w:line="1" w:lineRule="exact"/>
      </w:pPr>
    </w:p>
    <w:p>
      <w:pPr>
        <w:pStyle w:val="Style26"/>
        <w:keepNext/>
        <w:keepLines/>
        <w:widowControl w:val="0"/>
        <w:shd w:val="clear" w:color="auto" w:fill="auto"/>
        <w:bidi w:val="0"/>
        <w:spacing w:before="0" w:after="340" w:line="240" w:lineRule="auto"/>
        <w:ind w:left="0" w:right="0" w:firstLine="0"/>
        <w:jc w:val="both"/>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48"/>
      <w:bookmarkEnd w:id="749"/>
      <w:bookmarkEnd w:id="751"/>
    </w:p>
    <w:p>
      <w:pPr>
        <w:pStyle w:val="Style26"/>
        <w:keepNext/>
        <w:keepLines/>
        <w:widowControl w:val="0"/>
        <w:shd w:val="clear" w:color="auto" w:fill="auto"/>
        <w:bidi w:val="0"/>
        <w:spacing w:before="0" w:after="280" w:line="240" w:lineRule="auto"/>
        <w:ind w:left="0" w:right="0" w:firstLine="0"/>
        <w:jc w:val="both"/>
      </w:pPr>
      <w:bookmarkStart w:id="748" w:name="bookmark748"/>
      <w:bookmarkStart w:id="749" w:name="bookmark749"/>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48"/>
      <w:bookmarkEnd w:id="749"/>
      <w:bookmarkEnd w:id="753"/>
    </w:p>
    <w:p>
      <w:pPr>
        <w:pStyle w:val="Style23"/>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40" w:line="310" w:lineRule="exact"/>
        <w:ind w:left="0" w:right="0" w:firstLine="0"/>
        <w:jc w:val="both"/>
      </w:pPr>
      <w:r>
        <w:rPr>
          <w:color w:val="000000"/>
          <w:spacing w:val="0"/>
          <w:w w:val="100"/>
          <w:position w:val="0"/>
        </w:rPr>
        <w:t>否</w:t>
      </w:r>
    </w:p>
    <w:p>
      <w:pPr>
        <w:pStyle w:val="Style23"/>
        <w:keepNext w:val="0"/>
        <w:keepLines w:val="0"/>
        <w:widowControl w:val="0"/>
        <w:shd w:val="clear" w:color="auto" w:fill="auto"/>
        <w:bidi w:val="0"/>
        <w:spacing w:before="0" w:after="320" w:line="310" w:lineRule="exact"/>
        <w:ind w:left="0" w:right="0" w:firstLine="0"/>
        <w:jc w:val="both"/>
      </w:pPr>
      <w:r>
        <w:rPr>
          <w:color w:val="000000"/>
          <w:spacing w:val="0"/>
          <w:w w:val="100"/>
          <w:position w:val="0"/>
        </w:rPr>
        <w:t>在建工程项目按建造该项资产达到预定可使用状态前所发生的必要支出，作为固定资产的入账价值。所建造的固定资产在工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4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借款费用</w:t>
      </w:r>
    </w:p>
    <w:p>
      <w:pPr>
        <w:pStyle w:val="Style47"/>
        <w:keepNext w:val="0"/>
        <w:keepLines w:val="0"/>
        <w:widowControl w:val="0"/>
        <w:shd w:val="clear" w:color="auto" w:fill="auto"/>
        <w:tabs>
          <w:tab w:pos="478" w:val="left"/>
        </w:tabs>
        <w:bidi w:val="0"/>
        <w:spacing w:before="0" w:line="240" w:lineRule="auto"/>
        <w:ind w:left="0" w:right="0" w:firstLine="0"/>
        <w:jc w:val="left"/>
      </w:pPr>
      <w:bookmarkStart w:id="754" w:name="bookmark754"/>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755" w:name="bookmark755"/>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756" w:name="bookmark756"/>
      <w:r>
        <w:rPr>
          <w:rFonts w:ascii="Times New Roman" w:eastAsia="Times New Roman" w:hAnsi="Times New Roman" w:cs="Times New Roman"/>
          <w:color w:val="000000"/>
          <w:spacing w:val="0"/>
          <w:w w:val="100"/>
          <w:position w:val="0"/>
        </w:rPr>
        <w:t>2</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p>
    <w:p>
      <w:pPr>
        <w:pStyle w:val="Style23"/>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否</w:t>
      </w:r>
    </w:p>
    <w:p>
      <w:pPr>
        <w:pStyle w:val="Style23"/>
        <w:keepNext w:val="0"/>
        <w:keepLines w:val="0"/>
        <w:widowControl w:val="0"/>
        <w:numPr>
          <w:ilvl w:val="0"/>
          <w:numId w:val="27"/>
        </w:numPr>
        <w:shd w:val="clear" w:color="auto" w:fill="auto"/>
        <w:tabs>
          <w:tab w:pos="306" w:val="left"/>
        </w:tabs>
        <w:bidi w:val="0"/>
        <w:spacing w:before="0" w:after="0" w:line="240" w:lineRule="auto"/>
        <w:ind w:left="0" w:right="0" w:firstLine="0"/>
        <w:jc w:val="left"/>
      </w:pPr>
      <w:bookmarkStart w:id="757" w:name="bookmark757"/>
      <w:bookmarkEnd w:id="757"/>
      <w:r>
        <w:rPr>
          <w:b/>
          <w:bCs/>
          <w:color w:val="000000"/>
          <w:spacing w:val="0"/>
          <w:w w:val="100"/>
          <w:position w:val="0"/>
        </w:rPr>
        <w:t>无形资产的计价方法</w:t>
      </w:r>
    </w:p>
    <w:p>
      <w:pPr>
        <w:pStyle w:val="Style23"/>
        <w:keepNext w:val="0"/>
        <w:keepLines w:val="0"/>
        <w:widowControl w:val="0"/>
        <w:shd w:val="clear" w:color="auto" w:fill="auto"/>
        <w:tabs>
          <w:tab w:pos="445" w:val="left"/>
        </w:tabs>
        <w:bidi w:val="0"/>
        <w:spacing w:before="0" w:after="0" w:line="314" w:lineRule="exact"/>
        <w:ind w:left="0" w:right="0" w:firstLine="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3"/>
        <w:keepNext w:val="0"/>
        <w:keepLines w:val="0"/>
        <w:widowControl w:val="0"/>
        <w:shd w:val="clear" w:color="auto" w:fill="auto"/>
        <w:tabs>
          <w:tab w:pos="445" w:val="left"/>
        </w:tabs>
        <w:bidi w:val="0"/>
        <w:spacing w:before="0" w:after="0" w:line="314" w:lineRule="exact"/>
        <w:ind w:left="0" w:right="0" w:firstLine="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在取得无形资产时分析判断其使用寿命。</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23"/>
        <w:keepNext w:val="0"/>
        <w:keepLines w:val="0"/>
        <w:widowControl w:val="0"/>
        <w:numPr>
          <w:ilvl w:val="0"/>
          <w:numId w:val="27"/>
        </w:numPr>
        <w:shd w:val="clear" w:color="auto" w:fill="auto"/>
        <w:tabs>
          <w:tab w:pos="495" w:val="left"/>
        </w:tabs>
        <w:bidi w:val="0"/>
        <w:spacing w:before="0" w:after="0" w:line="240" w:lineRule="auto"/>
        <w:ind w:left="0" w:right="0" w:firstLine="180"/>
        <w:jc w:val="left"/>
      </w:pPr>
      <w:bookmarkStart w:id="760" w:name="bookmark760"/>
      <w:bookmarkEnd w:id="760"/>
      <w:r>
        <w:rPr>
          <w:b/>
          <w:bCs/>
          <w:color w:val="000000"/>
          <w:spacing w:val="0"/>
          <w:w w:val="100"/>
          <w:position w:val="0"/>
        </w:rPr>
        <w:t>使用寿命有限的无形资产的使用寿命估计情况：</w:t>
      </w:r>
    </w:p>
    <w:tbl>
      <w:tblPr>
        <w:tblOverlap w:val="never"/>
        <w:jc w:val="center"/>
        <w:tblLayout w:type="fixed"/>
      </w:tblPr>
      <w:tblGrid>
        <w:gridCol w:w="3787"/>
        <w:gridCol w:w="2362"/>
        <w:gridCol w:w="3528"/>
      </w:tblGrid>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电脑软件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每年度终了，对使用寿命有限的无形资产的使用寿命及摊销方法进行复核。</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经复核，本年期末无形资产的使用寿命及摊销方法与以前估计未有不同。</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使用寿命不确定的无形资产的判断依据以及对其使用寿命进行复核的程序</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每期末，对使用寿命不确定的无形资产的使用寿命进行复核。</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经复核，本公司期末无使用寿命不确定的无形资产。</w:t>
      </w:r>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）内部研究开发支出会计政策</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划分研究阶段和开发阶段的具体标准</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公司内部研究开发项目的支出分为研究阶段支出和开发阶段支出。</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3"/>
        <w:keepNext w:val="0"/>
        <w:keepLines w:val="0"/>
        <w:widowControl w:val="0"/>
        <w:shd w:val="clear" w:color="auto" w:fill="auto"/>
        <w:bidi w:val="0"/>
        <w:spacing w:before="0" w:after="18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开发阶段支出资本化的具体条件</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内部研究开发项目开发阶段的支出，同时满足下列条件时确认为无形资产：</w:t>
      </w:r>
    </w:p>
    <w:p>
      <w:pPr>
        <w:pStyle w:val="Style23"/>
        <w:keepNext w:val="0"/>
        <w:keepLines w:val="0"/>
        <w:widowControl w:val="0"/>
        <w:shd w:val="clear" w:color="auto" w:fill="auto"/>
        <w:tabs>
          <w:tab w:pos="440" w:val="left"/>
        </w:tabs>
        <w:bidi w:val="0"/>
        <w:spacing w:before="0" w:after="0" w:line="326" w:lineRule="exact"/>
        <w:ind w:left="0" w:right="0" w:firstLine="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23"/>
        <w:keepNext w:val="0"/>
        <w:keepLines w:val="0"/>
        <w:widowControl w:val="0"/>
        <w:shd w:val="clear" w:color="auto" w:fill="auto"/>
        <w:tabs>
          <w:tab w:pos="440" w:val="left"/>
        </w:tabs>
        <w:bidi w:val="0"/>
        <w:spacing w:before="0" w:after="0" w:line="326" w:lineRule="exact"/>
        <w:ind w:left="0" w:right="0" w:firstLine="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2）</w:t>
        <w:tab/>
      </w:r>
      <w:r>
        <w:rPr>
          <w:color w:val="000000"/>
          <w:spacing w:val="0"/>
          <w:w w:val="100"/>
          <w:position w:val="0"/>
        </w:rPr>
        <w:t>具有完成该无形资产并使用或出售的意图；</w:t>
      </w:r>
    </w:p>
    <w:p>
      <w:pPr>
        <w:pStyle w:val="Style23"/>
        <w:keepNext w:val="0"/>
        <w:keepLines w:val="0"/>
        <w:widowControl w:val="0"/>
        <w:shd w:val="clear" w:color="auto" w:fill="auto"/>
        <w:tabs>
          <w:tab w:pos="536" w:val="left"/>
        </w:tabs>
        <w:bidi w:val="0"/>
        <w:spacing w:before="0" w:after="80" w:line="326" w:lineRule="exact"/>
        <w:ind w:left="0" w:right="0" w:firstLine="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3"/>
        <w:keepNext w:val="0"/>
        <w:keepLines w:val="0"/>
        <w:widowControl w:val="0"/>
        <w:shd w:val="clear" w:color="auto" w:fill="auto"/>
        <w:tabs>
          <w:tab w:pos="440" w:val="left"/>
        </w:tabs>
        <w:bidi w:val="0"/>
        <w:spacing w:before="0" w:after="0" w:line="240" w:lineRule="auto"/>
        <w:ind w:left="0" w:right="0" w:firstLine="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3"/>
        <w:keepNext w:val="0"/>
        <w:keepLines w:val="0"/>
        <w:widowControl w:val="0"/>
        <w:shd w:val="clear" w:color="auto" w:fill="auto"/>
        <w:tabs>
          <w:tab w:pos="440" w:val="left"/>
        </w:tabs>
        <w:bidi w:val="0"/>
        <w:spacing w:before="0" w:after="0" w:line="326" w:lineRule="exact"/>
        <w:ind w:left="0" w:right="0" w:firstLine="0"/>
        <w:jc w:val="both"/>
      </w:pPr>
      <w:bookmarkStart w:id="765" w:name="bookmark765"/>
      <w:r>
        <w:rPr>
          <w:color w:val="000000"/>
          <w:spacing w:val="0"/>
          <w:w w:val="100"/>
          <w:position w:val="0"/>
          <w:sz w:val="18"/>
          <w:szCs w:val="18"/>
        </w:rPr>
        <w:t>（</w:t>
      </w:r>
      <w:bookmarkEnd w:id="765"/>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3"/>
        <w:keepNext w:val="0"/>
        <w:keepLines w:val="0"/>
        <w:widowControl w:val="0"/>
        <w:shd w:val="clear" w:color="auto" w:fill="auto"/>
        <w:bidi w:val="0"/>
        <w:spacing w:before="0" w:after="680" w:line="326" w:lineRule="exact"/>
        <w:ind w:left="0" w:right="0" w:firstLine="0"/>
        <w:jc w:val="both"/>
      </w:pPr>
      <w:r>
        <w:rPr>
          <w:color w:val="000000"/>
          <w:spacing w:val="0"/>
          <w:w w:val="100"/>
          <w:position w:val="0"/>
        </w:rPr>
        <w:t>开发阶段的支出，若不满足上列条件的，于发生时计入当期损益。研究阶段的支出，在发生时计入当期损益。</w:t>
      </w:r>
    </w:p>
    <w:p>
      <w:pPr>
        <w:pStyle w:val="Style26"/>
        <w:keepNext/>
        <w:keepLines/>
        <w:widowControl w:val="0"/>
        <w:shd w:val="clear" w:color="auto" w:fill="auto"/>
        <w:tabs>
          <w:tab w:pos="488" w:val="left"/>
        </w:tabs>
        <w:bidi w:val="0"/>
        <w:spacing w:before="0" w:after="26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766"/>
      <w:bookmarkEnd w:id="767"/>
      <w:bookmarkEnd w:id="769"/>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长期股权投资、采用成本模式计量的投资性房地产、固定资产、在建工程、使用寿命有限的无形资产等长期资产，于资产负 债表日存在减值迹象的，进行减值测试。减值测试结果表明资产的可收回金额低于其账面价值的，按其差额计提减值准备并 计入减值损失。可收回金额为资产的公允价值减去处置费用后的净额与资产预计未来现金流量的现值两者之间的较高者。资 产减值准备按单项资产为基础计算并确认，如果难以对单项资产的可收回金额进行估计的，以该资产所属的资产组确定资产 组的可收回金额。资产组是能够独立产生现金流入的最小资产组合。</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商誉至少在每年年度终了进行减值测试。</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23"/>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 上述资产减值损失一经确认，在以后会计期间不予转回。</w:t>
      </w:r>
    </w:p>
    <w:p>
      <w:pPr>
        <w:pStyle w:val="Style26"/>
        <w:keepNext/>
        <w:keepLines/>
        <w:widowControl w:val="0"/>
        <w:shd w:val="clear" w:color="auto" w:fill="auto"/>
        <w:tabs>
          <w:tab w:pos="488" w:val="left"/>
        </w:tabs>
        <w:bidi w:val="0"/>
        <w:spacing w:before="0" w:after="26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770"/>
      <w:bookmarkEnd w:id="771"/>
      <w:bookmarkEnd w:id="773"/>
    </w:p>
    <w:p>
      <w:pPr>
        <w:pStyle w:val="Style23"/>
        <w:keepNext w:val="0"/>
        <w:keepLines w:val="0"/>
        <w:widowControl w:val="0"/>
        <w:shd w:val="clear" w:color="auto" w:fill="auto"/>
        <w:bidi w:val="0"/>
        <w:spacing w:before="0" w:after="80" w:line="317" w:lineRule="exact"/>
        <w:ind w:left="0" w:right="0" w:firstLine="0"/>
        <w:jc w:val="left"/>
      </w:pPr>
      <w:r>
        <w:rPr>
          <w:color w:val="000000"/>
          <w:spacing w:val="0"/>
          <w:w w:val="100"/>
          <w:position w:val="0"/>
        </w:rPr>
        <w:t>长期待摊费用为已经发生但应由本期和以后各期负担的分摊期限在一年以上的各项费用。本公司长期待摊费用包括装修费、 预付租赁费。</w:t>
      </w:r>
    </w:p>
    <w:p>
      <w:pPr>
        <w:pStyle w:val="Style23"/>
        <w:keepNext w:val="0"/>
        <w:keepLines w:val="0"/>
        <w:widowControl w:val="0"/>
        <w:numPr>
          <w:ilvl w:val="0"/>
          <w:numId w:val="29"/>
        </w:numPr>
        <w:shd w:val="clear" w:color="auto" w:fill="auto"/>
        <w:tabs>
          <w:tab w:pos="306" w:val="left"/>
        </w:tabs>
        <w:bidi w:val="0"/>
        <w:spacing w:before="0" w:after="80" w:line="240" w:lineRule="auto"/>
        <w:ind w:left="0" w:right="0" w:firstLine="0"/>
        <w:jc w:val="both"/>
      </w:pPr>
      <w:bookmarkStart w:id="774" w:name="bookmark774"/>
      <w:bookmarkEnd w:id="774"/>
      <w:r>
        <w:rPr>
          <w:b/>
          <w:bCs/>
          <w:color w:val="000000"/>
          <w:spacing w:val="0"/>
          <w:w w:val="100"/>
          <w:position w:val="0"/>
        </w:rPr>
        <w:t>摊销方法</w:t>
      </w:r>
    </w:p>
    <w:p>
      <w:pPr>
        <w:pStyle w:val="Style47"/>
        <w:keepNext w:val="0"/>
        <w:keepLines w:val="0"/>
        <w:widowControl w:val="0"/>
        <w:shd w:val="clear" w:color="auto" w:fill="auto"/>
        <w:bidi w:val="0"/>
        <w:spacing w:before="0" w:after="80" w:line="240" w:lineRule="auto"/>
        <w:ind w:left="0" w:right="0" w:firstLine="0"/>
        <w:jc w:val="both"/>
      </w:pPr>
      <w:r>
        <w:rPr>
          <w:b w:val="0"/>
          <w:bCs w:val="0"/>
          <w:color w:val="000000"/>
          <w:spacing w:val="0"/>
          <w:w w:val="100"/>
          <w:position w:val="0"/>
        </w:rPr>
        <w:t>长期待摊费用在受益期内平均摊销</w:t>
      </w:r>
    </w:p>
    <w:p>
      <w:pPr>
        <w:pStyle w:val="Style23"/>
        <w:keepNext w:val="0"/>
        <w:keepLines w:val="0"/>
        <w:widowControl w:val="0"/>
        <w:numPr>
          <w:ilvl w:val="0"/>
          <w:numId w:val="29"/>
        </w:numPr>
        <w:shd w:val="clear" w:color="auto" w:fill="auto"/>
        <w:tabs>
          <w:tab w:pos="320" w:val="left"/>
        </w:tabs>
        <w:bidi w:val="0"/>
        <w:spacing w:before="0" w:after="0" w:line="240" w:lineRule="auto"/>
        <w:ind w:left="0" w:right="0" w:firstLine="0"/>
        <w:jc w:val="both"/>
      </w:pPr>
      <w:bookmarkStart w:id="775" w:name="bookmark775"/>
      <w:bookmarkEnd w:id="775"/>
      <w:r>
        <w:rPr>
          <w:b/>
          <w:bCs/>
          <w:color w:val="000000"/>
          <w:spacing w:val="0"/>
          <w:w w:val="100"/>
          <w:position w:val="0"/>
        </w:rPr>
        <w:t>摊销年限</w:t>
      </w:r>
    </w:p>
    <w:tbl>
      <w:tblPr>
        <w:tblOverlap w:val="never"/>
        <w:jc w:val="center"/>
        <w:tblLayout w:type="fixed"/>
      </w:tblPr>
      <w:tblGrid>
        <w:gridCol w:w="4838"/>
        <w:gridCol w:w="4838"/>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租入资产改良支出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预付租赁费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合同约定受益期</w:t>
            </w:r>
          </w:p>
        </w:tc>
      </w:tr>
    </w:tbl>
    <w:p>
      <w:pPr>
        <w:pStyle w:val="Style26"/>
        <w:keepNext/>
        <w:keepLines/>
        <w:widowControl w:val="0"/>
        <w:shd w:val="clear" w:color="auto" w:fill="auto"/>
        <w:tabs>
          <w:tab w:pos="488" w:val="left"/>
        </w:tabs>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776"/>
      <w:bookmarkEnd w:id="777"/>
      <w:bookmarkEnd w:id="779"/>
    </w:p>
    <w:p>
      <w:pPr>
        <w:pStyle w:val="Style23"/>
        <w:keepNext w:val="0"/>
        <w:keepLines w:val="0"/>
        <w:widowControl w:val="0"/>
        <w:shd w:val="clear" w:color="auto" w:fill="auto"/>
        <w:tabs>
          <w:tab w:pos="454" w:val="left"/>
        </w:tabs>
        <w:bidi w:val="0"/>
        <w:spacing w:before="0" w:after="300" w:line="240" w:lineRule="auto"/>
        <w:ind w:left="0" w:right="0" w:firstLine="0"/>
        <w:jc w:val="left"/>
      </w:pPr>
      <w:bookmarkStart w:id="780" w:name="bookmark780"/>
      <w:r>
        <w:rPr>
          <w:b/>
          <w:bCs/>
          <w:color w:val="000000"/>
          <w:spacing w:val="0"/>
          <w:w w:val="100"/>
          <w:position w:val="0"/>
        </w:rPr>
        <w:t>（</w:t>
      </w:r>
      <w:bookmarkEnd w:id="78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短期薪酬的会计处理方法</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职工福利费为非货币性福利的，如能够可靠计量的，按照公允价值计量。</w:t>
      </w:r>
    </w:p>
    <w:p>
      <w:pPr>
        <w:pStyle w:val="Style23"/>
        <w:keepNext w:val="0"/>
        <w:keepLines w:val="0"/>
        <w:widowControl w:val="0"/>
        <w:shd w:val="clear" w:color="auto" w:fill="auto"/>
        <w:tabs>
          <w:tab w:pos="454" w:val="left"/>
        </w:tabs>
        <w:bidi w:val="0"/>
        <w:spacing w:before="0" w:after="300" w:line="240" w:lineRule="auto"/>
        <w:ind w:left="0" w:right="0" w:firstLine="0"/>
        <w:jc w:val="left"/>
      </w:pPr>
      <w:bookmarkStart w:id="781" w:name="bookmark781"/>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离职后福利的会计处理方法</w:t>
      </w:r>
    </w:p>
    <w:p>
      <w:pPr>
        <w:pStyle w:val="Style23"/>
        <w:keepNext w:val="0"/>
        <w:keepLines w:val="0"/>
        <w:widowControl w:val="0"/>
        <w:shd w:val="clear" w:color="auto" w:fill="auto"/>
        <w:tabs>
          <w:tab w:pos="445" w:val="left"/>
        </w:tabs>
        <w:bidi w:val="0"/>
        <w:spacing w:before="0" w:after="0" w:line="315" w:lineRule="exact"/>
        <w:ind w:left="0" w:right="0" w:firstLine="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1）</w:t>
        <w:tab/>
      </w:r>
      <w:r>
        <w:rPr>
          <w:color w:val="000000"/>
          <w:spacing w:val="0"/>
          <w:w w:val="100"/>
          <w:position w:val="0"/>
        </w:rPr>
        <w:t>设定提存计划</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除基本养老保险外，本公司还依据国家企业年金制度的相关政策建立了企业年金缴费制度（补充养老保险）/企业年金计划。 本公司按职工工资总额的一定比例向当地社会保险机构缴费/年金计划缴费，相应支出计入当期损益或相关资产成本。</w:t>
      </w:r>
    </w:p>
    <w:p>
      <w:pPr>
        <w:pStyle w:val="Style23"/>
        <w:keepNext w:val="0"/>
        <w:keepLines w:val="0"/>
        <w:widowControl w:val="0"/>
        <w:shd w:val="clear" w:color="auto" w:fill="auto"/>
        <w:tabs>
          <w:tab w:pos="445" w:val="left"/>
        </w:tabs>
        <w:bidi w:val="0"/>
        <w:spacing w:before="0" w:after="0" w:line="315" w:lineRule="exact"/>
        <w:ind w:left="0" w:right="0" w:firstLine="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2）</w:t>
        <w:tab/>
      </w:r>
      <w:r>
        <w:rPr>
          <w:color w:val="000000"/>
          <w:spacing w:val="0"/>
          <w:w w:val="100"/>
          <w:position w:val="0"/>
        </w:rPr>
        <w:t>设定受益计划</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23"/>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在设定受益计划结算时，按在结算日确定的设定受益计划义务现值和结算价格两者的差额，确认结算利得或损失。</w:t>
      </w:r>
    </w:p>
    <w:p>
      <w:pPr>
        <w:pStyle w:val="Style23"/>
        <w:keepNext w:val="0"/>
        <w:keepLines w:val="0"/>
        <w:widowControl w:val="0"/>
        <w:shd w:val="clear" w:color="auto" w:fill="auto"/>
        <w:tabs>
          <w:tab w:pos="454" w:val="left"/>
        </w:tabs>
        <w:bidi w:val="0"/>
        <w:spacing w:before="0" w:after="300" w:line="240" w:lineRule="auto"/>
        <w:ind w:left="0" w:right="0" w:firstLine="0"/>
        <w:jc w:val="left"/>
      </w:pPr>
      <w:bookmarkStart w:id="784" w:name="bookmark784"/>
      <w:r>
        <w:rPr>
          <w:b/>
          <w:bCs/>
          <w:color w:val="000000"/>
          <w:spacing w:val="0"/>
          <w:w w:val="100"/>
          <w:position w:val="0"/>
        </w:rPr>
        <w:t>（</w:t>
      </w:r>
      <w:bookmarkEnd w:id="78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785" w:name="bookmark785"/>
      <w:r>
        <w:rPr>
          <w:b/>
          <w:bCs/>
          <w:color w:val="000000"/>
          <w:spacing w:val="0"/>
          <w:w w:val="100"/>
          <w:position w:val="0"/>
        </w:rPr>
        <w:t>（</w:t>
      </w:r>
      <w:bookmarkEnd w:id="78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其他长期职工福利的会计处理方法</w:t>
      </w:r>
    </w:p>
    <w:p>
      <w:pPr>
        <w:pStyle w:val="Style26"/>
        <w:keepNext/>
        <w:keepLines/>
        <w:widowControl w:val="0"/>
        <w:shd w:val="clear" w:color="auto" w:fill="auto"/>
        <w:tabs>
          <w:tab w:pos="488" w:val="left"/>
        </w:tabs>
        <w:bidi w:val="0"/>
        <w:spacing w:before="0" w:after="38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786"/>
      <w:bookmarkEnd w:id="787"/>
      <w:bookmarkEnd w:id="789"/>
    </w:p>
    <w:p>
      <w:pPr>
        <w:pStyle w:val="Style23"/>
        <w:keepNext w:val="0"/>
        <w:keepLines w:val="0"/>
        <w:widowControl w:val="0"/>
        <w:numPr>
          <w:ilvl w:val="0"/>
          <w:numId w:val="31"/>
        </w:numPr>
        <w:shd w:val="clear" w:color="auto" w:fill="auto"/>
        <w:tabs>
          <w:tab w:pos="306" w:val="left"/>
        </w:tabs>
        <w:bidi w:val="0"/>
        <w:spacing w:before="0" w:after="0" w:line="240" w:lineRule="auto"/>
        <w:ind w:left="0" w:right="0" w:firstLine="0"/>
        <w:jc w:val="left"/>
      </w:pPr>
      <w:bookmarkStart w:id="790" w:name="bookmark790"/>
      <w:bookmarkEnd w:id="790"/>
      <w:r>
        <w:rPr>
          <w:b/>
          <w:bCs/>
          <w:color w:val="000000"/>
          <w:spacing w:val="0"/>
          <w:w w:val="100"/>
          <w:position w:val="0"/>
        </w:rPr>
        <w:t>预计负债的确认标准</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与诉讼、债务担保、亏损合同、重组事项等或有事项相关的义务同时满足下列条件时，本公司确认为预计负债：</w:t>
      </w:r>
    </w:p>
    <w:p>
      <w:pPr>
        <w:pStyle w:val="Style23"/>
        <w:keepNext w:val="0"/>
        <w:keepLines w:val="0"/>
        <w:widowControl w:val="0"/>
        <w:shd w:val="clear" w:color="auto" w:fill="auto"/>
        <w:tabs>
          <w:tab w:pos="440" w:val="left"/>
        </w:tabs>
        <w:bidi w:val="0"/>
        <w:spacing w:before="0" w:after="0" w:line="315" w:lineRule="exact"/>
        <w:ind w:left="0" w:right="0" w:firstLine="0"/>
        <w:jc w:val="left"/>
      </w:pPr>
      <w:bookmarkStart w:id="791" w:name="bookmark791"/>
      <w:r>
        <w:rPr>
          <w:color w:val="000000"/>
          <w:spacing w:val="0"/>
          <w:w w:val="100"/>
          <w:position w:val="0"/>
          <w:sz w:val="18"/>
          <w:szCs w:val="18"/>
        </w:rPr>
        <w:t>（</w:t>
      </w:r>
      <w:bookmarkEnd w:id="791"/>
      <w:r>
        <w:rPr>
          <w:color w:val="000000"/>
          <w:spacing w:val="0"/>
          <w:w w:val="100"/>
          <w:position w:val="0"/>
          <w:sz w:val="18"/>
          <w:szCs w:val="18"/>
        </w:rPr>
        <w:t>1）</w:t>
        <w:tab/>
      </w:r>
      <w:r>
        <w:rPr>
          <w:color w:val="000000"/>
          <w:spacing w:val="0"/>
          <w:w w:val="100"/>
          <w:position w:val="0"/>
        </w:rPr>
        <w:t>该义务是本公司承担的现时义务；</w:t>
      </w:r>
    </w:p>
    <w:p>
      <w:pPr>
        <w:pStyle w:val="Style23"/>
        <w:keepNext w:val="0"/>
        <w:keepLines w:val="0"/>
        <w:widowControl w:val="0"/>
        <w:shd w:val="clear" w:color="auto" w:fill="auto"/>
        <w:tabs>
          <w:tab w:pos="440" w:val="left"/>
        </w:tabs>
        <w:bidi w:val="0"/>
        <w:spacing w:before="0" w:after="0" w:line="315" w:lineRule="exact"/>
        <w:ind w:left="0" w:right="0" w:firstLine="0"/>
        <w:jc w:val="left"/>
      </w:pPr>
      <w:bookmarkStart w:id="792" w:name="bookmark792"/>
      <w:r>
        <w:rPr>
          <w:color w:val="000000"/>
          <w:spacing w:val="0"/>
          <w:w w:val="100"/>
          <w:position w:val="0"/>
          <w:sz w:val="18"/>
          <w:szCs w:val="18"/>
        </w:rPr>
        <w:t>（</w:t>
      </w:r>
      <w:bookmarkEnd w:id="792"/>
      <w:r>
        <w:rPr>
          <w:color w:val="000000"/>
          <w:spacing w:val="0"/>
          <w:w w:val="100"/>
          <w:position w:val="0"/>
          <w:sz w:val="18"/>
          <w:szCs w:val="18"/>
        </w:rPr>
        <w:t>2）</w:t>
        <w:tab/>
      </w:r>
      <w:r>
        <w:rPr>
          <w:color w:val="000000"/>
          <w:spacing w:val="0"/>
          <w:w w:val="100"/>
          <w:position w:val="0"/>
        </w:rPr>
        <w:t>履行该义务很可能导致经济利益流出本公司；</w:t>
      </w:r>
    </w:p>
    <w:p>
      <w:pPr>
        <w:pStyle w:val="Style23"/>
        <w:keepNext w:val="0"/>
        <w:keepLines w:val="0"/>
        <w:widowControl w:val="0"/>
        <w:shd w:val="clear" w:color="auto" w:fill="auto"/>
        <w:tabs>
          <w:tab w:pos="440" w:val="left"/>
        </w:tabs>
        <w:bidi w:val="0"/>
        <w:spacing w:before="0" w:after="100" w:line="315" w:lineRule="exact"/>
        <w:ind w:left="0" w:right="0" w:firstLine="0"/>
        <w:jc w:val="left"/>
      </w:pPr>
      <w:bookmarkStart w:id="793" w:name="bookmark793"/>
      <w:r>
        <w:rPr>
          <w:color w:val="000000"/>
          <w:spacing w:val="0"/>
          <w:w w:val="100"/>
          <w:position w:val="0"/>
          <w:sz w:val="18"/>
          <w:szCs w:val="18"/>
        </w:rPr>
        <w:t>（</w:t>
      </w:r>
      <w:bookmarkEnd w:id="793"/>
      <w:r>
        <w:rPr>
          <w:color w:val="000000"/>
          <w:spacing w:val="0"/>
          <w:w w:val="100"/>
          <w:position w:val="0"/>
          <w:sz w:val="18"/>
          <w:szCs w:val="18"/>
        </w:rPr>
        <w:t>3）</w:t>
        <w:tab/>
      </w:r>
      <w:r>
        <w:rPr>
          <w:color w:val="000000"/>
          <w:spacing w:val="0"/>
          <w:w w:val="100"/>
          <w:position w:val="0"/>
        </w:rPr>
        <w:t>该义务的金额能够可靠地计量。</w:t>
      </w:r>
    </w:p>
    <w:p>
      <w:pPr>
        <w:pStyle w:val="Style23"/>
        <w:keepNext w:val="0"/>
        <w:keepLines w:val="0"/>
        <w:widowControl w:val="0"/>
        <w:numPr>
          <w:ilvl w:val="0"/>
          <w:numId w:val="31"/>
        </w:numPr>
        <w:shd w:val="clear" w:color="auto" w:fill="auto"/>
        <w:tabs>
          <w:tab w:pos="320" w:val="left"/>
        </w:tabs>
        <w:bidi w:val="0"/>
        <w:spacing w:before="0" w:after="0" w:line="240" w:lineRule="auto"/>
        <w:ind w:left="0" w:right="0" w:firstLine="0"/>
        <w:jc w:val="left"/>
      </w:pPr>
      <w:bookmarkStart w:id="794" w:name="bookmark794"/>
      <w:bookmarkEnd w:id="794"/>
      <w:r>
        <w:rPr>
          <w:b/>
          <w:bCs/>
          <w:color w:val="000000"/>
          <w:spacing w:val="0"/>
          <w:w w:val="100"/>
          <w:position w:val="0"/>
        </w:rPr>
        <w:t>各类预计负债的计量方法</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本公司预计负债按履行相关现时义务所需的支出的最佳估计数进行初始计量。</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本公司在确定最佳估计数时，综合考虑与或有事项有关的风险、不确定性和货币时间价值等因素。对于货币时间价值影响重 </w:t>
      </w:r>
      <w:r>
        <w:rPr>
          <w:color w:val="000000"/>
          <w:spacing w:val="0"/>
          <w:w w:val="100"/>
          <w:position w:val="0"/>
        </w:rPr>
        <w:t>大的，通过对相关未来现金流出进行折现后确定最佳估计数。</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最佳估计数分别以下情况处理： 所需支出存在一个连续范围（或区间），且该范围内各种结果发生的可能性相同的，则最佳估计数按照该范围的中间值即上 下限金额的平均数确定。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26"/>
        <w:keepNext/>
        <w:keepLines/>
        <w:widowControl w:val="0"/>
        <w:shd w:val="clear" w:color="auto" w:fill="auto"/>
        <w:tabs>
          <w:tab w:pos="459" w:val="left"/>
        </w:tabs>
        <w:bidi w:val="0"/>
        <w:spacing w:before="0" w:after="26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795"/>
      <w:bookmarkEnd w:id="796"/>
      <w:bookmarkEnd w:id="798"/>
    </w:p>
    <w:p>
      <w:pPr>
        <w:pStyle w:val="Style23"/>
        <w:keepNext w:val="0"/>
        <w:keepLines w:val="0"/>
        <w:widowControl w:val="0"/>
        <w:shd w:val="clear" w:color="auto" w:fill="auto"/>
        <w:bidi w:val="0"/>
        <w:spacing w:before="0" w:line="317"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 司的股份支付分为以权益结算的股份支付和以现金结算的股份支付。</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以权益结算的股份支付及权益工具</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则本公司按照事先约定的价格回购股票。本公司取得职工认购限制性股票支付的款项时，按照取得的认股款确认股本和资本 公积（股本溢价），同时就回购义务全额确认一项负债并确认库存股。在等待期内每个资产负债表日，本公司根据最新取得 的可行权职工人数变动、是否达到规定业绩条件等后续信息对可行权权益工具数量作出最佳估计，以此为基础，按照授予日 的公允价值，将当期取得的服务计入相关成本或费用，相应增加资本公积。在可行权日之后不再对已确认的相关成本或费用 和所有者权益总额进行调整。但授予后立即可行权的，在授予日按照公允价值计入相关成本或费用，相应增加资本公积。 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3"/>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26"/>
        <w:keepNext/>
        <w:keepLines/>
        <w:widowControl w:val="0"/>
        <w:shd w:val="clear" w:color="auto" w:fill="auto"/>
        <w:tabs>
          <w:tab w:pos="459" w:val="left"/>
        </w:tabs>
        <w:bidi w:val="0"/>
        <w:spacing w:before="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799"/>
      <w:bookmarkEnd w:id="800"/>
      <w:bookmarkEnd w:id="802"/>
    </w:p>
    <w:p>
      <w:pPr>
        <w:pStyle w:val="Style26"/>
        <w:keepNext/>
        <w:keepLines/>
        <w:widowControl w:val="0"/>
        <w:shd w:val="clear" w:color="auto" w:fill="auto"/>
        <w:tabs>
          <w:tab w:pos="459" w:val="left"/>
        </w:tabs>
        <w:bidi w:val="0"/>
        <w:spacing w:before="0" w:after="260" w:line="240" w:lineRule="auto"/>
        <w:ind w:left="0" w:right="0" w:firstLine="0"/>
        <w:jc w:val="left"/>
      </w:pPr>
      <w:bookmarkStart w:id="799" w:name="bookmark799"/>
      <w:bookmarkStart w:id="800" w:name="bookmark800"/>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799"/>
      <w:bookmarkEnd w:id="800"/>
      <w:bookmarkEnd w:id="804"/>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line="313"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、销售商品收入确认和计量原则</w:t>
      </w:r>
    </w:p>
    <w:p>
      <w:pPr>
        <w:pStyle w:val="Style23"/>
        <w:keepNext w:val="0"/>
        <w:keepLines w:val="0"/>
        <w:widowControl w:val="0"/>
        <w:shd w:val="clear" w:color="auto" w:fill="auto"/>
        <w:tabs>
          <w:tab w:pos="416" w:val="left"/>
        </w:tabs>
        <w:bidi w:val="0"/>
        <w:spacing w:before="0" w:after="0" w:line="312" w:lineRule="exact"/>
        <w:ind w:left="0" w:right="0" w:firstLine="0"/>
        <w:jc w:val="left"/>
      </w:pPr>
      <w:bookmarkStart w:id="805" w:name="bookmark805"/>
      <w:r>
        <w:rPr>
          <w:color w:val="000000"/>
          <w:spacing w:val="0"/>
          <w:w w:val="100"/>
          <w:position w:val="0"/>
          <w:sz w:val="18"/>
          <w:szCs w:val="18"/>
        </w:rPr>
        <w:t>（</w:t>
      </w:r>
      <w:bookmarkEnd w:id="805"/>
      <w:r>
        <w:rPr>
          <w:color w:val="000000"/>
          <w:spacing w:val="0"/>
          <w:w w:val="100"/>
          <w:position w:val="0"/>
          <w:sz w:val="18"/>
          <w:szCs w:val="18"/>
        </w:rPr>
        <w:t>1）</w:t>
        <w:tab/>
      </w:r>
      <w:r>
        <w:rPr>
          <w:color w:val="000000"/>
          <w:spacing w:val="0"/>
          <w:w w:val="100"/>
          <w:position w:val="0"/>
        </w:rPr>
        <w:t>销售商品收入确认和计量的总体原则</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23"/>
        <w:keepNext w:val="0"/>
        <w:keepLines w:val="0"/>
        <w:widowControl w:val="0"/>
        <w:shd w:val="clear" w:color="auto" w:fill="auto"/>
        <w:tabs>
          <w:tab w:pos="416" w:val="left"/>
        </w:tabs>
        <w:bidi w:val="0"/>
        <w:spacing w:before="0" w:after="0" w:line="312" w:lineRule="exact"/>
        <w:ind w:left="0" w:right="0" w:firstLine="0"/>
        <w:jc w:val="left"/>
      </w:pPr>
      <w:bookmarkStart w:id="806" w:name="bookmark806"/>
      <w:r>
        <w:rPr>
          <w:color w:val="000000"/>
          <w:spacing w:val="0"/>
          <w:w w:val="100"/>
          <w:position w:val="0"/>
          <w:sz w:val="18"/>
          <w:szCs w:val="18"/>
        </w:rPr>
        <w:t>（</w:t>
      </w:r>
      <w:bookmarkEnd w:id="806"/>
      <w:r>
        <w:rPr>
          <w:color w:val="000000"/>
          <w:spacing w:val="0"/>
          <w:w w:val="100"/>
          <w:position w:val="0"/>
          <w:sz w:val="18"/>
          <w:szCs w:val="18"/>
        </w:rPr>
        <w:t>2）</w:t>
        <w:tab/>
      </w:r>
      <w:r>
        <w:rPr>
          <w:color w:val="000000"/>
          <w:spacing w:val="0"/>
          <w:w w:val="100"/>
          <w:position w:val="0"/>
        </w:rPr>
        <w:t>本公司销售商品收入确认的确认标准及收入确认时间的具体判断标准</w:t>
      </w:r>
    </w:p>
    <w:p>
      <w:pPr>
        <w:pStyle w:val="Style23"/>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本公司的商品销售收入以客户验收确认为收入确认时点。</w:t>
      </w:r>
    </w:p>
    <w:p>
      <w:pPr>
        <w:pStyle w:val="Style23"/>
        <w:keepNext w:val="0"/>
        <w:keepLines w:val="0"/>
        <w:widowControl w:val="0"/>
        <w:shd w:val="clear" w:color="auto" w:fill="auto"/>
        <w:bidi w:val="0"/>
        <w:spacing w:before="0" w:after="0" w:line="314" w:lineRule="exact"/>
        <w:ind w:left="0" w:right="0" w:firstLine="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3）</w:t>
      </w:r>
      <w:r>
        <w:rPr>
          <w:color w:val="000000"/>
          <w:spacing w:val="0"/>
          <w:w w:val="100"/>
          <w:position w:val="0"/>
        </w:rPr>
        <w:t>关于本公司销售商品收入相应的业务特点分析和介绍</w:t>
      </w:r>
    </w:p>
    <w:p>
      <w:pPr>
        <w:pStyle w:val="Style23"/>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本公司的商品销售主要是外购软件、硬件及自产软件的销售。</w:t>
      </w:r>
    </w:p>
    <w:p>
      <w:pPr>
        <w:pStyle w:val="Style23"/>
        <w:keepNext w:val="0"/>
        <w:keepLines w:val="0"/>
        <w:widowControl w:val="0"/>
        <w:shd w:val="clear" w:color="auto" w:fill="auto"/>
        <w:tabs>
          <w:tab w:pos="358" w:val="left"/>
        </w:tabs>
        <w:bidi w:val="0"/>
        <w:spacing w:before="0" w:after="0" w:line="240" w:lineRule="auto"/>
        <w:ind w:left="0" w:right="0" w:firstLine="0"/>
        <w:jc w:val="both"/>
      </w:pPr>
      <w:bookmarkStart w:id="808" w:name="bookmark808"/>
      <w:r>
        <w:rPr>
          <w:rFonts w:ascii="Times New Roman" w:eastAsia="Times New Roman" w:hAnsi="Times New Roman" w:cs="Times New Roman"/>
          <w:b/>
          <w:bCs/>
          <w:color w:val="000000"/>
          <w:spacing w:val="0"/>
          <w:w w:val="100"/>
          <w:position w:val="0"/>
        </w:rPr>
        <w:t>2</w:t>
      </w:r>
      <w:bookmarkEnd w:id="808"/>
      <w:r>
        <w:rPr>
          <w:b/>
          <w:bCs/>
          <w:color w:val="000000"/>
          <w:spacing w:val="0"/>
          <w:w w:val="100"/>
          <w:position w:val="0"/>
        </w:rPr>
        <w:t>、</w:t>
        <w:tab/>
        <w:t>让渡资产使用权收入的确认和计量原则</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让渡资产使用权收入确认和计量的总体原则</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与交易相关的经济利益很可能流入企业，收入的金额能够可靠地计量时。分别下列情况确定让渡资产使用权收入金额：</w:t>
      </w:r>
    </w:p>
    <w:p>
      <w:pPr>
        <w:pStyle w:val="Style23"/>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809" w:name="bookmark809"/>
      <w:bookmarkEnd w:id="809"/>
      <w:r>
        <w:rPr>
          <w:color w:val="000000"/>
          <w:spacing w:val="0"/>
          <w:w w:val="100"/>
          <w:position w:val="0"/>
        </w:rPr>
        <w:t>利息收入金额，按照他人使用本企业货币资金的时间和实际利率计算确定。</w:t>
      </w:r>
    </w:p>
    <w:p>
      <w:pPr>
        <w:pStyle w:val="Style23"/>
        <w:keepNext w:val="0"/>
        <w:keepLines w:val="0"/>
        <w:widowControl w:val="0"/>
        <w:numPr>
          <w:ilvl w:val="0"/>
          <w:numId w:val="33"/>
        </w:numPr>
        <w:shd w:val="clear" w:color="auto" w:fill="auto"/>
        <w:tabs>
          <w:tab w:pos="373" w:val="left"/>
        </w:tabs>
        <w:bidi w:val="0"/>
        <w:spacing w:before="0" w:after="0" w:line="314" w:lineRule="exact"/>
        <w:ind w:left="0" w:right="0" w:firstLine="0"/>
        <w:jc w:val="both"/>
      </w:pPr>
      <w:bookmarkStart w:id="810" w:name="bookmark810"/>
      <w:bookmarkEnd w:id="810"/>
      <w:r>
        <w:rPr>
          <w:color w:val="000000"/>
          <w:spacing w:val="0"/>
          <w:w w:val="100"/>
          <w:position w:val="0"/>
        </w:rPr>
        <w:t>使用费收入金额，按照有关合同或协议约定的收费时间和方法计算确定。</w:t>
      </w:r>
    </w:p>
    <w:p>
      <w:pPr>
        <w:pStyle w:val="Style23"/>
        <w:keepNext w:val="0"/>
        <w:keepLines w:val="0"/>
        <w:widowControl w:val="0"/>
        <w:numPr>
          <w:ilvl w:val="0"/>
          <w:numId w:val="33"/>
        </w:numPr>
        <w:shd w:val="clear" w:color="auto" w:fill="auto"/>
        <w:tabs>
          <w:tab w:pos="373" w:val="left"/>
        </w:tabs>
        <w:bidi w:val="0"/>
        <w:spacing w:before="0" w:after="80" w:line="314" w:lineRule="exact"/>
        <w:ind w:left="0" w:right="0" w:firstLine="0"/>
        <w:jc w:val="both"/>
      </w:pPr>
      <w:bookmarkStart w:id="811" w:name="bookmark811"/>
      <w:bookmarkEnd w:id="811"/>
      <w:r>
        <w:rPr>
          <w:color w:val="000000"/>
          <w:spacing w:val="0"/>
          <w:w w:val="100"/>
          <w:position w:val="0"/>
        </w:rPr>
        <w:t>保理收入金额，按照客户使用本企业货币资金金额、时间和实际利率计算确定。</w:t>
      </w:r>
    </w:p>
    <w:p>
      <w:pPr>
        <w:pStyle w:val="Style23"/>
        <w:keepNext w:val="0"/>
        <w:keepLines w:val="0"/>
        <w:widowControl w:val="0"/>
        <w:shd w:val="clear" w:color="auto" w:fill="auto"/>
        <w:tabs>
          <w:tab w:pos="358" w:val="left"/>
        </w:tabs>
        <w:bidi w:val="0"/>
        <w:spacing w:before="0" w:after="0" w:line="240" w:lineRule="auto"/>
        <w:ind w:left="0" w:right="0" w:firstLine="0"/>
        <w:jc w:val="both"/>
      </w:pPr>
      <w:bookmarkStart w:id="812" w:name="bookmark812"/>
      <w:r>
        <w:rPr>
          <w:rFonts w:ascii="Times New Roman" w:eastAsia="Times New Roman" w:hAnsi="Times New Roman" w:cs="Times New Roman"/>
          <w:b/>
          <w:bCs/>
          <w:color w:val="000000"/>
          <w:spacing w:val="0"/>
          <w:w w:val="100"/>
          <w:position w:val="0"/>
        </w:rPr>
        <w:t>3</w:t>
      </w:r>
      <w:bookmarkEnd w:id="812"/>
      <w:r>
        <w:rPr>
          <w:b/>
          <w:bCs/>
          <w:color w:val="000000"/>
          <w:spacing w:val="0"/>
          <w:w w:val="100"/>
          <w:position w:val="0"/>
        </w:rPr>
        <w:t>、</w:t>
        <w:tab/>
        <w:t>按完工百分比法确认提供劳务的收入和建造合同收入的确认和计量原则</w:t>
      </w:r>
    </w:p>
    <w:p>
      <w:pPr>
        <w:pStyle w:val="Style23"/>
        <w:keepNext w:val="0"/>
        <w:keepLines w:val="0"/>
        <w:widowControl w:val="0"/>
        <w:shd w:val="clear" w:color="auto" w:fill="auto"/>
        <w:tabs>
          <w:tab w:pos="440" w:val="left"/>
        </w:tabs>
        <w:bidi w:val="0"/>
        <w:spacing w:before="0" w:after="0" w:line="314" w:lineRule="exact"/>
        <w:ind w:left="0" w:right="0" w:firstLine="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按完工百分比法确认提供劳务的收入和建造合同收入确认和计量的总体原则</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在资产负债表日提供劳务交易的结果能够可靠估计的，采用完工百分比法确认提供劳务收入。提供劳务交易的完工进度，依 据已经提供的劳务工时占应提供劳务工时总量的比例确定。</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在资产负债表日提供劳务交易结果不能够可靠估计的，分别下列情况处理：</w:t>
      </w:r>
    </w:p>
    <w:p>
      <w:pPr>
        <w:pStyle w:val="Style23"/>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814" w:name="bookmark814"/>
      <w:bookmarkEnd w:id="814"/>
      <w:r>
        <w:rPr>
          <w:color w:val="000000"/>
          <w:spacing w:val="0"/>
          <w:w w:val="100"/>
          <w:position w:val="0"/>
        </w:rPr>
        <w:t>已经发生的劳务成本预计能够得到补偿的,按照已经发生的劳务成本金额确认提供劳务收入，并按相同金额结转劳务成本。</w:t>
      </w:r>
    </w:p>
    <w:p>
      <w:pPr>
        <w:pStyle w:val="Style23"/>
        <w:keepNext w:val="0"/>
        <w:keepLines w:val="0"/>
        <w:widowControl w:val="0"/>
        <w:numPr>
          <w:ilvl w:val="0"/>
          <w:numId w:val="35"/>
        </w:numPr>
        <w:shd w:val="clear" w:color="auto" w:fill="auto"/>
        <w:tabs>
          <w:tab w:pos="373" w:val="left"/>
        </w:tabs>
        <w:bidi w:val="0"/>
        <w:spacing w:before="0" w:after="0" w:line="314" w:lineRule="exact"/>
        <w:ind w:left="0" w:right="0" w:firstLine="0"/>
        <w:jc w:val="both"/>
      </w:pPr>
      <w:bookmarkStart w:id="815" w:name="bookmark815"/>
      <w:bookmarkEnd w:id="815"/>
      <w:r>
        <w:rPr>
          <w:color w:val="000000"/>
          <w:spacing w:val="0"/>
          <w:w w:val="100"/>
          <w:position w:val="0"/>
        </w:rPr>
        <w:t>已经发生的劳务成本预计不能够得到补偿的，将已经发生的劳务成本计入当期损益，不确认提供劳务收入。</w:t>
      </w:r>
    </w:p>
    <w:p>
      <w:pPr>
        <w:pStyle w:val="Style23"/>
        <w:keepNext w:val="0"/>
        <w:keepLines w:val="0"/>
        <w:widowControl w:val="0"/>
        <w:shd w:val="clear" w:color="auto" w:fill="auto"/>
        <w:tabs>
          <w:tab w:pos="440" w:val="left"/>
        </w:tabs>
        <w:bidi w:val="0"/>
        <w:spacing w:before="0" w:after="0" w:line="314" w:lineRule="exact"/>
        <w:ind w:left="0" w:right="0" w:firstLine="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2）</w:t>
        <w:tab/>
      </w:r>
      <w:r>
        <w:rPr>
          <w:color w:val="000000"/>
          <w:spacing w:val="0"/>
          <w:w w:val="100"/>
          <w:position w:val="0"/>
        </w:rPr>
        <w:t>本公司按完工百分比法确认提供劳务的收入和建造合同收入时，提供劳</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务收入和建造合同收入的确认标准，确定提供劳务交易完工进度以及建造合同完工百分比的依据和方法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本公司提供劳务交易的完工进度，依据已完成工作的工时占应提供劳务总工时的比例确定。</w:t>
      </w:r>
    </w:p>
    <w:p>
      <w:pPr>
        <w:pStyle w:val="Style23"/>
        <w:keepNext w:val="0"/>
        <w:keepLines w:val="0"/>
        <w:widowControl w:val="0"/>
        <w:shd w:val="clear" w:color="auto" w:fill="auto"/>
        <w:tabs>
          <w:tab w:pos="440" w:val="left"/>
        </w:tabs>
        <w:bidi w:val="0"/>
        <w:spacing w:before="0" w:after="0" w:line="314" w:lineRule="exact"/>
        <w:ind w:left="0" w:right="0" w:firstLine="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3）</w:t>
        <w:tab/>
      </w:r>
      <w:r>
        <w:rPr>
          <w:color w:val="000000"/>
          <w:spacing w:val="0"/>
          <w:w w:val="100"/>
          <w:position w:val="0"/>
        </w:rPr>
        <w:t>关于本公司按完工百分比法确认提供劳务的收入和建造合同收入相应的业务特点分析和介绍</w:t>
      </w:r>
    </w:p>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本公司按完工百分比法确认提供劳务的收入的主要是</w:t>
      </w:r>
      <w:r>
        <w:rPr>
          <w:color w:val="000000"/>
          <w:spacing w:val="0"/>
          <w:w w:val="100"/>
          <w:position w:val="0"/>
          <w:sz w:val="18"/>
          <w:szCs w:val="18"/>
        </w:rPr>
        <w:t>ERP</w:t>
      </w:r>
      <w:r>
        <w:rPr>
          <w:color w:val="000000"/>
          <w:spacing w:val="0"/>
          <w:w w:val="100"/>
          <w:position w:val="0"/>
        </w:rPr>
        <w:t>软件实施服务、外包服务，公司</w:t>
      </w:r>
      <w:r>
        <w:rPr>
          <w:color w:val="000000"/>
          <w:spacing w:val="0"/>
          <w:w w:val="100"/>
          <w:position w:val="0"/>
          <w:sz w:val="18"/>
          <w:szCs w:val="18"/>
        </w:rPr>
        <w:t>ERP</w:t>
      </w:r>
      <w:r>
        <w:rPr>
          <w:color w:val="000000"/>
          <w:spacing w:val="0"/>
          <w:w w:val="100"/>
          <w:position w:val="0"/>
        </w:rPr>
        <w:t>实施项目、外包服务有两种合 同形式：约定服务费用单价的按人天计费项目和约定合同总金额的固定总价项目。</w:t>
      </w:r>
    </w:p>
    <w:p>
      <w:pPr>
        <w:pStyle w:val="Style23"/>
        <w:keepNext w:val="0"/>
        <w:keepLines w:val="0"/>
        <w:widowControl w:val="0"/>
        <w:shd w:val="clear" w:color="auto" w:fill="auto"/>
        <w:bidi w:val="0"/>
        <w:spacing w:before="0" w:after="0" w:line="336" w:lineRule="exact"/>
        <w:ind w:left="0" w:right="0" w:firstLine="0"/>
        <w:jc w:val="both"/>
      </w:pPr>
      <w:r>
        <w:rPr>
          <w:color w:val="000000"/>
          <w:spacing w:val="0"/>
          <w:w w:val="100"/>
          <w:position w:val="0"/>
        </w:rPr>
        <w:t>按人天计费项目，资产负债表日确认的某项目当期收入=该项目当期实际发生的人天数</w:t>
      </w:r>
      <w:r>
        <w:rPr>
          <w:color w:val="000000"/>
          <w:spacing w:val="0"/>
          <w:w w:val="100"/>
          <w:position w:val="0"/>
          <w:sz w:val="18"/>
          <w:szCs w:val="18"/>
        </w:rPr>
        <w:t>X</w:t>
      </w:r>
      <w:r>
        <w:rPr>
          <w:color w:val="000000"/>
          <w:spacing w:val="0"/>
          <w:w w:val="100"/>
          <w:position w:val="0"/>
        </w:rPr>
        <w:t>约定的人天单价，实际发生的人天 数以客户在说明顾问工作内容及天数的表单上签字确认的人天数为依据。</w:t>
      </w:r>
    </w:p>
    <w:p>
      <w:pPr>
        <w:pStyle w:val="Style23"/>
        <w:keepNext w:val="0"/>
        <w:keepLines w:val="0"/>
        <w:widowControl w:val="0"/>
        <w:shd w:val="clear" w:color="auto" w:fill="auto"/>
        <w:bidi w:val="0"/>
        <w:spacing w:before="0" w:after="0" w:line="300" w:lineRule="exact"/>
        <w:ind w:left="0" w:right="0" w:firstLine="0"/>
        <w:jc w:val="both"/>
      </w:pPr>
      <w:r>
        <w:rPr>
          <w:color w:val="000000"/>
          <w:spacing w:val="0"/>
          <w:w w:val="100"/>
          <w:position w:val="0"/>
        </w:rPr>
        <w:t>固定总价项目是指本公司和客户根据在售前阶段确认的实施内容及范围的基础上，协商得出合同总价，按合同金额执行，而 不是按实际所发生的人天计费的项目。此类项目资产负债表日确认的某项目当期收入=此项目累计投入人天数/此项目预计总 天数</w:t>
      </w:r>
      <w:r>
        <w:rPr>
          <w:color w:val="000000"/>
          <w:spacing w:val="0"/>
          <w:w w:val="100"/>
          <w:position w:val="0"/>
          <w:sz w:val="18"/>
          <w:szCs w:val="18"/>
        </w:rPr>
        <w:t>X</w:t>
      </w:r>
      <w:r>
        <w:rPr>
          <w:color w:val="000000"/>
          <w:spacing w:val="0"/>
          <w:w w:val="100"/>
          <w:position w:val="0"/>
        </w:rPr>
        <w:t>合同总价-前期已确认收入。</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客户支持服务按照合同约定的收入总额在提供服务期限内平均分摊确认收入。</w:t>
      </w:r>
    </w:p>
    <w:p>
      <w:pPr>
        <w:pStyle w:val="Style23"/>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扫描加工等数据处理服务等长期为客户提供重复的劳务收取的劳务费，在相关劳务活动发生时确认收入，按照提供的劳务数 量乘以合同约定的劳务单价确认收入。</w:t>
      </w:r>
    </w:p>
    <w:p>
      <w:pPr>
        <w:pStyle w:val="Style26"/>
        <w:keepNext/>
        <w:keepLines/>
        <w:widowControl w:val="0"/>
        <w:shd w:val="clear" w:color="auto" w:fill="auto"/>
        <w:bidi w:val="0"/>
        <w:spacing w:before="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18"/>
      <w:bookmarkEnd w:id="819"/>
      <w:bookmarkEnd w:id="821"/>
    </w:p>
    <w:p>
      <w:pPr>
        <w:pStyle w:val="Style2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）与资产相关的政府补助判断依据及会计处理方法</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与资产相关的政府补助，是指本公司取得的、用于购建或以其他方式形成长期资产的政府补助，包括购买固定资产或无形资 产的财政拨款、固定资产专门借款的财政贴息等。</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本公司将政府补助划分为与资产相关的具体标准为：是指企业取得的、用于购建或以其他方式形成长期资产的政府补助，包 括购买固定资产或无形资产的财政拨款、固定资产专门借款的财政贴息等。</w:t>
      </w:r>
    </w:p>
    <w:p>
      <w:pPr>
        <w:pStyle w:val="Style2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政府补助在实际收到款项时按照到账的实际金额确认和计量。只有存在确凿证据表明该项补助是按照固定的定额标准拨付的 以及有确凿证据表明能够符合财政扶持政策规定的相关条件且预计能够收到财政扶持资金时，可以按应收金额予以确认和计 量。</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2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）与收益相关的政府补助判断依据及会计处理方法</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与收益相关的政府补助，是指除与资产相关的政府补助之外的政府补助。</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本公司将政府补助划分为与收益相关的具体标准为：是指除与资产相关的政府补助之外的政府补助。</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对于政府文件未明确规定补助对象的，本公司将该政府补助划分为与收益相关。</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政府补助在实际收到款项时按照到账的实际金额确认和计量。只有存在确凿证据表明该项补助是按照固定的定额标准拨付的 以及有确凿证据表明能够符合财政扶持政策规定的相关条件且预计能够收到财政扶持资金时，可以按应收金额予以确认和计 量。</w:t>
      </w:r>
    </w:p>
    <w:p>
      <w:pPr>
        <w:pStyle w:val="Style2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与收益相关的政府补助，用于补偿本公司以后期间的相关费用或损失的，取得时确认为递延收益，在确认相关费用的期间计 入当期营业外收入；用于补偿本公司已发生的相关费用或损失的，取得时直接计入当期营业外收入。</w:t>
      </w:r>
    </w:p>
    <w:p>
      <w:pPr>
        <w:pStyle w:val="Style26"/>
        <w:keepNext/>
        <w:keepLines/>
        <w:widowControl w:val="0"/>
        <w:shd w:val="clear" w:color="auto" w:fill="auto"/>
        <w:tabs>
          <w:tab w:pos="484" w:val="left"/>
        </w:tabs>
        <w:bidi w:val="0"/>
        <w:spacing w:before="0" w:after="28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3</w:t>
      </w:r>
      <w:bookmarkEnd w:id="82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22"/>
      <w:bookmarkEnd w:id="823"/>
      <w:bookmarkEnd w:id="825"/>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对于应纳税暂时性差异，除特殊情况外，确认递延所得税负债。</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2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26"/>
        <w:keepNext/>
        <w:keepLines/>
        <w:widowControl w:val="0"/>
        <w:shd w:val="clear" w:color="auto" w:fill="auto"/>
        <w:tabs>
          <w:tab w:pos="484" w:val="left"/>
        </w:tabs>
        <w:bidi w:val="0"/>
        <w:spacing w:before="0" w:line="240" w:lineRule="auto"/>
        <w:ind w:left="0" w:right="0" w:firstLine="0"/>
        <w:jc w:val="both"/>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3</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826"/>
      <w:bookmarkEnd w:id="827"/>
      <w:bookmarkEnd w:id="829"/>
    </w:p>
    <w:p>
      <w:pPr>
        <w:pStyle w:val="Style23"/>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23"/>
        <w:keepNext w:val="0"/>
        <w:keepLines w:val="0"/>
        <w:widowControl w:val="0"/>
        <w:shd w:val="clear" w:color="auto" w:fill="auto"/>
        <w:tabs>
          <w:tab w:pos="537" w:val="left"/>
        </w:tabs>
        <w:bidi w:val="0"/>
        <w:spacing w:before="0" w:after="0" w:line="317" w:lineRule="exact"/>
        <w:ind w:left="0" w:right="0" w:firstLine="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3"/>
        <w:keepNext w:val="0"/>
        <w:keepLines w:val="0"/>
        <w:widowControl w:val="0"/>
        <w:shd w:val="clear" w:color="auto" w:fill="auto"/>
        <w:tabs>
          <w:tab w:pos="537" w:val="left"/>
        </w:tabs>
        <w:bidi w:val="0"/>
        <w:spacing w:before="0" w:after="0" w:line="317"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付的与租赁交易相关的初始直接费用，计入当期费用；如金额较大的，则予以资本化，在整个租赁期间内按照与租赁相关收 入确认相同的基础分期计入当期收益。</w:t>
      </w:r>
    </w:p>
    <w:p>
      <w:pPr>
        <w:pStyle w:val="Style2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26"/>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3</w:t>
      </w:r>
      <w:bookmarkEnd w:id="834"/>
      <w:r>
        <w:rPr>
          <w:rFonts w:ascii="Times New Roman" w:eastAsia="Times New Roman" w:hAnsi="Times New Roman" w:cs="Times New Roman"/>
          <w:color w:val="000000"/>
          <w:spacing w:val="0"/>
          <w:w w:val="100"/>
          <w:position w:val="0"/>
        </w:rPr>
        <w:t>2</w:t>
      </w:r>
      <w:r>
        <w:rPr>
          <w:color w:val="000000"/>
          <w:spacing w:val="0"/>
          <w:w w:val="100"/>
          <w:position w:val="0"/>
        </w:rPr>
        <w:t>、其他重要的会计政策和会计估计</w:t>
      </w:r>
      <w:bookmarkEnd w:id="832"/>
      <w:bookmarkEnd w:id="833"/>
      <w:bookmarkEnd w:id="835"/>
    </w:p>
    <w:p>
      <w:pPr>
        <w:pStyle w:val="Style23"/>
        <w:keepNext w:val="0"/>
        <w:keepLines w:val="0"/>
        <w:widowControl w:val="0"/>
        <w:numPr>
          <w:ilvl w:val="0"/>
          <w:numId w:val="37"/>
        </w:numPr>
        <w:shd w:val="clear" w:color="auto" w:fill="auto"/>
        <w:tabs>
          <w:tab w:pos="306" w:val="left"/>
        </w:tabs>
        <w:bidi w:val="0"/>
        <w:spacing w:before="0" w:after="0" w:line="240" w:lineRule="auto"/>
        <w:ind w:left="0" w:right="0" w:firstLine="0"/>
        <w:jc w:val="left"/>
      </w:pPr>
      <w:bookmarkStart w:id="836" w:name="bookmark836"/>
      <w:bookmarkEnd w:id="836"/>
      <w:r>
        <w:rPr>
          <w:b/>
          <w:bCs/>
          <w:color w:val="000000"/>
          <w:spacing w:val="0"/>
          <w:w w:val="100"/>
          <w:position w:val="0"/>
        </w:rPr>
        <w:t>回购本公司股份</w:t>
      </w:r>
    </w:p>
    <w:p>
      <w:pPr>
        <w:pStyle w:val="Style23"/>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本公司回购股份是按照股权激励方案的约定，将未达到解锁条件的限制性股票回购并注销。未达到限制性股票解锁条件而需 回购的股票，按照应支付的金额，按照应支付的金额，借记</w:t>
      </w:r>
      <w:r>
        <w:rPr>
          <w:rFonts w:ascii="Times New Roman" w:eastAsia="Times New Roman" w:hAnsi="Times New Roman" w:cs="Times New Roman"/>
          <w:color w:val="000000"/>
          <w:spacing w:val="0"/>
          <w:w w:val="100"/>
          <w:position w:val="0"/>
        </w:rPr>
        <w:t>“</w:t>
      </w:r>
      <w:r>
        <w:rPr>
          <w:color w:val="000000"/>
          <w:spacing w:val="0"/>
          <w:w w:val="100"/>
          <w:position w:val="0"/>
        </w:rPr>
        <w:t>其他应付款</w:t>
      </w:r>
      <w:r>
        <w:rPr>
          <w:color w:val="000000"/>
          <w:spacing w:val="0"/>
          <w:w w:val="100"/>
          <w:position w:val="0"/>
        </w:rPr>
        <w:t>一</w:t>
      </w:r>
      <w:r>
        <w:rPr>
          <w:color w:val="000000"/>
          <w:spacing w:val="0"/>
          <w:w w:val="100"/>
          <w:position w:val="0"/>
        </w:rPr>
        <w:t>限制性股票回购义务</w:t>
      </w:r>
      <w:r>
        <w:rPr>
          <w:rFonts w:ascii="Times New Roman" w:eastAsia="Times New Roman" w:hAnsi="Times New Roman" w:cs="Times New Roman"/>
          <w:color w:val="000000"/>
          <w:spacing w:val="0"/>
          <w:w w:val="100"/>
          <w:position w:val="0"/>
        </w:rPr>
        <w:t>”</w:t>
      </w:r>
      <w:r>
        <w:rPr>
          <w:color w:val="000000"/>
          <w:spacing w:val="0"/>
          <w:w w:val="100"/>
          <w:position w:val="0"/>
        </w:rPr>
        <w:t>等科目，贷记</w:t>
      </w:r>
      <w:r>
        <w:rPr>
          <w:rFonts w:ascii="Times New Roman" w:eastAsia="Times New Roman" w:hAnsi="Times New Roman" w:cs="Times New Roman"/>
          <w:color w:val="000000"/>
          <w:spacing w:val="0"/>
          <w:w w:val="100"/>
          <w:position w:val="0"/>
        </w:rPr>
        <w:t>“</w:t>
      </w:r>
      <w:r>
        <w:rPr>
          <w:color w:val="000000"/>
          <w:spacing w:val="0"/>
          <w:w w:val="100"/>
          <w:position w:val="0"/>
        </w:rPr>
        <w:t>银行存款</w:t>
      </w:r>
      <w:r>
        <w:rPr>
          <w:rFonts w:ascii="Times New Roman" w:eastAsia="Times New Roman" w:hAnsi="Times New Roman" w:cs="Times New Roman"/>
          <w:color w:val="000000"/>
          <w:spacing w:val="0"/>
          <w:w w:val="100"/>
          <w:position w:val="0"/>
        </w:rPr>
        <w:t xml:space="preserve">” </w:t>
      </w:r>
      <w:r>
        <w:rPr>
          <w:color w:val="000000"/>
          <w:spacing w:val="0"/>
          <w:w w:val="100"/>
          <w:position w:val="0"/>
        </w:rPr>
        <w:t>等科目；同时，按照注销的限制性股票数量相对应的股本金额，借记</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科目，按照注销的限制性股票数量相对应的库存 股的账面价值，贷记</w:t>
      </w:r>
      <w:r>
        <w:rPr>
          <w:rFonts w:ascii="Times New Roman" w:eastAsia="Times New Roman" w:hAnsi="Times New Roman" w:cs="Times New Roman"/>
          <w:color w:val="000000"/>
          <w:spacing w:val="0"/>
          <w:w w:val="100"/>
          <w:position w:val="0"/>
        </w:rPr>
        <w:t>“</w:t>
      </w:r>
      <w:r>
        <w:rPr>
          <w:color w:val="000000"/>
          <w:spacing w:val="0"/>
          <w:w w:val="100"/>
          <w:position w:val="0"/>
        </w:rPr>
        <w:t>库存股</w:t>
      </w:r>
      <w:r>
        <w:rPr>
          <w:rFonts w:ascii="Times New Roman" w:eastAsia="Times New Roman" w:hAnsi="Times New Roman" w:cs="Times New Roman"/>
          <w:color w:val="000000"/>
          <w:spacing w:val="0"/>
          <w:w w:val="100"/>
          <w:position w:val="0"/>
        </w:rPr>
        <w:t>”</w:t>
      </w:r>
      <w:r>
        <w:rPr>
          <w:color w:val="000000"/>
          <w:spacing w:val="0"/>
          <w:w w:val="100"/>
          <w:position w:val="0"/>
        </w:rPr>
        <w:t>科目，按其差额，借记</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color w:val="000000"/>
          <w:spacing w:val="0"/>
          <w:w w:val="100"/>
          <w:position w:val="0"/>
        </w:rPr>
        <w:t>一</w:t>
      </w:r>
      <w:r>
        <w:rPr>
          <w:color w:val="000000"/>
          <w:spacing w:val="0"/>
          <w:w w:val="100"/>
          <w:position w:val="0"/>
        </w:rPr>
        <w:t>股本溢价</w:t>
      </w:r>
      <w:r>
        <w:rPr>
          <w:rFonts w:ascii="Times New Roman" w:eastAsia="Times New Roman" w:hAnsi="Times New Roman" w:cs="Times New Roman"/>
          <w:color w:val="000000"/>
          <w:spacing w:val="0"/>
          <w:w w:val="100"/>
          <w:position w:val="0"/>
        </w:rPr>
        <w:t>”</w:t>
      </w:r>
      <w:r>
        <w:rPr>
          <w:color w:val="000000"/>
          <w:spacing w:val="0"/>
          <w:w w:val="100"/>
          <w:position w:val="0"/>
        </w:rPr>
        <w:t>科目。</w:t>
      </w:r>
    </w:p>
    <w:p>
      <w:pPr>
        <w:pStyle w:val="Style23"/>
        <w:keepNext w:val="0"/>
        <w:keepLines w:val="0"/>
        <w:widowControl w:val="0"/>
        <w:numPr>
          <w:ilvl w:val="0"/>
          <w:numId w:val="37"/>
        </w:numPr>
        <w:shd w:val="clear" w:color="auto" w:fill="auto"/>
        <w:tabs>
          <w:tab w:pos="320" w:val="left"/>
        </w:tabs>
        <w:bidi w:val="0"/>
        <w:spacing w:before="0" w:after="0" w:line="240" w:lineRule="auto"/>
        <w:ind w:left="0" w:right="0" w:firstLine="0"/>
        <w:jc w:val="left"/>
      </w:pPr>
      <w:bookmarkStart w:id="837" w:name="bookmark837"/>
      <w:bookmarkEnd w:id="837"/>
      <w:r>
        <w:rPr>
          <w:b/>
          <w:bCs/>
          <w:color w:val="000000"/>
          <w:spacing w:val="0"/>
          <w:w w:val="100"/>
          <w:position w:val="0"/>
        </w:rPr>
        <w:t>其他非流动资产</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其他非流动资产包括：会员证、员工购房借款和预付长期资产购建款。</w:t>
      </w:r>
    </w:p>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会员证为已经发生但应由本期和以后各期负担的分摊期限在一年以上的费用。</w:t>
      </w:r>
    </w:p>
    <w:p>
      <w:pPr>
        <w:pStyle w:val="Style23"/>
        <w:keepNext w:val="0"/>
        <w:keepLines w:val="0"/>
        <w:widowControl w:val="0"/>
        <w:shd w:val="clear" w:color="auto" w:fill="auto"/>
        <w:tabs>
          <w:tab w:pos="677" w:val="left"/>
        </w:tabs>
        <w:bidi w:val="0"/>
        <w:spacing w:before="0" w:after="0" w:line="314" w:lineRule="exact"/>
        <w:ind w:left="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摊销方法</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其他非流动资产在受益期内平均摊销</w:t>
      </w:r>
    </w:p>
    <w:p>
      <w:pPr>
        <w:pStyle w:val="Style23"/>
        <w:keepNext w:val="0"/>
        <w:keepLines w:val="0"/>
        <w:widowControl w:val="0"/>
        <w:shd w:val="clear" w:color="auto" w:fill="auto"/>
        <w:tabs>
          <w:tab w:pos="677" w:val="left"/>
        </w:tabs>
        <w:bidi w:val="0"/>
        <w:spacing w:before="0" w:after="0" w:line="314" w:lineRule="exact"/>
        <w:ind w:left="0" w:right="0" w:firstLine="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摊销年限</w:t>
      </w:r>
    </w:p>
    <w:tbl>
      <w:tblPr>
        <w:tblOverlap w:val="never"/>
        <w:jc w:val="center"/>
        <w:tblLayout w:type="fixed"/>
      </w:tblPr>
      <w:tblGrid>
        <w:gridCol w:w="5069"/>
        <w:gridCol w:w="4608"/>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会员证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bl>
    <w:p>
      <w:pPr>
        <w:pStyle w:val="Style33"/>
        <w:keepNext w:val="0"/>
        <w:keepLines w:val="0"/>
        <w:widowControl w:val="0"/>
        <w:shd w:val="clear" w:color="auto" w:fill="auto"/>
        <w:tabs>
          <w:tab w:pos="28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员工购房借款系根据公司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月制订的《员工购房借款福利管理办法》，公司向符合条件的员工提 供购房借款，在</w:t>
      </w:r>
      <w:r>
        <w:rPr>
          <w:rFonts w:ascii="Times New Roman" w:eastAsia="Times New Roman" w:hAnsi="Times New Roman" w:cs="Times New Roman"/>
          <w:color w:val="000000"/>
          <w:spacing w:val="0"/>
          <w:w w:val="100"/>
          <w:position w:val="0"/>
        </w:rPr>
        <w:t>3</w:t>
      </w:r>
      <w:r>
        <w:rPr>
          <w:color w:val="000000"/>
          <w:spacing w:val="0"/>
          <w:w w:val="100"/>
          <w:position w:val="0"/>
        </w:rPr>
        <w:t>年内通过工资扣款归还，借款时计入其他非流动资产，归还时冲减其他非流动资产。</w:t>
      </w:r>
    </w:p>
    <w:p>
      <w:pPr>
        <w:pStyle w:val="Style23"/>
        <w:keepNext w:val="0"/>
        <w:keepLines w:val="0"/>
        <w:widowControl w:val="0"/>
        <w:shd w:val="clear" w:color="auto" w:fill="auto"/>
        <w:tabs>
          <w:tab w:pos="354" w:val="left"/>
        </w:tabs>
        <w:bidi w:val="0"/>
        <w:spacing w:before="0" w:after="360" w:line="314" w:lineRule="exact"/>
        <w:ind w:left="0" w:right="0" w:firstLine="0"/>
        <w:jc w:val="left"/>
      </w:pPr>
      <w:bookmarkStart w:id="840" w:name="bookmark840"/>
      <w:r>
        <w:rPr>
          <w:rFonts w:ascii="Times New Roman" w:eastAsia="Times New Roman" w:hAnsi="Times New Roman" w:cs="Times New Roman"/>
          <w:color w:val="000000"/>
          <w:spacing w:val="0"/>
          <w:w w:val="100"/>
          <w:position w:val="0"/>
        </w:rPr>
        <w:t>3</w:t>
      </w:r>
      <w:bookmarkEnd w:id="840"/>
      <w:r>
        <w:rPr>
          <w:color w:val="000000"/>
          <w:spacing w:val="0"/>
          <w:w w:val="100"/>
          <w:position w:val="0"/>
        </w:rPr>
        <w:t>、</w:t>
        <w:tab/>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长期资产购建款系公司购建长期股权投资、固定资产、在建工程等的预付款项，支付时计入其他非流动 资产，满足结转条件计入长期股权投资、固定资产、在建工程等长期资产。</w:t>
      </w:r>
    </w:p>
    <w:p>
      <w:pPr>
        <w:pStyle w:val="Style26"/>
        <w:keepNext/>
        <w:keepLines/>
        <w:widowControl w:val="0"/>
        <w:shd w:val="clear" w:color="auto" w:fill="auto"/>
        <w:bidi w:val="0"/>
        <w:spacing w:before="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3</w:t>
      </w:r>
      <w:bookmarkEnd w:id="843"/>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841"/>
      <w:bookmarkEnd w:id="842"/>
      <w:bookmarkEnd w:id="844"/>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33"/>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35"/>
        <w:gridCol w:w="3230"/>
        <w:gridCol w:w="32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 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号》文</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将企业经营活动发生的房产税、土地使用 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tabs>
          <w:tab w:pos="344" w:val="left"/>
        </w:tabs>
        <w:bidi w:val="0"/>
        <w:spacing w:before="0" w:after="0" w:line="240" w:lineRule="auto"/>
        <w:ind w:left="0" w:right="0" w:firstLine="0"/>
        <w:jc w:val="left"/>
      </w:pPr>
      <w:bookmarkStart w:id="845" w:name="bookmark845"/>
      <w:r>
        <w:rPr>
          <w:rFonts w:ascii="Times New Roman" w:eastAsia="Times New Roman" w:hAnsi="Times New Roman" w:cs="Times New Roman"/>
          <w:b/>
          <w:bCs/>
          <w:color w:val="000000"/>
          <w:spacing w:val="0"/>
          <w:w w:val="100"/>
          <w:position w:val="0"/>
        </w:rPr>
        <w:t>1</w:t>
      </w:r>
      <w:bookmarkEnd w:id="845"/>
      <w:r>
        <w:rPr>
          <w:b/>
          <w:bCs/>
          <w:color w:val="000000"/>
          <w:spacing w:val="0"/>
          <w:w w:val="100"/>
          <w:position w:val="0"/>
        </w:rPr>
        <w:t>、</w:t>
        <w:tab/>
        <w:t>会计政策变更的性质、内容和原因。</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日起发生的相关交易。根 据该规定，本公司：</w:t>
      </w:r>
    </w:p>
    <w:p>
      <w:pPr>
        <w:pStyle w:val="Style23"/>
        <w:keepNext w:val="0"/>
        <w:keepLines w:val="0"/>
        <w:widowControl w:val="0"/>
        <w:shd w:val="clear" w:color="auto" w:fill="auto"/>
        <w:tabs>
          <w:tab w:pos="456" w:val="left"/>
        </w:tabs>
        <w:bidi w:val="0"/>
        <w:spacing w:before="0" w:after="0" w:line="326" w:lineRule="exact"/>
        <w:ind w:left="0" w:right="0" w:firstLine="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1</w:t>
      </w:r>
      <w:r>
        <w:rPr>
          <w:color w:val="000000"/>
          <w:spacing w:val="0"/>
          <w:w w:val="100"/>
          <w:position w:val="0"/>
        </w:rPr>
        <w:t>）</w:t>
        <w:tab/>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项目，比较报表数据相应调整。</w:t>
      </w:r>
    </w:p>
    <w:p>
      <w:pPr>
        <w:pStyle w:val="Style23"/>
        <w:keepNext w:val="0"/>
        <w:keepLines w:val="0"/>
        <w:widowControl w:val="0"/>
        <w:shd w:val="clear" w:color="auto" w:fill="auto"/>
        <w:tabs>
          <w:tab w:pos="541" w:val="left"/>
        </w:tabs>
        <w:bidi w:val="0"/>
        <w:spacing w:before="0" w:after="100" w:line="326" w:lineRule="exact"/>
        <w:ind w:left="0" w:right="0" w:firstLine="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将企业经营活动发生的房产税、土地使用税、车船使用税、印花税从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项目。比 较数据不予调整。</w:t>
      </w:r>
    </w:p>
    <w:p>
      <w:pPr>
        <w:pStyle w:val="Style23"/>
        <w:keepNext w:val="0"/>
        <w:keepLines w:val="0"/>
        <w:widowControl w:val="0"/>
        <w:shd w:val="clear" w:color="auto" w:fill="auto"/>
        <w:tabs>
          <w:tab w:pos="358" w:val="left"/>
        </w:tabs>
        <w:bidi w:val="0"/>
        <w:spacing w:before="0" w:after="100" w:line="240" w:lineRule="auto"/>
        <w:ind w:left="0" w:right="0" w:firstLine="0"/>
        <w:jc w:val="left"/>
      </w:pPr>
      <w:bookmarkStart w:id="848" w:name="bookmark848"/>
      <w:r>
        <w:rPr>
          <w:rFonts w:ascii="Times New Roman" w:eastAsia="Times New Roman" w:hAnsi="Times New Roman" w:cs="Times New Roman"/>
          <w:b/>
          <w:bCs/>
          <w:color w:val="000000"/>
          <w:spacing w:val="0"/>
          <w:w w:val="100"/>
          <w:position w:val="0"/>
        </w:rPr>
        <w:t>2</w:t>
      </w:r>
      <w:bookmarkEnd w:id="848"/>
      <w:r>
        <w:rPr>
          <w:b/>
          <w:bCs/>
          <w:color w:val="000000"/>
          <w:spacing w:val="0"/>
          <w:w w:val="100"/>
          <w:position w:val="0"/>
        </w:rPr>
        <w:t>、</w:t>
        <w:tab/>
        <w:t>当期和各个列报前期财务报表中受影响的项目名称和调整金额。</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bl>
      <w:tblPr>
        <w:tblOverlap w:val="never"/>
        <w:jc w:val="center"/>
        <w:tblLayout w:type="fixed"/>
      </w:tblPr>
      <w:tblGrid>
        <w:gridCol w:w="730"/>
        <w:gridCol w:w="2040"/>
        <w:gridCol w:w="1354"/>
        <w:gridCol w:w="1906"/>
        <w:gridCol w:w="1906"/>
        <w:gridCol w:w="1742"/>
      </w:tblGrid>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会计政策变更的内容和原 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影响金额（</w:t>
            </w: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r>
              <w:rPr>
                <w:rFonts w:ascii="Times New Roman" w:eastAsia="Times New Roman" w:hAnsi="Times New Roman" w:cs="Times New Roman"/>
                <w:color w:val="000000"/>
                <w:spacing w:val="0"/>
                <w:w w:val="100"/>
                <w:position w:val="0"/>
              </w:rPr>
              <w:t>2015</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730"/>
        <w:gridCol w:w="2040"/>
        <w:gridCol w:w="1354"/>
        <w:gridCol w:w="1906"/>
        <w:gridCol w:w="1906"/>
        <w:gridCol w:w="1742"/>
      </w:tblGrid>
      <w:tr>
        <w:trPr>
          <w:trHeight w:val="9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 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center"/>
            </w:pPr>
            <w:r>
              <w:rPr>
                <w:color w:val="000000"/>
                <w:spacing w:val="0"/>
                <w:w w:val="100"/>
                <w:position w:val="0"/>
              </w:rPr>
              <w:t>根据《财会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[2016]22</w:t>
            </w:r>
            <w:r>
              <w:rPr>
                <w:color w:val="000000"/>
                <w:spacing w:val="0"/>
                <w:w w:val="100"/>
                <w:position w:val="0"/>
              </w:rPr>
              <w:t>号》文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9,211,280.78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5,710,837.12</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 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根据《财会</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[2016]22</w:t>
            </w:r>
            <w:r>
              <w:rPr>
                <w:color w:val="000000"/>
                <w:spacing w:val="0"/>
                <w:w w:val="100"/>
                <w:position w:val="0"/>
              </w:rPr>
              <w:t>号》文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D0D0D"/>
                <w:spacing w:val="0"/>
                <w:w w:val="100"/>
                <w:position w:val="0"/>
              </w:rPr>
              <w:t>-9,211,280.78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-5,710,837.12</w:t>
            </w:r>
          </w:p>
        </w:tc>
      </w:tr>
    </w:tbl>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⑵将企业经营活动发生的房产税、土地使用税、车船使用税、印花税从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bl>
      <w:tblPr>
        <w:tblOverlap w:val="never"/>
        <w:jc w:val="center"/>
        <w:tblLayout w:type="fixed"/>
      </w:tblPr>
      <w:tblGrid>
        <w:gridCol w:w="730"/>
        <w:gridCol w:w="3398"/>
        <w:gridCol w:w="1987"/>
        <w:gridCol w:w="1843"/>
        <w:gridCol w:w="1718"/>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影响金额（</w:t>
            </w:r>
            <w:r>
              <w:rPr>
                <w:rFonts w:ascii="Times New Roman" w:eastAsia="Times New Roman" w:hAnsi="Times New Roman" w:cs="Times New Roman"/>
                <w:color w:val="000000"/>
                <w:spacing w:val="0"/>
                <w:w w:val="100"/>
                <w:position w:val="0"/>
              </w:rPr>
              <w:t>2016</w:t>
            </w:r>
            <w:r>
              <w:rPr>
                <w:color w:val="000000"/>
                <w:spacing w:val="0"/>
                <w:w w:val="100"/>
                <w:position w:val="0"/>
              </w:rPr>
              <w:t>年度）</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将企业经营活动发生的房产税、土地使用 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 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 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2,556,656.03</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将企业经营活动发生的房产税、土地使用 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 重分类至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根据《财会</w:t>
            </w:r>
            <w:r>
              <w:rPr>
                <w:rFonts w:ascii="Times New Roman" w:eastAsia="Times New Roman" w:hAnsi="Times New Roman" w:cs="Times New Roman"/>
                <w:color w:val="000000"/>
                <w:spacing w:val="0"/>
                <w:w w:val="100"/>
                <w:position w:val="0"/>
              </w:rPr>
              <w:t>[2016]22</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-2,556,656.03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14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849"/>
      <w:bookmarkEnd w:id="850"/>
      <w:bookmarkEnd w:id="85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3</w:t>
      </w:r>
      <w:bookmarkEnd w:id="855"/>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853"/>
      <w:bookmarkEnd w:id="854"/>
      <w:bookmarkEnd w:id="856"/>
    </w:p>
    <w:p>
      <w:pPr>
        <w:pStyle w:val="Style21"/>
        <w:keepNext/>
        <w:keepLines/>
        <w:widowControl w:val="0"/>
        <w:shd w:val="clear" w:color="auto" w:fill="auto"/>
        <w:bidi w:val="0"/>
        <w:spacing w:before="0" w:after="32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sz w:val="24"/>
          <w:szCs w:val="24"/>
        </w:rPr>
        <w:t>六</w:t>
      </w:r>
      <w:bookmarkEnd w:id="859"/>
      <w:r>
        <w:rPr>
          <w:color w:val="000000"/>
          <w:spacing w:val="0"/>
          <w:w w:val="100"/>
          <w:position w:val="0"/>
          <w:sz w:val="24"/>
          <w:szCs w:val="24"/>
        </w:rPr>
        <w:t>、税项</w:t>
      </w:r>
      <w:bookmarkEnd w:id="857"/>
      <w:bookmarkEnd w:id="858"/>
      <w:bookmarkEnd w:id="860"/>
    </w:p>
    <w:p>
      <w:pPr>
        <w:pStyle w:val="Style26"/>
        <w:keepNext/>
        <w:keepLines/>
        <w:widowControl w:val="0"/>
        <w:shd w:val="clear" w:color="auto" w:fill="auto"/>
        <w:bidi w:val="0"/>
        <w:spacing w:before="0" w:after="32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color w:val="000000"/>
          <w:spacing w:val="0"/>
          <w:w w:val="100"/>
          <w:position w:val="0"/>
        </w:rPr>
        <w:t>、主要税种及税率</w:t>
      </w:r>
      <w:bookmarkEnd w:id="861"/>
      <w:bookmarkEnd w:id="862"/>
      <w:bookmarkEnd w:id="86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按应税销售收入计缴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按应纳增值税、消费税、营业税税额计 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pPr>
            <w:r>
              <w:rPr>
                <w:color w:val="000000"/>
                <w:spacing w:val="0"/>
                <w:w w:val="100"/>
                <w:position w:val="0"/>
              </w:rPr>
              <w:t>按应税营业收入计缴（自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日起，营改增交纳增值税）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上海汉得信息技术股份有限公司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夏尔软件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随身科技</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line="1" w:lineRule="exact"/>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汉得融晶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汉得欧俊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汉得保理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汉得微扬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汉得新加坡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甄汇信息</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color w:val="000000"/>
          <w:spacing w:val="0"/>
          <w:w w:val="100"/>
          <w:position w:val="0"/>
        </w:rPr>
        <w:t>、境外子公司企业所得税税率</w:t>
      </w:r>
      <w:bookmarkEnd w:id="865"/>
      <w:bookmarkEnd w:id="866"/>
      <w:bookmarkEnd w:id="868"/>
    </w:p>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、子公司汉得日本法人税税率为课税所得的</w:t>
      </w:r>
      <w:r>
        <w:rPr>
          <w:rFonts w:ascii="Times New Roman" w:eastAsia="Times New Roman" w:hAnsi="Times New Roman" w:cs="Times New Roman"/>
          <w:color w:val="000000"/>
          <w:spacing w:val="0"/>
          <w:w w:val="100"/>
          <w:position w:val="0"/>
        </w:rPr>
        <w:t>25.5%</w:t>
      </w:r>
      <w:r>
        <w:rPr>
          <w:color w:val="000000"/>
          <w:spacing w:val="0"/>
          <w:w w:val="100"/>
          <w:position w:val="0"/>
        </w:rPr>
        <w:t>,课税留保金额的</w:t>
      </w:r>
      <w:r>
        <w:rPr>
          <w:rFonts w:ascii="Times New Roman" w:eastAsia="Times New Roman" w:hAnsi="Times New Roman" w:cs="Times New Roman"/>
          <w:color w:val="000000"/>
          <w:spacing w:val="0"/>
          <w:w w:val="100"/>
          <w:position w:val="0"/>
        </w:rPr>
        <w:t>10%</w:t>
      </w:r>
      <w:r>
        <w:rPr>
          <w:color w:val="000000"/>
          <w:spacing w:val="0"/>
          <w:w w:val="100"/>
          <w:position w:val="0"/>
        </w:rPr>
        <w:t>；地方法人税税率为法人税税额的</w:t>
      </w:r>
      <w:r>
        <w:rPr>
          <w:rFonts w:ascii="Times New Roman" w:eastAsia="Times New Roman" w:hAnsi="Times New Roman" w:cs="Times New Roman"/>
          <w:color w:val="000000"/>
          <w:spacing w:val="0"/>
          <w:w w:val="100"/>
          <w:position w:val="0"/>
        </w:rPr>
        <w:t>4.4%</w:t>
      </w:r>
      <w:r>
        <w:rPr>
          <w:color w:val="000000"/>
          <w:spacing w:val="0"/>
          <w:w w:val="100"/>
          <w:position w:val="0"/>
        </w:rPr>
        <w:t>；法人都民 税税率为法人税税额的</w:t>
      </w:r>
      <w:r>
        <w:rPr>
          <w:rFonts w:ascii="Times New Roman" w:eastAsia="Times New Roman" w:hAnsi="Times New Roman" w:cs="Times New Roman"/>
          <w:color w:val="000000"/>
          <w:spacing w:val="0"/>
          <w:w w:val="100"/>
          <w:position w:val="0"/>
        </w:rPr>
        <w:t>16.3%</w:t>
      </w:r>
      <w:r>
        <w:rPr>
          <w:color w:val="000000"/>
          <w:spacing w:val="0"/>
          <w:w w:val="100"/>
          <w:position w:val="0"/>
        </w:rPr>
        <w:t>加上定额</w:t>
      </w:r>
      <w:r>
        <w:rPr>
          <w:rFonts w:ascii="Times New Roman" w:eastAsia="Times New Roman" w:hAnsi="Times New Roman" w:cs="Times New Roman"/>
          <w:color w:val="000000"/>
          <w:spacing w:val="0"/>
          <w:w w:val="100"/>
          <w:position w:val="0"/>
        </w:rPr>
        <w:t>70,000</w:t>
      </w:r>
      <w:r>
        <w:rPr>
          <w:color w:val="000000"/>
          <w:spacing w:val="0"/>
          <w:w w:val="100"/>
          <w:position w:val="0"/>
        </w:rPr>
        <w:t xml:space="preserve">日元；法人事业税和地方法人特别税的税率如下（其中地方法人特别税减按 </w:t>
      </w:r>
      <w:r>
        <w:rPr>
          <w:rFonts w:ascii="Times New Roman" w:eastAsia="Times New Roman" w:hAnsi="Times New Roman" w:cs="Times New Roman"/>
          <w:color w:val="000000"/>
          <w:spacing w:val="0"/>
          <w:w w:val="100"/>
          <w:position w:val="0"/>
        </w:rPr>
        <w:t xml:space="preserve">43.2% </w:t>
      </w:r>
      <w:r>
        <w:rPr>
          <w:color w:val="000000"/>
          <w:spacing w:val="0"/>
          <w:w w:val="100"/>
          <w:position w:val="0"/>
        </w:rPr>
        <w:t>征收）：</w:t>
      </w:r>
    </w:p>
    <w:tbl>
      <w:tblPr>
        <w:tblOverlap w:val="never"/>
        <w:jc w:val="center"/>
        <w:tblLayout w:type="fixed"/>
      </w:tblPr>
      <w:tblGrid>
        <w:gridCol w:w="4138"/>
        <w:gridCol w:w="2789"/>
        <w:gridCol w:w="2750"/>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课税所得额</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法人事业税</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地方法人特别税</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0-400</w:t>
            </w:r>
            <w:r>
              <w:rPr>
                <w:color w:val="000000"/>
                <w:spacing w:val="0"/>
                <w:w w:val="100"/>
                <w:position w:val="0"/>
              </w:rPr>
              <w:t>万日元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3.40%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400-800</w:t>
            </w:r>
            <w:r>
              <w:rPr>
                <w:color w:val="000000"/>
                <w:spacing w:val="0"/>
                <w:w w:val="100"/>
                <w:position w:val="0"/>
              </w:rPr>
              <w:t>万日元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5.10%</w:t>
            </w:r>
          </w:p>
        </w:tc>
      </w:tr>
      <w:tr>
        <w:trPr>
          <w:trHeight w:val="3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r>
              <w:rPr>
                <w:color w:val="000000"/>
                <w:spacing w:val="0"/>
                <w:w w:val="100"/>
                <w:position w:val="0"/>
              </w:rPr>
              <w:t>万日元以上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6.70%</w:t>
            </w:r>
          </w:p>
        </w:tc>
      </w:tr>
    </w:tbl>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、汉得俄亥俄州、汉得加利福尼亚州</w:t>
      </w:r>
    </w:p>
    <w:tbl>
      <w:tblPr>
        <w:tblOverlap w:val="never"/>
        <w:jc w:val="center"/>
        <w:tblLayout w:type="fixed"/>
      </w:tblPr>
      <w:tblGrid>
        <w:gridCol w:w="5290"/>
        <w:gridCol w:w="4387"/>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w:t>
            </w:r>
            <w:r>
              <w:rPr>
                <w:color w:val="000000"/>
                <w:spacing w:val="0"/>
                <w:w w:val="100"/>
                <w:position w:val="0"/>
              </w:rPr>
              <w:t>美元以内的部分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50000</w:t>
            </w:r>
            <w:r>
              <w:rPr>
                <w:color w:val="000000"/>
                <w:spacing w:val="0"/>
                <w:w w:val="100"/>
                <w:position w:val="0"/>
              </w:rPr>
              <w:t>美元至</w:t>
            </w:r>
            <w:r>
              <w:rPr>
                <w:rFonts w:ascii="Times New Roman" w:eastAsia="Times New Roman" w:hAnsi="Times New Roman" w:cs="Times New Roman"/>
                <w:color w:val="000000"/>
                <w:spacing w:val="0"/>
                <w:w w:val="100"/>
                <w:position w:val="0"/>
              </w:rPr>
              <w:t>75000</w:t>
            </w:r>
            <w:r>
              <w:rPr>
                <w:color w:val="000000"/>
                <w:spacing w:val="0"/>
                <w:w w:val="100"/>
                <w:position w:val="0"/>
              </w:rPr>
              <w:t>美元的部分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7500+25%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75000</w:t>
            </w:r>
            <w:r>
              <w:rPr>
                <w:color w:val="000000"/>
                <w:spacing w:val="0"/>
                <w:w w:val="100"/>
                <w:position w:val="0"/>
              </w:rPr>
              <w:t>美元至</w:t>
            </w:r>
            <w:r>
              <w:rPr>
                <w:rFonts w:ascii="Times New Roman" w:eastAsia="Times New Roman" w:hAnsi="Times New Roman" w:cs="Times New Roman"/>
                <w:color w:val="000000"/>
                <w:spacing w:val="0"/>
                <w:w w:val="100"/>
                <w:position w:val="0"/>
              </w:rPr>
              <w:t>100000</w:t>
            </w:r>
            <w:r>
              <w:rPr>
                <w:color w:val="000000"/>
                <w:spacing w:val="0"/>
                <w:w w:val="100"/>
                <w:position w:val="0"/>
              </w:rPr>
              <w:t>美元的部分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13750+34%</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100000</w:t>
            </w:r>
            <w:r>
              <w:rPr>
                <w:color w:val="000000"/>
                <w:spacing w:val="0"/>
                <w:w w:val="100"/>
                <w:position w:val="0"/>
              </w:rPr>
              <w:t>美元至</w:t>
            </w:r>
            <w:r>
              <w:rPr>
                <w:rFonts w:ascii="Times New Roman" w:eastAsia="Times New Roman" w:hAnsi="Times New Roman" w:cs="Times New Roman"/>
                <w:color w:val="000000"/>
                <w:spacing w:val="0"/>
                <w:w w:val="100"/>
                <w:position w:val="0"/>
              </w:rPr>
              <w:t>335000</w:t>
            </w:r>
            <w:r>
              <w:rPr>
                <w:color w:val="000000"/>
                <w:spacing w:val="0"/>
                <w:w w:val="100"/>
                <w:position w:val="0"/>
              </w:rPr>
              <w:t>美元的部分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22250+39%</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335000</w:t>
            </w:r>
            <w:r>
              <w:rPr>
                <w:color w:val="000000"/>
                <w:spacing w:val="0"/>
                <w:w w:val="100"/>
                <w:position w:val="0"/>
              </w:rPr>
              <w:t>美元至</w:t>
            </w:r>
            <w:r>
              <w:rPr>
                <w:rFonts w:ascii="Times New Roman" w:eastAsia="Times New Roman" w:hAnsi="Times New Roman" w:cs="Times New Roman"/>
                <w:color w:val="000000"/>
                <w:spacing w:val="0"/>
                <w:w w:val="100"/>
                <w:position w:val="0"/>
              </w:rPr>
              <w:t>10000000</w:t>
            </w:r>
            <w:r>
              <w:rPr>
                <w:color w:val="000000"/>
                <w:spacing w:val="0"/>
                <w:w w:val="100"/>
                <w:position w:val="0"/>
              </w:rPr>
              <w:t>美元的部分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113900+34%</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10000000</w:t>
            </w:r>
            <w:r>
              <w:rPr>
                <w:color w:val="000000"/>
                <w:spacing w:val="0"/>
                <w:w w:val="100"/>
                <w:position w:val="0"/>
              </w:rPr>
              <w:t>美元至</w:t>
            </w:r>
            <w:r>
              <w:rPr>
                <w:rFonts w:ascii="Times New Roman" w:eastAsia="Times New Roman" w:hAnsi="Times New Roman" w:cs="Times New Roman"/>
                <w:color w:val="000000"/>
                <w:spacing w:val="0"/>
                <w:w w:val="100"/>
                <w:position w:val="0"/>
              </w:rPr>
              <w:t>15000000</w:t>
            </w:r>
            <w:r>
              <w:rPr>
                <w:color w:val="000000"/>
                <w:spacing w:val="0"/>
                <w:w w:val="100"/>
                <w:position w:val="0"/>
              </w:rPr>
              <w:t>美元的部分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3400000+35%</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15000000</w:t>
            </w:r>
            <w:r>
              <w:rPr>
                <w:color w:val="000000"/>
                <w:spacing w:val="0"/>
                <w:w w:val="100"/>
                <w:position w:val="0"/>
              </w:rPr>
              <w:t>美元至</w:t>
            </w:r>
            <w:r>
              <w:rPr>
                <w:rFonts w:ascii="Times New Roman" w:eastAsia="Times New Roman" w:hAnsi="Times New Roman" w:cs="Times New Roman"/>
                <w:color w:val="000000"/>
                <w:spacing w:val="0"/>
                <w:w w:val="100"/>
                <w:position w:val="0"/>
              </w:rPr>
              <w:t>18333333</w:t>
            </w:r>
            <w:r>
              <w:rPr>
                <w:color w:val="000000"/>
                <w:spacing w:val="0"/>
                <w:w w:val="100"/>
                <w:position w:val="0"/>
              </w:rPr>
              <w:t>美元的部分</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5150000+38%</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w:t>
            </w:r>
            <w:r>
              <w:rPr>
                <w:rFonts w:ascii="Times New Roman" w:eastAsia="Times New Roman" w:hAnsi="Times New Roman" w:cs="Times New Roman"/>
                <w:color w:val="000000"/>
                <w:spacing w:val="0"/>
                <w:w w:val="100"/>
                <w:position w:val="0"/>
              </w:rPr>
              <w:t>18333333</w:t>
            </w:r>
            <w:r>
              <w:rPr>
                <w:color w:val="000000"/>
                <w:spacing w:val="0"/>
                <w:w w:val="100"/>
                <w:position w:val="0"/>
              </w:rPr>
              <w:t>美元的部分</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color w:val="000000"/>
          <w:spacing w:val="0"/>
          <w:w w:val="100"/>
          <w:position w:val="0"/>
        </w:rPr>
        <w:t>、税收优惠</w:t>
      </w:r>
      <w:bookmarkEnd w:id="869"/>
      <w:bookmarkEnd w:id="870"/>
      <w:bookmarkEnd w:id="872"/>
    </w:p>
    <w:p>
      <w:pPr>
        <w:pStyle w:val="Style23"/>
        <w:keepNext w:val="0"/>
        <w:keepLines w:val="0"/>
        <w:widowControl w:val="0"/>
        <w:numPr>
          <w:ilvl w:val="0"/>
          <w:numId w:val="39"/>
        </w:numPr>
        <w:shd w:val="clear" w:color="auto" w:fill="auto"/>
        <w:tabs>
          <w:tab w:pos="306" w:val="left"/>
        </w:tabs>
        <w:bidi w:val="0"/>
        <w:spacing w:before="0" w:after="0" w:line="314" w:lineRule="exact"/>
        <w:ind w:left="0" w:right="0" w:firstLine="0"/>
        <w:jc w:val="left"/>
      </w:pPr>
      <w:bookmarkStart w:id="873" w:name="bookmark873"/>
      <w:bookmarkEnd w:id="873"/>
      <w:r>
        <w:rPr>
          <w:color w:val="000000"/>
          <w:spacing w:val="0"/>
          <w:w w:val="100"/>
          <w:position w:val="0"/>
        </w:rPr>
        <w:t>本公司</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年度被认定为高新技术企业。根据《中华人民共和国企业所得税法》的规定：国家重点扶持高新技术 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2016</w:t>
      </w:r>
      <w:r>
        <w:rPr>
          <w:color w:val="000000"/>
          <w:spacing w:val="0"/>
          <w:w w:val="100"/>
          <w:position w:val="0"/>
        </w:rPr>
        <w:t>年度按照</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w:t>
      </w:r>
    </w:p>
    <w:p>
      <w:pPr>
        <w:pStyle w:val="Style23"/>
        <w:keepNext w:val="0"/>
        <w:keepLines w:val="0"/>
        <w:widowControl w:val="0"/>
        <w:numPr>
          <w:ilvl w:val="0"/>
          <w:numId w:val="39"/>
        </w:numPr>
        <w:shd w:val="clear" w:color="auto" w:fill="auto"/>
        <w:tabs>
          <w:tab w:pos="320" w:val="left"/>
        </w:tabs>
        <w:bidi w:val="0"/>
        <w:spacing w:before="0" w:after="0" w:line="314" w:lineRule="exact"/>
        <w:ind w:left="0" w:right="0" w:firstLine="0"/>
        <w:jc w:val="left"/>
      </w:pPr>
      <w:bookmarkStart w:id="874" w:name="bookmark874"/>
      <w:bookmarkEnd w:id="874"/>
      <w:r>
        <w:rPr>
          <w:color w:val="000000"/>
          <w:spacing w:val="0"/>
          <w:w w:val="100"/>
          <w:position w:val="0"/>
        </w:rPr>
        <w:t>本公司子公司夏尔软件</w:t>
      </w:r>
      <w:r>
        <w:rPr>
          <w:rFonts w:ascii="Times New Roman" w:eastAsia="Times New Roman" w:hAnsi="Times New Roman" w:cs="Times New Roman"/>
          <w:color w:val="000000"/>
          <w:spacing w:val="0"/>
          <w:w w:val="100"/>
          <w:position w:val="0"/>
        </w:rPr>
        <w:t>2 014</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年度被认定为高新技术企业。根据《中华人民共和国企业所得税法》的规定：国家 重点扶持高新技术企业减按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的税率征收企业所得税。夏尔软件</w:t>
      </w:r>
      <w:r>
        <w:rPr>
          <w:rFonts w:ascii="Times New Roman" w:eastAsia="Times New Roman" w:hAnsi="Times New Roman" w:cs="Times New Roman"/>
          <w:color w:val="000000"/>
          <w:spacing w:val="0"/>
          <w:w w:val="100"/>
          <w:position w:val="0"/>
        </w:rPr>
        <w:t>2 016</w:t>
      </w:r>
      <w:r>
        <w:rPr>
          <w:color w:val="000000"/>
          <w:spacing w:val="0"/>
          <w:w w:val="100"/>
          <w:position w:val="0"/>
        </w:rPr>
        <w:t>年度按照</w:t>
      </w:r>
      <w:r>
        <w:rPr>
          <w:rFonts w:ascii="Times New Roman" w:eastAsia="Times New Roman" w:hAnsi="Times New Roman" w:cs="Times New Roman"/>
          <w:color w:val="000000"/>
          <w:spacing w:val="0"/>
          <w:w w:val="100"/>
          <w:position w:val="0"/>
        </w:rPr>
        <w:t>15%</w:t>
      </w:r>
      <w:r>
        <w:rPr>
          <w:color w:val="000000"/>
          <w:spacing w:val="0"/>
          <w:w w:val="100"/>
          <w:position w:val="0"/>
        </w:rPr>
        <w:t>计缴企业所得税。</w:t>
      </w:r>
    </w:p>
    <w:p>
      <w:pPr>
        <w:pStyle w:val="Style23"/>
        <w:keepNext w:val="0"/>
        <w:keepLines w:val="0"/>
        <w:widowControl w:val="0"/>
        <w:numPr>
          <w:ilvl w:val="0"/>
          <w:numId w:val="39"/>
        </w:numPr>
        <w:shd w:val="clear" w:color="auto" w:fill="auto"/>
        <w:tabs>
          <w:tab w:pos="320" w:val="left"/>
        </w:tabs>
        <w:bidi w:val="0"/>
        <w:spacing w:before="0" w:after="0" w:line="314" w:lineRule="exact"/>
        <w:ind w:left="0" w:right="0" w:firstLine="0"/>
        <w:jc w:val="left"/>
      </w:pPr>
      <w:bookmarkStart w:id="875" w:name="bookmark875"/>
      <w:bookmarkEnd w:id="875"/>
      <w:r>
        <w:rPr>
          <w:color w:val="000000"/>
          <w:spacing w:val="0"/>
          <w:w w:val="100"/>
          <w:position w:val="0"/>
        </w:rPr>
        <w:t>本公司根据财税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号《关于软件产品增值税政策的通知》的规定，本公司销售其自行开发生产的软件产品，按</w:t>
      </w:r>
      <w:r>
        <w:rPr>
          <w:rFonts w:ascii="Times New Roman" w:eastAsia="Times New Roman" w:hAnsi="Times New Roman" w:cs="Times New Roman"/>
          <w:color w:val="000000"/>
          <w:spacing w:val="0"/>
          <w:w w:val="100"/>
          <w:position w:val="0"/>
        </w:rPr>
        <w:t xml:space="preserve">17% </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23"/>
        <w:keepNext w:val="0"/>
        <w:keepLines w:val="0"/>
        <w:widowControl w:val="0"/>
        <w:numPr>
          <w:ilvl w:val="0"/>
          <w:numId w:val="39"/>
        </w:numPr>
        <w:shd w:val="clear" w:color="auto" w:fill="auto"/>
        <w:tabs>
          <w:tab w:pos="320" w:val="left"/>
        </w:tabs>
        <w:bidi w:val="0"/>
        <w:spacing w:before="0" w:after="0" w:line="314" w:lineRule="exact"/>
        <w:ind w:left="0" w:right="0" w:firstLine="0"/>
        <w:jc w:val="left"/>
      </w:pPr>
      <w:bookmarkStart w:id="876" w:name="bookmark876"/>
      <w:bookmarkEnd w:id="876"/>
      <w:r>
        <w:rPr>
          <w:color w:val="000000"/>
          <w:spacing w:val="0"/>
          <w:w w:val="100"/>
          <w:position w:val="0"/>
        </w:rPr>
        <w:t>本公司子公司夏尔软件按沪国税浦十五</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2014]000068</w:t>
      </w:r>
      <w:r>
        <w:rPr>
          <w:color w:val="000000"/>
          <w:spacing w:val="0"/>
          <w:w w:val="100"/>
          <w:position w:val="0"/>
        </w:rPr>
        <w:t>号文件、财税</w:t>
      </w:r>
      <w:r>
        <w:rPr>
          <w:rFonts w:ascii="Times New Roman" w:eastAsia="Times New Roman" w:hAnsi="Times New Roman" w:cs="Times New Roman"/>
          <w:color w:val="000000"/>
          <w:spacing w:val="0"/>
          <w:w w:val="100"/>
          <w:position w:val="0"/>
        </w:rPr>
        <w:t>[2011]100</w:t>
      </w:r>
      <w:r>
        <w:rPr>
          <w:color w:val="000000"/>
          <w:spacing w:val="0"/>
          <w:w w:val="100"/>
          <w:position w:val="0"/>
        </w:rPr>
        <w:t xml:space="preserve">号《关于软件产品增值税政策的通知》的规定， </w:t>
      </w:r>
      <w:r>
        <w:rPr>
          <w:color w:val="000000"/>
          <w:spacing w:val="0"/>
          <w:w w:val="100"/>
          <w:position w:val="0"/>
        </w:rPr>
        <w:t>夏尔软件销售其自行开发生产的软件产品，按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 策，期限自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3"/>
        <w:keepNext w:val="0"/>
        <w:keepLines w:val="0"/>
        <w:widowControl w:val="0"/>
        <w:numPr>
          <w:ilvl w:val="0"/>
          <w:numId w:val="39"/>
        </w:numPr>
        <w:shd w:val="clear" w:color="auto" w:fill="auto"/>
        <w:tabs>
          <w:tab w:pos="306" w:val="left"/>
        </w:tabs>
        <w:bidi w:val="0"/>
        <w:spacing w:before="0" w:after="0" w:line="309" w:lineRule="exact"/>
        <w:ind w:left="0" w:right="0" w:firstLine="0"/>
        <w:jc w:val="both"/>
      </w:pPr>
      <w:bookmarkStart w:id="877" w:name="bookmark877"/>
      <w:bookmarkEnd w:id="877"/>
      <w:r>
        <w:rPr>
          <w:color w:val="000000"/>
          <w:spacing w:val="0"/>
          <w:w w:val="100"/>
          <w:position w:val="0"/>
        </w:rPr>
        <w:t>本公司子公司汉得融晶</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年度被认定为高新技术企业，按沪地税青四</w:t>
      </w:r>
      <w:r>
        <w:rPr>
          <w:rFonts w:ascii="Times New Roman" w:eastAsia="Times New Roman" w:hAnsi="Times New Roman" w:cs="Times New Roman"/>
          <w:color w:val="000000"/>
          <w:spacing w:val="0"/>
          <w:w w:val="100"/>
          <w:position w:val="0"/>
        </w:rPr>
        <w:t>[2015]00001</w:t>
      </w:r>
      <w:r>
        <w:rPr>
          <w:color w:val="000000"/>
          <w:spacing w:val="0"/>
          <w:w w:val="100"/>
          <w:position w:val="0"/>
        </w:rPr>
        <w:t>号文件，企业所得税自</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年度至</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%计缴。</w:t>
      </w:r>
    </w:p>
    <w:p>
      <w:pPr>
        <w:pStyle w:val="Style23"/>
        <w:keepNext w:val="0"/>
        <w:keepLines w:val="0"/>
        <w:widowControl w:val="0"/>
        <w:numPr>
          <w:ilvl w:val="0"/>
          <w:numId w:val="39"/>
        </w:numPr>
        <w:shd w:val="clear" w:color="auto" w:fill="auto"/>
        <w:tabs>
          <w:tab w:pos="306" w:val="left"/>
        </w:tabs>
        <w:bidi w:val="0"/>
        <w:spacing w:before="0" w:after="0" w:line="309" w:lineRule="exact"/>
        <w:ind w:left="0" w:right="0" w:firstLine="0"/>
        <w:jc w:val="both"/>
      </w:pPr>
      <w:bookmarkStart w:id="878" w:name="bookmark878"/>
      <w:bookmarkEnd w:id="878"/>
      <w:r>
        <w:rPr>
          <w:color w:val="000000"/>
          <w:spacing w:val="0"/>
          <w:w w:val="100"/>
          <w:position w:val="0"/>
        </w:rPr>
        <w:t>本公司子公司上海达美根据《国家重点扶持高新技术企业享受优惠税率》、【浦税三十五所备(</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1503009401</w:t>
      </w:r>
      <w:r>
        <w:rPr>
          <w:color w:val="000000"/>
          <w:spacing w:val="0"/>
          <w:w w:val="100"/>
          <w:position w:val="0"/>
        </w:rPr>
        <w:t>号】 《企业所得税优惠事先备案结果通知书》的通知，同意</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2 016</w:t>
      </w:r>
      <w:r>
        <w:rPr>
          <w:color w:val="000000"/>
          <w:spacing w:val="0"/>
          <w:w w:val="100"/>
          <w:position w:val="0"/>
        </w:rPr>
        <w:t>年所得税减按</w:t>
      </w:r>
      <w:r>
        <w:rPr>
          <w:rFonts w:ascii="Times New Roman" w:eastAsia="Times New Roman" w:hAnsi="Times New Roman" w:cs="Times New Roman"/>
          <w:color w:val="000000"/>
          <w:spacing w:val="0"/>
          <w:w w:val="100"/>
          <w:position w:val="0"/>
        </w:rPr>
        <w:t>15%</w:t>
      </w:r>
      <w:r>
        <w:rPr>
          <w:color w:val="000000"/>
          <w:spacing w:val="0"/>
          <w:w w:val="100"/>
          <w:position w:val="0"/>
        </w:rPr>
        <w:t>计征。</w:t>
      </w:r>
      <w:r>
        <w:rPr>
          <w:rFonts w:ascii="Times New Roman" w:eastAsia="Times New Roman" w:hAnsi="Times New Roman" w:cs="Times New Roman"/>
          <w:color w:val="000000"/>
          <w:spacing w:val="0"/>
          <w:w w:val="100"/>
          <w:position w:val="0"/>
        </w:rPr>
        <w:t>2016</w:t>
      </w:r>
      <w:r>
        <w:rPr>
          <w:color w:val="000000"/>
          <w:spacing w:val="0"/>
          <w:w w:val="100"/>
          <w:position w:val="0"/>
        </w:rPr>
        <w:t>年度企业所得税率减按</w:t>
      </w:r>
      <w:r>
        <w:rPr>
          <w:rFonts w:ascii="Times New Roman" w:eastAsia="Times New Roman" w:hAnsi="Times New Roman" w:cs="Times New Roman"/>
          <w:color w:val="000000"/>
          <w:spacing w:val="0"/>
          <w:w w:val="100"/>
          <w:position w:val="0"/>
        </w:rPr>
        <w:t>15%</w:t>
      </w:r>
    </w:p>
    <w:p>
      <w:pPr>
        <w:pStyle w:val="Style23"/>
        <w:keepNext w:val="0"/>
        <w:keepLines w:val="0"/>
        <w:widowControl w:val="0"/>
        <w:shd w:val="clear" w:color="auto" w:fill="auto"/>
        <w:bidi w:val="0"/>
        <w:spacing w:before="0" w:after="340" w:line="309" w:lineRule="exact"/>
        <w:ind w:left="0" w:right="0" w:firstLine="0"/>
        <w:jc w:val="both"/>
      </w:pPr>
      <w:r>
        <w:rPr>
          <w:color w:val="000000"/>
          <w:spacing w:val="0"/>
          <w:w w:val="100"/>
          <w:position w:val="0"/>
        </w:rPr>
        <w:t>计征。</w:t>
      </w:r>
    </w:p>
    <w:p>
      <w:pPr>
        <w:pStyle w:val="Style26"/>
        <w:keepNext/>
        <w:keepLines/>
        <w:widowControl w:val="0"/>
        <w:shd w:val="clear" w:color="auto" w:fill="auto"/>
        <w:bidi w:val="0"/>
        <w:spacing w:before="0" w:after="34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4</w:t>
      </w:r>
      <w:bookmarkEnd w:id="881"/>
      <w:r>
        <w:rPr>
          <w:color w:val="000000"/>
          <w:spacing w:val="0"/>
          <w:w w:val="100"/>
          <w:position w:val="0"/>
        </w:rPr>
        <w:t>、其他</w:t>
      </w:r>
      <w:bookmarkEnd w:id="879"/>
      <w:bookmarkEnd w:id="880"/>
      <w:bookmarkEnd w:id="882"/>
    </w:p>
    <w:p>
      <w:pPr>
        <w:pStyle w:val="Style21"/>
        <w:keepNext/>
        <w:keepLines/>
        <w:widowControl w:val="0"/>
        <w:shd w:val="clear" w:color="auto" w:fill="auto"/>
        <w:bidi w:val="0"/>
        <w:spacing w:before="0" w:line="240" w:lineRule="auto"/>
        <w:ind w:left="0" w:right="0" w:firstLine="0"/>
        <w:jc w:val="both"/>
      </w:pPr>
      <w:bookmarkStart w:id="883" w:name="bookmark883"/>
      <w:bookmarkStart w:id="884" w:name="bookmark884"/>
      <w:bookmarkStart w:id="885" w:name="bookmark885"/>
      <w:bookmarkStart w:id="886" w:name="bookmark886"/>
      <w:r>
        <w:rPr>
          <w:color w:val="000000"/>
          <w:spacing w:val="0"/>
          <w:w w:val="100"/>
          <w:position w:val="0"/>
          <w:sz w:val="24"/>
          <w:szCs w:val="24"/>
        </w:rPr>
        <w:t>七</w:t>
      </w:r>
      <w:bookmarkEnd w:id="885"/>
      <w:r>
        <w:rPr>
          <w:color w:val="000000"/>
          <w:spacing w:val="0"/>
          <w:w w:val="100"/>
          <w:position w:val="0"/>
          <w:sz w:val="24"/>
          <w:szCs w:val="24"/>
        </w:rPr>
        <w:t>、合并财务报表项目注释</w:t>
      </w:r>
      <w:bookmarkEnd w:id="883"/>
      <w:bookmarkEnd w:id="884"/>
      <w:bookmarkEnd w:id="886"/>
    </w:p>
    <w:p>
      <w:pPr>
        <w:pStyle w:val="Style26"/>
        <w:keepNext/>
        <w:keepLines/>
        <w:widowControl w:val="0"/>
        <w:shd w:val="clear" w:color="auto" w:fill="auto"/>
        <w:bidi w:val="0"/>
        <w:spacing w:before="0" w:after="34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color w:val="000000"/>
          <w:spacing w:val="0"/>
          <w:w w:val="100"/>
          <w:position w:val="0"/>
        </w:rPr>
        <w:t>、货币资金</w:t>
      </w:r>
      <w:bookmarkEnd w:id="887"/>
      <w:bookmarkEnd w:id="888"/>
      <w:bookmarkEnd w:id="89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215,236.92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734,589,713.57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939,043,698.05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7,703,192.75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5,335,590.40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742,521,911.76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944,594,525.37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35,038,525.58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32,322,123.08</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、其中受限制的货币资金明细如下:</w:t>
      </w:r>
    </w:p>
    <w:tbl>
      <w:tblPr>
        <w:tblOverlap w:val="never"/>
        <w:jc w:val="center"/>
        <w:tblLayout w:type="fixed"/>
      </w:tblPr>
      <w:tblGrid>
        <w:gridCol w:w="4138"/>
        <w:gridCol w:w="2765"/>
        <w:gridCol w:w="2774"/>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7,703,192.75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5,335,590.40</w:t>
            </w:r>
          </w:p>
        </w:tc>
      </w:tr>
    </w:tbl>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、银行存款中定期及结构性存款明细:</w:t>
      </w:r>
    </w:p>
    <w:tbl>
      <w:tblPr>
        <w:tblOverlap w:val="never"/>
        <w:jc w:val="center"/>
        <w:tblLayout w:type="fixed"/>
      </w:tblPr>
      <w:tblGrid>
        <w:gridCol w:w="1992"/>
        <w:gridCol w:w="2112"/>
        <w:gridCol w:w="1464"/>
        <w:gridCol w:w="1810"/>
        <w:gridCol w:w="1190"/>
        <w:gridCol w:w="1109"/>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存储形式</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存入日期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到期日</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 上海张江支行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12190463158100202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2016-12-26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2017-1-25</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12190463158012378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2016-9-22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2017-9-22</w:t>
            </w:r>
          </w:p>
        </w:tc>
      </w:tr>
      <w:tr>
        <w:trPr>
          <w:trHeight w:val="4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兴业银行股份有限公司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上海金沙江支行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216280100200088398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2016-9-23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2017-3-23</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216280100200090254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2016-12-27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2017-2-27</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216280100200090139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2016-12-29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2017-3-23</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平安银行股份有限公司 上海外滩支行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2000005833556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七天通知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2012-3-28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满七天自动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续期</w:t>
            </w:r>
          </w:p>
        </w:tc>
      </w:tr>
      <w:tr>
        <w:trPr>
          <w:trHeight w:val="4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both"/>
            </w:pPr>
            <w:r>
              <w:rPr>
                <w:rFonts w:ascii="Times New Roman" w:eastAsia="Times New Roman" w:hAnsi="Times New Roman" w:cs="Times New Roman"/>
                <w:color w:val="000000"/>
                <w:spacing w:val="0"/>
                <w:w w:val="100"/>
                <w:position w:val="0"/>
              </w:rPr>
              <w:t>327,020,000.00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、以公允价值计量且其变动计入当期损益的金融资产</w:t>
      </w:r>
      <w:bookmarkEnd w:id="891"/>
      <w:bookmarkEnd w:id="892"/>
      <w:bookmarkEnd w:id="8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bl>
    <w:p>
      <w:pPr>
        <w:widowControl w:val="0"/>
        <w:spacing w:after="299" w:line="1" w:lineRule="exact"/>
      </w:pPr>
    </w:p>
    <w:p>
      <w:pPr>
        <w:pStyle w:val="Style26"/>
        <w:keepNext/>
        <w:keepLines/>
        <w:widowControl w:val="0"/>
        <w:shd w:val="clear" w:color="auto" w:fill="auto"/>
        <w:tabs>
          <w:tab w:pos="382" w:val="left"/>
        </w:tabs>
        <w:bidi w:val="0"/>
        <w:spacing w:before="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color w:val="000000"/>
          <w:spacing w:val="0"/>
          <w:w w:val="100"/>
          <w:position w:val="0"/>
        </w:rPr>
        <w:t>、</w:t>
        <w:tab/>
        <w:t>衍生金融资产</w:t>
      </w:r>
      <w:bookmarkEnd w:id="895"/>
      <w:bookmarkEnd w:id="896"/>
      <w:bookmarkEnd w:id="898"/>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4</w:t>
      </w:r>
      <w:bookmarkEnd w:id="901"/>
      <w:r>
        <w:rPr>
          <w:color w:val="000000"/>
          <w:spacing w:val="0"/>
          <w:w w:val="100"/>
          <w:position w:val="0"/>
        </w:rPr>
        <w:t>、</w:t>
        <w:tab/>
        <w:t>应收票据</w:t>
      </w:r>
      <w:bookmarkEnd w:id="899"/>
      <w:bookmarkEnd w:id="900"/>
      <w:bookmarkEnd w:id="902"/>
    </w:p>
    <w:p>
      <w:pPr>
        <w:pStyle w:val="Style26"/>
        <w:keepNext/>
        <w:keepLines/>
        <w:widowControl w:val="0"/>
        <w:shd w:val="clear" w:color="auto" w:fill="auto"/>
        <w:bidi w:val="0"/>
        <w:spacing w:before="0" w:line="240" w:lineRule="auto"/>
        <w:ind w:left="0" w:right="0" w:firstLine="0"/>
        <w:jc w:val="left"/>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899"/>
      <w:bookmarkEnd w:id="900"/>
      <w:bookmarkEnd w:id="904"/>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63,159,460.30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29,902,795.69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3,911,000.00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67,070,460.30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35,672,795.69</w:t>
            </w:r>
          </w:p>
        </w:tc>
      </w:tr>
    </w:tbl>
    <w:p>
      <w:pPr>
        <w:widowControl w:val="0"/>
        <w:spacing w:after="299" w:line="1" w:lineRule="exact"/>
      </w:pPr>
    </w:p>
    <w:p>
      <w:pPr>
        <w:pStyle w:val="Style26"/>
        <w:keepNext/>
        <w:keepLines/>
        <w:widowControl w:val="0"/>
        <w:shd w:val="clear" w:color="auto" w:fill="auto"/>
        <w:tabs>
          <w:tab w:pos="493" w:val="left"/>
        </w:tabs>
        <w:bidi w:val="0"/>
        <w:spacing w:before="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期末公司已质押的应收票据</w:t>
      </w:r>
      <w:bookmarkEnd w:id="905"/>
      <w:bookmarkEnd w:id="906"/>
      <w:bookmarkEnd w:id="90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期末公司已背书或贴现且在资产负债表日尚未到期的应收票据</w:t>
      </w:r>
      <w:bookmarkEnd w:id="909"/>
      <w:bookmarkEnd w:id="910"/>
      <w:bookmarkEnd w:id="912"/>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2,420,874.84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2220" w:right="0" w:firstLine="0"/>
              <w:jc w:val="left"/>
            </w:pPr>
            <w:r>
              <w:rPr>
                <w:rFonts w:ascii="Times New Roman" w:eastAsia="Times New Roman" w:hAnsi="Times New Roman" w:cs="Times New Roman"/>
                <w:color w:val="000000"/>
                <w:spacing w:val="0"/>
                <w:w w:val="100"/>
                <w:position w:val="0"/>
              </w:rPr>
              <w:t>2,420,874.84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14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913"/>
      <w:bookmarkEnd w:id="914"/>
      <w:bookmarkEnd w:id="91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期末已到期未承兑的应收票据金额为</w:t>
      </w:r>
      <w:r>
        <w:rPr>
          <w:rFonts w:ascii="Times New Roman" w:eastAsia="Times New Roman" w:hAnsi="Times New Roman" w:cs="Times New Roman"/>
          <w:color w:val="000000"/>
          <w:spacing w:val="0"/>
          <w:w w:val="100"/>
          <w:position w:val="0"/>
        </w:rPr>
        <w:t>8,008,800.00</w:t>
      </w:r>
      <w:r>
        <w:rPr>
          <w:color w:val="000000"/>
          <w:spacing w:val="0"/>
          <w:w w:val="100"/>
          <w:position w:val="0"/>
        </w:rPr>
        <w:t>元。</w:t>
      </w:r>
    </w:p>
    <w:p>
      <w:pPr>
        <w:pStyle w:val="Style26"/>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5</w:t>
      </w:r>
      <w:bookmarkEnd w:id="919"/>
      <w:r>
        <w:rPr>
          <w:color w:val="000000"/>
          <w:spacing w:val="0"/>
          <w:w w:val="100"/>
          <w:position w:val="0"/>
        </w:rPr>
        <w:t>、应收账款</w:t>
      </w:r>
      <w:bookmarkEnd w:id="917"/>
      <w:bookmarkEnd w:id="918"/>
      <w:bookmarkEnd w:id="920"/>
    </w:p>
    <w:p>
      <w:pPr>
        <w:pStyle w:val="Style26"/>
        <w:keepNext/>
        <w:keepLines/>
        <w:widowControl w:val="0"/>
        <w:shd w:val="clear" w:color="auto" w:fill="auto"/>
        <w:bidi w:val="0"/>
        <w:spacing w:before="0" w:line="240" w:lineRule="auto"/>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17"/>
      <w:bookmarkEnd w:id="918"/>
      <w:bookmarkEnd w:id="922"/>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37"/>
        <w:gridCol w:w="763"/>
        <w:gridCol w:w="763"/>
        <w:gridCol w:w="763"/>
        <w:gridCol w:w="763"/>
        <w:gridCol w:w="787"/>
        <w:gridCol w:w="653"/>
        <w:gridCol w:w="768"/>
        <w:gridCol w:w="806"/>
        <w:gridCol w:w="926"/>
        <w:gridCol w:w="95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1,291,21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199,181,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1,092,028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644,735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132,495,6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512,239,60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1,291,21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199,181,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1,092,028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644,735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132,495,6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512,239,60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r>
    </w:tbl>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704,119,162.64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35,205,958.09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应收保理款</w:t>
            </w:r>
            <w:r>
              <w:rPr>
                <w:rFonts w:ascii="Times New Roman" w:eastAsia="Times New Roman" w:hAnsi="Times New Roman" w:cs="Times New Roman"/>
                <w:color w:val="000000"/>
                <w:spacing w:val="0"/>
                <w:w w:val="100"/>
                <w:position w:val="0"/>
              </w:rPr>
              <w:t>”</w:t>
            </w:r>
            <w:r>
              <w:rPr>
                <w:color w:val="000000"/>
                <w:spacing w:val="0"/>
                <w:w w:val="100"/>
                <w:position w:val="0"/>
              </w:rPr>
              <w:t>组</w:t>
            </w:r>
            <w:r>
              <w:rPr>
                <w:rFonts w:ascii="Times New Roman" w:eastAsia="Times New Roman" w:hAnsi="Times New Roman" w:cs="Times New Roman"/>
                <w:color w:val="000000"/>
                <w:spacing w:val="0"/>
                <w:w w:val="100"/>
                <w:position w:val="0"/>
              </w:rPr>
              <w:t>-</w:t>
            </w:r>
            <w:r>
              <w:rPr>
                <w:color w:val="000000"/>
                <w:spacing w:val="0"/>
                <w:w w:val="100"/>
                <w:position w:val="0"/>
              </w:rPr>
              <w:t>未逾期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356,454,850.62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1,782,274.25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1,060,574,013.26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36,988,232.34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136,885,619.46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68,442,809.76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48,750,907.57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48,750,907.57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44,999,876.09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44,999,876.09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1,291,210,416.38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199,181,825.76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组合中，采用其他方法计提坏账准备的应收账款：</w:t>
      </w:r>
    </w:p>
    <w:p>
      <w:pPr>
        <w:pStyle w:val="Style26"/>
        <w:keepNext/>
        <w:keepLines/>
        <w:widowControl w:val="0"/>
        <w:shd w:val="clear" w:color="auto" w:fill="auto"/>
        <w:tabs>
          <w:tab w:pos="493" w:val="left"/>
        </w:tabs>
        <w:bidi w:val="0"/>
        <w:spacing w:before="0" w:after="24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23"/>
      <w:bookmarkEnd w:id="924"/>
      <w:bookmarkEnd w:id="926"/>
    </w:p>
    <w:p>
      <w:pPr>
        <w:pStyle w:val="Style2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62,990,847.30</w:t>
      </w:r>
      <w:r>
        <w:rPr>
          <w:color w:val="000000"/>
          <w:spacing w:val="0"/>
          <w:w w:val="100"/>
          <w:position w:val="0"/>
        </w:rPr>
        <w:t>元。</w:t>
      </w:r>
    </w:p>
    <w:p>
      <w:pPr>
        <w:pStyle w:val="Style26"/>
        <w:keepNext/>
        <w:keepLines/>
        <w:widowControl w:val="0"/>
        <w:shd w:val="clear" w:color="auto" w:fill="auto"/>
        <w:tabs>
          <w:tab w:pos="493" w:val="left"/>
        </w:tabs>
        <w:bidi w:val="0"/>
        <w:spacing w:before="0" w:after="24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27"/>
      <w:bookmarkEnd w:id="928"/>
      <w:bookmarkEnd w:id="930"/>
    </w:p>
    <w:p>
      <w:pPr>
        <w:pStyle w:val="Style23"/>
        <w:keepNext w:val="0"/>
        <w:keepLines w:val="0"/>
        <w:widowControl w:val="0"/>
        <w:shd w:val="clear" w:color="auto" w:fill="auto"/>
        <w:bidi w:val="0"/>
        <w:spacing w:before="0" w:after="300" w:line="350" w:lineRule="exact"/>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31"/>
      <w:bookmarkEnd w:id="932"/>
      <w:bookmarkEnd w:id="93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tbl>
      <w:tblPr>
        <w:tblOverlap w:val="never"/>
        <w:jc w:val="center"/>
        <w:tblLayout w:type="fixed"/>
      </w:tblPr>
      <w:tblGrid>
        <w:gridCol w:w="4018"/>
        <w:gridCol w:w="2122"/>
        <w:gridCol w:w="1766"/>
        <w:gridCol w:w="1771"/>
      </w:tblGrid>
      <w:tr>
        <w:trPr>
          <w:trHeight w:val="35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歌尔股份有限公司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南昌安昱达钢板制品有限公司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27,228,181.07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136,140.91</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埃森哲（中国）有限公司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23,018,725.37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10,638,900.53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江苏正桥影像科技股份有限公司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东莞市德尔能新能源股份有限公司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14,500,000.00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72,500.00</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154,746,906.44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11,297,541.44</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注：歌尔股份有限公司、南昌安昱达钢板制品有限公司、江苏正桥影像科技股份有限公司、东莞市德尔能新能源股份有限公 司期末应收款项系应收保理款。</w:t>
      </w:r>
    </w:p>
    <w:p>
      <w:pPr>
        <w:widowControl w:val="0"/>
        <w:spacing w:after="359" w:line="1" w:lineRule="exact"/>
      </w:pPr>
    </w:p>
    <w:p>
      <w:pPr>
        <w:pStyle w:val="Style26"/>
        <w:keepNext/>
        <w:keepLines/>
        <w:widowControl w:val="0"/>
        <w:shd w:val="clear" w:color="auto" w:fill="auto"/>
        <w:tabs>
          <w:tab w:pos="493"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35"/>
      <w:bookmarkEnd w:id="936"/>
      <w:bookmarkEnd w:id="938"/>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28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39"/>
      <w:bookmarkEnd w:id="940"/>
      <w:bookmarkEnd w:id="942"/>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6</w:t>
      </w:r>
      <w:bookmarkEnd w:id="945"/>
      <w:r>
        <w:rPr>
          <w:color w:val="000000"/>
          <w:spacing w:val="0"/>
          <w:w w:val="100"/>
          <w:position w:val="0"/>
        </w:rPr>
        <w:t>、预付款项</w:t>
      </w:r>
      <w:bookmarkEnd w:id="943"/>
      <w:bookmarkEnd w:id="944"/>
      <w:bookmarkEnd w:id="946"/>
    </w:p>
    <w:p>
      <w:pPr>
        <w:pStyle w:val="Style26"/>
        <w:keepNext/>
        <w:keepLines/>
        <w:widowControl w:val="0"/>
        <w:shd w:val="clear" w:color="auto" w:fill="auto"/>
        <w:bidi w:val="0"/>
        <w:spacing w:before="0" w:line="240" w:lineRule="auto"/>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3"/>
      <w:bookmarkEnd w:id="944"/>
      <w:bookmarkEnd w:id="9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30,740,287.90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29,994,047.52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2,468,444.47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10,030,259.21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7,853,617.25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503,813.23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289,773.23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41,352,122.85</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40,528,120.00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2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账龄超过一年且金额重大的预付款项为预付青岛天创伟业信息技术有限公司</w:t>
      </w:r>
      <w:r>
        <w:rPr>
          <w:rFonts w:ascii="Times New Roman" w:eastAsia="Times New Roman" w:hAnsi="Times New Roman" w:cs="Times New Roman"/>
          <w:color w:val="000000"/>
          <w:spacing w:val="0"/>
          <w:w w:val="100"/>
          <w:position w:val="0"/>
        </w:rPr>
        <w:t>6,699,487.18</w:t>
      </w:r>
      <w:r>
        <w:rPr>
          <w:color w:val="000000"/>
          <w:spacing w:val="0"/>
          <w:w w:val="100"/>
          <w:position w:val="0"/>
        </w:rPr>
        <w:t>元软件采购款，该款项尚未结算, 对应有</w:t>
      </w:r>
      <w:r>
        <w:rPr>
          <w:rFonts w:ascii="Times New Roman" w:eastAsia="Times New Roman" w:hAnsi="Times New Roman" w:cs="Times New Roman"/>
          <w:color w:val="000000"/>
          <w:spacing w:val="0"/>
          <w:w w:val="100"/>
          <w:position w:val="0"/>
        </w:rPr>
        <w:t>7,961,333.36</w:t>
      </w:r>
      <w:r>
        <w:rPr>
          <w:color w:val="000000"/>
          <w:spacing w:val="0"/>
          <w:w w:val="100"/>
          <w:position w:val="0"/>
        </w:rPr>
        <w:t>元预收账款。</w:t>
      </w:r>
    </w:p>
    <w:p>
      <w:pPr>
        <w:pStyle w:val="Style26"/>
        <w:keepNext/>
        <w:keepLines/>
        <w:widowControl w:val="0"/>
        <w:shd w:val="clear" w:color="auto" w:fill="auto"/>
        <w:bidi w:val="0"/>
        <w:spacing w:before="0" w:after="340" w:line="240" w:lineRule="auto"/>
        <w:ind w:left="0" w:right="0" w:firstLine="14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49"/>
      <w:bookmarkEnd w:id="950"/>
      <w:bookmarkEnd w:id="952"/>
    </w:p>
    <w:tbl>
      <w:tblPr>
        <w:tblOverlap w:val="never"/>
        <w:jc w:val="center"/>
        <w:tblLayout w:type="fixed"/>
      </w:tblPr>
      <w:tblGrid>
        <w:gridCol w:w="4373"/>
        <w:gridCol w:w="2170"/>
        <w:gridCol w:w="3134"/>
      </w:tblGrid>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占预付款期末余额合计数的比例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甲骨文（中国）软件系统有限公司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13,064,145.76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31.59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青岛天创伟业信息技术有限公司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6,699,487.18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16.20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思爱普（中国）有限公司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5,025,412.93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12.15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合肥上雅电子科技有限公司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2,889,230.77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西安志诚电子有限责任公司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950,769.23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28,629,045.87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69.23</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7</w:t>
      </w:r>
      <w:bookmarkEnd w:id="955"/>
      <w:r>
        <w:rPr>
          <w:color w:val="000000"/>
          <w:spacing w:val="0"/>
          <w:w w:val="100"/>
          <w:position w:val="0"/>
        </w:rPr>
        <w:t>、应收利息</w:t>
      </w:r>
      <w:bookmarkEnd w:id="953"/>
      <w:bookmarkEnd w:id="954"/>
      <w:bookmarkEnd w:id="956"/>
    </w:p>
    <w:p>
      <w:pPr>
        <w:pStyle w:val="Style26"/>
        <w:keepNext/>
        <w:keepLines/>
        <w:widowControl w:val="0"/>
        <w:shd w:val="clear" w:color="auto" w:fill="auto"/>
        <w:bidi w:val="0"/>
        <w:spacing w:before="0" w:after="340" w:line="240" w:lineRule="auto"/>
        <w:ind w:left="0" w:right="0" w:firstLine="0"/>
        <w:jc w:val="left"/>
      </w:pPr>
      <w:bookmarkStart w:id="953" w:name="bookmark953"/>
      <w:bookmarkStart w:id="954" w:name="bookmark954"/>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53"/>
      <w:bookmarkEnd w:id="954"/>
      <w:bookmarkEnd w:id="9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1,297,493.06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1,787,466.96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2,515,456.71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3,812,949.77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1,787,466.96</w:t>
            </w:r>
          </w:p>
        </w:tc>
      </w:tr>
    </w:tbl>
    <w:p>
      <w:pPr>
        <w:widowControl w:val="0"/>
        <w:spacing w:after="339" w:line="1" w:lineRule="exact"/>
      </w:pPr>
    </w:p>
    <w:p>
      <w:pPr>
        <w:pStyle w:val="Style26"/>
        <w:keepNext/>
        <w:keepLines/>
        <w:widowControl w:val="0"/>
        <w:shd w:val="clear" w:color="auto" w:fill="auto"/>
        <w:bidi w:val="0"/>
        <w:spacing w:before="0" w:after="3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59"/>
      <w:bookmarkEnd w:id="960"/>
      <w:bookmarkEnd w:id="96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34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8</w:t>
      </w:r>
      <w:bookmarkEnd w:id="965"/>
      <w:r>
        <w:rPr>
          <w:color w:val="000000"/>
          <w:spacing w:val="0"/>
          <w:w w:val="100"/>
          <w:position w:val="0"/>
        </w:rPr>
        <w:t>、</w:t>
        <w:tab/>
        <w:t>应收股利</w:t>
      </w:r>
      <w:bookmarkEnd w:id="963"/>
      <w:bookmarkEnd w:id="964"/>
      <w:bookmarkEnd w:id="966"/>
    </w:p>
    <w:p>
      <w:pPr>
        <w:pStyle w:val="Style26"/>
        <w:keepNext/>
        <w:keepLines/>
        <w:widowControl w:val="0"/>
        <w:shd w:val="clear" w:color="auto" w:fill="auto"/>
        <w:tabs>
          <w:tab w:pos="493" w:val="left"/>
        </w:tabs>
        <w:bidi w:val="0"/>
        <w:spacing w:before="0" w:after="380" w:line="240" w:lineRule="auto"/>
        <w:ind w:left="0" w:right="0" w:firstLine="0"/>
        <w:jc w:val="left"/>
      </w:pPr>
      <w:bookmarkStart w:id="963" w:name="bookmark963"/>
      <w:bookmarkStart w:id="964" w:name="bookmark964"/>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应收股利</w:t>
      </w:r>
      <w:bookmarkEnd w:id="963"/>
      <w:bookmarkEnd w:id="964"/>
      <w:bookmarkEnd w:id="968"/>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38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969"/>
      <w:bookmarkEnd w:id="970"/>
      <w:bookmarkEnd w:id="97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34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9</w:t>
      </w:r>
      <w:bookmarkEnd w:id="975"/>
      <w:r>
        <w:rPr>
          <w:color w:val="000000"/>
          <w:spacing w:val="0"/>
          <w:w w:val="100"/>
          <w:position w:val="0"/>
        </w:rPr>
        <w:t>、</w:t>
        <w:tab/>
        <w:t>其他应收款</w:t>
      </w:r>
      <w:bookmarkEnd w:id="973"/>
      <w:bookmarkEnd w:id="974"/>
      <w:bookmarkEnd w:id="976"/>
    </w:p>
    <w:p>
      <w:pPr>
        <w:pStyle w:val="Style26"/>
        <w:keepNext/>
        <w:keepLines/>
        <w:widowControl w:val="0"/>
        <w:shd w:val="clear" w:color="auto" w:fill="auto"/>
        <w:bidi w:val="0"/>
        <w:spacing w:before="0" w:after="340" w:line="240" w:lineRule="auto"/>
        <w:ind w:left="0" w:right="0" w:firstLine="0"/>
        <w:jc w:val="left"/>
      </w:pPr>
      <w:bookmarkStart w:id="973" w:name="bookmark973"/>
      <w:bookmarkStart w:id="974" w:name="bookmark974"/>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73"/>
      <w:bookmarkEnd w:id="974"/>
      <w:bookmarkEnd w:id="978"/>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73"/>
        <w:gridCol w:w="802"/>
        <w:gridCol w:w="922"/>
        <w:gridCol w:w="95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47,737,4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11,712,4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36,025,02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5,754,275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20,573,112.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47,737,4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11,712,4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36,025,02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5,754,275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20,573,112.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bl>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33,063,734.70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1,653,186.77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9,228,949.32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4,614,474.66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1,572,570.16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1,572,570.16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3,872,222.36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3,872,222.36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47,737,476.54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11,712,453.95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93" w:val="left"/>
        </w:tabs>
        <w:bidi w:val="0"/>
        <w:spacing w:before="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79"/>
      <w:bookmarkEnd w:id="980"/>
      <w:bookmarkEnd w:id="982"/>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5,554,644.82</w:t>
      </w:r>
      <w:r>
        <w:rPr>
          <w:color w:val="000000"/>
          <w:spacing w:val="0"/>
          <w:w w:val="100"/>
          <w:position w:val="0"/>
        </w:rPr>
        <w:t>元。</w:t>
      </w:r>
    </w:p>
    <w:p>
      <w:pPr>
        <w:pStyle w:val="Style26"/>
        <w:keepNext/>
        <w:keepLines/>
        <w:widowControl w:val="0"/>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983"/>
      <w:bookmarkEnd w:id="984"/>
      <w:bookmarkEnd w:id="986"/>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987"/>
      <w:bookmarkEnd w:id="988"/>
      <w:bookmarkEnd w:id="990"/>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7,000,932.63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9,328,382.08</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34,530,592.81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13,369,672.71</w:t>
            </w:r>
          </w:p>
        </w:tc>
      </w:tr>
    </w:tbl>
    <w:p>
      <w:pPr>
        <w:widowControl w:val="0"/>
        <w:spacing w:line="1" w:lineRule="exact"/>
      </w:pP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3,828,884.51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1,416,451.43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2,377,066.59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2,212,881.71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47,737,476.54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26,327,387.93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w:t>
      </w:r>
      <w:bookmarkEnd w:id="99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991"/>
      <w:bookmarkEnd w:id="992"/>
      <w:bookmarkEnd w:id="99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思爱普</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980,006.54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49,000.33</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上海青浦区汉得培 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729,116.93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714,116.93</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成都市九天家私有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641,016.04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32,050.80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TECH VALLEY</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SOLUTIONS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628,417.70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314,208.85</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中国移动通信集团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3,576,557.21</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1,139,276.91</w:t>
            </w:r>
          </w:p>
        </w:tc>
      </w:tr>
    </w:tbl>
    <w:p>
      <w:pPr>
        <w:widowControl w:val="0"/>
        <w:spacing w:after="299" w:line="1" w:lineRule="exact"/>
      </w:pPr>
    </w:p>
    <w:p>
      <w:pPr>
        <w:pStyle w:val="Style26"/>
        <w:keepNext/>
        <w:keepLines/>
        <w:widowControl w:val="0"/>
        <w:shd w:val="clear" w:color="auto" w:fill="auto"/>
        <w:tabs>
          <w:tab w:pos="493" w:val="left"/>
        </w:tabs>
        <w:bidi w:val="0"/>
        <w:spacing w:before="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995"/>
      <w:bookmarkEnd w:id="996"/>
      <w:bookmarkEnd w:id="99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00"/>
      <w:bookmarkEnd w:id="1002"/>
      <w:bookmarkEnd w:id="99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03"/>
      <w:bookmarkEnd w:id="1004"/>
      <w:bookmarkEnd w:id="100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1</w:t>
      </w:r>
      <w:bookmarkEnd w:id="1009"/>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07"/>
      <w:bookmarkEnd w:id="1008"/>
      <w:bookmarkEnd w:id="101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11"/>
      <w:bookmarkEnd w:id="1012"/>
      <w:bookmarkEnd w:id="1014"/>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859,143.30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859,143.30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1,055,840.80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1,055,840.80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859,143.30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859,143.30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1,055,840.80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1,055,840.80</w:t>
            </w:r>
          </w:p>
        </w:tc>
      </w:tr>
    </w:tbl>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3"/>
        <w:keepNext w:val="0"/>
        <w:keepLines w:val="0"/>
        <w:widowControl w:val="0"/>
        <w:shd w:val="clear" w:color="auto" w:fill="auto"/>
        <w:bidi w:val="0"/>
        <w:spacing w:before="0" w:after="36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 否</w:t>
      </w:r>
    </w:p>
    <w:p>
      <w:pPr>
        <w:pStyle w:val="Style26"/>
        <w:keepNext/>
        <w:keepLines/>
        <w:widowControl w:val="0"/>
        <w:shd w:val="clear" w:color="auto" w:fill="auto"/>
        <w:tabs>
          <w:tab w:pos="493" w:val="left"/>
        </w:tabs>
        <w:bidi w:val="0"/>
        <w:spacing w:before="0" w:after="260" w:line="240" w:lineRule="auto"/>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15"/>
      <w:bookmarkEnd w:id="1016"/>
      <w:bookmarkEnd w:id="1018"/>
    </w:p>
    <w:p>
      <w:pPr>
        <w:pStyle w:val="Style23"/>
        <w:keepNext w:val="0"/>
        <w:keepLines w:val="0"/>
        <w:widowControl w:val="0"/>
        <w:shd w:val="clear" w:color="auto" w:fill="auto"/>
        <w:bidi w:val="0"/>
        <w:spacing w:before="0" w:after="360" w:line="343" w:lineRule="exact"/>
        <w:ind w:left="0" w:right="0" w:firstLine="0"/>
        <w:jc w:val="both"/>
      </w:pPr>
      <w:r>
        <w:rPr>
          <w:color w:val="000000"/>
          <w:spacing w:val="0"/>
          <w:w w:val="100"/>
          <w:position w:val="0"/>
        </w:rPr>
        <w:t>无</w:t>
      </w:r>
    </w:p>
    <w:p>
      <w:pPr>
        <w:pStyle w:val="Style26"/>
        <w:keepNext/>
        <w:keepLines/>
        <w:widowControl w:val="0"/>
        <w:shd w:val="clear" w:color="auto" w:fill="auto"/>
        <w:tabs>
          <w:tab w:pos="493" w:val="left"/>
        </w:tabs>
        <w:bidi w:val="0"/>
        <w:spacing w:before="0" w:after="260" w:line="240" w:lineRule="auto"/>
        <w:ind w:left="0" w:right="0" w:firstLine="0"/>
        <w:jc w:val="both"/>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19"/>
      <w:bookmarkEnd w:id="1020"/>
      <w:bookmarkEnd w:id="1022"/>
    </w:p>
    <w:p>
      <w:pPr>
        <w:pStyle w:val="Style23"/>
        <w:keepNext w:val="0"/>
        <w:keepLines w:val="0"/>
        <w:widowControl w:val="0"/>
        <w:shd w:val="clear" w:color="auto" w:fill="auto"/>
        <w:bidi w:val="0"/>
        <w:spacing w:before="0" w:after="360" w:line="343" w:lineRule="exact"/>
        <w:ind w:left="0" w:right="0" w:firstLine="0"/>
        <w:jc w:val="both"/>
      </w:pPr>
      <w:r>
        <w:rPr>
          <w:color w:val="000000"/>
          <w:spacing w:val="0"/>
          <w:w w:val="100"/>
          <w:position w:val="0"/>
        </w:rPr>
        <w:t>无</w:t>
      </w:r>
    </w:p>
    <w:p>
      <w:pPr>
        <w:pStyle w:val="Style26"/>
        <w:keepNext/>
        <w:keepLines/>
        <w:widowControl w:val="0"/>
        <w:shd w:val="clear" w:color="auto" w:fill="auto"/>
        <w:tabs>
          <w:tab w:pos="493" w:val="left"/>
        </w:tabs>
        <w:bidi w:val="0"/>
        <w:spacing w:before="0" w:after="26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23"/>
      <w:bookmarkEnd w:id="1024"/>
      <w:bookmarkEnd w:id="1026"/>
    </w:p>
    <w:p>
      <w:pPr>
        <w:pStyle w:val="Style23"/>
        <w:keepNext w:val="0"/>
        <w:keepLines w:val="0"/>
        <w:widowControl w:val="0"/>
        <w:shd w:val="clear" w:color="auto" w:fill="auto"/>
        <w:bidi w:val="0"/>
        <w:spacing w:before="0" w:after="360" w:line="343" w:lineRule="exact"/>
        <w:ind w:left="0" w:right="0" w:firstLine="0"/>
        <w:jc w:val="both"/>
      </w:pPr>
      <w:r>
        <w:rPr>
          <w:color w:val="000000"/>
          <w:spacing w:val="0"/>
          <w:w w:val="100"/>
          <w:position w:val="0"/>
        </w:rPr>
        <w:t>无</w:t>
      </w:r>
    </w:p>
    <w:p>
      <w:pPr>
        <w:pStyle w:val="Style26"/>
        <w:keepNext/>
        <w:keepLines/>
        <w:widowControl w:val="0"/>
        <w:shd w:val="clear" w:color="auto" w:fill="auto"/>
        <w:tabs>
          <w:tab w:pos="478" w:val="left"/>
        </w:tabs>
        <w:bidi w:val="0"/>
        <w:spacing w:before="0" w:after="26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27"/>
      <w:bookmarkEnd w:id="1028"/>
      <w:bookmarkEnd w:id="1030"/>
    </w:p>
    <w:p>
      <w:pPr>
        <w:pStyle w:val="Style23"/>
        <w:keepNext w:val="0"/>
        <w:keepLines w:val="0"/>
        <w:widowControl w:val="0"/>
        <w:shd w:val="clear" w:color="auto" w:fill="auto"/>
        <w:bidi w:val="0"/>
        <w:spacing w:before="0" w:after="360" w:line="343" w:lineRule="exact"/>
        <w:ind w:left="0" w:right="0" w:firstLine="0"/>
        <w:jc w:val="both"/>
      </w:pPr>
      <w:r>
        <w:rPr>
          <w:color w:val="000000"/>
          <w:spacing w:val="0"/>
          <w:w w:val="100"/>
          <w:position w:val="0"/>
        </w:rPr>
        <w:t>无</w:t>
      </w:r>
    </w:p>
    <w:p>
      <w:pPr>
        <w:pStyle w:val="Style26"/>
        <w:keepNext/>
        <w:keepLines/>
        <w:widowControl w:val="0"/>
        <w:shd w:val="clear" w:color="auto" w:fill="auto"/>
        <w:tabs>
          <w:tab w:pos="478" w:val="left"/>
        </w:tabs>
        <w:bidi w:val="0"/>
        <w:spacing w:before="0" w:line="240"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31"/>
      <w:bookmarkEnd w:id="1032"/>
      <w:bookmarkEnd w:id="10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6,811,000.00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5,140,000.00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6,811,000.00</w:t>
            </w:r>
          </w:p>
        </w:tc>
      </w:tr>
    </w:tbl>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3"/>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注：根据公司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月制订的《员工购房借款福利管理办法》，公司向符合条件的员工提供购房借款，在</w:t>
      </w:r>
      <w:r>
        <w:rPr>
          <w:rFonts w:ascii="Times New Roman" w:eastAsia="Times New Roman" w:hAnsi="Times New Roman" w:cs="Times New Roman"/>
          <w:color w:val="000000"/>
          <w:spacing w:val="0"/>
          <w:w w:val="100"/>
          <w:position w:val="0"/>
        </w:rPr>
        <w:t>3</w:t>
      </w:r>
      <w:r>
        <w:rPr>
          <w:color w:val="000000"/>
          <w:spacing w:val="0"/>
          <w:w w:val="100"/>
          <w:position w:val="0"/>
        </w:rPr>
        <w:t>年内通过工资扣 款归还，其中</w:t>
      </w:r>
      <w:r>
        <w:rPr>
          <w:rFonts w:ascii="Times New Roman" w:eastAsia="Times New Roman" w:hAnsi="Times New Roman" w:cs="Times New Roman"/>
          <w:color w:val="000000"/>
          <w:spacing w:val="0"/>
          <w:w w:val="100"/>
          <w:position w:val="0"/>
        </w:rPr>
        <w:t>1</w:t>
      </w:r>
      <w:r>
        <w:rPr>
          <w:color w:val="000000"/>
          <w:spacing w:val="0"/>
          <w:w w:val="100"/>
          <w:position w:val="0"/>
        </w:rPr>
        <w:t>年内应归还部分计入一年内到期的非流动资产。</w:t>
      </w:r>
    </w:p>
    <w:p>
      <w:pPr>
        <w:pStyle w:val="Style26"/>
        <w:keepNext/>
        <w:keepLines/>
        <w:widowControl w:val="0"/>
        <w:shd w:val="clear" w:color="auto" w:fill="auto"/>
        <w:bidi w:val="0"/>
        <w:spacing w:before="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35"/>
      <w:bookmarkEnd w:id="1036"/>
      <w:bookmarkEnd w:id="1038"/>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769,416.94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4,363,018.29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2,903,852.70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11,350,693.31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103,387.96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60,877,049.98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64,684,299.55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16,313,711.60</w:t>
            </w: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理财产品说明:</w:t>
      </w:r>
    </w:p>
    <w:tbl>
      <w:tblPr>
        <w:tblOverlap w:val="never"/>
        <w:jc w:val="center"/>
        <w:tblLayout w:type="fixed"/>
      </w:tblPr>
      <w:tblGrid>
        <w:gridCol w:w="1718"/>
        <w:gridCol w:w="6250"/>
        <w:gridCol w:w="170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理财产品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汉得新加坡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高盛（亚洲）有限责任公司委托理财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60,877,049.98</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1</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39"/>
      <w:bookmarkEnd w:id="1040"/>
      <w:bookmarkEnd w:id="1042"/>
    </w:p>
    <w:p>
      <w:pPr>
        <w:pStyle w:val="Style26"/>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39"/>
      <w:bookmarkEnd w:id="1040"/>
      <w:bookmarkEnd w:id="10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1195"/>
        <w:gridCol w:w="1200"/>
        <w:gridCol w:w="124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32,938,523.91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36,000,000.00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45"/>
      <w:bookmarkEnd w:id="1046"/>
      <w:bookmarkEnd w:id="1048"/>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49"/>
      <w:bookmarkEnd w:id="1050"/>
      <w:bookmarkEnd w:id="10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上海青浦 区汉得培 训学校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上海黑骥 马股权投 资合伙企 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1,658,135.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23,341,864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97,461.00</w:t>
            </w:r>
          </w:p>
        </w:tc>
      </w:tr>
    </w:tbl>
    <w:p>
      <w:pPr>
        <w:widowControl w:val="0"/>
        <w:spacing w:line="1" w:lineRule="exact"/>
      </w:pPr>
    </w:p>
    <w:tbl>
      <w:tblPr>
        <w:tblOverlap w:val="never"/>
        <w:jc w:val="center"/>
        <w:tblLayout w:type="fixed"/>
      </w:tblPr>
      <w:tblGrid>
        <w:gridCol w:w="864"/>
        <w:gridCol w:w="874"/>
        <w:gridCol w:w="869"/>
        <w:gridCol w:w="869"/>
        <w:gridCol w:w="869"/>
        <w:gridCol w:w="874"/>
        <w:gridCol w:w="869"/>
        <w:gridCol w:w="869"/>
        <w:gridCol w:w="869"/>
        <w:gridCol w:w="874"/>
        <w:gridCol w:w="878"/>
      </w:tblGrid>
      <w:tr>
        <w:trPr>
          <w:trHeight w:val="165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上海兴富 创业投资 管理中心</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1,403,340.</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8,596,659.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36,000,000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3,061,476.</w:t>
            </w:r>
          </w:p>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32,938,523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97,461.00</w:t>
            </w:r>
          </w:p>
        </w:tc>
      </w:tr>
    </w:tbl>
    <w:p>
      <w:pPr>
        <w:pStyle w:val="Style33"/>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）报告期内可供出售金融资产减值的变动情况</w:t>
      </w:r>
    </w:p>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0"/>
        <w:jc w:val="left"/>
      </w:pPr>
      <w:bookmarkStart w:id="1053" w:name="bookmark1053"/>
      <w:r>
        <w:rPr>
          <w:color w:val="000000"/>
          <w:spacing w:val="0"/>
          <w:w w:val="100"/>
          <w:position w:val="0"/>
        </w:rPr>
        <w:t>无</w:t>
      </w:r>
      <w:bookmarkEnd w:id="1053"/>
    </w:p>
    <w:p>
      <w:pPr>
        <w:pStyle w:val="Style47"/>
        <w:keepNext w:val="0"/>
        <w:keepLines w:val="0"/>
        <w:widowControl w:val="0"/>
        <w:shd w:val="clear" w:color="auto" w:fill="auto"/>
        <w:bidi w:val="0"/>
        <w:spacing w:before="0" w:line="240" w:lineRule="auto"/>
        <w:ind w:left="0" w:right="0" w:firstLine="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78" w:val="left"/>
        </w:tabs>
        <w:bidi w:val="0"/>
        <w:spacing w:before="0" w:line="240" w:lineRule="auto"/>
        <w:ind w:left="0" w:right="0" w:firstLine="0"/>
        <w:jc w:val="left"/>
      </w:pPr>
      <w:bookmarkStart w:id="1055" w:name="bookmark1055"/>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78" w:val="left"/>
        </w:tabs>
        <w:bidi w:val="0"/>
        <w:spacing w:before="0" w:line="240" w:lineRule="auto"/>
        <w:ind w:left="0" w:right="0" w:firstLine="0"/>
        <w:jc w:val="left"/>
      </w:pPr>
      <w:bookmarkStart w:id="1059" w:name="bookmark1059"/>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063"/>
      <w:bookmarkEnd w:id="1064"/>
      <w:bookmarkEnd w:id="106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tabs>
          <w:tab w:pos="478" w:val="left"/>
        </w:tabs>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067"/>
      <w:bookmarkEnd w:id="1068"/>
      <w:bookmarkEnd w:id="1070"/>
    </w:p>
    <w:p>
      <w:pPr>
        <w:pStyle w:val="Style26"/>
        <w:keepNext/>
        <w:keepLines/>
        <w:widowControl w:val="0"/>
        <w:numPr>
          <w:ilvl w:val="0"/>
          <w:numId w:val="41"/>
        </w:numPr>
        <w:shd w:val="clear" w:color="auto" w:fill="auto"/>
        <w:tabs>
          <w:tab w:pos="493" w:val="left"/>
        </w:tabs>
        <w:bidi w:val="0"/>
        <w:spacing w:before="0" w:line="240" w:lineRule="auto"/>
        <w:ind w:left="0" w:right="0" w:firstLine="0"/>
        <w:jc w:val="left"/>
      </w:pPr>
      <w:bookmarkStart w:id="1067" w:name="bookmark1067"/>
      <w:bookmarkStart w:id="1068" w:name="bookmark1068"/>
      <w:bookmarkStart w:id="1071" w:name="bookmark1071"/>
      <w:bookmarkStart w:id="1072" w:name="bookmark1072"/>
      <w:bookmarkEnd w:id="1071"/>
      <w:r>
        <w:rPr>
          <w:color w:val="000000"/>
          <w:spacing w:val="0"/>
          <w:w w:val="100"/>
          <w:position w:val="0"/>
        </w:rPr>
        <w:t>采用成本计量模式的投资性房地产</w:t>
      </w:r>
      <w:bookmarkEnd w:id="1067"/>
      <w:bookmarkEnd w:id="1068"/>
      <w:bookmarkEnd w:id="107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numPr>
          <w:ilvl w:val="0"/>
          <w:numId w:val="41"/>
        </w:numPr>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采用公允价值计量模式的投资性房地产</w:t>
      </w:r>
      <w:bookmarkEnd w:id="1073"/>
      <w:bookmarkEnd w:id="1074"/>
      <w:bookmarkEnd w:id="107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numPr>
          <w:ilvl w:val="0"/>
          <w:numId w:val="41"/>
        </w:numPr>
        <w:shd w:val="clear" w:color="auto" w:fill="auto"/>
        <w:tabs>
          <w:tab w:pos="49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未办妥产权证书的投资性房地产情况</w:t>
      </w:r>
      <w:bookmarkEnd w:id="1077"/>
      <w:bookmarkEnd w:id="1078"/>
      <w:bookmarkEnd w:id="1080"/>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78" w:val="left"/>
        </w:tabs>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081"/>
      <w:bookmarkEnd w:id="1082"/>
      <w:bookmarkEnd w:id="1084"/>
    </w:p>
    <w:p>
      <w:pPr>
        <w:pStyle w:val="Style26"/>
        <w:keepNext/>
        <w:keepLines/>
        <w:widowControl w:val="0"/>
        <w:numPr>
          <w:ilvl w:val="0"/>
          <w:numId w:val="43"/>
        </w:numPr>
        <w:shd w:val="clear" w:color="auto" w:fill="auto"/>
        <w:bidi w:val="0"/>
        <w:spacing w:before="0" w:line="240" w:lineRule="auto"/>
        <w:ind w:left="0" w:right="0" w:firstLine="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固定资产情况</w:t>
      </w:r>
      <w:bookmarkEnd w:id="1081"/>
      <w:bookmarkEnd w:id="1082"/>
      <w:bookmarkEnd w:id="108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固定资产装修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278,684,149.74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12,297,886.81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4,487,284.50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35,862,430.87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2,733,067.29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5,369,007.90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339,433,827.11</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26,972,266.36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4,090,082.18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22,319.67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12,586,580.40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567,060.51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44,305,498.72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26,972,266.36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3,783,559.13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11,272,412.72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67,189.60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567,060.51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42,662,488.32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480"/>
              <w:jc w:val="both"/>
            </w:pP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1,297,809.43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1,590,692.64</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一</w:t>
            </w:r>
            <w:r>
              <w:rPr>
                <w:color w:val="000000"/>
                <w:spacing w:val="0"/>
                <w:w w:val="100"/>
                <w:position w:val="0"/>
              </w:rPr>
              <w:t>外币报表折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22,319.67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52,317.76</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2,012,825.09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2,012,825.09</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2,012,825.09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2,012,825.09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305,656,416.10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16,387,968.99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4,509,604.17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46,436,186.18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2,800,256.89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5,936,068.41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381,726,500.74</w:t>
            </w:r>
          </w:p>
        </w:tc>
      </w:tr>
    </w:tbl>
    <w:p>
      <w:pPr>
        <w:widowControl w:val="0"/>
        <w:spacing w:line="1" w:lineRule="exact"/>
      </w:pPr>
      <w:r>
        <w:br w:type="page"/>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9,508,276.89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3,758,333.59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2,839,825.01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21,471,182.02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640,305.99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1,344,219.85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39,562,143.35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6,389,293.17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2,570,951.17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595,023.93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9,010,269.27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561,924.94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1,002,748.93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20,130,211.41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6,389,293.17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2,491,461.28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589,897.11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8,305,106.20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561,924.94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1,002,748.93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19,340,431.63</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68,701.68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695,978.56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764,680.24</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both"/>
            </w:pPr>
            <w:r>
              <w:rPr>
                <w:color w:val="000000"/>
                <w:spacing w:val="0"/>
                <w:w w:val="100"/>
                <w:position w:val="0"/>
              </w:rPr>
              <w:t>一</w:t>
            </w:r>
            <w:r>
              <w:rPr>
                <w:color w:val="000000"/>
                <w:spacing w:val="0"/>
                <w:w w:val="100"/>
                <w:position w:val="0"/>
              </w:rPr>
              <w:t>外币报表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10,788.21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25,099.54</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1,377,711.24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1,377,711.24</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1,377,711.24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1,377,711.24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15,897,570.06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6,329,284.76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3,434,848.94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29,103,740.05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1,202,230.93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2,346,968.78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58,314,643.52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289,758,846.04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10,058,684.23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1,074,755.23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17,332,446.13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1,598,025.96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3,589,099.63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323,411,857.22</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269,175,872.85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8,539,553.22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1,647,459.49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14,391,248.85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2,092,761.30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4,024,788.05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299,871,683.76</w:t>
            </w:r>
          </w:p>
        </w:tc>
      </w:tr>
    </w:tbl>
    <w:p>
      <w:pPr>
        <w:widowControl w:val="0"/>
        <w:spacing w:after="299" w:line="1" w:lineRule="exact"/>
      </w:pPr>
    </w:p>
    <w:p>
      <w:pPr>
        <w:pStyle w:val="Style26"/>
        <w:keepNext/>
        <w:keepLines/>
        <w:widowControl w:val="0"/>
        <w:numPr>
          <w:ilvl w:val="0"/>
          <w:numId w:val="43"/>
        </w:numPr>
        <w:shd w:val="clear" w:color="auto" w:fill="auto"/>
        <w:bidi w:val="0"/>
        <w:spacing w:before="0" w:after="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暂时闲置的固定资产情况</w:t>
      </w:r>
      <w:bookmarkEnd w:id="1087"/>
      <w:bookmarkEnd w:id="1088"/>
      <w:bookmarkEnd w:id="1090"/>
    </w:p>
    <w:p>
      <w:pPr>
        <w:pStyle w:val="Style47"/>
        <w:keepNext w:val="0"/>
        <w:keepLines w:val="0"/>
        <w:widowControl w:val="0"/>
        <w:numPr>
          <w:ilvl w:val="0"/>
          <w:numId w:val="43"/>
        </w:numPr>
        <w:shd w:val="clear" w:color="auto" w:fill="auto"/>
        <w:tabs>
          <w:tab w:pos="493" w:val="left"/>
        </w:tabs>
        <w:bidi w:val="0"/>
        <w:spacing w:before="0" w:line="240" w:lineRule="auto"/>
        <w:ind w:left="0" w:right="0" w:firstLine="0"/>
        <w:jc w:val="left"/>
      </w:pPr>
      <w:bookmarkStart w:id="1091" w:name="bookmark1091"/>
      <w:bookmarkEnd w:id="1091"/>
      <w:r>
        <w:rPr>
          <w:color w:val="000000"/>
          <w:spacing w:val="0"/>
          <w:w w:val="100"/>
          <w:position w:val="0"/>
        </w:rPr>
        <w:t>通过融资租赁租入的固定资产情况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43"/>
        </w:numPr>
        <w:shd w:val="clear" w:color="auto" w:fill="auto"/>
        <w:tabs>
          <w:tab w:pos="493" w:val="left"/>
        </w:tabs>
        <w:bidi w:val="0"/>
        <w:spacing w:before="0" w:line="240" w:lineRule="auto"/>
        <w:ind w:left="0" w:right="0" w:firstLine="0"/>
        <w:jc w:val="left"/>
      </w:pPr>
      <w:bookmarkStart w:id="1092" w:name="bookmark1092"/>
      <w:bookmarkEnd w:id="1092"/>
      <w:r>
        <w:rPr>
          <w:color w:val="000000"/>
          <w:spacing w:val="0"/>
          <w:w w:val="100"/>
          <w:position w:val="0"/>
        </w:rPr>
        <w:t>通过经营租赁租出的固定资产</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43"/>
        </w:numPr>
        <w:shd w:val="clear" w:color="auto" w:fill="auto"/>
        <w:tabs>
          <w:tab w:pos="493" w:val="left"/>
        </w:tabs>
        <w:bidi w:val="0"/>
        <w:spacing w:before="0" w:line="240" w:lineRule="auto"/>
        <w:ind w:left="0" w:right="0" w:firstLine="0"/>
        <w:jc w:val="left"/>
      </w:pPr>
      <w:bookmarkStart w:id="1093" w:name="bookmark1093"/>
      <w:bookmarkEnd w:id="1093"/>
      <w:r>
        <w:rPr>
          <w:color w:val="000000"/>
          <w:spacing w:val="0"/>
          <w:w w:val="100"/>
          <w:position w:val="0"/>
        </w:rPr>
        <w:t>未办妥产权证书的固定资产情况</w:t>
      </w:r>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1094" w:name="bookmark1094"/>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p>
    <w:p>
      <w:pPr>
        <w:pStyle w:val="Style47"/>
        <w:keepNext w:val="0"/>
        <w:keepLines w:val="0"/>
        <w:widowControl w:val="0"/>
        <w:numPr>
          <w:ilvl w:val="0"/>
          <w:numId w:val="45"/>
        </w:numPr>
        <w:shd w:val="clear" w:color="auto" w:fill="auto"/>
        <w:tabs>
          <w:tab w:pos="493" w:val="left"/>
        </w:tabs>
        <w:bidi w:val="0"/>
        <w:spacing w:before="0" w:line="240" w:lineRule="auto"/>
        <w:ind w:left="0" w:right="0" w:firstLine="0"/>
        <w:jc w:val="left"/>
      </w:pPr>
      <w:bookmarkStart w:id="1095" w:name="bookmark1095"/>
      <w:bookmarkEnd w:id="1095"/>
      <w:r>
        <w:rPr>
          <w:color w:val="000000"/>
          <w:spacing w:val="0"/>
          <w:w w:val="100"/>
          <w:position w:val="0"/>
        </w:rPr>
        <w:t>在建工程情况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45"/>
        </w:numPr>
        <w:shd w:val="clear" w:color="auto" w:fill="auto"/>
        <w:tabs>
          <w:tab w:pos="493" w:val="left"/>
        </w:tabs>
        <w:bidi w:val="0"/>
        <w:spacing w:before="0" w:line="240" w:lineRule="auto"/>
        <w:ind w:left="0" w:right="0" w:firstLine="0"/>
        <w:jc w:val="left"/>
      </w:pPr>
      <w:bookmarkStart w:id="1096" w:name="bookmark1096"/>
      <w:bookmarkEnd w:id="1096"/>
      <w:r>
        <w:rPr>
          <w:color w:val="000000"/>
          <w:spacing w:val="0"/>
          <w:w w:val="100"/>
          <w:position w:val="0"/>
        </w:rPr>
        <w:t>重要在建工程项目本期变动情况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45"/>
        </w:numPr>
        <w:shd w:val="clear" w:color="auto" w:fill="auto"/>
        <w:tabs>
          <w:tab w:pos="493" w:val="left"/>
        </w:tabs>
        <w:bidi w:val="0"/>
        <w:spacing w:before="0" w:line="240" w:lineRule="auto"/>
        <w:ind w:left="0" w:right="0" w:firstLine="0"/>
        <w:jc w:val="left"/>
      </w:pPr>
      <w:bookmarkStart w:id="1097" w:name="bookmark1097"/>
      <w:bookmarkEnd w:id="1097"/>
      <w:r>
        <w:rPr>
          <w:color w:val="000000"/>
          <w:spacing w:val="0"/>
          <w:w w:val="100"/>
          <w:position w:val="0"/>
        </w:rPr>
        <w:t>本期计提在建工程减值准备情况</w:t>
      </w:r>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1098" w:name="bookmark1098"/>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1099" w:name="bookmark1099"/>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47"/>
        <w:keepNext w:val="0"/>
        <w:keepLines w:val="0"/>
        <w:widowControl w:val="0"/>
        <w:shd w:val="clear" w:color="auto" w:fill="auto"/>
        <w:tabs>
          <w:tab w:pos="488" w:val="left"/>
        </w:tabs>
        <w:bidi w:val="0"/>
        <w:spacing w:before="0" w:line="240" w:lineRule="auto"/>
        <w:ind w:left="0" w:right="0" w:firstLine="0"/>
        <w:jc w:val="left"/>
      </w:pPr>
      <w:bookmarkStart w:id="1100" w:name="bookmark1100"/>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p>
    <w:p>
      <w:pPr>
        <w:pStyle w:val="Style47"/>
        <w:keepNext w:val="0"/>
        <w:keepLines w:val="0"/>
        <w:widowControl w:val="0"/>
        <w:numPr>
          <w:ilvl w:val="0"/>
          <w:numId w:val="47"/>
        </w:numPr>
        <w:shd w:val="clear" w:color="auto" w:fill="auto"/>
        <w:tabs>
          <w:tab w:pos="493" w:val="left"/>
        </w:tabs>
        <w:bidi w:val="0"/>
        <w:spacing w:before="0" w:line="240" w:lineRule="auto"/>
        <w:ind w:left="0" w:right="0" w:firstLine="0"/>
        <w:jc w:val="left"/>
      </w:pPr>
      <w:bookmarkStart w:id="1101" w:name="bookmark1101"/>
      <w:bookmarkEnd w:id="1101"/>
      <w:r>
        <w:rPr>
          <w:color w:val="000000"/>
          <w:spacing w:val="0"/>
          <w:w w:val="100"/>
          <w:position w:val="0"/>
        </w:rPr>
        <w:t>采用成本计量模式的生产性生物资产</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val="0"/>
        <w:keepLines w:val="0"/>
        <w:widowControl w:val="0"/>
        <w:numPr>
          <w:ilvl w:val="0"/>
          <w:numId w:val="47"/>
        </w:numPr>
        <w:shd w:val="clear" w:color="auto" w:fill="auto"/>
        <w:tabs>
          <w:tab w:pos="493" w:val="left"/>
        </w:tabs>
        <w:bidi w:val="0"/>
        <w:spacing w:before="0" w:line="240" w:lineRule="auto"/>
        <w:ind w:left="0" w:right="0" w:firstLine="0"/>
        <w:jc w:val="left"/>
      </w:pPr>
      <w:bookmarkStart w:id="1102" w:name="bookmark1102"/>
      <w:bookmarkEnd w:id="1102"/>
      <w:r>
        <w:rPr>
          <w:color w:val="000000"/>
          <w:spacing w:val="0"/>
          <w:w w:val="100"/>
          <w:position w:val="0"/>
        </w:rPr>
        <w:t>采用公允价值计量模式的生产性生物资产</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keepLines/>
        <w:widowControl w:val="0"/>
        <w:shd w:val="clear" w:color="auto" w:fill="auto"/>
        <w:tabs>
          <w:tab w:pos="488" w:val="left"/>
        </w:tabs>
        <w:bidi w:val="0"/>
        <w:spacing w:before="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03"/>
      <w:bookmarkEnd w:id="1104"/>
      <w:bookmarkEnd w:id="1106"/>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8" w:val="left"/>
        </w:tabs>
        <w:bidi w:val="0"/>
        <w:spacing w:before="0" w:line="240" w:lineRule="auto"/>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07"/>
      <w:bookmarkEnd w:id="1108"/>
      <w:bookmarkEnd w:id="1110"/>
    </w:p>
    <w:p>
      <w:pPr>
        <w:pStyle w:val="Style26"/>
        <w:keepNext/>
        <w:keepLines/>
        <w:widowControl w:val="0"/>
        <w:numPr>
          <w:ilvl w:val="0"/>
          <w:numId w:val="49"/>
        </w:numPr>
        <w:shd w:val="clear" w:color="auto" w:fill="auto"/>
        <w:bidi w:val="0"/>
        <w:spacing w:before="0" w:line="240" w:lineRule="auto"/>
        <w:ind w:left="0" w:right="0" w:firstLine="0"/>
        <w:jc w:val="both"/>
      </w:pPr>
      <w:bookmarkStart w:id="1107" w:name="bookmark1107"/>
      <w:bookmarkStart w:id="1108" w:name="bookmark1108"/>
      <w:bookmarkStart w:id="1111" w:name="bookmark1111"/>
      <w:bookmarkStart w:id="1112" w:name="bookmark1112"/>
      <w:bookmarkEnd w:id="1111"/>
      <w:r>
        <w:rPr>
          <w:color w:val="000000"/>
          <w:spacing w:val="0"/>
          <w:w w:val="100"/>
          <w:position w:val="0"/>
        </w:rPr>
        <w:t>无形资产情况</w:t>
      </w:r>
      <w:bookmarkEnd w:id="1107"/>
      <w:bookmarkEnd w:id="1108"/>
      <w:bookmarkEnd w:id="1112"/>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电脑软件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35,946,400.00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1,307,692.32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3,907,437.64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30,965,230.63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72,126,760.59</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431,311.08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4,179,186.73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4,610,497.81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358,490.57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358,490.57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640"/>
              <w:jc w:val="both"/>
            </w:pP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4,117,416.17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4,117,416.17</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640"/>
              <w:jc w:val="both"/>
            </w:pP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72,820.51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61,770.56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134,591.07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35,946,400.00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1,307,692.32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4,338,748.72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35,144,417.36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76,737,258.40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2,695,980.12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1,307,692.32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3,133,645.16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5,145,616.97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12,282,934.57</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767,707.53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4,119,989.52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5,606,625.05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718,928.00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700,955.57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4,058,218.96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5,478,102.53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480"/>
              <w:jc w:val="left"/>
            </w:pPr>
            <w:r>
              <w:rPr>
                <w:rFonts w:ascii="Times New Roman" w:eastAsia="Times New Roman" w:hAnsi="Times New Roman" w:cs="Times New Roman"/>
                <w:color w:val="000000"/>
                <w:spacing w:val="0"/>
                <w:w w:val="100"/>
                <w:position w:val="0"/>
              </w:rPr>
              <w:t>—</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66,751.96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61,770.56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128,522.52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8"/>
        <w:gridCol w:w="1368"/>
        <w:gridCol w:w="1368"/>
        <w:gridCol w:w="1368"/>
        <w:gridCol w:w="1368"/>
        <w:gridCol w:w="1363"/>
        <w:gridCol w:w="137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3,414,908.12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1,307,692.32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3,901,352.69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9,265,606.49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17,889,559.62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32,531,491.88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25,878,810.87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58,847,698.78</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33,250,419.88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773,792.48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25,819,613.66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59,843,826.02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28.28%</w:t>
      </w:r>
      <w:r>
        <w:rPr>
          <w:color w:val="000000"/>
          <w:spacing w:val="0"/>
          <w:w w:val="100"/>
          <w:position w:val="0"/>
        </w:rPr>
        <w:t>。</w:t>
      </w:r>
    </w:p>
    <w:p>
      <w:pPr>
        <w:widowControl w:val="0"/>
        <w:spacing w:after="359" w:line="1" w:lineRule="exact"/>
      </w:pPr>
    </w:p>
    <w:p>
      <w:pPr>
        <w:pStyle w:val="Style26"/>
        <w:keepNext/>
        <w:keepLines/>
        <w:widowControl w:val="0"/>
        <w:numPr>
          <w:ilvl w:val="0"/>
          <w:numId w:val="49"/>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未办妥产权证书的土地使用权情况</w:t>
      </w:r>
      <w:bookmarkEnd w:id="1113"/>
      <w:bookmarkEnd w:id="1114"/>
      <w:bookmarkEnd w:id="111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17"/>
      <w:bookmarkEnd w:id="1118"/>
      <w:bookmarkEnd w:id="112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1"/>
        <w:gridCol w:w="1066"/>
        <w:gridCol w:w="1061"/>
        <w:gridCol w:w="10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供应链金融 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3,585,417.22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3,585,417.22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MDM_</w:t>
            </w:r>
            <w:r>
              <w:rPr>
                <w:color w:val="000000"/>
                <w:spacing w:val="0"/>
                <w:w w:val="100"/>
                <w:position w:val="0"/>
              </w:rPr>
              <w:t>物料</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主数据管理</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w:t>
            </w:r>
            <w:r>
              <w:rPr>
                <w:rFonts w:ascii="Times New Roman" w:eastAsia="Times New Roman" w:hAnsi="Times New Roman" w:cs="Times New Roman"/>
                <w:color w:val="000000"/>
                <w:spacing w:val="0"/>
                <w:w w:val="100"/>
                <w:position w:val="0"/>
              </w:rPr>
              <w:t>V1.5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5,144,817.01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5,144,817.01</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汉得</w:t>
            </w:r>
            <w:r>
              <w:rPr>
                <w:rFonts w:ascii="Times New Roman" w:eastAsia="Times New Roman" w:hAnsi="Times New Roman" w:cs="Times New Roman"/>
                <w:color w:val="000000"/>
                <w:spacing w:val="0"/>
                <w:w w:val="100"/>
                <w:position w:val="0"/>
              </w:rPr>
              <w:t>ERP</w:t>
            </w:r>
            <w:r>
              <w:rPr>
                <w:color w:val="000000"/>
                <w:spacing w:val="0"/>
                <w:w w:val="100"/>
                <w:position w:val="0"/>
              </w:rPr>
              <w:t>核 心数据导入 校验系统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6,519,260.19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6,519,260.19</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汉得主数据 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7,244,757.49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7,244,757.49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芝士网英语 智能评估</w:t>
            </w:r>
            <w:r>
              <w:rPr>
                <w:rFonts w:ascii="Times New Roman" w:eastAsia="Times New Roman" w:hAnsi="Times New Roman" w:cs="Times New Roman"/>
                <w:color w:val="000000"/>
                <w:spacing w:val="0"/>
                <w:w w:val="100"/>
                <w:position w:val="0"/>
              </w:rPr>
              <w:t>-</w:t>
            </w:r>
            <w:r>
              <w:rPr>
                <w:color w:val="000000"/>
                <w:spacing w:val="0"/>
                <w:w w:val="100"/>
                <w:position w:val="0"/>
              </w:rPr>
              <w:t>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5,928,857.87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8,659,960.92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14,588,818.7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1"/>
        <w:gridCol w:w="1066"/>
        <w:gridCol w:w="1061"/>
        <w:gridCol w:w="1075"/>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块开发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汇联易报销 及费用平台 管理软件</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44,716.98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44,716.98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14,659,092.1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22,468,695.5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3,585,417.22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33,542,370.4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121"/>
      <w:bookmarkEnd w:id="1122"/>
      <w:bookmarkEnd w:id="1124"/>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）商誉账面原值</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上海夏尔软件有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42,156,869.82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42,156,869.82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随身科技（上海）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2,869,846.54</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上海达美信息技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31,416,564.79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31,416,564.79</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扬州达美投资管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20,386,577.50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20,386,577.50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45,026,716.36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51,803,142.29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96,829,858.65</w:t>
            </w:r>
          </w:p>
        </w:tc>
      </w:tr>
    </w:tbl>
    <w:p>
      <w:pPr>
        <w:widowControl w:val="0"/>
        <w:spacing w:after="339" w:line="1" w:lineRule="exact"/>
      </w:pPr>
    </w:p>
    <w:p>
      <w:pPr>
        <w:pStyle w:val="Style23"/>
        <w:keepNext w:val="0"/>
        <w:keepLines w:val="0"/>
        <w:widowControl w:val="0"/>
        <w:shd w:val="clear" w:color="auto" w:fill="auto"/>
        <w:tabs>
          <w:tab w:pos="454" w:val="left"/>
        </w:tabs>
        <w:bidi w:val="0"/>
        <w:spacing w:before="0" w:after="260" w:line="240" w:lineRule="auto"/>
        <w:ind w:left="0" w:right="0" w:firstLine="0"/>
        <w:jc w:val="left"/>
      </w:pPr>
      <w:bookmarkStart w:id="1125" w:name="bookmark1125"/>
      <w:r>
        <w:rPr>
          <w:b/>
          <w:bCs/>
          <w:color w:val="000000"/>
          <w:spacing w:val="0"/>
          <w:w w:val="100"/>
          <w:position w:val="0"/>
        </w:rPr>
        <w:t>（</w:t>
      </w:r>
      <w:bookmarkEnd w:id="112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商誉的说明</w:t>
      </w:r>
    </w:p>
    <w:p>
      <w:pPr>
        <w:pStyle w:val="Style23"/>
        <w:keepNext w:val="0"/>
        <w:keepLines w:val="0"/>
        <w:widowControl w:val="0"/>
        <w:numPr>
          <w:ilvl w:val="0"/>
          <w:numId w:val="51"/>
        </w:numPr>
        <w:shd w:val="clear" w:color="auto" w:fill="auto"/>
        <w:tabs>
          <w:tab w:pos="306" w:val="left"/>
        </w:tabs>
        <w:bidi w:val="0"/>
        <w:spacing w:before="0" w:after="0" w:line="319" w:lineRule="exact"/>
        <w:ind w:left="0" w:right="0" w:firstLine="0"/>
        <w:jc w:val="left"/>
      </w:pPr>
      <w:bookmarkStart w:id="1126" w:name="bookmark1126"/>
      <w:bookmarkEnd w:id="1126"/>
      <w:r>
        <w:rPr>
          <w:color w:val="000000"/>
          <w:spacing w:val="0"/>
          <w:w w:val="100"/>
          <w:position w:val="0"/>
        </w:rPr>
        <w:t>本公司对夏尔软件的合并成本为人民币</w:t>
      </w:r>
      <w:r>
        <w:rPr>
          <w:rFonts w:ascii="Times New Roman" w:eastAsia="Times New Roman" w:hAnsi="Times New Roman" w:cs="Times New Roman"/>
          <w:color w:val="000000"/>
          <w:spacing w:val="0"/>
          <w:w w:val="100"/>
          <w:position w:val="0"/>
        </w:rPr>
        <w:t>6,187.33</w:t>
      </w:r>
      <w:r>
        <w:rPr>
          <w:color w:val="000000"/>
          <w:spacing w:val="0"/>
          <w:w w:val="100"/>
          <w:position w:val="0"/>
        </w:rPr>
        <w:t>万元，在合并中取得夏尔软件</w:t>
      </w:r>
      <w:r>
        <w:rPr>
          <w:rFonts w:ascii="Times New Roman" w:eastAsia="Times New Roman" w:hAnsi="Times New Roman" w:cs="Times New Roman"/>
          <w:color w:val="000000"/>
          <w:spacing w:val="0"/>
          <w:w w:val="100"/>
          <w:position w:val="0"/>
        </w:rPr>
        <w:t>100%</w:t>
      </w:r>
      <w:r>
        <w:rPr>
          <w:color w:val="000000"/>
          <w:spacing w:val="0"/>
          <w:w w:val="100"/>
          <w:position w:val="0"/>
        </w:rPr>
        <w:t>权益，夏尔软件可辨认净资产在购买日 的公允价值为人民币</w:t>
      </w:r>
      <w:r>
        <w:rPr>
          <w:rFonts w:ascii="Times New Roman" w:eastAsia="Times New Roman" w:hAnsi="Times New Roman" w:cs="Times New Roman"/>
          <w:color w:val="000000"/>
          <w:spacing w:val="0"/>
          <w:w w:val="100"/>
          <w:position w:val="0"/>
        </w:rPr>
        <w:t>1,971.64</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rPr>
        <w:t>4,215.69</w:t>
      </w:r>
      <w:r>
        <w:rPr>
          <w:color w:val="000000"/>
          <w:spacing w:val="0"/>
          <w:w w:val="100"/>
          <w:position w:val="0"/>
        </w:rPr>
        <w:t>万元确认为商誉。</w:t>
      </w:r>
    </w:p>
    <w:p>
      <w:pPr>
        <w:pStyle w:val="Style23"/>
        <w:keepNext w:val="0"/>
        <w:keepLines w:val="0"/>
        <w:widowControl w:val="0"/>
        <w:numPr>
          <w:ilvl w:val="0"/>
          <w:numId w:val="51"/>
        </w:numPr>
        <w:shd w:val="clear" w:color="auto" w:fill="auto"/>
        <w:tabs>
          <w:tab w:pos="315" w:val="left"/>
        </w:tabs>
        <w:bidi w:val="0"/>
        <w:spacing w:before="0" w:after="0" w:line="319" w:lineRule="exact"/>
        <w:ind w:left="0" w:right="0" w:firstLine="0"/>
        <w:jc w:val="left"/>
      </w:pPr>
      <w:bookmarkStart w:id="1127" w:name="bookmark1127"/>
      <w:bookmarkEnd w:id="1127"/>
      <w:r>
        <w:rPr>
          <w:color w:val="000000"/>
          <w:spacing w:val="0"/>
          <w:w w:val="100"/>
          <w:position w:val="0"/>
        </w:rPr>
        <w:t>本公司对随身科技的合并成本为人民币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万元，在合并中取得随身科技</w:t>
      </w:r>
      <w:r>
        <w:rPr>
          <w:rFonts w:ascii="Times New Roman" w:eastAsia="Times New Roman" w:hAnsi="Times New Roman" w:cs="Times New Roman"/>
          <w:color w:val="000000"/>
          <w:spacing w:val="0"/>
          <w:w w:val="100"/>
          <w:position w:val="0"/>
        </w:rPr>
        <w:t>51%</w:t>
      </w:r>
      <w:r>
        <w:rPr>
          <w:color w:val="000000"/>
          <w:spacing w:val="0"/>
          <w:w w:val="100"/>
          <w:position w:val="0"/>
        </w:rPr>
        <w:t>权益，随身科技可辨认净资产在购买日的 公允价值为人民币</w:t>
      </w:r>
      <w:r>
        <w:rPr>
          <w:rFonts w:ascii="Times New Roman" w:eastAsia="Times New Roman" w:hAnsi="Times New Roman" w:cs="Times New Roman"/>
          <w:color w:val="000000"/>
          <w:spacing w:val="0"/>
          <w:w w:val="100"/>
          <w:position w:val="0"/>
        </w:rPr>
        <w:t>417.68</w:t>
      </w:r>
      <w:r>
        <w:rPr>
          <w:color w:val="000000"/>
          <w:spacing w:val="0"/>
          <w:w w:val="100"/>
          <w:position w:val="0"/>
        </w:rPr>
        <w:t>万元，其中</w:t>
      </w:r>
      <w:r>
        <w:rPr>
          <w:rFonts w:ascii="Times New Roman" w:eastAsia="Times New Roman" w:hAnsi="Times New Roman" w:cs="Times New Roman"/>
          <w:color w:val="000000"/>
          <w:spacing w:val="0"/>
          <w:w w:val="100"/>
          <w:position w:val="0"/>
        </w:rPr>
        <w:t>51%</w:t>
      </w:r>
      <w:r>
        <w:rPr>
          <w:color w:val="000000"/>
          <w:spacing w:val="0"/>
          <w:w w:val="100"/>
          <w:position w:val="0"/>
        </w:rPr>
        <w:t>权益的公允价值为</w:t>
      </w:r>
      <w:r>
        <w:rPr>
          <w:rFonts w:ascii="Times New Roman" w:eastAsia="Times New Roman" w:hAnsi="Times New Roman" w:cs="Times New Roman"/>
          <w:color w:val="000000"/>
          <w:spacing w:val="0"/>
          <w:w w:val="100"/>
          <w:position w:val="0"/>
        </w:rPr>
        <w:t>213.02</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rPr>
        <w:t>286.98</w:t>
      </w:r>
      <w:r>
        <w:rPr>
          <w:color w:val="000000"/>
          <w:spacing w:val="0"/>
          <w:w w:val="100"/>
          <w:position w:val="0"/>
        </w:rPr>
        <w:t>万元确认为商誉。</w:t>
      </w:r>
    </w:p>
    <w:p>
      <w:pPr>
        <w:pStyle w:val="Style23"/>
        <w:keepNext w:val="0"/>
        <w:keepLines w:val="0"/>
        <w:widowControl w:val="0"/>
        <w:numPr>
          <w:ilvl w:val="0"/>
          <w:numId w:val="51"/>
        </w:numPr>
        <w:shd w:val="clear" w:color="auto" w:fill="auto"/>
        <w:tabs>
          <w:tab w:pos="315" w:val="left"/>
        </w:tabs>
        <w:bidi w:val="0"/>
        <w:spacing w:before="0" w:after="0" w:line="319" w:lineRule="exact"/>
        <w:ind w:left="0" w:right="0" w:firstLine="0"/>
        <w:jc w:val="left"/>
      </w:pPr>
      <w:bookmarkStart w:id="1128" w:name="bookmark1128"/>
      <w:bookmarkEnd w:id="1128"/>
      <w:r>
        <w:rPr>
          <w:color w:val="000000"/>
          <w:spacing w:val="0"/>
          <w:w w:val="100"/>
          <w:position w:val="0"/>
        </w:rPr>
        <w:t>本公司对上海达美的合并成本为人民币</w:t>
      </w:r>
      <w:r>
        <w:rPr>
          <w:rFonts w:ascii="Times New Roman" w:eastAsia="Times New Roman" w:hAnsi="Times New Roman" w:cs="Times New Roman"/>
          <w:color w:val="000000"/>
          <w:spacing w:val="0"/>
          <w:w w:val="100"/>
          <w:position w:val="0"/>
        </w:rPr>
        <w:t>7,400.00</w:t>
      </w:r>
      <w:r>
        <w:rPr>
          <w:color w:val="000000"/>
          <w:spacing w:val="0"/>
          <w:w w:val="100"/>
          <w:position w:val="0"/>
        </w:rPr>
        <w:t>万元，在合并中取得上海达美</w:t>
      </w:r>
      <w:r>
        <w:rPr>
          <w:rFonts w:ascii="Times New Roman" w:eastAsia="Times New Roman" w:hAnsi="Times New Roman" w:cs="Times New Roman"/>
          <w:color w:val="000000"/>
          <w:spacing w:val="0"/>
          <w:w w:val="100"/>
          <w:position w:val="0"/>
        </w:rPr>
        <w:t>55%</w:t>
      </w:r>
      <w:r>
        <w:rPr>
          <w:color w:val="000000"/>
          <w:spacing w:val="0"/>
          <w:w w:val="100"/>
          <w:position w:val="0"/>
        </w:rPr>
        <w:t>权益，上海达美可辨认净资产在购买日 的公允价值为人民币</w:t>
      </w:r>
      <w:r>
        <w:rPr>
          <w:rFonts w:ascii="Times New Roman" w:eastAsia="Times New Roman" w:hAnsi="Times New Roman" w:cs="Times New Roman"/>
          <w:color w:val="000000"/>
          <w:spacing w:val="0"/>
          <w:w w:val="100"/>
          <w:position w:val="0"/>
        </w:rPr>
        <w:t>7,742.44</w:t>
      </w:r>
      <w:r>
        <w:rPr>
          <w:color w:val="000000"/>
          <w:spacing w:val="0"/>
          <w:w w:val="100"/>
          <w:position w:val="0"/>
        </w:rPr>
        <w:t>万元，其中按</w:t>
      </w:r>
      <w:r>
        <w:rPr>
          <w:rFonts w:ascii="Times New Roman" w:eastAsia="Times New Roman" w:hAnsi="Times New Roman" w:cs="Times New Roman"/>
          <w:color w:val="000000"/>
          <w:spacing w:val="0"/>
          <w:w w:val="100"/>
          <w:position w:val="0"/>
        </w:rPr>
        <w:t>55%</w:t>
      </w:r>
      <w:r>
        <w:rPr>
          <w:color w:val="000000"/>
          <w:spacing w:val="0"/>
          <w:w w:val="100"/>
          <w:position w:val="0"/>
        </w:rPr>
        <w:t>的份额确认的公允价值为</w:t>
      </w:r>
      <w:r>
        <w:rPr>
          <w:rFonts w:ascii="Times New Roman" w:eastAsia="Times New Roman" w:hAnsi="Times New Roman" w:cs="Times New Roman"/>
          <w:color w:val="000000"/>
          <w:spacing w:val="0"/>
          <w:w w:val="100"/>
          <w:position w:val="0"/>
        </w:rPr>
        <w:t>4,258.34</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rPr>
        <w:t>3,141.66</w:t>
      </w:r>
      <w:r>
        <w:rPr>
          <w:color w:val="000000"/>
          <w:spacing w:val="0"/>
          <w:w w:val="100"/>
          <w:position w:val="0"/>
        </w:rPr>
        <w:t>万元确认 为商誉。</w:t>
      </w:r>
    </w:p>
    <w:p>
      <w:pPr>
        <w:pStyle w:val="Style23"/>
        <w:keepNext w:val="0"/>
        <w:keepLines w:val="0"/>
        <w:widowControl w:val="0"/>
        <w:numPr>
          <w:ilvl w:val="0"/>
          <w:numId w:val="51"/>
        </w:numPr>
        <w:shd w:val="clear" w:color="auto" w:fill="auto"/>
        <w:tabs>
          <w:tab w:pos="320" w:val="left"/>
        </w:tabs>
        <w:bidi w:val="0"/>
        <w:spacing w:before="0" w:after="340" w:line="322" w:lineRule="exact"/>
        <w:ind w:left="0" w:right="0" w:firstLine="0"/>
        <w:jc w:val="left"/>
      </w:pPr>
      <w:bookmarkStart w:id="1129" w:name="bookmark1129"/>
      <w:bookmarkEnd w:id="1129"/>
      <w:r>
        <w:rPr>
          <w:color w:val="000000"/>
          <w:spacing w:val="0"/>
          <w:w w:val="100"/>
          <w:position w:val="0"/>
        </w:rPr>
        <w:t>本公司对扬州达美的合并成本为人民币</w:t>
      </w:r>
      <w:r>
        <w:rPr>
          <w:rFonts w:ascii="Times New Roman" w:eastAsia="Times New Roman" w:hAnsi="Times New Roman" w:cs="Times New Roman"/>
          <w:color w:val="000000"/>
          <w:spacing w:val="0"/>
          <w:w w:val="100"/>
          <w:position w:val="0"/>
        </w:rPr>
        <w:t>5,528.25</w:t>
      </w:r>
      <w:r>
        <w:rPr>
          <w:color w:val="000000"/>
          <w:spacing w:val="0"/>
          <w:w w:val="100"/>
          <w:position w:val="0"/>
        </w:rPr>
        <w:t>万元，在合并中取得扬州达美</w:t>
      </w:r>
      <w:r>
        <w:rPr>
          <w:rFonts w:ascii="Times New Roman" w:eastAsia="Times New Roman" w:hAnsi="Times New Roman" w:cs="Times New Roman"/>
          <w:color w:val="000000"/>
          <w:spacing w:val="0"/>
          <w:w w:val="100"/>
          <w:position w:val="0"/>
        </w:rPr>
        <w:t>100%</w:t>
      </w:r>
      <w:r>
        <w:rPr>
          <w:color w:val="000000"/>
          <w:spacing w:val="0"/>
          <w:w w:val="100"/>
          <w:position w:val="0"/>
        </w:rPr>
        <w:t>权益，扬州达美可辨认净资产在购买日 的公允价值为人民币</w:t>
      </w:r>
      <w:r>
        <w:rPr>
          <w:rFonts w:ascii="Times New Roman" w:eastAsia="Times New Roman" w:hAnsi="Times New Roman" w:cs="Times New Roman"/>
          <w:color w:val="000000"/>
          <w:spacing w:val="0"/>
          <w:w w:val="100"/>
          <w:position w:val="0"/>
        </w:rPr>
        <w:t>3,489.59</w:t>
      </w:r>
      <w:r>
        <w:rPr>
          <w:color w:val="000000"/>
          <w:spacing w:val="0"/>
          <w:w w:val="100"/>
          <w:position w:val="0"/>
        </w:rPr>
        <w:t>万元，两者的差额人民币</w:t>
      </w:r>
      <w:r>
        <w:rPr>
          <w:rFonts w:ascii="Times New Roman" w:eastAsia="Times New Roman" w:hAnsi="Times New Roman" w:cs="Times New Roman"/>
          <w:color w:val="000000"/>
          <w:spacing w:val="0"/>
          <w:w w:val="100"/>
          <w:position w:val="0"/>
        </w:rPr>
        <w:t>2,038.66</w:t>
      </w:r>
      <w:r>
        <w:rPr>
          <w:color w:val="000000"/>
          <w:spacing w:val="0"/>
          <w:w w:val="100"/>
          <w:position w:val="0"/>
        </w:rPr>
        <w:t>万元确认为商誉。</w:t>
      </w:r>
    </w:p>
    <w:p>
      <w:pPr>
        <w:pStyle w:val="Style26"/>
        <w:keepNext/>
        <w:keepLines/>
        <w:widowControl w:val="0"/>
        <w:shd w:val="clear" w:color="auto" w:fill="auto"/>
        <w:tabs>
          <w:tab w:pos="493" w:val="left"/>
        </w:tabs>
        <w:bidi w:val="0"/>
        <w:spacing w:before="0" w:after="26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w:t>
        <w:tab/>
        <w:t>商誉减值准备</w:t>
      </w:r>
      <w:bookmarkEnd w:id="1130"/>
      <w:bookmarkEnd w:id="1131"/>
      <w:bookmarkEnd w:id="1133"/>
    </w:p>
    <w:p>
      <w:pPr>
        <w:pStyle w:val="Style23"/>
        <w:keepNext w:val="0"/>
        <w:keepLines w:val="0"/>
        <w:widowControl w:val="0"/>
        <w:shd w:val="clear" w:color="auto" w:fill="auto"/>
        <w:bidi w:val="0"/>
        <w:spacing w:before="0" w:after="340" w:line="319" w:lineRule="exact"/>
        <w:ind w:left="0" w:right="0" w:firstLine="0"/>
        <w:jc w:val="right"/>
      </w:pPr>
      <w:r>
        <w:rPr>
          <w:color w:val="000000"/>
          <w:spacing w:val="0"/>
          <w:w w:val="100"/>
          <w:position w:val="0"/>
        </w:rPr>
        <w:t>单位： 元</w:t>
      </w:r>
      <w:r>
        <w:br w:type="page"/>
      </w:r>
    </w:p>
    <w:tbl>
      <w:tblPr>
        <w:tblOverlap w:val="never"/>
        <w:jc w:val="center"/>
        <w:tblLayout w:type="fixed"/>
      </w:tblPr>
      <w:tblGrid>
        <w:gridCol w:w="1368"/>
        <w:gridCol w:w="1368"/>
        <w:gridCol w:w="1368"/>
        <w:gridCol w:w="1368"/>
        <w:gridCol w:w="1368"/>
        <w:gridCol w:w="1363"/>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随身科技（上海）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2,869,846.54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2,869,846.54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2,869,846.54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2,869,846.54</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注：本期增加全部系计提增加，年末通过对包含商誉的相关资产组进行减值测试，未发现其他被投资单位商誉存在减值。</w:t>
      </w:r>
    </w:p>
    <w:p>
      <w:pPr>
        <w:pStyle w:val="Style26"/>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34"/>
      <w:bookmarkEnd w:id="1135"/>
      <w:bookmarkEnd w:id="113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租入资产改良支出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764,798.37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1,467,618.09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699,496.77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1,532,919.69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764,798.37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1,467,618.09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699,496.77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1,532,919.69</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2</w:t>
      </w:r>
      <w:bookmarkEnd w:id="114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8"/>
      <w:bookmarkEnd w:id="1139"/>
      <w:bookmarkEnd w:id="1141"/>
    </w:p>
    <w:p>
      <w:pPr>
        <w:pStyle w:val="Style26"/>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38"/>
      <w:bookmarkEnd w:id="1139"/>
      <w:bookmarkEnd w:id="1143"/>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212,146,752.00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22,339,997.94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136,769,713.65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13,986,746.40</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股份支付所产生的暂时 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89,014,180.08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8,901,418.01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150,424,651.70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15,042,465.17</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可用以后年度税前利润 弥补的亏损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6,437,147.05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1,609,286.75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819,050.42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308,417,129.55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32,932,607.74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287,194,365.35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29,029,211.57</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14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44"/>
      <w:bookmarkEnd w:id="1145"/>
      <w:bookmarkEnd w:id="1147"/>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r>
    </w:tbl>
    <w:p>
      <w:pPr>
        <w:spacing w:lineRule="exact" w:line="1"/>
        <w:rPr>
          <w:sz w:val="2"/>
          <w:szCs w:val="2"/>
        </w:rPr>
      </w:pPr>
      <w:r>
        <w:br w:type="page"/>
      </w:r>
    </w:p>
    <w:p>
      <w:pPr>
        <w:pStyle w:val="Style26"/>
        <w:keepNext/>
        <w:keepLines/>
        <w:widowControl w:val="0"/>
        <w:numPr>
          <w:ilvl w:val="0"/>
          <w:numId w:val="49"/>
        </w:numPr>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以抵销后净额列示的递延所得税资产或负债</w:t>
      </w:r>
      <w:bookmarkEnd w:id="1148"/>
      <w:bookmarkEnd w:id="1149"/>
      <w:bookmarkEnd w:id="11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32,932,607.74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29,029,211.57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r>
    </w:tbl>
    <w:p>
      <w:pPr>
        <w:widowControl w:val="0"/>
        <w:spacing w:after="299" w:line="1" w:lineRule="exact"/>
      </w:pPr>
    </w:p>
    <w:p>
      <w:pPr>
        <w:pStyle w:val="Style26"/>
        <w:keepNext/>
        <w:keepLines/>
        <w:widowControl w:val="0"/>
        <w:numPr>
          <w:ilvl w:val="0"/>
          <w:numId w:val="49"/>
        </w:numPr>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未确认递延所得税资产明细</w:t>
      </w:r>
      <w:bookmarkEnd w:id="1152"/>
      <w:bookmarkEnd w:id="1153"/>
      <w:bookmarkEnd w:id="11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9,966,821.28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4,553,886.63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9,966,821.28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4,553,886.63</w:t>
            </w:r>
          </w:p>
        </w:tc>
      </w:tr>
    </w:tbl>
    <w:p>
      <w:pPr>
        <w:widowControl w:val="0"/>
        <w:spacing w:after="299" w:line="1" w:lineRule="exact"/>
      </w:pPr>
    </w:p>
    <w:p>
      <w:pPr>
        <w:pStyle w:val="Style26"/>
        <w:keepNext/>
        <w:keepLines/>
        <w:widowControl w:val="0"/>
        <w:numPr>
          <w:ilvl w:val="0"/>
          <w:numId w:val="49"/>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未确认递延所得税资产的可抵扣亏损将于以下年度到期</w:t>
      </w:r>
      <w:bookmarkEnd w:id="1156"/>
      <w:bookmarkEnd w:id="1157"/>
      <w:bookmarkEnd w:id="1159"/>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4,069,959.33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4,552,785.27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1,577,879.61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1,577,879.61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2,164,277.68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2,164,277.68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14,846,456.16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14,846,456.16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19,024,427.19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41,682,999.97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23,141,398.72</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60"/>
      <w:bookmarkEnd w:id="1161"/>
      <w:bookmarkEnd w:id="1163"/>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38,088,157.40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会员资格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3,125,849.04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1,475,000.00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员工购房借款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3,479,000.00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3,442,000.00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6,604,849.04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43,005,157.40</w:t>
            </w: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其他说明：根据公司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月制订的《员工购房借款福利管理办法》，公司向符合条件的员工提供购房借款，在</w:t>
      </w:r>
      <w:r>
        <w:rPr>
          <w:rFonts w:ascii="Times New Roman" w:eastAsia="Times New Roman" w:hAnsi="Times New Roman" w:cs="Times New Roman"/>
          <w:color w:val="000000"/>
          <w:spacing w:val="0"/>
          <w:w w:val="100"/>
          <w:position w:val="0"/>
        </w:rPr>
        <w:t>3</w:t>
      </w:r>
      <w:r>
        <w:rPr>
          <w:color w:val="000000"/>
          <w:spacing w:val="0"/>
          <w:w w:val="100"/>
          <w:position w:val="0"/>
        </w:rPr>
        <w:t>年内通过 工资扣款归还。</w:t>
      </w:r>
    </w:p>
    <w:p>
      <w:pPr>
        <w:pStyle w:val="Style26"/>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64"/>
      <w:bookmarkEnd w:id="1165"/>
      <w:bookmarkEnd w:id="1167"/>
    </w:p>
    <w:p>
      <w:pPr>
        <w:pStyle w:val="Style26"/>
        <w:keepNext/>
        <w:keepLines/>
        <w:widowControl w:val="0"/>
        <w:numPr>
          <w:ilvl w:val="0"/>
          <w:numId w:val="53"/>
        </w:numPr>
        <w:shd w:val="clear" w:color="auto" w:fill="auto"/>
        <w:tabs>
          <w:tab w:pos="493" w:val="left"/>
        </w:tabs>
        <w:bidi w:val="0"/>
        <w:spacing w:before="0" w:line="240" w:lineRule="auto"/>
        <w:ind w:left="0" w:right="0" w:firstLine="0"/>
        <w:jc w:val="left"/>
      </w:pPr>
      <w:bookmarkStart w:id="1164" w:name="bookmark1164"/>
      <w:bookmarkStart w:id="1165" w:name="bookmark1165"/>
      <w:bookmarkStart w:id="1168" w:name="bookmark1168"/>
      <w:bookmarkStart w:id="1169" w:name="bookmark1169"/>
      <w:bookmarkEnd w:id="1168"/>
      <w:r>
        <w:rPr>
          <w:color w:val="000000"/>
          <w:spacing w:val="0"/>
          <w:w w:val="100"/>
          <w:position w:val="0"/>
        </w:rPr>
        <w:t>短期借款分类</w:t>
      </w:r>
      <w:bookmarkEnd w:id="1164"/>
      <w:bookmarkEnd w:id="1165"/>
      <w:bookmarkEnd w:id="116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53"/>
        </w:numPr>
        <w:shd w:val="clear" w:color="auto" w:fill="auto"/>
        <w:tabs>
          <w:tab w:pos="49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已逾期未偿还的短期借款情况</w:t>
      </w:r>
      <w:bookmarkEnd w:id="1170"/>
      <w:bookmarkEnd w:id="1171"/>
      <w:bookmarkEnd w:id="117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174"/>
      <w:bookmarkEnd w:id="1175"/>
      <w:bookmarkEnd w:id="117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178"/>
      <w:bookmarkEnd w:id="1179"/>
      <w:bookmarkEnd w:id="1181"/>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88"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182"/>
      <w:bookmarkEnd w:id="1183"/>
      <w:bookmarkEnd w:id="118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5</w:t>
      </w:r>
      <w:r>
        <w:rPr>
          <w:color w:val="000000"/>
          <w:spacing w:val="0"/>
          <w:w w:val="100"/>
          <w:position w:val="0"/>
        </w:rPr>
        <w:t>、</w:t>
        <w:tab/>
        <w:t>应付账款</w:t>
      </w:r>
      <w:bookmarkEnd w:id="1186"/>
      <w:bookmarkEnd w:id="1187"/>
      <w:bookmarkEnd w:id="1189"/>
    </w:p>
    <w:p>
      <w:pPr>
        <w:pStyle w:val="Style26"/>
        <w:keepNext/>
        <w:keepLines/>
        <w:widowControl w:val="0"/>
        <w:numPr>
          <w:ilvl w:val="0"/>
          <w:numId w:val="55"/>
        </w:numPr>
        <w:shd w:val="clear" w:color="auto" w:fill="auto"/>
        <w:bidi w:val="0"/>
        <w:spacing w:before="0" w:line="240" w:lineRule="auto"/>
        <w:ind w:left="0" w:right="0" w:firstLine="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应付账款列示</w:t>
      </w:r>
      <w:bookmarkEnd w:id="1186"/>
      <w:bookmarkEnd w:id="1187"/>
      <w:bookmarkEnd w:id="11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20,869,934.63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7,841,622.30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5,174,236.04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3,846,711.31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26,044,170.67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11,688,333.61</w:t>
            </w:r>
          </w:p>
        </w:tc>
      </w:tr>
    </w:tbl>
    <w:p>
      <w:pPr>
        <w:widowControl w:val="0"/>
        <w:spacing w:after="359" w:line="1" w:lineRule="exact"/>
      </w:pPr>
    </w:p>
    <w:p>
      <w:pPr>
        <w:pStyle w:val="Style26"/>
        <w:keepNext/>
        <w:keepLines/>
        <w:widowControl w:val="0"/>
        <w:numPr>
          <w:ilvl w:val="0"/>
          <w:numId w:val="55"/>
        </w:numPr>
        <w:shd w:val="clear" w:color="auto" w:fill="auto"/>
        <w:bidi w:val="0"/>
        <w:spacing w:before="0" w:line="240" w:lineRule="auto"/>
        <w:ind w:left="0" w:right="0" w:firstLine="14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92"/>
      <w:bookmarkEnd w:id="1193"/>
      <w:bookmarkEnd w:id="119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黑龙江社保项目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3,377,808.67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苏州威客云终端技术有限公司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516,594.00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3,894,402.67</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196"/>
      <w:bookmarkEnd w:id="1197"/>
      <w:bookmarkEnd w:id="1199"/>
    </w:p>
    <w:p>
      <w:pPr>
        <w:pStyle w:val="Style26"/>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96"/>
      <w:bookmarkEnd w:id="1197"/>
      <w:bookmarkEnd w:id="12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43,176,124.50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38,877,788.60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9,082,874.25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4,163,581.86</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52,258,998.75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43,041,370.46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14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02"/>
      <w:bookmarkEnd w:id="1203"/>
      <w:bookmarkEnd w:id="120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久泰能源（准格尔）有限公司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7,961,333.36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湖南中车时代电动汽车股份有限公司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370,000.00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日立建机租赁（中国）有限公司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278,388.00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上海之禾品牌管理有限公司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8,879,721.36</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206"/>
      <w:bookmarkEnd w:id="1207"/>
      <w:bookmarkEnd w:id="120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10"/>
      <w:bookmarkEnd w:id="1211"/>
      <w:bookmarkEnd w:id="1213"/>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）应付职工薪酬列示</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99,662,495.20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716,480,763.76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670,101,881.40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146,041,377.56</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770,565.02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36,189,795.61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34,129,340.45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2,831,020.18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100,433,060.22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752,670,559.37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704,231,221.85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148,872,397.74</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96,963,618.68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646,927,572.11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602,837,339.39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141,053,851.40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12,496,404.48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12,496,404.48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385,087.80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10,842,364.62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10,399,759.82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827,692.60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352,126.73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9,247,582.19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8,886,134.47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713,574.45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16,064.43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606,527.29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590,508.08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32,083.64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16,896.64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988,255.14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923,117.27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82,034.51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2,310,972.24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45,922,772.73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44,090,587.44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4,143,157.53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291,649.82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277,790.27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16,676.03</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99,662,495.20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716,480,763.76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670,101,881.40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146,041,377.56</w:t>
            </w:r>
          </w:p>
        </w:tc>
      </w:tr>
    </w:tbl>
    <w:p>
      <w:pPr>
        <w:widowControl w:val="0"/>
        <w:spacing w:after="319" w:line="1" w:lineRule="exact"/>
      </w:pPr>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）设定提存计划列示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694,227.90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34,125,094.17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32,181,270.64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2,638,051.43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76,337.12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2,064,701.44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1,948,069.81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192,968.75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770,565.02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36,189,795.61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34,129,340.45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2,831,020.18</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3</w:t>
      </w:r>
      <w:bookmarkEnd w:id="121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14"/>
      <w:bookmarkEnd w:id="1215"/>
      <w:bookmarkEnd w:id="1217"/>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14,116,988.37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3,558,961.26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744,667.02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2,322,249.42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3,593,765.15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3,695,995.65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7,424,320.95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12,369,283.35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809,725.06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677,579.55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651,022.77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651,131.22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434,107.65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68,148.60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602,846.04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264,623.67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28,377,443.01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23,607,972.72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218"/>
      <w:bookmarkEnd w:id="1219"/>
      <w:bookmarkEnd w:id="1221"/>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222"/>
      <w:bookmarkEnd w:id="1223"/>
      <w:bookmarkEnd w:id="122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个人股东</w:t>
            </w:r>
            <w:r>
              <w:rPr>
                <w:rFonts w:ascii="Times New Roman" w:eastAsia="Times New Roman" w:hAnsi="Times New Roman" w:cs="Times New Roman"/>
                <w:color w:val="000000"/>
                <w:spacing w:val="0"/>
                <w:w w:val="100"/>
                <w:position w:val="0"/>
              </w:rPr>
              <w:t>2013</w:t>
            </w:r>
            <w:r>
              <w:rPr>
                <w:color w:val="000000"/>
                <w:spacing w:val="0"/>
                <w:w w:val="100"/>
                <w:position w:val="0"/>
              </w:rPr>
              <w:t>年度应付股利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4,728.47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26"/>
      <w:bookmarkEnd w:id="1227"/>
      <w:bookmarkEnd w:id="1229"/>
    </w:p>
    <w:p>
      <w:pPr>
        <w:pStyle w:val="Style26"/>
        <w:keepNext/>
        <w:keepLines/>
        <w:widowControl w:val="0"/>
        <w:numPr>
          <w:ilvl w:val="0"/>
          <w:numId w:val="57"/>
        </w:numPr>
        <w:shd w:val="clear" w:color="auto" w:fill="auto"/>
        <w:bidi w:val="0"/>
        <w:spacing w:before="0" w:line="240" w:lineRule="auto"/>
        <w:ind w:left="0" w:right="0" w:firstLine="140"/>
        <w:jc w:val="left"/>
      </w:pPr>
      <w:bookmarkStart w:id="1226" w:name="bookmark1226"/>
      <w:bookmarkStart w:id="1227" w:name="bookmark1227"/>
      <w:bookmarkStart w:id="1230" w:name="bookmark1230"/>
      <w:bookmarkStart w:id="1231" w:name="bookmark1231"/>
      <w:bookmarkEnd w:id="1230"/>
      <w:r>
        <w:rPr>
          <w:color w:val="000000"/>
          <w:spacing w:val="0"/>
          <w:w w:val="100"/>
          <w:position w:val="0"/>
        </w:rPr>
        <w:t>按款项性质列示其他应付款</w:t>
      </w:r>
      <w:bookmarkEnd w:id="1226"/>
      <w:bookmarkEnd w:id="1227"/>
      <w:bookmarkEnd w:id="1231"/>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220,328,589.09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65,053,966.82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80,290,778.53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115,488,212.33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300,619,367.62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180,542,179.15</w:t>
            </w:r>
          </w:p>
        </w:tc>
      </w:tr>
    </w:tbl>
    <w:p>
      <w:pPr>
        <w:widowControl w:val="0"/>
        <w:spacing w:after="359" w:line="1" w:lineRule="exact"/>
      </w:pPr>
    </w:p>
    <w:p>
      <w:pPr>
        <w:pStyle w:val="Style26"/>
        <w:keepNext/>
        <w:keepLines/>
        <w:widowControl w:val="0"/>
        <w:numPr>
          <w:ilvl w:val="0"/>
          <w:numId w:val="57"/>
        </w:numPr>
        <w:shd w:val="clear" w:color="auto" w:fill="auto"/>
        <w:bidi w:val="0"/>
        <w:spacing w:before="0" w:line="240" w:lineRule="auto"/>
        <w:ind w:left="0" w:right="0" w:firstLine="14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32"/>
      <w:bookmarkEnd w:id="1233"/>
      <w:bookmarkEnd w:id="123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73,459,120.72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尚未达到结算条件</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73,459,120.72</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6"/>
        <w:keepNext/>
        <w:keepLines/>
        <w:widowControl w:val="0"/>
        <w:shd w:val="clear" w:color="auto" w:fill="auto"/>
        <w:tabs>
          <w:tab w:pos="488" w:val="left"/>
        </w:tabs>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4</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236"/>
      <w:bookmarkEnd w:id="1237"/>
      <w:bookmarkEnd w:id="1239"/>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240"/>
      <w:bookmarkEnd w:id="1241"/>
      <w:bookmarkEnd w:id="124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244"/>
      <w:bookmarkEnd w:id="1245"/>
      <w:bookmarkEnd w:id="124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w:t>
      </w:r>
      <w:bookmarkEnd w:id="1250"/>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248"/>
      <w:bookmarkEnd w:id="1249"/>
      <w:bookmarkEnd w:id="125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252"/>
      <w:bookmarkEnd w:id="1253"/>
      <w:bookmarkEnd w:id="1255"/>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56" w:name="bookmark1256"/>
      <w:r>
        <w:rPr>
          <w:b/>
          <w:bCs/>
          <w:color w:val="000000"/>
          <w:spacing w:val="0"/>
          <w:w w:val="100"/>
          <w:position w:val="0"/>
        </w:rPr>
        <w:t>（</w:t>
      </w:r>
      <w:bookmarkEnd w:id="125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应付债券</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57" w:name="bookmark1257"/>
      <w:r>
        <w:rPr>
          <w:b/>
          <w:bCs/>
          <w:color w:val="000000"/>
          <w:spacing w:val="0"/>
          <w:w w:val="100"/>
          <w:position w:val="0"/>
        </w:rPr>
        <w:t>（</w:t>
      </w:r>
      <w:bookmarkEnd w:id="12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应付债券的增减变动（不包括划分为金融负债的优先股、永续债等其他金融工具）</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58" w:name="bookmark1258"/>
      <w:r>
        <w:rPr>
          <w:b/>
          <w:bCs/>
          <w:color w:val="000000"/>
          <w:spacing w:val="0"/>
          <w:w w:val="100"/>
          <w:position w:val="0"/>
        </w:rPr>
        <w:t>（</w:t>
      </w:r>
      <w:bookmarkEnd w:id="125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可转换公司债券的转股条件、转股时间说明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59" w:name="bookmark1259"/>
      <w:r>
        <w:rPr>
          <w:b/>
          <w:bCs/>
          <w:color w:val="000000"/>
          <w:spacing w:val="0"/>
          <w:w w:val="100"/>
          <w:position w:val="0"/>
        </w:rPr>
        <w:t>（</w:t>
      </w:r>
      <w:bookmarkEnd w:id="125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划分为金融负债的其他金融工具说明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260"/>
      <w:bookmarkEnd w:id="1261"/>
      <w:bookmarkEnd w:id="1263"/>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）按款项性质列示长期应付款</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264"/>
      <w:bookmarkEnd w:id="1265"/>
      <w:bookmarkEnd w:id="1267"/>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68" w:name="bookmark1268"/>
      <w:r>
        <w:rPr>
          <w:b/>
          <w:bCs/>
          <w:color w:val="000000"/>
          <w:spacing w:val="0"/>
          <w:w w:val="100"/>
          <w:position w:val="0"/>
        </w:rPr>
        <w:t>（</w:t>
      </w:r>
      <w:bookmarkEnd w:id="126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长期应付职工薪酬表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69" w:name="bookmark1269"/>
      <w:r>
        <w:rPr>
          <w:b/>
          <w:bCs/>
          <w:color w:val="000000"/>
          <w:spacing w:val="0"/>
          <w:w w:val="100"/>
          <w:position w:val="0"/>
        </w:rPr>
        <w:t>（</w:t>
      </w:r>
      <w:bookmarkEnd w:id="126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设定受益计划变动情况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270"/>
      <w:bookmarkEnd w:id="1271"/>
      <w:bookmarkEnd w:id="1273"/>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5</w:t>
      </w:r>
      <w:bookmarkEnd w:id="127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274"/>
      <w:bookmarkEnd w:id="1275"/>
      <w:bookmarkEnd w:id="12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详见附注十四</w:t>
            </w:r>
            <w:r>
              <w:rPr>
                <w:rFonts w:ascii="Times New Roman" w:eastAsia="Times New Roman" w:hAnsi="Times New Roman" w:cs="Times New Roman"/>
                <w:color w:val="000000"/>
                <w:spacing w:val="0"/>
                <w:w w:val="100"/>
                <w:position w:val="0"/>
              </w:rPr>
              <w:t>2（1）</w:t>
            </w:r>
            <w:r>
              <w:rPr>
                <w:color w:val="000000"/>
                <w:spacing w:val="0"/>
                <w:w w:val="100"/>
                <w:position w:val="0"/>
              </w:rPr>
              <w:t>或有事项</w:t>
            </w:r>
            <w:r>
              <w:rPr>
                <w:rFonts w:ascii="Times New Roman" w:eastAsia="Times New Roman" w:hAnsi="Times New Roman" w:cs="Times New Roman"/>
                <w:color w:val="000000"/>
                <w:spacing w:val="0"/>
                <w:w w:val="100"/>
                <w:position w:val="0"/>
              </w:rPr>
              <w:t xml:space="preserve">-- </w:t>
            </w:r>
            <w:r>
              <w:rPr>
                <w:color w:val="000000"/>
                <w:spacing w:val="0"/>
                <w:w w:val="100"/>
                <w:position w:val="0"/>
              </w:rPr>
              <w:t>未决诉讼、未决仲裁（</w:t>
            </w:r>
            <w:r>
              <w:rPr>
                <w:rFonts w:ascii="Times New Roman" w:eastAsia="Times New Roman" w:hAnsi="Times New Roman" w:cs="Times New Roman"/>
                <w:color w:val="000000"/>
                <w:spacing w:val="0"/>
                <w:w w:val="100"/>
                <w:position w:val="0"/>
              </w:rPr>
              <w:t>8</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5</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78"/>
      <w:bookmarkEnd w:id="1279"/>
      <w:bookmarkEnd w:id="12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6,531,250.00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687,916.68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7,843,333.32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6,531,250.00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687,916.68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7,843,333.32</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73"/>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高端</w:t>
            </w:r>
            <w:r>
              <w:rPr>
                <w:rFonts w:ascii="Times New Roman" w:eastAsia="Times New Roman" w:hAnsi="Times New Roman" w:cs="Times New Roman"/>
                <w:color w:val="000000"/>
                <w:spacing w:val="0"/>
                <w:w w:val="100"/>
                <w:position w:val="0"/>
              </w:rPr>
              <w:t>ERP</w:t>
            </w:r>
            <w:r>
              <w:rPr>
                <w:color w:val="000000"/>
                <w:spacing w:val="0"/>
                <w:w w:val="100"/>
                <w:position w:val="0"/>
              </w:rPr>
              <w:t>软件生 产线技术改造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云计算机系统</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2,223,333.32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云计算机系统</w:t>
            </w:r>
            <w:r>
              <w:rPr>
                <w:rFonts w:ascii="Times New Roman" w:eastAsia="Times New Roman" w:hAnsi="Times New Roman" w:cs="Times New Roman"/>
                <w:color w:val="000000"/>
                <w:spacing w:val="0"/>
                <w:w w:val="100"/>
                <w:position w:val="0"/>
              </w:rPr>
              <w:t xml:space="preserve">- </w:t>
            </w:r>
            <w:r>
              <w:rPr>
                <w:color w:val="000000"/>
                <w:spacing w:val="0"/>
                <w:w w:val="100"/>
                <w:position w:val="0"/>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6,531,250.00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687,916.68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7,843,333.32</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82"/>
      <w:bookmarkEnd w:id="1283"/>
      <w:bookmarkEnd w:id="1285"/>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5</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286"/>
      <w:bookmarkEnd w:id="1287"/>
      <w:bookmarkEnd w:id="1289"/>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828,624,634.00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33,845,500.00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33,845,500.00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862,470,134.00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2392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〈关于核准上海汉得信息技术股份有限公司向赵旭民等发行 股份购买资产的批复〉的规定，公司董事会于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月完成了限制性股票的发行工作，向赵旭民、刘涛发行</w:t>
      </w:r>
      <w:r>
        <w:rPr>
          <w:rFonts w:ascii="Times New Roman" w:eastAsia="Times New Roman" w:hAnsi="Times New Roman" w:cs="Times New Roman"/>
          <w:color w:val="000000"/>
          <w:spacing w:val="0"/>
          <w:w w:val="100"/>
          <w:position w:val="0"/>
        </w:rPr>
        <w:t>6,750,000</w:t>
      </w:r>
      <w:r>
        <w:rPr>
          <w:color w:val="000000"/>
          <w:spacing w:val="0"/>
          <w:w w:val="100"/>
          <w:position w:val="0"/>
        </w:rPr>
        <w:t>股限 制性股票，本次增发完成后，公司股本增至</w:t>
      </w:r>
      <w:r>
        <w:rPr>
          <w:rFonts w:ascii="Times New Roman" w:eastAsia="Times New Roman" w:hAnsi="Times New Roman" w:cs="Times New Roman"/>
          <w:color w:val="000000"/>
          <w:spacing w:val="0"/>
          <w:w w:val="100"/>
          <w:position w:val="0"/>
        </w:rPr>
        <w:t>83,537.46</w:t>
      </w:r>
      <w:r>
        <w:rPr>
          <w:color w:val="000000"/>
          <w:spacing w:val="0"/>
          <w:w w:val="100"/>
          <w:position w:val="0"/>
        </w:rPr>
        <w:t>万股。</w:t>
      </w:r>
    </w:p>
    <w:p>
      <w:pPr>
        <w:pStyle w:val="Style23"/>
        <w:keepNext w:val="0"/>
        <w:keepLines w:val="0"/>
        <w:widowControl w:val="0"/>
        <w:shd w:val="clear" w:color="auto" w:fill="auto"/>
        <w:bidi w:val="0"/>
        <w:spacing w:before="0" w:after="340" w:line="31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月，根据公司第二届董事会第四十六次（临时）会议关于授予限制性股票的决议、第三届董事会第二次（临时） 会议通过的《关于调整公司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年限制性股票激励计划的议案》对授予股数和人数的调整及《上海汉得信息技术股份有限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年限制性股票激励计划（草案）》相关约定，公司董事会实施并完成了限制性股票的授予工作，向激励对象定向发 行</w:t>
      </w:r>
      <w:r>
        <w:rPr>
          <w:rFonts w:ascii="Times New Roman" w:eastAsia="Times New Roman" w:hAnsi="Times New Roman" w:cs="Times New Roman"/>
          <w:color w:val="000000"/>
          <w:spacing w:val="0"/>
          <w:w w:val="100"/>
          <w:position w:val="0"/>
        </w:rPr>
        <w:t>27,095,500</w:t>
      </w:r>
      <w:r>
        <w:rPr>
          <w:color w:val="000000"/>
          <w:spacing w:val="0"/>
          <w:w w:val="100"/>
          <w:position w:val="0"/>
        </w:rPr>
        <w:t>股限制性股票。本次增发后，公司股本增至</w:t>
      </w:r>
      <w:r>
        <w:rPr>
          <w:rFonts w:ascii="Times New Roman" w:eastAsia="Times New Roman" w:hAnsi="Times New Roman" w:cs="Times New Roman"/>
          <w:color w:val="000000"/>
          <w:spacing w:val="0"/>
          <w:w w:val="100"/>
          <w:position w:val="0"/>
        </w:rPr>
        <w:t>86,247.01</w:t>
      </w:r>
      <w:r>
        <w:rPr>
          <w:color w:val="000000"/>
          <w:spacing w:val="0"/>
          <w:w w:val="100"/>
          <w:position w:val="0"/>
        </w:rPr>
        <w:t>万股。</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5</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290"/>
      <w:bookmarkEnd w:id="1291"/>
      <w:bookmarkEnd w:id="1293"/>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94" w:name="bookmark1294"/>
      <w:r>
        <w:rPr>
          <w:b/>
          <w:bCs/>
          <w:color w:val="000000"/>
          <w:spacing w:val="0"/>
          <w:w w:val="100"/>
          <w:position w:val="0"/>
        </w:rPr>
        <w:t>（</w:t>
      </w:r>
      <w:bookmarkEnd w:id="129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期末发行在外的优先股、永续债等其他金融工具基本情况</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tabs>
          <w:tab w:pos="454" w:val="left"/>
        </w:tabs>
        <w:bidi w:val="0"/>
        <w:spacing w:before="0" w:after="380" w:line="240" w:lineRule="auto"/>
        <w:ind w:left="0" w:right="0" w:firstLine="0"/>
        <w:jc w:val="left"/>
      </w:pPr>
      <w:bookmarkStart w:id="1295" w:name="bookmark1295"/>
      <w:r>
        <w:rPr>
          <w:b/>
          <w:bCs/>
          <w:color w:val="000000"/>
          <w:spacing w:val="0"/>
          <w:w w:val="100"/>
          <w:position w:val="0"/>
        </w:rPr>
        <w:t>（</w:t>
      </w:r>
      <w:bookmarkEnd w:id="129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期末发行在外的优先股、永续债等金融工具变动情况表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5</w:t>
      </w:r>
      <w:bookmarkEnd w:id="129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296"/>
      <w:bookmarkEnd w:id="1297"/>
      <w:bookmarkEnd w:id="12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372,369,355.51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239,521,380.07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44,250,769.57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567,639,966.01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22,818,509.20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29,060,433.01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22,300,095.07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29,578,847.14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395,187,864.71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268,581,813.08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66,550,864.64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597,218,813.15</w:t>
            </w:r>
          </w:p>
        </w:tc>
      </w:tr>
    </w:tbl>
    <w:p>
      <w:pPr>
        <w:widowControl w:val="0"/>
        <w:spacing w:after="299" w:line="1" w:lineRule="exact"/>
      </w:pP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其他说明，包括本期增减变动情况、变动原因说明：</w:t>
      </w:r>
    </w:p>
    <w:p>
      <w:pPr>
        <w:pStyle w:val="Style6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：本年溢价增加</w:t>
      </w:r>
      <w:r>
        <w:rPr>
          <w:color w:val="000000"/>
          <w:spacing w:val="0"/>
          <w:w w:val="100"/>
          <w:position w:val="0"/>
        </w:rPr>
        <w:t>239,521,380.07</w:t>
      </w:r>
      <w:r>
        <w:rPr>
          <w:rFonts w:ascii="SimSun" w:eastAsia="SimSun" w:hAnsi="SimSun" w:cs="SimSun"/>
          <w:color w:val="000000"/>
          <w:spacing w:val="0"/>
          <w:w w:val="100"/>
          <w:position w:val="0"/>
        </w:rPr>
        <w:t>元，其中：</w:t>
      </w:r>
    </w:p>
    <w:p>
      <w:pPr>
        <w:pStyle w:val="Style23"/>
        <w:keepNext w:val="0"/>
        <w:keepLines w:val="0"/>
        <w:widowControl w:val="0"/>
        <w:shd w:val="clear" w:color="auto" w:fill="auto"/>
        <w:tabs>
          <w:tab w:pos="536" w:val="left"/>
        </w:tabs>
        <w:bidi w:val="0"/>
        <w:spacing w:before="0" w:after="0" w:line="317" w:lineRule="exact"/>
        <w:ind w:left="0" w:right="0" w:firstLine="0"/>
        <w:jc w:val="left"/>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日，根据公司第二届董事会第四十六次（临时）会议通过的《关于向激励对象授予限制性股票的议案》、 第三届董事会第二次（临时）会议通过的《关于调整公司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年限制性股票激励计划的议案》对授予股数和人数的调整及</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《上海汉得信息技术股份有限公司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年限制性股票激励计划（草案）》，向激励员工定向增发</w:t>
      </w:r>
      <w:r>
        <w:rPr>
          <w:rFonts w:ascii="Times New Roman" w:eastAsia="Times New Roman" w:hAnsi="Times New Roman" w:cs="Times New Roman"/>
          <w:color w:val="000000"/>
          <w:spacing w:val="0"/>
          <w:w w:val="100"/>
          <w:position w:val="0"/>
        </w:rPr>
        <w:t>27,095,500</w:t>
      </w:r>
      <w:r>
        <w:rPr>
          <w:color w:val="000000"/>
          <w:spacing w:val="0"/>
          <w:w w:val="100"/>
          <w:position w:val="0"/>
        </w:rPr>
        <w:t xml:space="preserve">股，产生资本溢 价 </w:t>
      </w:r>
      <w:r>
        <w:rPr>
          <w:rFonts w:ascii="Times New Roman" w:eastAsia="Times New Roman" w:hAnsi="Times New Roman" w:cs="Times New Roman"/>
          <w:color w:val="000000"/>
          <w:spacing w:val="0"/>
          <w:w w:val="100"/>
          <w:position w:val="0"/>
        </w:rPr>
        <w:t>169,888,785.00</w:t>
      </w:r>
      <w:r>
        <w:rPr>
          <w:color w:val="000000"/>
          <w:spacing w:val="0"/>
          <w:w w:val="100"/>
          <w:position w:val="0"/>
        </w:rPr>
        <w:t>元。</w:t>
      </w:r>
    </w:p>
    <w:p>
      <w:pPr>
        <w:pStyle w:val="Style23"/>
        <w:keepNext w:val="0"/>
        <w:keepLines w:val="0"/>
        <w:widowControl w:val="0"/>
        <w:shd w:val="clear" w:color="auto" w:fill="auto"/>
        <w:tabs>
          <w:tab w:pos="541" w:val="left"/>
        </w:tabs>
        <w:bidi w:val="0"/>
        <w:spacing w:before="0" w:after="0" w:line="317" w:lineRule="exact"/>
        <w:ind w:left="0" w:right="0" w:firstLine="0"/>
        <w:jc w:val="left"/>
      </w:pPr>
      <w:bookmarkStart w:id="1301" w:name="bookmark1301"/>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月，根据中国证券监督管理委员会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2392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《关于核准上海汉得信息技术股份有限公司向 赵旭民等发行股份购买资产的批复》的规定，公司董事会于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月完成了限制性股票的发行工作，向赵旭民、刘涛发行 </w:t>
      </w:r>
      <w:r>
        <w:rPr>
          <w:rFonts w:ascii="Times New Roman" w:eastAsia="Times New Roman" w:hAnsi="Times New Roman" w:cs="Times New Roman"/>
          <w:color w:val="000000"/>
          <w:spacing w:val="0"/>
          <w:w w:val="100"/>
          <w:position w:val="0"/>
        </w:rPr>
        <w:t>6,750,000</w:t>
      </w:r>
      <w:r>
        <w:rPr>
          <w:color w:val="000000"/>
          <w:spacing w:val="0"/>
          <w:w w:val="100"/>
          <w:position w:val="0"/>
        </w:rPr>
        <w:t>股限制性股票，收购其持有的扬州达美投资管理有限公司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股权，扣除发行费用后，产生资本溢价</w:t>
      </w:r>
      <w:r>
        <w:rPr>
          <w:rFonts w:ascii="Times New Roman" w:eastAsia="Times New Roman" w:hAnsi="Times New Roman" w:cs="Times New Roman"/>
          <w:color w:val="000000"/>
          <w:spacing w:val="0"/>
          <w:w w:val="100"/>
          <w:position w:val="0"/>
        </w:rPr>
        <w:t xml:space="preserve">47,332,500.00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3"/>
        <w:keepNext w:val="0"/>
        <w:keepLines w:val="0"/>
        <w:widowControl w:val="0"/>
        <w:shd w:val="clear" w:color="auto" w:fill="auto"/>
        <w:tabs>
          <w:tab w:pos="440" w:val="left"/>
        </w:tabs>
        <w:bidi w:val="0"/>
        <w:spacing w:before="0" w:after="300" w:line="317" w:lineRule="exact"/>
        <w:ind w:left="0" w:right="0" w:firstLine="0"/>
        <w:jc w:val="left"/>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限制性股票激励计划行权从其他资本公积转入资本溢价</w:t>
      </w:r>
      <w:r>
        <w:rPr>
          <w:rFonts w:ascii="Times New Roman" w:eastAsia="Times New Roman" w:hAnsi="Times New Roman" w:cs="Times New Roman"/>
          <w:color w:val="000000"/>
          <w:spacing w:val="0"/>
          <w:w w:val="100"/>
          <w:position w:val="0"/>
        </w:rPr>
        <w:t>22,300,095.07</w:t>
      </w:r>
      <w:r>
        <w:rPr>
          <w:color w:val="000000"/>
          <w:spacing w:val="0"/>
          <w:w w:val="100"/>
          <w:position w:val="0"/>
        </w:rPr>
        <w:t>元。</w:t>
      </w:r>
    </w:p>
    <w:p>
      <w:pPr>
        <w:pStyle w:val="Style23"/>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：本年溢价减少</w:t>
      </w:r>
      <w:r>
        <w:rPr>
          <w:rFonts w:ascii="Times New Roman" w:eastAsia="Times New Roman" w:hAnsi="Times New Roman" w:cs="Times New Roman"/>
          <w:color w:val="000000"/>
          <w:spacing w:val="0"/>
          <w:w w:val="100"/>
          <w:position w:val="0"/>
        </w:rPr>
        <w:t>44,250,769.57</w:t>
      </w:r>
      <w:r>
        <w:rPr>
          <w:color w:val="000000"/>
          <w:spacing w:val="0"/>
          <w:w w:val="100"/>
          <w:position w:val="0"/>
        </w:rPr>
        <w:t>元，系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日，根据公司第二届董事会地四十三次（临时）会议通过的《关于公司 使用超募资金收购上海融晶信息科技有限公司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股权的议案》相关要求，公司董事会实施并完成了超募资金的支付工作， 向孟辉等</w:t>
      </w:r>
      <w:r>
        <w:rPr>
          <w:rFonts w:ascii="Times New Roman" w:eastAsia="Times New Roman" w:hAnsi="Times New Roman" w:cs="Times New Roman"/>
          <w:color w:val="000000"/>
          <w:spacing w:val="0"/>
          <w:w w:val="100"/>
          <w:position w:val="0"/>
        </w:rPr>
        <w:t>4</w:t>
      </w:r>
      <w:r>
        <w:rPr>
          <w:color w:val="000000"/>
          <w:spacing w:val="0"/>
          <w:w w:val="100"/>
          <w:position w:val="0"/>
        </w:rPr>
        <w:t>名自然人支付</w:t>
      </w:r>
      <w:r>
        <w:rPr>
          <w:rFonts w:ascii="Times New Roman" w:eastAsia="Times New Roman" w:hAnsi="Times New Roman" w:cs="Times New Roman"/>
          <w:color w:val="000000"/>
          <w:spacing w:val="0"/>
          <w:w w:val="100"/>
          <w:position w:val="0"/>
        </w:rPr>
        <w:t>58,800,000.00</w:t>
      </w:r>
      <w:r>
        <w:rPr>
          <w:color w:val="000000"/>
          <w:spacing w:val="0"/>
          <w:w w:val="100"/>
          <w:position w:val="0"/>
        </w:rPr>
        <w:t>元，收购其持有的子公司上海融晶信息科技有限公司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股权，支付价款与上海融晶 信息科技有限公司在购买日持续计算的公允价值份额</w:t>
      </w:r>
      <w:r>
        <w:rPr>
          <w:rFonts w:ascii="Times New Roman" w:eastAsia="Times New Roman" w:hAnsi="Times New Roman" w:cs="Times New Roman"/>
          <w:color w:val="000000"/>
          <w:spacing w:val="0"/>
          <w:w w:val="100"/>
          <w:position w:val="0"/>
        </w:rPr>
        <w:t>14,549,230.43</w:t>
      </w:r>
      <w:r>
        <w:rPr>
          <w:color w:val="000000"/>
          <w:spacing w:val="0"/>
          <w:w w:val="100"/>
          <w:position w:val="0"/>
        </w:rPr>
        <w:t>元之间存在差额</w:t>
      </w:r>
      <w:r>
        <w:rPr>
          <w:rFonts w:ascii="Times New Roman" w:eastAsia="Times New Roman" w:hAnsi="Times New Roman" w:cs="Times New Roman"/>
          <w:color w:val="000000"/>
          <w:spacing w:val="0"/>
          <w:w w:val="100"/>
          <w:position w:val="0"/>
        </w:rPr>
        <w:t>44,250,769.57</w:t>
      </w:r>
      <w:r>
        <w:rPr>
          <w:color w:val="000000"/>
          <w:spacing w:val="0"/>
          <w:w w:val="100"/>
          <w:position w:val="0"/>
        </w:rPr>
        <w:t>元，冲减资本溢价。</w:t>
      </w:r>
    </w:p>
    <w:p>
      <w:pPr>
        <w:pStyle w:val="Style6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w:t>
      </w:r>
      <w:r>
        <w:rPr>
          <w:color w:val="000000"/>
          <w:spacing w:val="0"/>
          <w:w w:val="100"/>
          <w:position w:val="0"/>
        </w:rPr>
        <w:t>3</w:t>
      </w:r>
      <w:r>
        <w:rPr>
          <w:rFonts w:ascii="SimSun" w:eastAsia="SimSun" w:hAnsi="SimSun" w:cs="SimSun"/>
          <w:color w:val="000000"/>
          <w:spacing w:val="0"/>
          <w:w w:val="100"/>
          <w:position w:val="0"/>
        </w:rPr>
        <w:t>：本期其他增加</w:t>
      </w:r>
      <w:r>
        <w:rPr>
          <w:color w:val="000000"/>
          <w:spacing w:val="0"/>
          <w:w w:val="100"/>
          <w:position w:val="0"/>
        </w:rPr>
        <w:t>29,060,433.01</w:t>
      </w:r>
      <w:r>
        <w:rPr>
          <w:rFonts w:ascii="SimSun" w:eastAsia="SimSun" w:hAnsi="SimSun" w:cs="SimSun"/>
          <w:color w:val="000000"/>
          <w:spacing w:val="0"/>
          <w:w w:val="100"/>
          <w:position w:val="0"/>
        </w:rPr>
        <w:t>元，</w:t>
      </w:r>
    </w:p>
    <w:p>
      <w:pPr>
        <w:pStyle w:val="Style23"/>
        <w:keepNext w:val="0"/>
        <w:keepLines w:val="0"/>
        <w:widowControl w:val="0"/>
        <w:shd w:val="clear" w:color="auto" w:fill="auto"/>
        <w:tabs>
          <w:tab w:pos="440" w:val="left"/>
        </w:tabs>
        <w:bidi w:val="0"/>
        <w:spacing w:before="0" w:after="0" w:line="312" w:lineRule="exact"/>
        <w:ind w:left="0" w:right="0" w:firstLine="0"/>
        <w:jc w:val="left"/>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w:t>
        <w:tab/>
        <w:t>本年股份支付计入所有者权益的金额</w:t>
      </w:r>
      <w:r>
        <w:rPr>
          <w:rFonts w:ascii="Times New Roman" w:eastAsia="Times New Roman" w:hAnsi="Times New Roman" w:cs="Times New Roman"/>
          <w:color w:val="000000"/>
          <w:spacing w:val="0"/>
          <w:w w:val="100"/>
          <w:position w:val="0"/>
        </w:rPr>
        <w:t>13,265,264.48</w:t>
      </w:r>
      <w:r>
        <w:rPr>
          <w:color w:val="000000"/>
          <w:spacing w:val="0"/>
          <w:w w:val="100"/>
          <w:position w:val="0"/>
        </w:rPr>
        <w:t>元，详见本附注^一。</w:t>
      </w:r>
    </w:p>
    <w:p>
      <w:pPr>
        <w:pStyle w:val="Style23"/>
        <w:keepNext w:val="0"/>
        <w:keepLines w:val="0"/>
        <w:widowControl w:val="0"/>
        <w:shd w:val="clear" w:color="auto" w:fill="auto"/>
        <w:tabs>
          <w:tab w:pos="526" w:val="left"/>
        </w:tabs>
        <w:bidi w:val="0"/>
        <w:spacing w:before="0" w:after="300" w:line="312" w:lineRule="exact"/>
        <w:ind w:left="0" w:right="0" w:firstLine="0"/>
        <w:jc w:val="left"/>
      </w:pPr>
      <w:bookmarkStart w:id="1304" w:name="bookmark1304"/>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月末，甄汇信息接受增资，导致公司持股比例自</w:t>
      </w:r>
      <w:r>
        <w:rPr>
          <w:rFonts w:ascii="Times New Roman" w:eastAsia="Times New Roman" w:hAnsi="Times New Roman" w:cs="Times New Roman"/>
          <w:color w:val="000000"/>
          <w:spacing w:val="0"/>
          <w:w w:val="100"/>
          <w:position w:val="0"/>
        </w:rPr>
        <w:t>72%</w:t>
      </w:r>
      <w:r>
        <w:rPr>
          <w:color w:val="000000"/>
          <w:spacing w:val="0"/>
          <w:w w:val="100"/>
          <w:position w:val="0"/>
        </w:rPr>
        <w:t>下降至</w:t>
      </w:r>
      <w:r>
        <w:rPr>
          <w:rFonts w:ascii="Times New Roman" w:eastAsia="Times New Roman" w:hAnsi="Times New Roman" w:cs="Times New Roman"/>
          <w:color w:val="000000"/>
          <w:spacing w:val="0"/>
          <w:w w:val="100"/>
          <w:position w:val="0"/>
        </w:rPr>
        <w:t>50.4%</w:t>
      </w:r>
      <w:r>
        <w:rPr>
          <w:color w:val="000000"/>
          <w:spacing w:val="0"/>
          <w:w w:val="100"/>
          <w:position w:val="0"/>
        </w:rPr>
        <w:t>，按</w:t>
      </w:r>
      <w:r>
        <w:rPr>
          <w:rFonts w:ascii="Times New Roman" w:eastAsia="Times New Roman" w:hAnsi="Times New Roman" w:cs="Times New Roman"/>
          <w:color w:val="000000"/>
          <w:spacing w:val="0"/>
          <w:w w:val="100"/>
          <w:position w:val="0"/>
        </w:rPr>
        <w:t>50.4%</w:t>
      </w:r>
      <w:r>
        <w:rPr>
          <w:color w:val="000000"/>
          <w:spacing w:val="0"/>
          <w:w w:val="100"/>
          <w:position w:val="0"/>
        </w:rPr>
        <w:t xml:space="preserve">持股比例计算的应享有的份额 </w:t>
      </w:r>
      <w:r>
        <w:rPr>
          <w:rFonts w:ascii="Times New Roman" w:eastAsia="Times New Roman" w:hAnsi="Times New Roman" w:cs="Times New Roman"/>
          <w:color w:val="000000"/>
          <w:spacing w:val="0"/>
          <w:w w:val="100"/>
          <w:position w:val="0"/>
        </w:rPr>
        <w:t>15,795,168.53</w:t>
      </w:r>
      <w:r>
        <w:rPr>
          <w:color w:val="000000"/>
          <w:spacing w:val="0"/>
          <w:w w:val="100"/>
          <w:position w:val="0"/>
        </w:rPr>
        <w:t>元，计入其他资本公积。</w:t>
      </w:r>
    </w:p>
    <w:p>
      <w:pPr>
        <w:pStyle w:val="Style2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：本期其他减少</w:t>
      </w:r>
      <w:r>
        <w:rPr>
          <w:rFonts w:ascii="Times New Roman" w:eastAsia="Times New Roman" w:hAnsi="Times New Roman" w:cs="Times New Roman"/>
          <w:color w:val="000000"/>
          <w:spacing w:val="0"/>
          <w:w w:val="100"/>
          <w:position w:val="0"/>
        </w:rPr>
        <w:t>22,300,095.07</w:t>
      </w:r>
      <w:r>
        <w:rPr>
          <w:color w:val="000000"/>
          <w:spacing w:val="0"/>
          <w:w w:val="100"/>
          <w:position w:val="0"/>
        </w:rPr>
        <w:t>元，系本年限制性股票激励计划行权转出溢价导致。</w:t>
      </w:r>
      <w:r>
        <w:br w:type="page"/>
      </w:r>
    </w:p>
    <w:p>
      <w:pPr>
        <w:pStyle w:val="Style26"/>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5</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05"/>
      <w:bookmarkEnd w:id="1306"/>
      <w:bookmarkEnd w:id="130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发行限制性股票金额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177,735,274.12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196,984,285.00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78,437,739.00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296,281,820.12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177,735,274.12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196,984,285.00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78,437,739.00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296,281,820.12</w:t>
            </w:r>
          </w:p>
        </w:tc>
      </w:tr>
    </w:tbl>
    <w:p>
      <w:pPr>
        <w:widowControl w:val="0"/>
        <w:spacing w:after="619" w:line="1" w:lineRule="exact"/>
      </w:pPr>
    </w:p>
    <w:p>
      <w:pPr>
        <w:pStyle w:val="Style26"/>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5</w:t>
      </w:r>
      <w:bookmarkEnd w:id="131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09"/>
      <w:bookmarkEnd w:id="1310"/>
      <w:bookmarkEnd w:id="1312"/>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-216,928.88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-216,928.88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-1,365,06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-216,928.88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-1,148,138.</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-1,365,06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r>
    </w:tbl>
    <w:p>
      <w:pPr>
        <w:widowControl w:val="0"/>
        <w:spacing w:after="299" w:line="1" w:lineRule="exact"/>
      </w:pPr>
    </w:p>
    <w:p>
      <w:pPr>
        <w:pStyle w:val="Style26"/>
        <w:keepNext/>
        <w:keepLines/>
        <w:widowControl w:val="0"/>
        <w:shd w:val="clear" w:color="auto" w:fill="auto"/>
        <w:tabs>
          <w:tab w:pos="488"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5</w:t>
      </w:r>
      <w:bookmarkEnd w:id="1315"/>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13"/>
      <w:bookmarkEnd w:id="1314"/>
      <w:bookmarkEnd w:id="131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88" w:val="left"/>
        </w:tabs>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5</w:t>
      </w:r>
      <w:bookmarkEnd w:id="1319"/>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17"/>
      <w:bookmarkEnd w:id="1318"/>
      <w:bookmarkEnd w:id="1320"/>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80,104,990.51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25,239,404.86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105,344,395.37</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80,104,990.51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25,239,404.86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105,344,395.37</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6</w:t>
      </w:r>
      <w:bookmarkEnd w:id="132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21"/>
      <w:bookmarkEnd w:id="1322"/>
      <w:bookmarkEnd w:id="1324"/>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605,943,744.54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412,632,266.97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605,943,744.54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412,632,266.97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241,382,013.60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214,240,021.65</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25,239,404.86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20,928,544.08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24,926,208.08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797,160,145.20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605,943,744.54</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line="240" w:lineRule="auto"/>
        <w:ind w:left="0" w:right="0" w:firstLine="0"/>
        <w:jc w:val="left"/>
      </w:pPr>
      <w:bookmarkStart w:id="1325" w:name="bookmark1325"/>
      <w:r>
        <w:rPr>
          <w:rFonts w:ascii="Times New Roman" w:eastAsia="Times New Roman" w:hAnsi="Times New Roman" w:cs="Times New Roman"/>
          <w:color w:val="000000"/>
          <w:spacing w:val="0"/>
          <w:w w:val="100"/>
          <w:position w:val="0"/>
        </w:rPr>
        <w:t>1</w:t>
      </w:r>
      <w:bookmarkEnd w:id="132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327" w:name="bookmark1327"/>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3"/>
        <w:keepNext w:val="0"/>
        <w:keepLines w:val="0"/>
        <w:widowControl w:val="0"/>
        <w:shd w:val="clear" w:color="auto" w:fill="auto"/>
        <w:tabs>
          <w:tab w:pos="349" w:val="left"/>
        </w:tabs>
        <w:bidi w:val="0"/>
        <w:spacing w:before="0" w:line="240" w:lineRule="auto"/>
        <w:ind w:left="0" w:right="0" w:firstLine="0"/>
        <w:jc w:val="left"/>
      </w:pPr>
      <w:bookmarkStart w:id="1328" w:name="bookmark1328"/>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3"/>
        <w:keepNext w:val="0"/>
        <w:keepLines w:val="0"/>
        <w:widowControl w:val="0"/>
        <w:shd w:val="clear" w:color="auto" w:fill="auto"/>
        <w:tabs>
          <w:tab w:pos="349" w:val="left"/>
        </w:tabs>
        <w:bidi w:val="0"/>
        <w:spacing w:before="0" w:after="360" w:line="240" w:lineRule="auto"/>
        <w:ind w:left="0" w:right="0" w:firstLine="0"/>
        <w:jc w:val="left"/>
      </w:pPr>
      <w:bookmarkStart w:id="1329" w:name="bookmark1329"/>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6"/>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6</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30"/>
      <w:bookmarkEnd w:id="1331"/>
      <w:bookmarkEnd w:id="133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1,706,895,665.91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1,040,032,075.37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1,217,542,406.55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729,908,149.03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3,322,362.60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1,255,676.13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1,710,218,028.51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1,040,032,075.37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1,218,798,082.68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729,908,149.03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6</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34"/>
      <w:bookmarkEnd w:id="1335"/>
      <w:bookmarkEnd w:id="1337"/>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3,461,496.92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2,520,997.63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2,252,032.54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1,342,458.75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1,627,528.00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17,123.11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4,577.29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1,490,258.10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1,842,803.45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620,917.72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9,776,857.72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5,710,837.12</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6</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38"/>
      <w:bookmarkEnd w:id="1339"/>
      <w:bookmarkEnd w:id="1341"/>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54,652,262.74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33,523,721.73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41,692,627.06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26,303,345.76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13,189,174.52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4,142,753.61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7,704,986.53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3,210,773.01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3,486,804.23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1,843,346.34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1,017,647.77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511,517.96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其他各项销售费用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1,534,352.50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841,295.68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123,277,855.35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70,376,754.09</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6</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42"/>
      <w:bookmarkEnd w:id="1343"/>
      <w:bookmarkEnd w:id="13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150,830,346.34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110,056,728.27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43,888,211.74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31,733,742.98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18,640,110.51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16,274,896.01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13,363,454.06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6,896,474.62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13,265,264.48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22,300,095.07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10,645,786.59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7,752,748.07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9,124,318.18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6,214,063.74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6,503,344.10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4,024,309.02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6,164,416.46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838,770.73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5,068,278.91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4,864,023.16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3,801,839.12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1,939,556.76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1,735,782.32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382,588.14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1,704,503.92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598,902.13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1,136,705.12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976,951.69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6,612,725.70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4,444,562.02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293,635,087.55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219,298,412.41</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6</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46"/>
      <w:bookmarkEnd w:id="1347"/>
      <w:bookmarkEnd w:id="1349"/>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47,334.53</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14,642,280.84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19,306,547.28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-20,288,933.23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-5,308,523.97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240,714.09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172,374.92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-34,690,499.98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-24,395,361.80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6</w:t>
      </w:r>
      <w:bookmarkEnd w:id="1352"/>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50"/>
      <w:bookmarkEnd w:id="1351"/>
      <w:bookmarkEnd w:id="13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68,545,492.12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48,717,267.76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2,869,846.54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71,415,338.66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48,717,267.76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6</w:t>
      </w:r>
      <w:bookmarkEnd w:id="1356"/>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354"/>
      <w:bookmarkEnd w:id="1355"/>
      <w:bookmarkEnd w:id="1357"/>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以公允价值计量的且其变动计入当期损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6</w:t>
      </w:r>
      <w:bookmarkEnd w:id="136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58"/>
      <w:bookmarkEnd w:id="1359"/>
      <w:bookmarkEnd w:id="1361"/>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461"/>
        <w:gridCol w:w="319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-4,773,999.81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-4,676,616.01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6</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62"/>
      <w:bookmarkEnd w:id="1363"/>
      <w:bookmarkEnd w:id="136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非流动资产处置利得合计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31,299,174.95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27,359,793.93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30,177,441.18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392,680.20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475,386.67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392,680.20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31,691,855.15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27,835,200.15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30,570,121.38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）扶持资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24,765,107.4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23,873,500.0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）软件和 集成电路设 计人员专项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）国家服 务外包专项 资金财政补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）青浦区 财政奖励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1,047,817.06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294,042.76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）云计算 机系统补贴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）云计算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277,916.68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277,916.67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9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机系统补贴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)增值税 即征即退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1,121,733.77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31,299,174.9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right"/>
            </w:pPr>
            <w:r>
              <w:rPr>
                <w:rFonts w:ascii="Times New Roman" w:eastAsia="Times New Roman" w:hAnsi="Times New Roman" w:cs="Times New Roman"/>
                <w:color w:val="000000"/>
                <w:spacing w:val="0"/>
                <w:w w:val="100"/>
                <w:position w:val="0"/>
              </w:rPr>
              <w:t>27,359,793.9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7</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66"/>
      <w:bookmarkEnd w:id="1367"/>
      <w:bookmarkEnd w:id="13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39,226.23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97,623.72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39,226.23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39,226.23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97,623.72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39,226.23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31,174.82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33,022.81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31,174.82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70,401.05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130,646.53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70,401.05</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7</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70"/>
      <w:bookmarkEnd w:id="1371"/>
      <w:bookmarkEnd w:id="1373"/>
    </w:p>
    <w:p>
      <w:pPr>
        <w:pStyle w:val="Style26"/>
        <w:keepNext/>
        <w:keepLines/>
        <w:widowControl w:val="0"/>
        <w:numPr>
          <w:ilvl w:val="0"/>
          <w:numId w:val="59"/>
        </w:numPr>
        <w:shd w:val="clear" w:color="auto" w:fill="auto"/>
        <w:bidi w:val="0"/>
        <w:spacing w:before="0" w:line="240" w:lineRule="auto"/>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所得税费用表</w:t>
      </w:r>
      <w:bookmarkEnd w:id="1370"/>
      <w:bookmarkEnd w:id="1371"/>
      <w:bookmarkEnd w:id="137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4,601,158.70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4,744,581.89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-3,371,629.94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-20,475,384.15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1,229,528.76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-15,730,802.26</w:t>
            </w:r>
          </w:p>
        </w:tc>
      </w:tr>
    </w:tbl>
    <w:p>
      <w:pPr>
        <w:widowControl w:val="0"/>
        <w:spacing w:after="319" w:line="1" w:lineRule="exact"/>
      </w:pPr>
    </w:p>
    <w:p>
      <w:pPr>
        <w:pStyle w:val="Style26"/>
        <w:keepNext/>
        <w:keepLines/>
        <w:widowControl w:val="0"/>
        <w:numPr>
          <w:ilvl w:val="0"/>
          <w:numId w:val="59"/>
        </w:numPr>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会计利润与所得税费用调整过程</w:t>
      </w:r>
      <w:bookmarkEnd w:id="1376"/>
      <w:bookmarkEnd w:id="1377"/>
      <w:bookmarkEnd w:id="1379"/>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233,112,651.93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34,966,897.79</w:t>
            </w:r>
          </w:p>
        </w:tc>
      </w:tr>
    </w:tbl>
    <w:p>
      <w:pPr>
        <w:widowControl w:val="0"/>
        <w:spacing w:line="1" w:lineRule="exact"/>
      </w:pPr>
      <w:r>
        <w:br w:type="page"/>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1,314,333.22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-293,271.53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-12,587,462.84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65,313.01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1,238,616.70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-80,880.97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股权激励行权可列支成本的影响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-23,394,016.62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1,229,528.76</w:t>
            </w:r>
          </w:p>
        </w:tc>
      </w:tr>
    </w:tbl>
    <w:p>
      <w:pPr>
        <w:widowControl w:val="0"/>
        <w:spacing w:after="299" w:line="1" w:lineRule="exact"/>
      </w:pPr>
    </w:p>
    <w:p>
      <w:pPr>
        <w:pStyle w:val="Style26"/>
        <w:keepNext/>
        <w:keepLines/>
        <w:widowControl w:val="0"/>
        <w:shd w:val="clear" w:color="auto" w:fill="auto"/>
        <w:tabs>
          <w:tab w:pos="483" w:val="left"/>
        </w:tabs>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7</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380"/>
      <w:bookmarkEnd w:id="1381"/>
      <w:bookmarkEnd w:id="1383"/>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6"/>
        <w:keepNext/>
        <w:keepLines/>
        <w:widowControl w:val="0"/>
        <w:shd w:val="clear" w:color="auto" w:fill="auto"/>
        <w:tabs>
          <w:tab w:pos="483" w:val="left"/>
        </w:tabs>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7</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384"/>
      <w:bookmarkEnd w:id="1385"/>
      <w:bookmarkEnd w:id="1387"/>
    </w:p>
    <w:p>
      <w:pPr>
        <w:pStyle w:val="Style26"/>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4"/>
      <w:bookmarkEnd w:id="1385"/>
      <w:bookmarkEnd w:id="13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15,124,519.16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19,494,487.64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29,489,524.50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26,898,842.76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20,048,726.95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60,634,809.29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3,678,902.56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475,386.67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68,341,673.17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107,503,526.36</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0"/>
      <w:bookmarkEnd w:id="1391"/>
      <w:bookmarkEnd w:id="139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12,872,023.18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9,544,303.01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137,884,984.30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62,757,508.25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240,714.09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172,374.92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393,022,486.47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19,756,827.04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5,025,848.57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2,660,094.21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549,046,056.61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94,891,107.43</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支付的其他与经营活动有关的现金说明：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资金往来支付的现金中，支付保理款</w:t>
      </w:r>
      <w:r>
        <w:rPr>
          <w:rFonts w:ascii="Times New Roman" w:eastAsia="Times New Roman" w:hAnsi="Times New Roman" w:cs="Times New Roman"/>
          <w:color w:val="000000"/>
          <w:spacing w:val="0"/>
          <w:w w:val="100"/>
          <w:position w:val="0"/>
        </w:rPr>
        <w:t>360,124,029.59</w:t>
      </w:r>
      <w:r>
        <w:rPr>
          <w:color w:val="000000"/>
          <w:spacing w:val="0"/>
          <w:w w:val="100"/>
          <w:position w:val="0"/>
        </w:rPr>
        <w:t>元。</w:t>
      </w:r>
      <w:r>
        <w:br w:type="page"/>
      </w:r>
    </w:p>
    <w:p>
      <w:pPr>
        <w:pStyle w:val="Style26"/>
        <w:keepNext/>
        <w:keepLines/>
        <w:widowControl w:val="0"/>
        <w:shd w:val="clear" w:color="auto" w:fill="auto"/>
        <w:bidi w:val="0"/>
        <w:spacing w:before="0" w:after="34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94"/>
      <w:bookmarkEnd w:id="1395"/>
      <w:bookmarkEnd w:id="13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云计算机系统补贴款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收购上海达美、扬州达美支付的现金与 收购日上海达美、扬州达美账面现金的 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37,345,408.65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39,345,408.65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tabs>
          <w:tab w:pos="493" w:val="left"/>
        </w:tabs>
        <w:bidi w:val="0"/>
        <w:spacing w:before="0" w:after="34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398"/>
      <w:bookmarkEnd w:id="1399"/>
      <w:bookmarkEnd w:id="1401"/>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34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02"/>
      <w:bookmarkEnd w:id="1403"/>
      <w:bookmarkEnd w:id="1405"/>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34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06"/>
      <w:bookmarkEnd w:id="1407"/>
      <w:bookmarkEnd w:id="1409"/>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18,249,361.24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4,891,573.88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收购扬州达美支付的券商费用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19,449,361.24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4,891,573.88</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7</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10"/>
      <w:bookmarkEnd w:id="1411"/>
      <w:bookmarkEnd w:id="1413"/>
    </w:p>
    <w:p>
      <w:pPr>
        <w:pStyle w:val="Style26"/>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4" w:name="bookmark1414"/>
      <w:bookmarkStart w:id="1415" w:name="bookmark1415"/>
      <w:r>
        <w:rPr>
          <w:rFonts w:ascii="Times New Roman" w:eastAsia="Times New Roman" w:hAnsi="Times New Roman" w:cs="Times New Roman"/>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0"/>
      <w:bookmarkEnd w:id="1411"/>
      <w:bookmarkEnd w:id="141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231,883,123.17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214,848,129.95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71,415,338.66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48,717,267.76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19,340,431.63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16,996,604.40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5,478,102.53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4,556,138.10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699,496.77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774,012.90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39,226.23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97,604.17</w:t>
            </w:r>
          </w:p>
        </w:tc>
      </w:tr>
    </w:tbl>
    <w:p>
      <w:pPr>
        <w:widowControl w:val="0"/>
        <w:spacing w:line="1" w:lineRule="exact"/>
      </w:pPr>
      <w:r>
        <w:br w:type="page"/>
      </w:r>
    </w:p>
    <w:tbl>
      <w:tblPr>
        <w:tblOverlap w:val="never"/>
        <w:jc w:val="center"/>
        <w:tblLayout w:type="fixed"/>
      </w:tblPr>
      <w:tblGrid>
        <w:gridCol w:w="3331"/>
        <w:gridCol w:w="3058"/>
        <w:gridCol w:w="3192"/>
      </w:tblGrid>
      <w:tr>
        <w:trPr>
          <w:trHeight w:val="370"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-20,207,562.03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-8,792,536.26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4,676,616.01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-1,627,250.00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-3,311,279.94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-20,128,229.15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-347,155.00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196,697.50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-9,641.01</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-613,252,156.19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-124,173,816.70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21,410,775.71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52,538,264.87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10,627,358.89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23,282,259.66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-270,460,681.06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206,128,153.69</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734,818,719.01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939,258,934.97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939,258,934.97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798,621,501.84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-204,440,215.96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140,637,433.13</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16"/>
      <w:bookmarkEnd w:id="1417"/>
      <w:bookmarkEnd w:id="141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30,527,060.00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30,527,060.00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67,872,468.65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67,817,538.59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-37,345,408.65</w:t>
            </w:r>
          </w:p>
        </w:tc>
      </w:tr>
    </w:tbl>
    <w:p>
      <w:pPr>
        <w:spacing w:lineRule="exact" w:line="1"/>
        <w:rPr>
          <w:sz w:val="2"/>
          <w:szCs w:val="2"/>
        </w:rPr>
      </w:pPr>
      <w:r>
        <w:br w:type="page"/>
      </w:r>
    </w:p>
    <w:p>
      <w:pPr>
        <w:pStyle w:val="Style26"/>
        <w:keepNext/>
        <w:keepLines/>
        <w:widowControl w:val="0"/>
        <w:numPr>
          <w:ilvl w:val="0"/>
          <w:numId w:val="59"/>
        </w:numPr>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本期收到的处置子公司的现金净额</w:t>
      </w:r>
      <w:bookmarkEnd w:id="1420"/>
      <w:bookmarkEnd w:id="1421"/>
      <w:bookmarkEnd w:id="142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恒大汇思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-77.20</w:t>
            </w:r>
          </w:p>
        </w:tc>
      </w:tr>
    </w:tbl>
    <w:p>
      <w:pPr>
        <w:widowControl w:val="0"/>
        <w:spacing w:after="319" w:line="1" w:lineRule="exact"/>
      </w:pPr>
    </w:p>
    <w:p>
      <w:pPr>
        <w:pStyle w:val="Style26"/>
        <w:keepNext/>
        <w:keepLines/>
        <w:widowControl w:val="0"/>
        <w:numPr>
          <w:ilvl w:val="0"/>
          <w:numId w:val="59"/>
        </w:numPr>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现金和现金等价物的构成</w:t>
      </w:r>
      <w:bookmarkEnd w:id="1424"/>
      <w:bookmarkEnd w:id="1425"/>
      <w:bookmarkEnd w:id="14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734,818,719.01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939,258,934.97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229,005.44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215,236.92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734,589,713.57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939,043,698.05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734,818,719.01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939,258,934.97</w:t>
            </w:r>
          </w:p>
        </w:tc>
      </w:tr>
    </w:tbl>
    <w:p>
      <w:pPr>
        <w:widowControl w:val="0"/>
        <w:spacing w:after="319" w:line="1" w:lineRule="exact"/>
      </w:pPr>
    </w:p>
    <w:p>
      <w:pPr>
        <w:pStyle w:val="Style26"/>
        <w:keepNext/>
        <w:keepLines/>
        <w:widowControl w:val="0"/>
        <w:shd w:val="clear" w:color="auto" w:fill="auto"/>
        <w:tabs>
          <w:tab w:pos="483" w:val="left"/>
        </w:tabs>
        <w:bidi w:val="0"/>
        <w:spacing w:before="0" w:after="32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7</w:t>
      </w:r>
      <w:bookmarkEnd w:id="143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28"/>
      <w:bookmarkEnd w:id="1429"/>
      <w:bookmarkEnd w:id="1431"/>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6"/>
        <w:keepNext/>
        <w:keepLines/>
        <w:widowControl w:val="0"/>
        <w:shd w:val="clear" w:color="auto" w:fill="auto"/>
        <w:tabs>
          <w:tab w:pos="483" w:val="left"/>
        </w:tabs>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7</w:t>
      </w:r>
      <w:bookmarkEnd w:id="143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32"/>
      <w:bookmarkEnd w:id="1433"/>
      <w:bookmarkEnd w:id="143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7,703,192.75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7,703,192.75</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7</w:t>
      </w:r>
      <w:bookmarkEnd w:id="143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436"/>
      <w:bookmarkEnd w:id="1437"/>
      <w:bookmarkEnd w:id="1439"/>
    </w:p>
    <w:p>
      <w:pPr>
        <w:pStyle w:val="Style2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)外币货币性项目</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188,648,758.19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16,801,685.79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116,553,294.29</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1,174,645,770.00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69,998,316.09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436,951.31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2,097,147.81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130,181,239.21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5,208,973.48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36,134,649.05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1,578,201,240.00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94,046,590.16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22,520,432.26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3,175,247.27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22,026,690.31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8,285,512.00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493,741.95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45,420,706.66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1,024,542.99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7,107,254.72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637,355,387.00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37,980,644.87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332,807.07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23,922,290.44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3,177,128.95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22,039,743.53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31,591,128.00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1,882,546.91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after="380" w:line="322"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)境外经营实体说明，包括对于重要的境外经营实体，应披露其境外主要经营地、记账本位币及选择依据，记账本位币 发生变化的还应披露原因。</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45"/>
        <w:gridCol w:w="4051"/>
        <w:gridCol w:w="1781"/>
      </w:tblGrid>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境外经营实体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汉得新加坡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汉得俄亥俄州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汉得日本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日本国东京都</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汉得加利福尼亚州</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7</w:t>
      </w:r>
      <w:bookmarkEnd w:id="1442"/>
      <w:r>
        <w:rPr>
          <w:rFonts w:ascii="Times New Roman" w:eastAsia="Times New Roman" w:hAnsi="Times New Roman" w:cs="Times New Roman"/>
          <w:color w:val="000000"/>
          <w:spacing w:val="0"/>
          <w:w w:val="100"/>
          <w:position w:val="0"/>
        </w:rPr>
        <w:t>8</w:t>
      </w:r>
      <w:r>
        <w:rPr>
          <w:color w:val="000000"/>
          <w:spacing w:val="0"/>
          <w:w w:val="100"/>
          <w:position w:val="0"/>
        </w:rPr>
        <w:t>、套期</w:t>
      </w:r>
      <w:bookmarkEnd w:id="1440"/>
      <w:bookmarkEnd w:id="1441"/>
      <w:bookmarkEnd w:id="1443"/>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r>
        <w:br w:type="page"/>
      </w:r>
    </w:p>
    <w:p>
      <w:pPr>
        <w:pStyle w:val="Style26"/>
        <w:keepNext/>
        <w:keepLines/>
        <w:widowControl w:val="0"/>
        <w:shd w:val="clear" w:color="auto" w:fill="auto"/>
        <w:bidi w:val="0"/>
        <w:spacing w:before="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7</w:t>
      </w:r>
      <w:bookmarkEnd w:id="1446"/>
      <w:r>
        <w:rPr>
          <w:rFonts w:ascii="Times New Roman" w:eastAsia="Times New Roman" w:hAnsi="Times New Roman" w:cs="Times New Roman"/>
          <w:color w:val="000000"/>
          <w:spacing w:val="0"/>
          <w:w w:val="100"/>
          <w:position w:val="0"/>
        </w:rPr>
        <w:t>9</w:t>
      </w:r>
      <w:r>
        <w:rPr>
          <w:color w:val="000000"/>
          <w:spacing w:val="0"/>
          <w:w w:val="100"/>
          <w:position w:val="0"/>
        </w:rPr>
        <w:t>、其他</w:t>
      </w:r>
      <w:bookmarkEnd w:id="1444"/>
      <w:bookmarkEnd w:id="1445"/>
      <w:bookmarkEnd w:id="1447"/>
    </w:p>
    <w:p>
      <w:pPr>
        <w:pStyle w:val="Style21"/>
        <w:keepNext/>
        <w:keepLines/>
        <w:widowControl w:val="0"/>
        <w:shd w:val="clear" w:color="auto" w:fill="auto"/>
        <w:bidi w:val="0"/>
        <w:spacing w:before="0" w:after="360" w:line="240" w:lineRule="auto"/>
        <w:ind w:left="0" w:right="0" w:firstLine="0"/>
        <w:jc w:val="both"/>
      </w:pPr>
      <w:bookmarkStart w:id="1448" w:name="bookmark1448"/>
      <w:bookmarkStart w:id="1449" w:name="bookmark1449"/>
      <w:bookmarkStart w:id="1450" w:name="bookmark1450"/>
      <w:bookmarkStart w:id="1451" w:name="bookmark1451"/>
      <w:r>
        <w:rPr>
          <w:color w:val="000000"/>
          <w:spacing w:val="0"/>
          <w:w w:val="100"/>
          <w:position w:val="0"/>
          <w:sz w:val="24"/>
          <w:szCs w:val="24"/>
        </w:rPr>
        <w:t>八</w:t>
      </w:r>
      <w:bookmarkEnd w:id="1450"/>
      <w:r>
        <w:rPr>
          <w:color w:val="000000"/>
          <w:spacing w:val="0"/>
          <w:w w:val="100"/>
          <w:position w:val="0"/>
          <w:sz w:val="24"/>
          <w:szCs w:val="24"/>
        </w:rPr>
        <w:t>、合并范围的变更</w:t>
      </w:r>
      <w:bookmarkEnd w:id="1448"/>
      <w:bookmarkEnd w:id="1449"/>
      <w:bookmarkEnd w:id="1451"/>
    </w:p>
    <w:p>
      <w:pPr>
        <w:pStyle w:val="Style26"/>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1</w:t>
      </w:r>
      <w:bookmarkEnd w:id="1454"/>
      <w:r>
        <w:rPr>
          <w:color w:val="000000"/>
          <w:spacing w:val="0"/>
          <w:w w:val="100"/>
          <w:position w:val="0"/>
        </w:rPr>
        <w:t>、非同一控制下企业合并</w:t>
      </w:r>
      <w:bookmarkEnd w:id="1452"/>
      <w:bookmarkEnd w:id="1453"/>
      <w:bookmarkEnd w:id="1455"/>
    </w:p>
    <w:p>
      <w:pPr>
        <w:pStyle w:val="Style26"/>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52"/>
      <w:bookmarkEnd w:id="1453"/>
      <w:bookmarkEnd w:id="14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上海达美信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74,000,000.0</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120,526,438.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9,504,491.77</w:t>
            </w:r>
          </w:p>
        </w:tc>
      </w:tr>
      <w:tr>
        <w:trPr>
          <w:trHeight w:val="10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扬州达美投 资管理有限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55,282,500.0</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-15,623.95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注：①股权转让协议已获得上海达美、扬州达美及本公司董事会通过。</w:t>
      </w:r>
    </w:p>
    <w:p>
      <w:pPr>
        <w:pStyle w:val="Style23"/>
        <w:keepNext w:val="0"/>
        <w:keepLines w:val="0"/>
        <w:widowControl w:val="0"/>
        <w:numPr>
          <w:ilvl w:val="0"/>
          <w:numId w:val="61"/>
        </w:numPr>
        <w:shd w:val="clear" w:color="auto" w:fill="auto"/>
        <w:tabs>
          <w:tab w:pos="733" w:val="left"/>
        </w:tabs>
        <w:bidi w:val="0"/>
        <w:spacing w:before="0" w:after="100" w:line="240" w:lineRule="auto"/>
        <w:ind w:left="0" w:right="0" w:firstLine="360"/>
        <w:jc w:val="left"/>
      </w:pPr>
      <w:bookmarkStart w:id="1457" w:name="bookmark1457"/>
      <w:bookmarkEnd w:id="1457"/>
      <w:r>
        <w:rPr>
          <w:color w:val="000000"/>
          <w:spacing w:val="0"/>
          <w:w w:val="100"/>
          <w:position w:val="0"/>
        </w:rPr>
        <w:t>本公司和上海达美、扬州达美董事会已办理了资产交接手续。</w:t>
      </w:r>
    </w:p>
    <w:p>
      <w:pPr>
        <w:pStyle w:val="Style23"/>
        <w:keepNext w:val="0"/>
        <w:keepLines w:val="0"/>
        <w:widowControl w:val="0"/>
        <w:numPr>
          <w:ilvl w:val="0"/>
          <w:numId w:val="61"/>
        </w:numPr>
        <w:shd w:val="clear" w:color="auto" w:fill="auto"/>
        <w:tabs>
          <w:tab w:pos="733" w:val="left"/>
        </w:tabs>
        <w:bidi w:val="0"/>
        <w:spacing w:before="0" w:after="100" w:line="240" w:lineRule="auto"/>
        <w:ind w:left="0" w:right="0" w:firstLine="360"/>
        <w:jc w:val="left"/>
      </w:pPr>
      <w:bookmarkStart w:id="1458" w:name="bookmark1458"/>
      <w:bookmarkEnd w:id="1458"/>
      <w:r>
        <w:rPr>
          <w:color w:val="000000"/>
          <w:spacing w:val="0"/>
          <w:w w:val="100"/>
          <w:position w:val="0"/>
        </w:rPr>
        <w:t>上海达美、扬州达美已办理了工商变更登记手续。</w:t>
      </w:r>
    </w:p>
    <w:p>
      <w:pPr>
        <w:pStyle w:val="Style23"/>
        <w:keepNext w:val="0"/>
        <w:keepLines w:val="0"/>
        <w:widowControl w:val="0"/>
        <w:numPr>
          <w:ilvl w:val="0"/>
          <w:numId w:val="61"/>
        </w:numPr>
        <w:shd w:val="clear" w:color="auto" w:fill="auto"/>
        <w:tabs>
          <w:tab w:pos="733" w:val="left"/>
        </w:tabs>
        <w:bidi w:val="0"/>
        <w:spacing w:before="0" w:after="100" w:line="240" w:lineRule="auto"/>
        <w:ind w:left="0" w:right="0" w:firstLine="360"/>
        <w:jc w:val="left"/>
      </w:pPr>
      <w:bookmarkStart w:id="1459" w:name="bookmark1459"/>
      <w:bookmarkEnd w:id="1459"/>
      <w:r>
        <w:rPr>
          <w:color w:val="000000"/>
          <w:spacing w:val="0"/>
          <w:w w:val="100"/>
          <w:position w:val="0"/>
        </w:rPr>
        <w:t>本公司已按协议规定支付股权收购款的</w:t>
      </w:r>
      <w:r>
        <w:rPr>
          <w:rFonts w:ascii="Times New Roman" w:eastAsia="Times New Roman" w:hAnsi="Times New Roman" w:cs="Times New Roman"/>
          <w:color w:val="000000"/>
          <w:spacing w:val="0"/>
          <w:w w:val="100"/>
          <w:position w:val="0"/>
        </w:rPr>
        <w:t>50%</w:t>
      </w:r>
      <w:r>
        <w:rPr>
          <w:color w:val="000000"/>
          <w:spacing w:val="0"/>
          <w:w w:val="100"/>
          <w:position w:val="0"/>
        </w:rPr>
        <w:t>以上。</w:t>
      </w:r>
    </w:p>
    <w:p>
      <w:pPr>
        <w:pStyle w:val="Style23"/>
        <w:keepNext w:val="0"/>
        <w:keepLines w:val="0"/>
        <w:widowControl w:val="0"/>
        <w:numPr>
          <w:ilvl w:val="0"/>
          <w:numId w:val="61"/>
        </w:numPr>
        <w:shd w:val="clear" w:color="auto" w:fill="auto"/>
        <w:tabs>
          <w:tab w:pos="733" w:val="left"/>
        </w:tabs>
        <w:bidi w:val="0"/>
        <w:spacing w:before="0" w:after="360" w:line="240" w:lineRule="auto"/>
        <w:ind w:left="0" w:right="0" w:firstLine="360"/>
        <w:jc w:val="left"/>
      </w:pPr>
      <w:bookmarkStart w:id="1460" w:name="bookmark1460"/>
      <w:bookmarkEnd w:id="1460"/>
      <w:r>
        <w:rPr>
          <w:color w:val="000000"/>
          <w:spacing w:val="0"/>
          <w:w w:val="100"/>
          <w:position w:val="0"/>
        </w:rPr>
        <w:t>本公司实际上已经控制了被购买方的财务和经营政策，享有相应的收益并承担相应的风险。</w:t>
      </w:r>
    </w:p>
    <w:p>
      <w:pPr>
        <w:pStyle w:val="Style26"/>
        <w:keepNext/>
        <w:keepLines/>
        <w:widowControl w:val="0"/>
        <w:shd w:val="clear" w:color="auto" w:fill="auto"/>
        <w:bidi w:val="0"/>
        <w:spacing w:before="0" w:line="240" w:lineRule="auto"/>
        <w:ind w:left="0" w:right="0" w:firstLine="0"/>
        <w:jc w:val="both"/>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61"/>
      <w:bookmarkEnd w:id="1462"/>
      <w:bookmarkEnd w:id="1463"/>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上海达美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扬州达美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55,282,500.01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55,282,500.01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42,583,435.21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34,895,922.51</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31,416,564.79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20,386,577.50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合并成本公允价值的确定方法、或有对价及其变动的说明：</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合并成本公允价值按支付对价与被合并公司可辨认净资产公允价值份额的金额的差额确定</w:t>
      </w:r>
    </w:p>
    <w:p>
      <w:pPr>
        <w:pStyle w:val="Style26"/>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64"/>
      <w:bookmarkEnd w:id="1465"/>
      <w:bookmarkEnd w:id="1467"/>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上海达美</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扬州达美</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67,817,538.59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67,817,538.59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54,930.06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40,211,281.94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40,211,281.94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1,658,373.79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1,658,373.79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1,886,694.94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1,886,694.94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826,012.40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592,116.23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34,840,992.45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36,537,198.95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8,204,881.00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8,204,881.00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6,493,158.02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6,493,158.02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14,977,536.04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14,977,536.04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4,697,496.70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4,697,496.70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1,200,587.02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1,200,587.02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77,424,427.66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77,424,427.66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34,895,922.51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36,592,129.01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34,840,992.45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42,583,435.21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77,424,427.66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34,895,922.51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36,592,129.01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按经审计的财务报表确定。</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购买日之前持有的股权按照公允价值重新计量产生的利得或损失</w:t>
      </w:r>
      <w:bookmarkEnd w:id="1468"/>
      <w:bookmarkEnd w:id="1469"/>
      <w:bookmarkEnd w:id="147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购买日或合并当期期末无法合理确定合并对价或被购买方可辨认资产、负债公允价值的相关说明</w:t>
      </w:r>
      <w:bookmarkEnd w:id="1472"/>
      <w:bookmarkEnd w:id="1473"/>
      <w:bookmarkEnd w:id="1475"/>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其他说明</w:t>
      </w:r>
      <w:bookmarkEnd w:id="1476"/>
      <w:bookmarkEnd w:id="1477"/>
      <w:bookmarkEnd w:id="1479"/>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bookmarkEnd w:id="1482"/>
      <w:r>
        <w:rPr>
          <w:color w:val="000000"/>
          <w:spacing w:val="0"/>
          <w:w w:val="100"/>
          <w:position w:val="0"/>
        </w:rPr>
        <w:t>、</w:t>
        <w:tab/>
        <w:t>同一控制下企业合并</w:t>
      </w:r>
      <w:bookmarkEnd w:id="1480"/>
      <w:bookmarkEnd w:id="1481"/>
      <w:bookmarkEnd w:id="1483"/>
    </w:p>
    <w:p>
      <w:pPr>
        <w:pStyle w:val="Style26"/>
        <w:keepNext/>
        <w:keepLines/>
        <w:widowControl w:val="0"/>
        <w:shd w:val="clear" w:color="auto" w:fill="auto"/>
        <w:tabs>
          <w:tab w:pos="493" w:val="left"/>
        </w:tabs>
        <w:bidi w:val="0"/>
        <w:spacing w:before="0" w:after="280" w:line="240" w:lineRule="auto"/>
        <w:ind w:left="0" w:right="0" w:firstLine="0"/>
        <w:jc w:val="left"/>
      </w:pPr>
      <w:bookmarkStart w:id="1480" w:name="bookmark1480"/>
      <w:bookmarkStart w:id="1481" w:name="bookmark1481"/>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480"/>
      <w:bookmarkEnd w:id="1481"/>
      <w:bookmarkEnd w:id="1485"/>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28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486"/>
      <w:bookmarkEnd w:id="1487"/>
      <w:bookmarkEnd w:id="1489"/>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28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490"/>
      <w:bookmarkEnd w:id="1491"/>
      <w:bookmarkEnd w:id="1493"/>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2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color w:val="000000"/>
          <w:spacing w:val="0"/>
          <w:w w:val="100"/>
          <w:position w:val="0"/>
        </w:rPr>
        <w:t>、</w:t>
        <w:tab/>
        <w:t>反向购买</w:t>
      </w:r>
      <w:bookmarkEnd w:id="1494"/>
      <w:bookmarkEnd w:id="1495"/>
      <w:bookmarkEnd w:id="1497"/>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2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color w:val="000000"/>
          <w:spacing w:val="0"/>
          <w:w w:val="100"/>
          <w:position w:val="0"/>
        </w:rPr>
        <w:t>、</w:t>
        <w:tab/>
        <w:t>处置子公司</w:t>
      </w:r>
      <w:bookmarkEnd w:id="1498"/>
      <w:bookmarkEnd w:id="1499"/>
      <w:bookmarkEnd w:id="1501"/>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26"/>
        <w:keepNext/>
        <w:keepLines/>
        <w:widowControl w:val="0"/>
        <w:shd w:val="clear" w:color="auto" w:fill="auto"/>
        <w:tabs>
          <w:tab w:pos="382" w:val="left"/>
        </w:tabs>
        <w:bidi w:val="0"/>
        <w:spacing w:before="0" w:after="2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5</w:t>
      </w:r>
      <w:bookmarkEnd w:id="1504"/>
      <w:r>
        <w:rPr>
          <w:color w:val="000000"/>
          <w:spacing w:val="0"/>
          <w:w w:val="100"/>
          <w:position w:val="0"/>
        </w:rPr>
        <w:t>、</w:t>
        <w:tab/>
        <w:t>其他原因的合并范围变动</w:t>
      </w:r>
      <w:bookmarkEnd w:id="1502"/>
      <w:bookmarkEnd w:id="1503"/>
      <w:bookmarkEnd w:id="1505"/>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与上年相比本年新增合并单位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23"/>
        <w:keepNext w:val="0"/>
        <w:keepLines w:val="0"/>
        <w:widowControl w:val="0"/>
        <w:shd w:val="clear" w:color="auto" w:fill="auto"/>
        <w:tabs>
          <w:tab w:pos="536" w:val="left"/>
        </w:tabs>
        <w:bidi w:val="0"/>
        <w:spacing w:before="0" w:after="0" w:line="312" w:lineRule="exact"/>
        <w:ind w:left="0" w:right="0" w:firstLine="0"/>
        <w:jc w:val="left"/>
      </w:pPr>
      <w:bookmarkStart w:id="1506" w:name="bookmark1506"/>
      <w:r>
        <w:rPr>
          <w:color w:val="000000"/>
          <w:spacing w:val="0"/>
          <w:w w:val="100"/>
          <w:position w:val="0"/>
        </w:rPr>
        <w:t>（</w:t>
      </w:r>
      <w:bookmarkEnd w:id="150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月，公司出资</w:t>
      </w:r>
      <w:r>
        <w:rPr>
          <w:rFonts w:ascii="Times New Roman" w:eastAsia="Times New Roman" w:hAnsi="Times New Roman" w:cs="Times New Roman"/>
          <w:color w:val="000000"/>
          <w:spacing w:val="0"/>
          <w:w w:val="100"/>
          <w:position w:val="0"/>
        </w:rPr>
        <w:t>325.85</w:t>
      </w:r>
      <w:r>
        <w:rPr>
          <w:color w:val="000000"/>
          <w:spacing w:val="0"/>
          <w:w w:val="100"/>
          <w:position w:val="0"/>
        </w:rPr>
        <w:t>万元人民币，设立</w:t>
      </w:r>
      <w:r>
        <w:rPr>
          <w:rFonts w:ascii="Times New Roman" w:eastAsia="Times New Roman" w:hAnsi="Times New Roman" w:cs="Times New Roman"/>
          <w:color w:val="000000"/>
          <w:spacing w:val="0"/>
          <w:w w:val="100"/>
          <w:position w:val="0"/>
        </w:rPr>
        <w:t>HAND ENTERPRISE SOLUTIONS USA.INC.</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汉得加利福尼 亚州</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月起，汉得加利福尼亚州纳入合并范围。</w:t>
      </w:r>
    </w:p>
    <w:p>
      <w:pPr>
        <w:pStyle w:val="Style23"/>
        <w:keepNext w:val="0"/>
        <w:keepLines w:val="0"/>
        <w:widowControl w:val="0"/>
        <w:shd w:val="clear" w:color="auto" w:fill="auto"/>
        <w:tabs>
          <w:tab w:pos="541" w:val="left"/>
        </w:tabs>
        <w:bidi w:val="0"/>
        <w:spacing w:before="0" w:after="0" w:line="312" w:lineRule="exact"/>
        <w:ind w:left="0" w:right="0" w:firstLine="0"/>
        <w:jc w:val="left"/>
      </w:pPr>
      <w:bookmarkStart w:id="1507" w:name="bookmark1507"/>
      <w:r>
        <w:rPr>
          <w:color w:val="000000"/>
          <w:spacing w:val="0"/>
          <w:w w:val="100"/>
          <w:position w:val="0"/>
        </w:rPr>
        <w:t>（</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月，公司与上海汇宣企业管理咨询合伙企业（有限合伙）共同出资</w:t>
      </w:r>
      <w:r>
        <w:rPr>
          <w:rFonts w:ascii="Times New Roman" w:eastAsia="Times New Roman" w:hAnsi="Times New Roman" w:cs="Times New Roman"/>
          <w:color w:val="000000"/>
          <w:spacing w:val="0"/>
          <w:w w:val="100"/>
          <w:position w:val="0"/>
        </w:rPr>
        <w:t>100</w:t>
      </w:r>
      <w:r>
        <w:rPr>
          <w:color w:val="000000"/>
          <w:spacing w:val="0"/>
          <w:w w:val="100"/>
          <w:position w:val="0"/>
        </w:rPr>
        <w:t>万元设立上海甄汇信息科技有限公司（以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甄汇信息</w:t>
      </w:r>
      <w:r>
        <w:rPr>
          <w:rFonts w:ascii="Times New Roman" w:eastAsia="Times New Roman" w:hAnsi="Times New Roman" w:cs="Times New Roman"/>
          <w:color w:val="000000"/>
          <w:spacing w:val="0"/>
          <w:w w:val="100"/>
          <w:position w:val="0"/>
        </w:rPr>
        <w:t>”</w:t>
      </w:r>
      <w:r>
        <w:rPr>
          <w:color w:val="000000"/>
          <w:spacing w:val="0"/>
          <w:w w:val="100"/>
          <w:position w:val="0"/>
        </w:rPr>
        <w:t>），其中公司出资</w:t>
      </w:r>
      <w:r>
        <w:rPr>
          <w:rFonts w:ascii="Times New Roman" w:eastAsia="Times New Roman" w:hAnsi="Times New Roman" w:cs="Times New Roman"/>
          <w:color w:val="000000"/>
          <w:spacing w:val="0"/>
          <w:w w:val="100"/>
          <w:position w:val="0"/>
        </w:rPr>
        <w:t>72</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72%</w:t>
      </w:r>
      <w:r>
        <w:rPr>
          <w:color w:val="000000"/>
          <w:spacing w:val="0"/>
          <w:w w:val="100"/>
          <w:position w:val="0"/>
        </w:rPr>
        <w:t>（软件著作权出资</w:t>
      </w:r>
      <w:r>
        <w:rPr>
          <w:rFonts w:ascii="Times New Roman" w:eastAsia="Times New Roman" w:hAnsi="Times New Roman" w:cs="Times New Roman"/>
          <w:color w:val="000000"/>
          <w:spacing w:val="0"/>
          <w:w w:val="100"/>
          <w:position w:val="0"/>
        </w:rPr>
        <w:t>72</w:t>
      </w:r>
      <w:r>
        <w:rPr>
          <w:color w:val="000000"/>
          <w:spacing w:val="0"/>
          <w:w w:val="100"/>
          <w:position w:val="0"/>
        </w:rPr>
        <w:t>万元）；上海汇宣企业管理咨询合伙企 业（有限合伙）出资</w:t>
      </w:r>
      <w:r>
        <w:rPr>
          <w:rFonts w:ascii="Times New Roman" w:eastAsia="Times New Roman" w:hAnsi="Times New Roman" w:cs="Times New Roman"/>
          <w:color w:val="000000"/>
          <w:spacing w:val="0"/>
          <w:w w:val="100"/>
          <w:position w:val="0"/>
        </w:rPr>
        <w:t>28</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 xml:space="preserve">28% </w:t>
      </w:r>
      <w:r>
        <w:rPr>
          <w:color w:val="000000"/>
          <w:spacing w:val="0"/>
          <w:w w:val="100"/>
          <w:position w:val="0"/>
        </w:rPr>
        <w:t>（货币出资</w:t>
      </w:r>
      <w:r>
        <w:rPr>
          <w:rFonts w:ascii="Times New Roman" w:eastAsia="Times New Roman" w:hAnsi="Times New Roman" w:cs="Times New Roman"/>
          <w:color w:val="000000"/>
          <w:spacing w:val="0"/>
          <w:w w:val="100"/>
          <w:position w:val="0"/>
        </w:rPr>
        <w:t>28</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月起，甄汇信息纳入合并范围。</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23"/>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日恒大汇思（北京）咨询有限公司注销，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月起不纳入合并范围。</w:t>
      </w:r>
      <w:r>
        <w:br w:type="page"/>
      </w:r>
    </w:p>
    <w:p>
      <w:pPr>
        <w:pStyle w:val="Style26"/>
        <w:keepNext/>
        <w:keepLines/>
        <w:widowControl w:val="0"/>
        <w:shd w:val="clear" w:color="auto" w:fill="auto"/>
        <w:bidi w:val="0"/>
        <w:spacing w:before="0" w:after="32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6</w:t>
      </w:r>
      <w:bookmarkEnd w:id="1510"/>
      <w:r>
        <w:rPr>
          <w:color w:val="000000"/>
          <w:spacing w:val="0"/>
          <w:w w:val="100"/>
          <w:position w:val="0"/>
        </w:rPr>
        <w:t>、其他</w:t>
      </w:r>
      <w:bookmarkEnd w:id="1508"/>
      <w:bookmarkEnd w:id="1509"/>
      <w:bookmarkEnd w:id="1511"/>
    </w:p>
    <w:p>
      <w:pPr>
        <w:pStyle w:val="Style21"/>
        <w:keepNext/>
        <w:keepLines/>
        <w:widowControl w:val="0"/>
        <w:shd w:val="clear" w:color="auto" w:fill="auto"/>
        <w:bidi w:val="0"/>
        <w:spacing w:before="0" w:after="32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sz w:val="24"/>
          <w:szCs w:val="24"/>
        </w:rPr>
        <w:t>九</w:t>
      </w:r>
      <w:bookmarkEnd w:id="1514"/>
      <w:r>
        <w:rPr>
          <w:color w:val="000000"/>
          <w:spacing w:val="0"/>
          <w:w w:val="100"/>
          <w:position w:val="0"/>
          <w:sz w:val="24"/>
          <w:szCs w:val="24"/>
        </w:rPr>
        <w:t>、在其他主体中的权益</w:t>
      </w:r>
      <w:bookmarkEnd w:id="1512"/>
      <w:bookmarkEnd w:id="1513"/>
      <w:bookmarkEnd w:id="1515"/>
    </w:p>
    <w:p>
      <w:pPr>
        <w:pStyle w:val="Style26"/>
        <w:keepNext/>
        <w:keepLines/>
        <w:widowControl w:val="0"/>
        <w:shd w:val="clear" w:color="auto" w:fill="auto"/>
        <w:bidi w:val="0"/>
        <w:spacing w:before="0" w:after="32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1</w:t>
      </w:r>
      <w:bookmarkEnd w:id="1518"/>
      <w:r>
        <w:rPr>
          <w:color w:val="000000"/>
          <w:spacing w:val="0"/>
          <w:w w:val="100"/>
          <w:position w:val="0"/>
        </w:rPr>
        <w:t>、在子公司中的权益</w:t>
      </w:r>
      <w:bookmarkEnd w:id="1516"/>
      <w:bookmarkEnd w:id="1517"/>
      <w:bookmarkEnd w:id="1519"/>
    </w:p>
    <w:p>
      <w:pPr>
        <w:pStyle w:val="Style26"/>
        <w:keepNext/>
        <w:keepLines/>
        <w:widowControl w:val="0"/>
        <w:shd w:val="clear" w:color="auto" w:fill="auto"/>
        <w:bidi w:val="0"/>
        <w:spacing w:before="0" w:after="320" w:line="240" w:lineRule="auto"/>
        <w:ind w:left="0" w:right="0" w:firstLine="0"/>
        <w:jc w:val="left"/>
      </w:pPr>
      <w:bookmarkStart w:id="1516" w:name="bookmark1516"/>
      <w:bookmarkStart w:id="1517" w:name="bookmark1517"/>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6"/>
      <w:bookmarkEnd w:id="1517"/>
      <w:bookmarkEnd w:id="1520"/>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夏尔软件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汉得新加坡</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随身科技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汉得融晶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汉得日本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日本国东京都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日本国东京都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汉得俄亥俄州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美国俄亥俄州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美国俄亥俄州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汉得欧俊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汉得微扬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甄汇信息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扬州达美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汉得加利福尼亚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美国加利福尼亚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美国加利福尼亚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：本年收购汉得融晶</w:t>
      </w:r>
      <w:r>
        <w:rPr>
          <w:rFonts w:ascii="Times New Roman" w:eastAsia="Times New Roman" w:hAnsi="Times New Roman" w:cs="Times New Roman"/>
          <w:color w:val="000000"/>
          <w:spacing w:val="0"/>
          <w:w w:val="100"/>
          <w:position w:val="0"/>
        </w:rPr>
        <w:t>49%</w:t>
      </w:r>
      <w:r>
        <w:rPr>
          <w:color w:val="000000"/>
          <w:spacing w:val="0"/>
          <w:w w:val="100"/>
          <w:position w:val="0"/>
        </w:rPr>
        <w:t>少数股东权益。</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月末甄汇信息少数股东增资导致本公司对该公司持股比例自</w:t>
      </w:r>
      <w:r>
        <w:rPr>
          <w:rFonts w:ascii="Times New Roman" w:eastAsia="Times New Roman" w:hAnsi="Times New Roman" w:cs="Times New Roman"/>
          <w:color w:val="000000"/>
          <w:spacing w:val="0"/>
          <w:w w:val="100"/>
          <w:position w:val="0"/>
        </w:rPr>
        <w:t>72%</w:t>
      </w:r>
      <w:r>
        <w:rPr>
          <w:color w:val="000000"/>
          <w:spacing w:val="0"/>
          <w:w w:val="100"/>
          <w:position w:val="0"/>
        </w:rPr>
        <w:t>降至</w:t>
      </w:r>
      <w:r>
        <w:rPr>
          <w:rFonts w:ascii="Times New Roman" w:eastAsia="Times New Roman" w:hAnsi="Times New Roman" w:cs="Times New Roman"/>
          <w:color w:val="000000"/>
          <w:spacing w:val="0"/>
          <w:w w:val="100"/>
          <w:position w:val="0"/>
        </w:rPr>
        <w:t>50.4%</w:t>
      </w:r>
      <w:r>
        <w:rPr>
          <w:color w:val="000000"/>
          <w:spacing w:val="0"/>
          <w:w w:val="100"/>
          <w:position w:val="0"/>
        </w:rPr>
        <w:t>，未丧失控制权。截止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日，甄汇信息已完成股权变更工商登记，取得新的营业执照，并收到全部投资款。</w:t>
      </w:r>
    </w:p>
    <w:p>
      <w:pPr>
        <w:pStyle w:val="Style26"/>
        <w:keepNext/>
        <w:keepLines/>
        <w:widowControl w:val="0"/>
        <w:shd w:val="clear" w:color="auto" w:fill="auto"/>
        <w:bidi w:val="0"/>
        <w:spacing w:before="0" w:after="32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21"/>
      <w:bookmarkEnd w:id="1522"/>
      <w:bookmarkEnd w:id="1523"/>
    </w:p>
    <w:p>
      <w:pPr>
        <w:pStyle w:val="Style23"/>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37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本期归属于少数股东的</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-6,165,876.59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-1,265,166.85</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重要的非全资子公司中不存在子公司少数股东的持股比例不同于表决权比例的情况。</w:t>
      </w:r>
    </w:p>
    <w:p>
      <w:pPr>
        <w:pStyle w:val="Style26"/>
        <w:keepNext/>
        <w:keepLines/>
        <w:widowControl w:val="0"/>
        <w:shd w:val="clear" w:color="auto" w:fill="auto"/>
        <w:bidi w:val="0"/>
        <w:spacing w:before="0" w:line="240" w:lineRule="auto"/>
        <w:ind w:left="0" w:right="0" w:firstLine="14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24"/>
      <w:bookmarkEnd w:id="1525"/>
      <w:bookmarkEnd w:id="15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22,529,6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18,578,4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9,747,54</w:t>
            </w:r>
          </w:p>
        </w:tc>
      </w:tr>
      <w:tr>
        <w:trPr>
          <w:trHeight w:val="355"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85.54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120,435.85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-12,583,421.6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-953,142.22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-3,365,286.25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6,022,654.47</w:t>
            </w:r>
          </w:p>
        </w:tc>
      </w:tr>
    </w:tbl>
    <w:p>
      <w:pPr>
        <w:widowControl w:val="0"/>
        <w:spacing w:after="279" w:line="1" w:lineRule="exact"/>
      </w:pPr>
    </w:p>
    <w:p>
      <w:pPr>
        <w:pStyle w:val="Style26"/>
        <w:keepNext/>
        <w:keepLines/>
        <w:widowControl w:val="0"/>
        <w:shd w:val="clear" w:color="auto" w:fill="auto"/>
        <w:tabs>
          <w:tab w:pos="493" w:val="left"/>
        </w:tabs>
        <w:bidi w:val="0"/>
        <w:spacing w:before="0" w:after="2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28"/>
      <w:bookmarkEnd w:id="1529"/>
      <w:bookmarkEnd w:id="1531"/>
    </w:p>
    <w:p>
      <w:pPr>
        <w:pStyle w:val="Style23"/>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2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32"/>
      <w:bookmarkEnd w:id="1533"/>
      <w:bookmarkEnd w:id="1535"/>
    </w:p>
    <w:p>
      <w:pPr>
        <w:pStyle w:val="Style23"/>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color w:val="000000"/>
          <w:spacing w:val="0"/>
          <w:w w:val="100"/>
          <w:position w:val="0"/>
        </w:rPr>
        <w:t>、在子公司的所有者权益份额发生变化且仍控制子公司的交易</w:t>
      </w:r>
      <w:bookmarkEnd w:id="1536"/>
      <w:bookmarkEnd w:id="1537"/>
      <w:bookmarkEnd w:id="1539"/>
    </w:p>
    <w:p>
      <w:pPr>
        <w:pStyle w:val="Style26"/>
        <w:keepNext/>
        <w:keepLines/>
        <w:widowControl w:val="0"/>
        <w:shd w:val="clear" w:color="auto" w:fill="auto"/>
        <w:tabs>
          <w:tab w:pos="493" w:val="left"/>
        </w:tabs>
        <w:bidi w:val="0"/>
        <w:spacing w:before="0" w:after="280" w:line="240" w:lineRule="auto"/>
        <w:ind w:left="0" w:right="0" w:firstLine="0"/>
        <w:jc w:val="left"/>
      </w:pPr>
      <w:bookmarkStart w:id="1536" w:name="bookmark1536"/>
      <w:bookmarkStart w:id="1537" w:name="bookmark1537"/>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36"/>
      <w:bookmarkEnd w:id="1537"/>
      <w:bookmarkEnd w:id="1541"/>
    </w:p>
    <w:p>
      <w:pPr>
        <w:pStyle w:val="Style23"/>
        <w:keepNext w:val="0"/>
        <w:keepLines w:val="0"/>
        <w:widowControl w:val="0"/>
        <w:shd w:val="clear" w:color="auto" w:fill="auto"/>
        <w:bidi w:val="0"/>
        <w:spacing w:before="0" w:after="360" w:line="319"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月，公司使用超募资金</w:t>
      </w:r>
      <w:r>
        <w:rPr>
          <w:rFonts w:ascii="Times New Roman" w:eastAsia="Times New Roman" w:hAnsi="Times New Roman" w:cs="Times New Roman"/>
          <w:color w:val="000000"/>
          <w:spacing w:val="0"/>
          <w:w w:val="100"/>
          <w:position w:val="0"/>
        </w:rPr>
        <w:t>5880</w:t>
      </w:r>
      <w:r>
        <w:rPr>
          <w:color w:val="000000"/>
          <w:spacing w:val="0"/>
          <w:w w:val="100"/>
          <w:position w:val="0"/>
        </w:rPr>
        <w:t>万元向孟辉等</w:t>
      </w:r>
      <w:r>
        <w:rPr>
          <w:rFonts w:ascii="Times New Roman" w:eastAsia="Times New Roman" w:hAnsi="Times New Roman" w:cs="Times New Roman"/>
          <w:color w:val="000000"/>
          <w:spacing w:val="0"/>
          <w:w w:val="100"/>
          <w:position w:val="0"/>
        </w:rPr>
        <w:t>4</w:t>
      </w:r>
      <w:r>
        <w:rPr>
          <w:color w:val="000000"/>
          <w:spacing w:val="0"/>
          <w:w w:val="100"/>
          <w:position w:val="0"/>
        </w:rPr>
        <w:t>名自然人收购其持有的上海汉得融晶信息科技有限公司（以下简称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汉得 融晶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股权，当月公司已付清股权转让价款</w:t>
      </w:r>
      <w:r>
        <w:rPr>
          <w:rFonts w:ascii="Times New Roman" w:eastAsia="Times New Roman" w:hAnsi="Times New Roman" w:cs="Times New Roman"/>
          <w:color w:val="000000"/>
          <w:spacing w:val="0"/>
          <w:w w:val="100"/>
          <w:position w:val="0"/>
        </w:rPr>
        <w:t>5,880</w:t>
      </w:r>
      <w:r>
        <w:rPr>
          <w:color w:val="000000"/>
          <w:spacing w:val="0"/>
          <w:w w:val="100"/>
          <w:position w:val="0"/>
        </w:rPr>
        <w:t>万元，且汉得融晶工商变更登记手续办理完毕，并取得了上海市青浦 区市场监督管理局颁发的更新后的《营业执照》。</w:t>
      </w:r>
    </w:p>
    <w:p>
      <w:pPr>
        <w:pStyle w:val="Style26"/>
        <w:keepNext/>
        <w:keepLines/>
        <w:widowControl w:val="0"/>
        <w:shd w:val="clear" w:color="auto" w:fill="auto"/>
        <w:tabs>
          <w:tab w:pos="493" w:val="left"/>
        </w:tabs>
        <w:bidi w:val="0"/>
        <w:spacing w:before="0" w:line="240" w:lineRule="auto"/>
        <w:ind w:left="0" w:right="0" w:firstLine="0"/>
        <w:jc w:val="both"/>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42"/>
      <w:bookmarkEnd w:id="1543"/>
      <w:bookmarkEnd w:id="1545"/>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58,800,000.00</w:t>
            </w:r>
          </w:p>
        </w:tc>
      </w:tr>
    </w:tbl>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14,549,230.43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44,250,769.57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44,250,769.57</w:t>
            </w:r>
          </w:p>
        </w:tc>
      </w:tr>
    </w:tbl>
    <w:p>
      <w:pPr>
        <w:widowControl w:val="0"/>
        <w:spacing w:after="299" w:line="1" w:lineRule="exact"/>
      </w:pPr>
    </w:p>
    <w:p>
      <w:pPr>
        <w:pStyle w:val="Style47"/>
        <w:keepNext w:val="0"/>
        <w:keepLines w:val="0"/>
        <w:widowControl w:val="0"/>
        <w:shd w:val="clear" w:color="auto" w:fill="auto"/>
        <w:tabs>
          <w:tab w:pos="395" w:val="left"/>
        </w:tabs>
        <w:bidi w:val="0"/>
        <w:spacing w:before="0" w:line="240" w:lineRule="auto"/>
        <w:ind w:left="0" w:right="0" w:firstLine="0"/>
        <w:jc w:val="left"/>
      </w:pPr>
      <w:bookmarkStart w:id="1546" w:name="bookmark1546"/>
      <w:r>
        <w:rPr>
          <w:rFonts w:ascii="Times New Roman" w:eastAsia="Times New Roman" w:hAnsi="Times New Roman" w:cs="Times New Roman"/>
          <w:color w:val="000000"/>
          <w:spacing w:val="0"/>
          <w:w w:val="100"/>
          <w:position w:val="0"/>
        </w:rPr>
        <w:t>3</w:t>
      </w:r>
      <w:bookmarkEnd w:id="1546"/>
      <w:r>
        <w:rPr>
          <w:color w:val="000000"/>
          <w:spacing w:val="0"/>
          <w:w w:val="100"/>
          <w:position w:val="0"/>
        </w:rPr>
        <w:t>、</w:t>
        <w:tab/>
        <w:t>在合营安排或联营企业中的权益</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47" w:name="bookmark1547"/>
      <w:bookmarkEnd w:id="1547"/>
      <w:r>
        <w:rPr>
          <w:color w:val="000000"/>
          <w:spacing w:val="0"/>
          <w:w w:val="100"/>
          <w:position w:val="0"/>
        </w:rPr>
        <w:t>重要的合营企业或联营企业</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48" w:name="bookmark1548"/>
      <w:bookmarkEnd w:id="1548"/>
      <w:r>
        <w:rPr>
          <w:color w:val="000000"/>
          <w:spacing w:val="0"/>
          <w:w w:val="100"/>
          <w:position w:val="0"/>
        </w:rPr>
        <w:t>重要合营企业的主要财务信息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49" w:name="bookmark1549"/>
      <w:bookmarkEnd w:id="1549"/>
      <w:r>
        <w:rPr>
          <w:color w:val="000000"/>
          <w:spacing w:val="0"/>
          <w:w w:val="100"/>
          <w:position w:val="0"/>
        </w:rPr>
        <w:t>重要联营企业的主要财务信息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50" w:name="bookmark1550"/>
      <w:bookmarkEnd w:id="1550"/>
      <w:r>
        <w:rPr>
          <w:color w:val="000000"/>
          <w:spacing w:val="0"/>
          <w:w w:val="100"/>
          <w:position w:val="0"/>
        </w:rPr>
        <w:t>不重要的合营企业和联营企业的汇总财务信息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51" w:name="bookmark1551"/>
      <w:bookmarkEnd w:id="1551"/>
      <w:r>
        <w:rPr>
          <w:color w:val="000000"/>
          <w:spacing w:val="0"/>
          <w:w w:val="100"/>
          <w:position w:val="0"/>
        </w:rPr>
        <w:t>合营企业或联营企业向本公司转移资金的能力存在重大限制的说明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52" w:name="bookmark1552"/>
      <w:bookmarkEnd w:id="1552"/>
      <w:r>
        <w:rPr>
          <w:color w:val="000000"/>
          <w:spacing w:val="0"/>
          <w:w w:val="100"/>
          <w:position w:val="0"/>
        </w:rPr>
        <w:t>合营企业或联营企业发生的超额亏损</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53" w:name="bookmark1553"/>
      <w:bookmarkEnd w:id="1553"/>
      <w:r>
        <w:rPr>
          <w:color w:val="000000"/>
          <w:spacing w:val="0"/>
          <w:w w:val="100"/>
          <w:position w:val="0"/>
        </w:rPr>
        <w:t>与合营企业投资相关的未确认承诺</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numPr>
          <w:ilvl w:val="0"/>
          <w:numId w:val="65"/>
        </w:numPr>
        <w:shd w:val="clear" w:color="auto" w:fill="auto"/>
        <w:tabs>
          <w:tab w:pos="493" w:val="left"/>
        </w:tabs>
        <w:bidi w:val="0"/>
        <w:spacing w:before="0" w:line="240" w:lineRule="auto"/>
        <w:ind w:left="0" w:right="0" w:firstLine="0"/>
        <w:jc w:val="left"/>
      </w:pPr>
      <w:bookmarkStart w:id="1554" w:name="bookmark1554"/>
      <w:bookmarkEnd w:id="1554"/>
      <w:r>
        <w:rPr>
          <w:color w:val="000000"/>
          <w:spacing w:val="0"/>
          <w:w w:val="100"/>
          <w:position w:val="0"/>
        </w:rPr>
        <w:t>与合营企业或联营企业投资相关的或有负债</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95" w:val="left"/>
        </w:tabs>
        <w:bidi w:val="0"/>
        <w:spacing w:before="0" w:line="240" w:lineRule="auto"/>
        <w:ind w:left="0" w:right="0" w:firstLine="0"/>
        <w:jc w:val="left"/>
      </w:pPr>
      <w:bookmarkStart w:id="1555" w:name="bookmark1555"/>
      <w:r>
        <w:rPr>
          <w:rFonts w:ascii="Times New Roman" w:eastAsia="Times New Roman" w:hAnsi="Times New Roman" w:cs="Times New Roman"/>
          <w:color w:val="000000"/>
          <w:spacing w:val="0"/>
          <w:w w:val="100"/>
          <w:position w:val="0"/>
        </w:rPr>
        <w:t>4</w:t>
      </w:r>
      <w:bookmarkEnd w:id="1555"/>
      <w:r>
        <w:rPr>
          <w:color w:val="000000"/>
          <w:spacing w:val="0"/>
          <w:w w:val="100"/>
          <w:position w:val="0"/>
        </w:rPr>
        <w:t>、</w:t>
        <w:tab/>
        <w:t>重要的共同经营</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26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color w:val="000000"/>
          <w:spacing w:val="0"/>
          <w:w w:val="100"/>
          <w:position w:val="0"/>
        </w:rPr>
        <w:t>、</w:t>
        <w:tab/>
        <w:t>在未纳入合并财务报表范围的结构化主体中的权益</w:t>
      </w:r>
      <w:bookmarkEnd w:id="1556"/>
      <w:bookmarkEnd w:id="1557"/>
      <w:bookmarkEnd w:id="1559"/>
    </w:p>
    <w:p>
      <w:pPr>
        <w:pStyle w:val="Style2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color w:val="000000"/>
          <w:spacing w:val="0"/>
          <w:w w:val="100"/>
          <w:position w:val="0"/>
        </w:rPr>
        <w:t>、</w:t>
        <w:tab/>
        <w:t>其他</w:t>
      </w:r>
      <w:bookmarkEnd w:id="1560"/>
      <w:bookmarkEnd w:id="1561"/>
      <w:bookmarkEnd w:id="1563"/>
    </w:p>
    <w:p>
      <w:pPr>
        <w:pStyle w:val="Style21"/>
        <w:keepNext/>
        <w:keepLines/>
        <w:widowControl w:val="0"/>
        <w:shd w:val="clear" w:color="auto" w:fill="auto"/>
        <w:bidi w:val="0"/>
        <w:spacing w:before="0" w:after="260" w:line="240" w:lineRule="auto"/>
        <w:ind w:left="0" w:right="0" w:firstLine="0"/>
        <w:jc w:val="left"/>
      </w:pPr>
      <w:bookmarkStart w:id="1564" w:name="bookmark1564"/>
      <w:bookmarkStart w:id="1565" w:name="bookmark1565"/>
      <w:bookmarkStart w:id="1566" w:name="bookmark1566"/>
      <w:r>
        <w:rPr>
          <w:color w:val="000000"/>
          <w:spacing w:val="0"/>
          <w:w w:val="100"/>
          <w:position w:val="0"/>
          <w:sz w:val="24"/>
          <w:szCs w:val="24"/>
        </w:rPr>
        <w:t>十、与金融工具相关的风险</w:t>
      </w:r>
      <w:bookmarkEnd w:id="1564"/>
      <w:bookmarkEnd w:id="1565"/>
      <w:bookmarkEnd w:id="1566"/>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w:t>
      </w:r>
    </w:p>
    <w:p>
      <w:pPr>
        <w:pStyle w:val="Style23"/>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23"/>
        <w:keepNext w:val="0"/>
        <w:keepLines w:val="0"/>
        <w:widowControl w:val="0"/>
        <w:numPr>
          <w:ilvl w:val="0"/>
          <w:numId w:val="67"/>
        </w:numPr>
        <w:shd w:val="clear" w:color="auto" w:fill="auto"/>
        <w:tabs>
          <w:tab w:pos="306" w:val="left"/>
        </w:tabs>
        <w:bidi w:val="0"/>
        <w:spacing w:before="0" w:after="0" w:line="240" w:lineRule="auto"/>
        <w:ind w:left="0" w:right="0" w:firstLine="0"/>
        <w:jc w:val="left"/>
      </w:pPr>
      <w:bookmarkStart w:id="1567" w:name="bookmark1567"/>
      <w:bookmarkEnd w:id="1567"/>
      <w:r>
        <w:rPr>
          <w:b/>
          <w:bCs/>
          <w:color w:val="000000"/>
          <w:spacing w:val="0"/>
          <w:w w:val="100"/>
          <w:position w:val="0"/>
        </w:rPr>
        <w:t>信用风险</w:t>
      </w:r>
    </w:p>
    <w:p>
      <w:pPr>
        <w:pStyle w:val="Style23"/>
        <w:keepNext w:val="0"/>
        <w:keepLines w:val="0"/>
        <w:widowControl w:val="0"/>
        <w:shd w:val="clear" w:color="auto" w:fill="auto"/>
        <w:bidi w:val="0"/>
        <w:spacing w:before="0" w:after="60" w:line="312" w:lineRule="exact"/>
        <w:ind w:left="0" w:right="0" w:firstLine="0"/>
        <w:jc w:val="left"/>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签订新合同之前，本公司会对新客户的信用风险进行评估，包括外部信用评级和在某些情况下的银行资信证明（当此信息可 获取时）。</w:t>
      </w:r>
    </w:p>
    <w:p>
      <w:pPr>
        <w:pStyle w:val="Style23"/>
        <w:keepNext w:val="0"/>
        <w:keepLines w:val="0"/>
        <w:widowControl w:val="0"/>
        <w:numPr>
          <w:ilvl w:val="0"/>
          <w:numId w:val="67"/>
        </w:numPr>
        <w:shd w:val="clear" w:color="auto" w:fill="auto"/>
        <w:tabs>
          <w:tab w:pos="320" w:val="left"/>
        </w:tabs>
        <w:bidi w:val="0"/>
        <w:spacing w:before="0" w:after="0" w:line="240" w:lineRule="auto"/>
        <w:ind w:left="0" w:right="0" w:firstLine="0"/>
        <w:jc w:val="left"/>
      </w:pPr>
      <w:bookmarkStart w:id="1568" w:name="bookmark1568"/>
      <w:bookmarkEnd w:id="1568"/>
      <w:r>
        <w:rPr>
          <w:b/>
          <w:bCs/>
          <w:color w:val="000000"/>
          <w:spacing w:val="0"/>
          <w:w w:val="100"/>
          <w:position w:val="0"/>
        </w:rPr>
        <w:t>市场风险</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金融工具的市场风险，是指金融工具的公允价值或未来现金流量因市场价格变动而发生波动的风险，包括汇率风险、利率风 险和其他价格风险。</w:t>
      </w:r>
    </w:p>
    <w:p>
      <w:pPr>
        <w:pStyle w:val="Style23"/>
        <w:keepNext w:val="0"/>
        <w:keepLines w:val="0"/>
        <w:widowControl w:val="0"/>
        <w:shd w:val="clear" w:color="auto" w:fill="auto"/>
        <w:tabs>
          <w:tab w:pos="440" w:val="left"/>
        </w:tabs>
        <w:bidi w:val="0"/>
        <w:spacing w:before="0" w:after="0" w:line="312" w:lineRule="exact"/>
        <w:ind w:left="0" w:right="0" w:firstLine="0"/>
        <w:jc w:val="left"/>
      </w:pPr>
      <w:bookmarkStart w:id="1569" w:name="bookmark1569"/>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利率风险，是指金融工具的公允价值或未来现金流量因市场利率变动而发生波动的风险。</w:t>
      </w:r>
    </w:p>
    <w:p>
      <w:pPr>
        <w:pStyle w:val="Style23"/>
        <w:keepNext w:val="0"/>
        <w:keepLines w:val="0"/>
        <w:widowControl w:val="0"/>
        <w:shd w:val="clear" w:color="auto" w:fill="auto"/>
        <w:tabs>
          <w:tab w:pos="440" w:val="left"/>
        </w:tabs>
        <w:bidi w:val="0"/>
        <w:spacing w:before="0" w:after="0" w:line="312" w:lineRule="exact"/>
        <w:ind w:left="0" w:right="0" w:firstLine="0"/>
        <w:jc w:val="left"/>
      </w:pPr>
      <w:bookmarkStart w:id="1570" w:name="bookmark1570"/>
      <w:r>
        <w:rPr>
          <w:color w:val="000000"/>
          <w:spacing w:val="0"/>
          <w:w w:val="100"/>
          <w:position w:val="0"/>
        </w:rPr>
        <w:t>（</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汇率风险，是指金融工具的公允价值或未来现金流量因外汇汇率变动而发生波动的风险。本公司尽可能将外币收入与外币支 出相匹配以降低汇率风险。此外，公司还可能签署远期外汇合约或货币互换合约以达到规避汇率风险的目的。</w:t>
      </w:r>
    </w:p>
    <w:p>
      <w:pPr>
        <w:pStyle w:val="Style23"/>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本公司面临的汇率风险主要来源于以日元计价的金融资产和金融负债，外币金融资产和外币金融负债折算成人民币的金额列 示如下：</w:t>
      </w:r>
    </w:p>
    <w:tbl>
      <w:tblPr>
        <w:tblOverlap w:val="never"/>
        <w:jc w:val="center"/>
        <w:tblLayout w:type="fixed"/>
      </w:tblPr>
      <w:tblGrid>
        <w:gridCol w:w="1507"/>
        <w:gridCol w:w="2040"/>
        <w:gridCol w:w="2040"/>
        <w:gridCol w:w="2146"/>
        <w:gridCol w:w="1944"/>
      </w:tblGrid>
      <w:tr>
        <w:trPr>
          <w:trHeight w:val="355"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人民币金额</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1,174,645,770.00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69,998,316.09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1,497,228,899.00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80,663,206.93</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1,578,201,240.00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94,046,590.16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271,328,796.00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14,617,838.89</w:t>
            </w: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8,285,512.00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493,741.95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8,652,512.00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466,154.08</w:t>
            </w:r>
          </w:p>
        </w:tc>
      </w:tr>
      <w:tr>
        <w:trPr>
          <w:trHeight w:val="3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637,355,387.00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37,980,644.87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6,173,880.00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332,617.79</w:t>
            </w:r>
          </w:p>
        </w:tc>
      </w:tr>
      <w:tr>
        <w:trPr>
          <w:trHeight w:val="35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31,591,128.00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1,882,546.91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4,730,590.00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254,860.54</w:t>
            </w:r>
          </w:p>
        </w:tc>
      </w:tr>
    </w:tbl>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流动性风险</w:t>
      </w:r>
    </w:p>
    <w:p>
      <w:pPr>
        <w:pStyle w:val="Style23"/>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个月现金流量的滚动预测，确保公司在所有合理预测的情况下拥有充足的资金偿还债务。</w:t>
      </w:r>
    </w:p>
    <w:p>
      <w:pPr>
        <w:pStyle w:val="Style21"/>
        <w:keepNext/>
        <w:keepLines/>
        <w:widowControl w:val="0"/>
        <w:shd w:val="clear" w:color="auto" w:fill="auto"/>
        <w:bidi w:val="0"/>
        <w:spacing w:before="0" w:after="360" w:line="240" w:lineRule="auto"/>
        <w:ind w:left="0" w:right="0" w:firstLine="0"/>
        <w:jc w:val="both"/>
      </w:pPr>
      <w:bookmarkStart w:id="1571" w:name="bookmark1571"/>
      <w:bookmarkStart w:id="1572" w:name="bookmark1572"/>
      <w:bookmarkStart w:id="1573" w:name="bookmark1573"/>
      <w:r>
        <w:rPr>
          <w:color w:val="000000"/>
          <w:spacing w:val="0"/>
          <w:w w:val="100"/>
          <w:position w:val="0"/>
          <w:sz w:val="24"/>
          <w:szCs w:val="24"/>
        </w:rPr>
        <w:t>十一、公允价值的披露</w:t>
      </w:r>
      <w:bookmarkEnd w:id="1571"/>
      <w:bookmarkEnd w:id="1572"/>
      <w:bookmarkEnd w:id="1573"/>
    </w:p>
    <w:p>
      <w:pPr>
        <w:pStyle w:val="Style26"/>
        <w:keepNext/>
        <w:keepLines/>
        <w:widowControl w:val="0"/>
        <w:shd w:val="clear" w:color="auto" w:fill="auto"/>
        <w:bidi w:val="0"/>
        <w:spacing w:before="0" w:after="260" w:line="240" w:lineRule="auto"/>
        <w:ind w:left="0" w:right="0" w:firstLine="0"/>
        <w:jc w:val="both"/>
      </w:pPr>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74"/>
      <w:bookmarkEnd w:id="1575"/>
      <w:bookmarkEnd w:id="1576"/>
    </w:p>
    <w:p>
      <w:pPr>
        <w:pStyle w:val="Style23"/>
        <w:keepNext w:val="0"/>
        <w:keepLines w:val="0"/>
        <w:widowControl w:val="0"/>
        <w:shd w:val="clear" w:color="auto" w:fill="auto"/>
        <w:bidi w:val="0"/>
        <w:spacing w:before="0" w:after="260" w:line="305" w:lineRule="exact"/>
        <w:ind w:left="0" w:right="0" w:firstLine="0"/>
        <w:jc w:val="both"/>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77" w:name="bookmark1577"/>
      <w:r>
        <w:rPr>
          <w:rFonts w:ascii="Times New Roman" w:eastAsia="Times New Roman" w:hAnsi="Times New Roman" w:cs="Times New Roman"/>
          <w:color w:val="000000"/>
          <w:spacing w:val="0"/>
          <w:w w:val="100"/>
          <w:position w:val="0"/>
        </w:rPr>
        <w:t>2</w:t>
      </w:r>
      <w:bookmarkEnd w:id="1577"/>
      <w:r>
        <w:rPr>
          <w:color w:val="000000"/>
          <w:spacing w:val="0"/>
          <w:w w:val="100"/>
          <w:position w:val="0"/>
        </w:rPr>
        <w:t>、</w:t>
        <w:tab/>
        <w:t>持续和非持续第一层次公允价值计量项目市价的确定依据</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78" w:name="bookmark1578"/>
      <w:r>
        <w:rPr>
          <w:rFonts w:ascii="Times New Roman" w:eastAsia="Times New Roman" w:hAnsi="Times New Roman" w:cs="Times New Roman"/>
          <w:color w:val="000000"/>
          <w:spacing w:val="0"/>
          <w:w w:val="100"/>
          <w:position w:val="0"/>
        </w:rPr>
        <w:t>3</w:t>
      </w:r>
      <w:bookmarkEnd w:id="1578"/>
      <w:r>
        <w:rPr>
          <w:color w:val="000000"/>
          <w:spacing w:val="0"/>
          <w:w w:val="100"/>
          <w:position w:val="0"/>
        </w:rPr>
        <w:t>、</w:t>
        <w:tab/>
        <w:t>持续和非持续第二层次公允价值计量项目，采用的估值技术和重要参数的定性及定量信息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79" w:name="bookmark1579"/>
      <w:r>
        <w:rPr>
          <w:rFonts w:ascii="Times New Roman" w:eastAsia="Times New Roman" w:hAnsi="Times New Roman" w:cs="Times New Roman"/>
          <w:color w:val="000000"/>
          <w:spacing w:val="0"/>
          <w:w w:val="100"/>
          <w:position w:val="0"/>
        </w:rPr>
        <w:t>4</w:t>
      </w:r>
      <w:bookmarkEnd w:id="1579"/>
      <w:r>
        <w:rPr>
          <w:color w:val="000000"/>
          <w:spacing w:val="0"/>
          <w:w w:val="100"/>
          <w:position w:val="0"/>
        </w:rPr>
        <w:t>、</w:t>
        <w:tab/>
        <w:t>持续和非持续第三层次公允价值计量项目，采用的估值技术和重要参数的定性及定量信息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0" w:name="bookmark1580"/>
      <w:r>
        <w:rPr>
          <w:rFonts w:ascii="Times New Roman" w:eastAsia="Times New Roman" w:hAnsi="Times New Roman" w:cs="Times New Roman"/>
          <w:color w:val="000000"/>
          <w:spacing w:val="0"/>
          <w:w w:val="100"/>
          <w:position w:val="0"/>
        </w:rPr>
        <w:t>5</w:t>
      </w:r>
      <w:bookmarkEnd w:id="1580"/>
      <w:r>
        <w:rPr>
          <w:color w:val="000000"/>
          <w:spacing w:val="0"/>
          <w:w w:val="100"/>
          <w:position w:val="0"/>
        </w:rPr>
        <w:t>、</w:t>
        <w:tab/>
        <w:t>持续的第三层次公允价值计量项目，期初与期末账面价值间的调节信息及不可观察参数敏感性分析</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1" w:name="bookmark1581"/>
      <w:r>
        <w:rPr>
          <w:rFonts w:ascii="Times New Roman" w:eastAsia="Times New Roman" w:hAnsi="Times New Roman" w:cs="Times New Roman"/>
          <w:color w:val="000000"/>
          <w:spacing w:val="0"/>
          <w:w w:val="100"/>
          <w:position w:val="0"/>
        </w:rPr>
        <w:t>6</w:t>
      </w:r>
      <w:bookmarkEnd w:id="1581"/>
      <w:r>
        <w:rPr>
          <w:color w:val="000000"/>
          <w:spacing w:val="0"/>
          <w:w w:val="100"/>
          <w:position w:val="0"/>
        </w:rPr>
        <w:t>、</w:t>
        <w:tab/>
        <w:t>持续的公允价值计量项目，本期内发生各层级之间转换的，转换的原因及确定转换时点的政策</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2" w:name="bookmark1582"/>
      <w:r>
        <w:rPr>
          <w:rFonts w:ascii="Times New Roman" w:eastAsia="Times New Roman" w:hAnsi="Times New Roman" w:cs="Times New Roman"/>
          <w:color w:val="000000"/>
          <w:spacing w:val="0"/>
          <w:w w:val="100"/>
          <w:position w:val="0"/>
        </w:rPr>
        <w:t>7</w:t>
      </w:r>
      <w:bookmarkEnd w:id="1582"/>
      <w:r>
        <w:rPr>
          <w:color w:val="000000"/>
          <w:spacing w:val="0"/>
          <w:w w:val="100"/>
          <w:position w:val="0"/>
        </w:rPr>
        <w:t>、</w:t>
        <w:tab/>
        <w:t>本期内发生的估值技术变更及变更原因</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3" w:name="bookmark1583"/>
      <w:r>
        <w:rPr>
          <w:rFonts w:ascii="Times New Roman" w:eastAsia="Times New Roman" w:hAnsi="Times New Roman" w:cs="Times New Roman"/>
          <w:color w:val="000000"/>
          <w:spacing w:val="0"/>
          <w:w w:val="100"/>
          <w:position w:val="0"/>
        </w:rPr>
        <w:t>8</w:t>
      </w:r>
      <w:bookmarkEnd w:id="1583"/>
      <w:r>
        <w:rPr>
          <w:color w:val="000000"/>
          <w:spacing w:val="0"/>
          <w:w w:val="100"/>
          <w:position w:val="0"/>
        </w:rPr>
        <w:t>、</w:t>
        <w:tab/>
        <w:t>不以公允价值计量的金融资产和金融负债的公允价值情况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4" w:name="bookmark1584"/>
      <w:r>
        <w:rPr>
          <w:rFonts w:ascii="Times New Roman" w:eastAsia="Times New Roman" w:hAnsi="Times New Roman" w:cs="Times New Roman"/>
          <w:color w:val="000000"/>
          <w:spacing w:val="0"/>
          <w:w w:val="100"/>
          <w:position w:val="0"/>
        </w:rPr>
        <w:t>9</w:t>
      </w:r>
      <w:bookmarkEnd w:id="1584"/>
      <w:r>
        <w:rPr>
          <w:color w:val="000000"/>
          <w:spacing w:val="0"/>
          <w:w w:val="100"/>
          <w:position w:val="0"/>
        </w:rPr>
        <w:t>、</w:t>
        <w:tab/>
        <w:t>其他</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L</w:t>
      </w:r>
      <w:r>
        <w:rPr>
          <w:b/>
          <w:bCs/>
          <w:color w:val="000000"/>
          <w:spacing w:val="0"/>
          <w:w w:val="100"/>
          <w:position w:val="0"/>
        </w:rPr>
        <w:t>以公允价值计量的资产和负债的期末公允价值</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年初持有的以公允价值计量且变动计入当期损益的金融资产本期已全部处置</w:t>
      </w:r>
    </w:p>
    <w:p>
      <w:pPr>
        <w:pStyle w:val="Style21"/>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r>
        <w:rPr>
          <w:color w:val="000000"/>
          <w:spacing w:val="0"/>
          <w:w w:val="100"/>
          <w:position w:val="0"/>
          <w:sz w:val="24"/>
          <w:szCs w:val="24"/>
        </w:rPr>
        <w:t>十二、关联方及关联交易</w:t>
      </w:r>
      <w:bookmarkEnd w:id="1585"/>
      <w:bookmarkEnd w:id="1586"/>
      <w:bookmarkEnd w:id="1587"/>
    </w:p>
    <w:p>
      <w:pPr>
        <w:pStyle w:val="Style47"/>
        <w:keepNext w:val="0"/>
        <w:keepLines w:val="0"/>
        <w:widowControl w:val="0"/>
        <w:shd w:val="clear" w:color="auto" w:fill="auto"/>
        <w:tabs>
          <w:tab w:pos="373" w:val="left"/>
        </w:tabs>
        <w:bidi w:val="0"/>
        <w:spacing w:before="0" w:line="240" w:lineRule="auto"/>
        <w:ind w:left="0" w:right="0" w:firstLine="0"/>
        <w:jc w:val="left"/>
      </w:pPr>
      <w:bookmarkStart w:id="1588" w:name="bookmark1588"/>
      <w:r>
        <w:rPr>
          <w:rFonts w:ascii="Times New Roman" w:eastAsia="Times New Roman" w:hAnsi="Times New Roman" w:cs="Times New Roman"/>
          <w:color w:val="000000"/>
          <w:spacing w:val="0"/>
          <w:w w:val="100"/>
          <w:position w:val="0"/>
        </w:rPr>
        <w:t>1</w:t>
      </w:r>
      <w:bookmarkEnd w:id="1588"/>
      <w:r>
        <w:rPr>
          <w:color w:val="000000"/>
          <w:spacing w:val="0"/>
          <w:w w:val="100"/>
          <w:position w:val="0"/>
        </w:rPr>
        <w:t>、</w:t>
        <w:tab/>
        <w:t>本企业的母公司情况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本企业的母公司情况的说明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日，本公司无母公司。</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本公司实际控制人是范建震和陈迪清先生。</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589" w:name="bookmark1589"/>
      <w:r>
        <w:rPr>
          <w:rFonts w:ascii="Times New Roman" w:eastAsia="Times New Roman" w:hAnsi="Times New Roman" w:cs="Times New Roman"/>
          <w:color w:val="000000"/>
          <w:spacing w:val="0"/>
          <w:w w:val="100"/>
          <w:position w:val="0"/>
        </w:rPr>
        <w:t>2</w:t>
      </w:r>
      <w:bookmarkEnd w:id="1589"/>
      <w:r>
        <w:rPr>
          <w:color w:val="000000"/>
          <w:spacing w:val="0"/>
          <w:w w:val="100"/>
          <w:position w:val="0"/>
        </w:rPr>
        <w:t>、</w:t>
        <w:tab/>
        <w:t>本企业的子公司情况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7"/>
        <w:keepNext w:val="0"/>
        <w:keepLines w:val="0"/>
        <w:widowControl w:val="0"/>
        <w:shd w:val="clear" w:color="auto" w:fill="auto"/>
        <w:tabs>
          <w:tab w:pos="387" w:val="left"/>
        </w:tabs>
        <w:bidi w:val="0"/>
        <w:spacing w:before="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rPr>
        <w:t>3</w:t>
      </w:r>
      <w:bookmarkEnd w:id="1590"/>
      <w:r>
        <w:rPr>
          <w:color w:val="000000"/>
          <w:spacing w:val="0"/>
          <w:w w:val="100"/>
          <w:position w:val="0"/>
        </w:rPr>
        <w:t>、</w:t>
        <w:tab/>
        <w:t>本企业合营和联营企业情况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7" w:val="left"/>
        </w:tabs>
        <w:bidi w:val="0"/>
        <w:spacing w:before="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rPr>
        <w:t>4</w:t>
      </w:r>
      <w:bookmarkEnd w:id="1591"/>
      <w:r>
        <w:rPr>
          <w:color w:val="000000"/>
          <w:spacing w:val="0"/>
          <w:w w:val="100"/>
          <w:position w:val="0"/>
        </w:rPr>
        <w:t>、</w:t>
        <w:tab/>
        <w:t>其他关联方情况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7" w:val="left"/>
        </w:tabs>
        <w:bidi w:val="0"/>
        <w:spacing w:before="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rPr>
        <w:t>5</w:t>
      </w:r>
      <w:bookmarkEnd w:id="1592"/>
      <w:r>
        <w:rPr>
          <w:color w:val="000000"/>
          <w:spacing w:val="0"/>
          <w:w w:val="100"/>
          <w:position w:val="0"/>
        </w:rPr>
        <w:t>、</w:t>
        <w:tab/>
        <w:t>关联交易情况</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3" w:name="bookmark1593"/>
      <w:r>
        <w:rPr>
          <w:color w:val="000000"/>
          <w:spacing w:val="0"/>
          <w:w w:val="100"/>
          <w:position w:val="0"/>
        </w:rPr>
        <w:t>（</w:t>
      </w:r>
      <w:bookmarkEnd w:id="1593"/>
      <w:r>
        <w:rPr>
          <w:rFonts w:ascii="Times New Roman" w:eastAsia="Times New Roman" w:hAnsi="Times New Roman" w:cs="Times New Roman"/>
          <w:color w:val="000000"/>
          <w:spacing w:val="0"/>
          <w:w w:val="100"/>
          <w:position w:val="0"/>
        </w:rPr>
        <w:t>1</w:t>
      </w:r>
      <w:r>
        <w:rPr>
          <w:color w:val="000000"/>
          <w:spacing w:val="0"/>
          <w:w w:val="100"/>
          <w:position w:val="0"/>
        </w:rPr>
        <w:t>）</w:t>
        <w:tab/>
        <w:t>购销商品、提供和接受劳务的关联交易</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4" w:name="bookmark1594"/>
      <w:r>
        <w:rPr>
          <w:color w:val="000000"/>
          <w:spacing w:val="0"/>
          <w:w w:val="100"/>
          <w:position w:val="0"/>
        </w:rPr>
        <w:t>（</w:t>
      </w:r>
      <w:bookmarkEnd w:id="159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5" w:name="bookmark1595"/>
      <w:r>
        <w:rPr>
          <w:color w:val="000000"/>
          <w:spacing w:val="0"/>
          <w:w w:val="100"/>
          <w:position w:val="0"/>
        </w:rPr>
        <w:t>（</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6" w:name="bookmark1596"/>
      <w:r>
        <w:rPr>
          <w:color w:val="000000"/>
          <w:spacing w:val="0"/>
          <w:w w:val="100"/>
          <w:position w:val="0"/>
        </w:rPr>
        <w:t>（</w:t>
      </w:r>
      <w:bookmarkEnd w:id="1596"/>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7" w:name="bookmark1597"/>
      <w:r>
        <w:rPr>
          <w:color w:val="000000"/>
          <w:spacing w:val="0"/>
          <w:w w:val="100"/>
          <w:position w:val="0"/>
        </w:rPr>
        <w:t>（</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8" w:name="bookmark1598"/>
      <w:r>
        <w:rPr>
          <w:color w:val="000000"/>
          <w:spacing w:val="0"/>
          <w:w w:val="100"/>
          <w:position w:val="0"/>
        </w:rPr>
        <w:t>（</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599" w:name="bookmark1599"/>
      <w:r>
        <w:rPr>
          <w:color w:val="000000"/>
          <w:spacing w:val="0"/>
          <w:w w:val="100"/>
          <w:position w:val="0"/>
        </w:rPr>
        <w:t>（</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p>
    <w:p>
      <w:pPr>
        <w:pStyle w:val="Style33"/>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301.14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263.60</w:t>
            </w:r>
          </w:p>
        </w:tc>
      </w:tr>
    </w:tbl>
    <w:p>
      <w:pPr>
        <w:widowControl w:val="0"/>
        <w:spacing w:after="359" w:line="1" w:lineRule="exact"/>
      </w:pPr>
    </w:p>
    <w:p>
      <w:pPr>
        <w:pStyle w:val="Style47"/>
        <w:keepNext w:val="0"/>
        <w:keepLines w:val="0"/>
        <w:widowControl w:val="0"/>
        <w:shd w:val="clear" w:color="auto" w:fill="auto"/>
        <w:bidi w:val="0"/>
        <w:spacing w:before="0" w:line="240" w:lineRule="auto"/>
        <w:ind w:left="0" w:right="0" w:firstLine="0"/>
        <w:jc w:val="left"/>
      </w:pPr>
      <w:bookmarkStart w:id="1600" w:name="bookmark1600"/>
      <w:r>
        <w:rPr>
          <w:color w:val="000000"/>
          <w:spacing w:val="0"/>
          <w:w w:val="100"/>
          <w:position w:val="0"/>
        </w:rPr>
        <w:t>（</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存在控制关系且已纳入本公司合并报表范围的子公司，其相互间交易及母子公司交易已作抵消。</w:t>
      </w:r>
    </w:p>
    <w:p>
      <w:pPr>
        <w:pStyle w:val="Style26"/>
        <w:keepNext/>
        <w:keepLines/>
        <w:widowControl w:val="0"/>
        <w:shd w:val="clear" w:color="auto" w:fill="auto"/>
        <w:tabs>
          <w:tab w:pos="382" w:val="left"/>
        </w:tabs>
        <w:bidi w:val="0"/>
        <w:spacing w:before="0" w:after="34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6</w:t>
      </w:r>
      <w:bookmarkEnd w:id="1603"/>
      <w:r>
        <w:rPr>
          <w:color w:val="000000"/>
          <w:spacing w:val="0"/>
          <w:w w:val="100"/>
          <w:position w:val="0"/>
        </w:rPr>
        <w:t>、</w:t>
        <w:tab/>
        <w:t>关联方应收应付款项</w:t>
      </w:r>
      <w:bookmarkEnd w:id="1601"/>
      <w:bookmarkEnd w:id="1602"/>
      <w:bookmarkEnd w:id="1604"/>
    </w:p>
    <w:p>
      <w:pPr>
        <w:pStyle w:val="Style26"/>
        <w:keepNext/>
        <w:keepLines/>
        <w:widowControl w:val="0"/>
        <w:shd w:val="clear" w:color="auto" w:fill="auto"/>
        <w:tabs>
          <w:tab w:pos="493" w:val="left"/>
        </w:tabs>
        <w:bidi w:val="0"/>
        <w:spacing w:before="0" w:after="340" w:line="240" w:lineRule="auto"/>
        <w:ind w:left="0" w:right="0" w:firstLine="0"/>
        <w:jc w:val="both"/>
      </w:pPr>
      <w:bookmarkStart w:id="1601" w:name="bookmark1601"/>
      <w:bookmarkStart w:id="1602" w:name="bookmark1602"/>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1</w:t>
      </w:r>
      <w:r>
        <w:rPr>
          <w:color w:val="000000"/>
          <w:spacing w:val="0"/>
          <w:w w:val="100"/>
          <w:position w:val="0"/>
        </w:rPr>
        <w:t>）</w:t>
        <w:tab/>
        <w:t>应收项目</w:t>
      </w:r>
      <w:bookmarkEnd w:id="1601"/>
      <w:bookmarkEnd w:id="1602"/>
      <w:bookmarkEnd w:id="1606"/>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6"/>
        <w:keepNext/>
        <w:keepLines/>
        <w:widowControl w:val="0"/>
        <w:shd w:val="clear" w:color="auto" w:fill="auto"/>
        <w:tabs>
          <w:tab w:pos="493" w:val="left"/>
        </w:tabs>
        <w:bidi w:val="0"/>
        <w:spacing w:before="0" w:after="340" w:line="240" w:lineRule="auto"/>
        <w:ind w:left="0" w:right="0" w:firstLine="0"/>
        <w:jc w:val="both"/>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w:t>
        <w:tab/>
        <w:t>应付项目</w:t>
      </w:r>
      <w:bookmarkEnd w:id="1607"/>
      <w:bookmarkEnd w:id="1608"/>
      <w:bookmarkEnd w:id="1610"/>
    </w:p>
    <w:p>
      <w:pPr>
        <w:pStyle w:val="Style26"/>
        <w:keepNext/>
        <w:keepLines/>
        <w:widowControl w:val="0"/>
        <w:shd w:val="clear" w:color="auto" w:fill="auto"/>
        <w:tabs>
          <w:tab w:pos="382" w:val="left"/>
        </w:tabs>
        <w:bidi w:val="0"/>
        <w:spacing w:before="0" w:after="340" w:line="240" w:lineRule="auto"/>
        <w:ind w:left="0" w:right="0" w:firstLine="0"/>
        <w:jc w:val="both"/>
      </w:pPr>
      <w:bookmarkStart w:id="1607" w:name="bookmark1607"/>
      <w:bookmarkStart w:id="1608" w:name="bookmark1608"/>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color w:val="000000"/>
          <w:spacing w:val="0"/>
          <w:w w:val="100"/>
          <w:position w:val="0"/>
        </w:rPr>
        <w:t>、</w:t>
        <w:tab/>
        <w:t>关联方承诺</w:t>
      </w:r>
      <w:bookmarkEnd w:id="1607"/>
      <w:bookmarkEnd w:id="1608"/>
      <w:bookmarkEnd w:id="1612"/>
    </w:p>
    <w:p>
      <w:pPr>
        <w:pStyle w:val="Style47"/>
        <w:keepNext w:val="0"/>
        <w:keepLines w:val="0"/>
        <w:widowControl w:val="0"/>
        <w:shd w:val="clear" w:color="auto" w:fill="auto"/>
        <w:bidi w:val="0"/>
        <w:spacing w:before="0" w:after="340" w:line="240" w:lineRule="auto"/>
        <w:ind w:left="0" w:right="0" w:firstLine="0"/>
        <w:jc w:val="both"/>
      </w:pPr>
      <w:r>
        <w:rPr>
          <w:b w:val="0"/>
          <w:bCs w:val="0"/>
          <w:color w:val="000000"/>
          <w:spacing w:val="0"/>
          <w:w w:val="100"/>
          <w:position w:val="0"/>
        </w:rPr>
        <w:t>无</w:t>
      </w:r>
    </w:p>
    <w:p>
      <w:pPr>
        <w:pStyle w:val="Style26"/>
        <w:keepNext/>
        <w:keepLines/>
        <w:widowControl w:val="0"/>
        <w:shd w:val="clear" w:color="auto" w:fill="auto"/>
        <w:tabs>
          <w:tab w:pos="382" w:val="left"/>
        </w:tabs>
        <w:bidi w:val="0"/>
        <w:spacing w:before="0" w:after="340" w:line="240" w:lineRule="auto"/>
        <w:ind w:left="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8</w:t>
      </w:r>
      <w:bookmarkEnd w:id="1615"/>
      <w:r>
        <w:rPr>
          <w:color w:val="000000"/>
          <w:spacing w:val="0"/>
          <w:w w:val="100"/>
          <w:position w:val="0"/>
        </w:rPr>
        <w:t>、</w:t>
        <w:tab/>
        <w:t>其他</w:t>
      </w:r>
      <w:bookmarkEnd w:id="1613"/>
      <w:bookmarkEnd w:id="1614"/>
      <w:bookmarkEnd w:id="1616"/>
    </w:p>
    <w:p>
      <w:pPr>
        <w:pStyle w:val="Style21"/>
        <w:keepNext/>
        <w:keepLines/>
        <w:widowControl w:val="0"/>
        <w:shd w:val="clear" w:color="auto" w:fill="auto"/>
        <w:bidi w:val="0"/>
        <w:spacing w:before="0" w:line="240" w:lineRule="auto"/>
        <w:ind w:left="0" w:right="0" w:firstLine="0"/>
        <w:jc w:val="both"/>
      </w:pPr>
      <w:bookmarkStart w:id="1617" w:name="bookmark1617"/>
      <w:bookmarkStart w:id="1618" w:name="bookmark1618"/>
      <w:bookmarkStart w:id="1619" w:name="bookmark1619"/>
      <w:r>
        <w:rPr>
          <w:color w:val="000000"/>
          <w:spacing w:val="0"/>
          <w:w w:val="100"/>
          <w:position w:val="0"/>
          <w:sz w:val="24"/>
          <w:szCs w:val="24"/>
        </w:rPr>
        <w:t>十三、股份支付</w:t>
      </w:r>
      <w:bookmarkEnd w:id="1617"/>
      <w:bookmarkEnd w:id="1618"/>
      <w:bookmarkEnd w:id="1619"/>
    </w:p>
    <w:p>
      <w:pPr>
        <w:pStyle w:val="Style26"/>
        <w:keepNext/>
        <w:keepLines/>
        <w:widowControl w:val="0"/>
        <w:shd w:val="clear" w:color="auto" w:fill="auto"/>
        <w:bidi w:val="0"/>
        <w:spacing w:before="0" w:after="340" w:line="240" w:lineRule="auto"/>
        <w:ind w:left="0" w:right="0" w:firstLine="0"/>
        <w:jc w:val="both"/>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20"/>
      <w:bookmarkEnd w:id="1621"/>
      <w:bookmarkEnd w:id="1622"/>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27,095,500.00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27,300,867.00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7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年度股权激励第三期解禁：限制性股票数量 </w:t>
            </w:r>
            <w:r>
              <w:rPr>
                <w:rFonts w:ascii="Times New Roman" w:eastAsia="Times New Roman" w:hAnsi="Times New Roman" w:cs="Times New Roman"/>
                <w:color w:val="000000"/>
                <w:spacing w:val="0"/>
                <w:w w:val="100"/>
                <w:position w:val="0"/>
              </w:rPr>
              <w:t xml:space="preserve">5,929,091.01 </w:t>
            </w:r>
            <w:r>
              <w:rPr>
                <w:color w:val="000000"/>
                <w:spacing w:val="0"/>
                <w:w w:val="100"/>
                <w:position w:val="0"/>
              </w:rPr>
              <w:t xml:space="preserve">股（转增前 </w:t>
            </w:r>
            <w:r>
              <w:rPr>
                <w:rFonts w:ascii="Times New Roman" w:eastAsia="Times New Roman" w:hAnsi="Times New Roman" w:cs="Times New Roman"/>
                <w:color w:val="000000"/>
                <w:spacing w:val="0"/>
                <w:w w:val="100"/>
                <w:position w:val="0"/>
              </w:rPr>
              <w:t>1,991,200</w:t>
            </w:r>
            <w:r>
              <w:rPr>
                <w:color w:val="000000"/>
                <w:spacing w:val="0"/>
                <w:w w:val="100"/>
                <w:position w:val="0"/>
              </w:rPr>
              <w:t>），授予价格：</w:t>
            </w:r>
            <w:r>
              <w:rPr>
                <w:rFonts w:ascii="Times New Roman" w:eastAsia="Times New Roman" w:hAnsi="Times New Roman" w:cs="Times New Roman"/>
                <w:color w:val="000000"/>
                <w:spacing w:val="0"/>
                <w:w w:val="100"/>
                <w:position w:val="0"/>
              </w:rPr>
              <w:t>7.82</w:t>
            </w:r>
            <w:r>
              <w:rPr>
                <w:color w:val="000000"/>
                <w:spacing w:val="0"/>
                <w:w w:val="100"/>
                <w:position w:val="0"/>
              </w:rPr>
              <w:t xml:space="preserve">, </w:t>
            </w:r>
            <w:r>
              <w:rPr>
                <w:color w:val="000000"/>
                <w:spacing w:val="0"/>
                <w:w w:val="100"/>
                <w:position w:val="0"/>
              </w:rPr>
              <w:t>合同（解锁）剩余期限：</w:t>
            </w:r>
            <w:r>
              <w:rPr>
                <w:rFonts w:ascii="Times New Roman" w:eastAsia="Times New Roman" w:hAnsi="Times New Roman" w:cs="Times New Roman"/>
                <w:color w:val="000000"/>
                <w:spacing w:val="0"/>
                <w:w w:val="100"/>
                <w:position w:val="0"/>
              </w:rPr>
              <w:t>4</w:t>
            </w:r>
            <w:r>
              <w:rPr>
                <w:color w:val="000000"/>
                <w:spacing w:val="0"/>
                <w:w w:val="100"/>
                <w:position w:val="0"/>
              </w:rPr>
              <w:t>个月。</w:t>
            </w:r>
            <w:r>
              <w:rPr>
                <w:rFonts w:ascii="Times New Roman" w:eastAsia="Times New Roman" w:hAnsi="Times New Roman" w:cs="Times New Roman"/>
                <w:color w:val="000000"/>
                <w:spacing w:val="0"/>
                <w:w w:val="100"/>
                <w:position w:val="0"/>
              </w:rPr>
              <w:t>2014</w:t>
            </w:r>
            <w:r>
              <w:rPr>
                <w:color w:val="000000"/>
                <w:spacing w:val="0"/>
                <w:w w:val="100"/>
                <w:position w:val="0"/>
              </w:rPr>
              <w:t>年度股权激励 第三期解禁：限制性股票数量</w:t>
            </w:r>
            <w:r>
              <w:rPr>
                <w:rFonts w:ascii="Times New Roman" w:eastAsia="Times New Roman" w:hAnsi="Times New Roman" w:cs="Times New Roman"/>
                <w:color w:val="000000"/>
                <w:spacing w:val="0"/>
                <w:w w:val="100"/>
                <w:position w:val="0"/>
              </w:rPr>
              <w:t>6,669,600</w:t>
            </w:r>
            <w:r>
              <w:rPr>
                <w:color w:val="000000"/>
                <w:spacing w:val="0"/>
                <w:w w:val="100"/>
                <w:position w:val="0"/>
              </w:rPr>
              <w:t xml:space="preserve">股（转增前 </w:t>
            </w:r>
            <w:r>
              <w:rPr>
                <w:rFonts w:ascii="Times New Roman" w:eastAsia="Times New Roman" w:hAnsi="Times New Roman" w:cs="Times New Roman"/>
                <w:color w:val="000000"/>
                <w:spacing w:val="0"/>
                <w:w w:val="100"/>
                <w:position w:val="0"/>
              </w:rPr>
              <w:t>4,446,400</w:t>
            </w:r>
            <w:r>
              <w:rPr>
                <w:color w:val="000000"/>
                <w:spacing w:val="0"/>
                <w:w w:val="100"/>
                <w:position w:val="0"/>
              </w:rPr>
              <w:t>），授予价格：</w:t>
            </w:r>
            <w:r>
              <w:rPr>
                <w:rFonts w:ascii="Times New Roman" w:eastAsia="Times New Roman" w:hAnsi="Times New Roman" w:cs="Times New Roman"/>
                <w:color w:val="000000"/>
                <w:spacing w:val="0"/>
                <w:w w:val="100"/>
                <w:position w:val="0"/>
              </w:rPr>
              <w:t>6.50</w:t>
            </w:r>
            <w:r>
              <w:rPr>
                <w:color w:val="000000"/>
                <w:spacing w:val="0"/>
                <w:w w:val="100"/>
                <w:position w:val="0"/>
              </w:rPr>
              <w:t>,</w:t>
            </w:r>
            <w:r>
              <w:rPr>
                <w:color w:val="000000"/>
                <w:spacing w:val="0"/>
                <w:w w:val="100"/>
                <w:position w:val="0"/>
              </w:rPr>
              <w:t>合同（解锁）剩余期 限：</w:t>
            </w:r>
            <w:r>
              <w:rPr>
                <w:rFonts w:ascii="Times New Roman" w:eastAsia="Times New Roman" w:hAnsi="Times New Roman" w:cs="Times New Roman"/>
                <w:color w:val="000000"/>
                <w:spacing w:val="0"/>
                <w:w w:val="100"/>
                <w:position w:val="0"/>
              </w:rPr>
              <w:t>10</w:t>
            </w:r>
            <w:r>
              <w:rPr>
                <w:color w:val="000000"/>
                <w:spacing w:val="0"/>
                <w:w w:val="100"/>
                <w:position w:val="0"/>
              </w:rPr>
              <w:t>个月。</w:t>
            </w:r>
            <w:r>
              <w:rPr>
                <w:rFonts w:ascii="Times New Roman" w:eastAsia="Times New Roman" w:hAnsi="Times New Roman" w:cs="Times New Roman"/>
                <w:color w:val="000000"/>
                <w:spacing w:val="0"/>
                <w:w w:val="100"/>
                <w:position w:val="0"/>
              </w:rPr>
              <w:t>2015</w:t>
            </w:r>
            <w:r>
              <w:rPr>
                <w:color w:val="000000"/>
                <w:spacing w:val="0"/>
                <w:w w:val="100"/>
                <w:position w:val="0"/>
              </w:rPr>
              <w:t>年度股权激励第二期解禁：限制 性股票数量</w:t>
            </w:r>
            <w:r>
              <w:rPr>
                <w:rFonts w:ascii="Times New Roman" w:eastAsia="Times New Roman" w:hAnsi="Times New Roman" w:cs="Times New Roman"/>
                <w:color w:val="000000"/>
                <w:spacing w:val="0"/>
                <w:w w:val="100"/>
                <w:position w:val="0"/>
              </w:rPr>
              <w:t>1,202,100</w:t>
            </w:r>
            <w:r>
              <w:rPr>
                <w:color w:val="000000"/>
                <w:spacing w:val="0"/>
                <w:w w:val="100"/>
                <w:position w:val="0"/>
              </w:rPr>
              <w:t>股（转增前</w:t>
            </w:r>
            <w:r>
              <w:rPr>
                <w:rFonts w:ascii="Times New Roman" w:eastAsia="Times New Roman" w:hAnsi="Times New Roman" w:cs="Times New Roman"/>
                <w:color w:val="000000"/>
                <w:spacing w:val="0"/>
                <w:w w:val="100"/>
                <w:position w:val="0"/>
              </w:rPr>
              <w:t>1,202,100</w:t>
            </w:r>
            <w:r>
              <w:rPr>
                <w:color w:val="000000"/>
                <w:spacing w:val="0"/>
                <w:w w:val="100"/>
                <w:position w:val="0"/>
              </w:rPr>
              <w:t>），授予 价格：</w:t>
            </w:r>
            <w:r>
              <w:rPr>
                <w:rFonts w:ascii="Times New Roman" w:eastAsia="Times New Roman" w:hAnsi="Times New Roman" w:cs="Times New Roman"/>
                <w:color w:val="000000"/>
                <w:spacing w:val="0"/>
                <w:w w:val="100"/>
                <w:position w:val="0"/>
              </w:rPr>
              <w:t>11.01</w:t>
            </w:r>
            <w:r>
              <w:rPr>
                <w:color w:val="000000"/>
                <w:spacing w:val="0"/>
                <w:w w:val="100"/>
                <w:position w:val="0"/>
              </w:rPr>
              <w:t>，</w:t>
            </w:r>
            <w:r>
              <w:rPr>
                <w:color w:val="000000"/>
                <w:spacing w:val="0"/>
                <w:w w:val="100"/>
                <w:position w:val="0"/>
              </w:rPr>
              <w:t>合同（解锁）剩余期限：</w:t>
            </w:r>
            <w:r>
              <w:rPr>
                <w:rFonts w:ascii="Times New Roman" w:eastAsia="Times New Roman" w:hAnsi="Times New Roman" w:cs="Times New Roman"/>
                <w:color w:val="000000"/>
                <w:spacing w:val="0"/>
                <w:w w:val="100"/>
                <w:position w:val="0"/>
              </w:rPr>
              <w:t>9</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年度股权激励第三期解禁：限制性股票数量 </w:t>
            </w:r>
            <w:r>
              <w:rPr>
                <w:rFonts w:ascii="Times New Roman" w:eastAsia="Times New Roman" w:hAnsi="Times New Roman" w:cs="Times New Roman"/>
                <w:color w:val="000000"/>
                <w:spacing w:val="0"/>
                <w:w w:val="100"/>
                <w:position w:val="0"/>
              </w:rPr>
              <w:t xml:space="preserve">1,602,800 </w:t>
            </w:r>
            <w:r>
              <w:rPr>
                <w:color w:val="000000"/>
                <w:spacing w:val="0"/>
                <w:w w:val="100"/>
                <w:position w:val="0"/>
              </w:rPr>
              <w:t xml:space="preserve">股（转增前 </w:t>
            </w:r>
            <w:r>
              <w:rPr>
                <w:rFonts w:ascii="Times New Roman" w:eastAsia="Times New Roman" w:hAnsi="Times New Roman" w:cs="Times New Roman"/>
                <w:color w:val="000000"/>
                <w:spacing w:val="0"/>
                <w:w w:val="100"/>
                <w:position w:val="0"/>
              </w:rPr>
              <w:t>1,602,800</w:t>
            </w:r>
            <w:r>
              <w:rPr>
                <w:color w:val="000000"/>
                <w:spacing w:val="0"/>
                <w:w w:val="100"/>
                <w:position w:val="0"/>
              </w:rPr>
              <w:t>），授予价格：</w:t>
            </w:r>
            <w:r>
              <w:rPr>
                <w:rFonts w:ascii="Times New Roman" w:eastAsia="Times New Roman" w:hAnsi="Times New Roman" w:cs="Times New Roman"/>
                <w:color w:val="000000"/>
                <w:spacing w:val="0"/>
                <w:w w:val="100"/>
                <w:position w:val="0"/>
              </w:rPr>
              <w:t>11.01</w:t>
            </w:r>
            <w:r>
              <w:rPr>
                <w:color w:val="000000"/>
                <w:spacing w:val="0"/>
                <w:w w:val="100"/>
                <w:position w:val="0"/>
              </w:rPr>
              <w:t xml:space="preserve">， </w:t>
            </w:r>
            <w:r>
              <w:rPr>
                <w:color w:val="000000"/>
                <w:spacing w:val="0"/>
                <w:w w:val="100"/>
                <w:position w:val="0"/>
              </w:rPr>
              <w:t>合同（解锁）剩余期限：</w:t>
            </w:r>
            <w:r>
              <w:rPr>
                <w:rFonts w:ascii="Times New Roman" w:eastAsia="Times New Roman" w:hAnsi="Times New Roman" w:cs="Times New Roman"/>
                <w:color w:val="000000"/>
                <w:spacing w:val="0"/>
                <w:w w:val="100"/>
                <w:position w:val="0"/>
              </w:rPr>
              <w:t>21</w:t>
            </w:r>
            <w:r>
              <w:rPr>
                <w:color w:val="000000"/>
                <w:spacing w:val="0"/>
                <w:w w:val="100"/>
                <w:position w:val="0"/>
              </w:rPr>
              <w:t>个月。</w:t>
            </w:r>
            <w:r>
              <w:rPr>
                <w:rFonts w:ascii="Times New Roman" w:eastAsia="Times New Roman" w:hAnsi="Times New Roman" w:cs="Times New Roman"/>
                <w:color w:val="000000"/>
                <w:spacing w:val="0"/>
                <w:w w:val="100"/>
                <w:position w:val="0"/>
              </w:rPr>
              <w:t>2016</w:t>
            </w:r>
            <w:r>
              <w:rPr>
                <w:color w:val="000000"/>
                <w:spacing w:val="0"/>
                <w:w w:val="100"/>
                <w:position w:val="0"/>
              </w:rPr>
              <w:t>年度股权激 励第一期解禁：限制性股票数量</w:t>
            </w:r>
            <w:r>
              <w:rPr>
                <w:rFonts w:ascii="Times New Roman" w:eastAsia="Times New Roman" w:hAnsi="Times New Roman" w:cs="Times New Roman"/>
                <w:color w:val="000000"/>
                <w:spacing w:val="0"/>
                <w:w w:val="100"/>
                <w:position w:val="0"/>
              </w:rPr>
              <w:t>7,903,650</w:t>
            </w:r>
            <w:r>
              <w:rPr>
                <w:color w:val="000000"/>
                <w:spacing w:val="0"/>
                <w:w w:val="100"/>
                <w:position w:val="0"/>
              </w:rPr>
              <w:t>股，授予 价格：</w:t>
            </w:r>
            <w:r>
              <w:rPr>
                <w:rFonts w:ascii="Times New Roman" w:eastAsia="Times New Roman" w:hAnsi="Times New Roman" w:cs="Times New Roman"/>
                <w:color w:val="000000"/>
                <w:spacing w:val="0"/>
                <w:w w:val="100"/>
                <w:position w:val="0"/>
              </w:rPr>
              <w:t>7.27</w:t>
            </w:r>
            <w:r>
              <w:rPr>
                <w:color w:val="000000"/>
                <w:spacing w:val="0"/>
                <w:w w:val="100"/>
                <w:position w:val="0"/>
              </w:rPr>
              <w:t>，合同（解锁）剩余期限</w:t>
            </w:r>
            <w:r>
              <w:rPr>
                <w:rFonts w:ascii="Times New Roman" w:eastAsia="Times New Roman" w:hAnsi="Times New Roman" w:cs="Times New Roman"/>
                <w:color w:val="000000"/>
                <w:spacing w:val="0"/>
                <w:w w:val="100"/>
                <w:position w:val="0"/>
              </w:rPr>
              <w:t>8</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年度股权激励第二期解禁：限制性股票数量 </w:t>
            </w:r>
            <w:r>
              <w:rPr>
                <w:rFonts w:ascii="Times New Roman" w:eastAsia="Times New Roman" w:hAnsi="Times New Roman" w:cs="Times New Roman"/>
                <w:color w:val="000000"/>
                <w:spacing w:val="0"/>
                <w:w w:val="100"/>
                <w:position w:val="0"/>
              </w:rPr>
              <w:t>7,903,650</w:t>
            </w:r>
            <w:r>
              <w:rPr>
                <w:color w:val="000000"/>
                <w:spacing w:val="0"/>
                <w:w w:val="100"/>
                <w:position w:val="0"/>
              </w:rPr>
              <w:t>股，授予价格：</w:t>
            </w:r>
            <w:r>
              <w:rPr>
                <w:rFonts w:ascii="Times New Roman" w:eastAsia="Times New Roman" w:hAnsi="Times New Roman" w:cs="Times New Roman"/>
                <w:color w:val="000000"/>
                <w:spacing w:val="0"/>
                <w:w w:val="100"/>
                <w:position w:val="0"/>
              </w:rPr>
              <w:t>7.27</w:t>
            </w:r>
            <w:r>
              <w:rPr>
                <w:color w:val="000000"/>
                <w:spacing w:val="0"/>
                <w:w w:val="100"/>
                <w:position w:val="0"/>
              </w:rPr>
              <w:t>,</w:t>
            </w:r>
            <w:r>
              <w:rPr>
                <w:color w:val="000000"/>
                <w:spacing w:val="0"/>
                <w:w w:val="100"/>
                <w:position w:val="0"/>
              </w:rPr>
              <w:t>合同（解锁）剩余期 限</w:t>
            </w:r>
            <w:r>
              <w:rPr>
                <w:rFonts w:ascii="Times New Roman" w:eastAsia="Times New Roman" w:hAnsi="Times New Roman" w:cs="Times New Roman"/>
                <w:color w:val="000000"/>
                <w:spacing w:val="0"/>
                <w:w w:val="100"/>
                <w:position w:val="0"/>
              </w:rPr>
              <w:t>20</w:t>
            </w:r>
            <w:r>
              <w:rPr>
                <w:color w:val="000000"/>
                <w:spacing w:val="0"/>
                <w:w w:val="100"/>
                <w:position w:val="0"/>
              </w:rPr>
              <w:t>个月。</w:t>
            </w:r>
            <w:r>
              <w:rPr>
                <w:rFonts w:ascii="Times New Roman" w:eastAsia="Times New Roman" w:hAnsi="Times New Roman" w:cs="Times New Roman"/>
                <w:color w:val="000000"/>
                <w:spacing w:val="0"/>
                <w:w w:val="100"/>
                <w:position w:val="0"/>
              </w:rPr>
              <w:t>2016</w:t>
            </w:r>
            <w:r>
              <w:rPr>
                <w:color w:val="000000"/>
                <w:spacing w:val="0"/>
                <w:w w:val="100"/>
                <w:position w:val="0"/>
              </w:rPr>
              <w:t>年度股权激励第三期解禁：限制性 股票数量</w:t>
            </w:r>
            <w:r>
              <w:rPr>
                <w:rFonts w:ascii="Times New Roman" w:eastAsia="Times New Roman" w:hAnsi="Times New Roman" w:cs="Times New Roman"/>
                <w:color w:val="000000"/>
                <w:spacing w:val="0"/>
                <w:w w:val="100"/>
                <w:position w:val="0"/>
              </w:rPr>
              <w:t>10,538,200</w:t>
            </w:r>
            <w:r>
              <w:rPr>
                <w:color w:val="000000"/>
                <w:spacing w:val="0"/>
                <w:w w:val="100"/>
                <w:position w:val="0"/>
              </w:rPr>
              <w:t>股，授予价格：</w:t>
            </w:r>
            <w:r>
              <w:rPr>
                <w:rFonts w:ascii="Times New Roman" w:eastAsia="Times New Roman" w:hAnsi="Times New Roman" w:cs="Times New Roman"/>
                <w:color w:val="000000"/>
                <w:spacing w:val="0"/>
                <w:w w:val="100"/>
                <w:position w:val="0"/>
              </w:rPr>
              <w:t>7.27</w:t>
            </w:r>
            <w:r>
              <w:rPr>
                <w:color w:val="000000"/>
                <w:spacing w:val="0"/>
                <w:w w:val="100"/>
                <w:position w:val="0"/>
              </w:rPr>
              <w:t>，合同（解 锁）剩余期限</w:t>
            </w:r>
            <w:r>
              <w:rPr>
                <w:rFonts w:ascii="Times New Roman" w:eastAsia="Times New Roman" w:hAnsi="Times New Roman" w:cs="Times New Roman"/>
                <w:color w:val="000000"/>
                <w:spacing w:val="0"/>
                <w:w w:val="100"/>
                <w:position w:val="0"/>
              </w:rPr>
              <w:t>32</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tabs>
          <w:tab w:pos="344" w:val="left"/>
        </w:tabs>
        <w:bidi w:val="0"/>
        <w:spacing w:before="0" w:after="0" w:line="240" w:lineRule="auto"/>
        <w:ind w:left="0" w:right="0" w:firstLine="0"/>
        <w:jc w:val="both"/>
      </w:pPr>
      <w:bookmarkStart w:id="1623" w:name="bookmark1623"/>
      <w:r>
        <w:rPr>
          <w:rFonts w:ascii="Times New Roman" w:eastAsia="Times New Roman" w:hAnsi="Times New Roman" w:cs="Times New Roman"/>
          <w:b/>
          <w:bCs/>
          <w:color w:val="000000"/>
          <w:spacing w:val="0"/>
          <w:w w:val="100"/>
          <w:position w:val="0"/>
        </w:rPr>
        <w:t>1</w:t>
      </w:r>
      <w:bookmarkEnd w:id="1623"/>
      <w:r>
        <w:rPr>
          <w:b/>
          <w:bCs/>
          <w:color w:val="000000"/>
          <w:spacing w:val="0"/>
          <w:w w:val="100"/>
          <w:position w:val="0"/>
        </w:rPr>
        <w:t>、</w:t>
        <w:tab/>
      </w:r>
      <w:r>
        <w:rPr>
          <w:rFonts w:ascii="Times New Roman" w:eastAsia="Times New Roman" w:hAnsi="Times New Roman" w:cs="Times New Roman"/>
          <w:b/>
          <w:bCs/>
          <w:color w:val="000000"/>
          <w:spacing w:val="0"/>
          <w:w w:val="100"/>
          <w:position w:val="0"/>
        </w:rPr>
        <w:t>2012</w:t>
      </w:r>
      <w:r>
        <w:rPr>
          <w:b/>
          <w:bCs/>
          <w:color w:val="000000"/>
          <w:spacing w:val="0"/>
          <w:w w:val="100"/>
          <w:position w:val="0"/>
        </w:rPr>
        <w:t>年度股权激励</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经本公司股东大会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rPr>
        <w:t>293</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9,635,000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i/>
          <w:iCs/>
          <w:color w:val="000000"/>
          <w:spacing w:val="0"/>
          <w:w w:val="100"/>
          <w:position w:val="0"/>
        </w:rPr>
        <w:t>，</w:t>
      </w:r>
      <w:r>
        <w:rPr>
          <w:color w:val="000000"/>
          <w:spacing w:val="0"/>
          <w:w w:val="100"/>
          <w:position w:val="0"/>
        </w:rPr>
        <w:t>授予价格</w:t>
      </w:r>
      <w:r>
        <w:rPr>
          <w:rFonts w:ascii="Times New Roman" w:eastAsia="Times New Roman" w:hAnsi="Times New Roman" w:cs="Times New Roman"/>
          <w:color w:val="000000"/>
          <w:spacing w:val="0"/>
          <w:w w:val="100"/>
          <w:position w:val="0"/>
        </w:rPr>
        <w:t>8.4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80,934,000.00</w:t>
      </w:r>
      <w:r>
        <w:rPr>
          <w:color w:val="000000"/>
          <w:spacing w:val="0"/>
          <w:w w:val="100"/>
          <w:position w:val="0"/>
        </w:rPr>
        <w:t>元，其中，记入股本</w:t>
      </w:r>
      <w:r>
        <w:rPr>
          <w:rFonts w:ascii="Times New Roman" w:eastAsia="Times New Roman" w:hAnsi="Times New Roman" w:cs="Times New Roman"/>
          <w:color w:val="000000"/>
          <w:spacing w:val="0"/>
          <w:w w:val="100"/>
          <w:position w:val="0"/>
        </w:rPr>
        <w:t>9,635,000</w:t>
      </w:r>
      <w:r>
        <w:rPr>
          <w:color w:val="000000"/>
          <w:spacing w:val="0"/>
          <w:w w:val="100"/>
          <w:position w:val="0"/>
        </w:rPr>
        <w:t>元，记入资本 公积（股本溢价）</w:t>
      </w:r>
      <w:r>
        <w:rPr>
          <w:rFonts w:ascii="Times New Roman" w:eastAsia="Times New Roman" w:hAnsi="Times New Roman" w:cs="Times New Roman"/>
          <w:color w:val="000000"/>
          <w:spacing w:val="0"/>
          <w:w w:val="100"/>
          <w:position w:val="0"/>
        </w:rPr>
        <w:t>71,299,000.00</w:t>
      </w:r>
      <w:r>
        <w:rPr>
          <w:color w:val="000000"/>
          <w:spacing w:val="0"/>
          <w:w w:val="100"/>
          <w:position w:val="0"/>
        </w:rPr>
        <w:t>元；同时记入库存股</w:t>
      </w:r>
      <w:r>
        <w:rPr>
          <w:rFonts w:ascii="Times New Roman" w:eastAsia="Times New Roman" w:hAnsi="Times New Roman" w:cs="Times New Roman"/>
          <w:color w:val="000000"/>
          <w:spacing w:val="0"/>
          <w:w w:val="100"/>
          <w:position w:val="0"/>
        </w:rPr>
        <w:t>80,934,000.00</w:t>
      </w:r>
      <w:r>
        <w:rPr>
          <w:color w:val="000000"/>
          <w:spacing w:val="0"/>
          <w:w w:val="100"/>
          <w:position w:val="0"/>
        </w:rPr>
        <w:t>元，记入其他应付款</w:t>
      </w:r>
      <w:r>
        <w:rPr>
          <w:rFonts w:ascii="Times New Roman" w:eastAsia="Times New Roman" w:hAnsi="Times New Roman" w:cs="Times New Roman"/>
          <w:color w:val="000000"/>
          <w:spacing w:val="0"/>
          <w:w w:val="100"/>
          <w:position w:val="0"/>
        </w:rPr>
        <w:t>80,934,000.00</w:t>
      </w:r>
      <w:r>
        <w:rPr>
          <w:color w:val="000000"/>
          <w:spacing w:val="0"/>
          <w:w w:val="100"/>
          <w:position w:val="0"/>
        </w:rPr>
        <w:t>元。</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根据公司股权激励计划，激励对象获授限制性股票之日起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 到本计划规定的限制性股票的解锁条件，激励对象可在授予日起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个月后分三期分别申请解锁所获授 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97,500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544,000.00</w:t>
      </w:r>
      <w:r>
        <w:rPr>
          <w:color w:val="000000"/>
          <w:spacing w:val="0"/>
          <w:w w:val="100"/>
          <w:position w:val="0"/>
        </w:rPr>
        <w:t>元，冲减其他应付款。</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日，公司按照股权激励计划的规定解锁第一期限制性股票，共</w:t>
      </w:r>
      <w:r>
        <w:rPr>
          <w:rFonts w:ascii="Times New Roman" w:eastAsia="Times New Roman" w:hAnsi="Times New Roman" w:cs="Times New Roman"/>
          <w:color w:val="000000"/>
          <w:spacing w:val="0"/>
          <w:w w:val="100"/>
          <w:position w:val="0"/>
        </w:rPr>
        <w:t>4,293,000</w:t>
      </w:r>
      <w:r>
        <w:rPr>
          <w:color w:val="000000"/>
          <w:spacing w:val="0"/>
          <w:w w:val="100"/>
          <w:position w:val="0"/>
        </w:rPr>
        <w:t>股（转增前</w:t>
      </w:r>
      <w:r>
        <w:rPr>
          <w:rFonts w:ascii="Times New Roman" w:eastAsia="Times New Roman" w:hAnsi="Times New Roman" w:cs="Times New Roman"/>
          <w:color w:val="000000"/>
          <w:spacing w:val="0"/>
          <w:w w:val="100"/>
          <w:position w:val="0"/>
        </w:rPr>
        <w:t>1,423,650</w:t>
      </w:r>
      <w:r>
        <w:rPr>
          <w:color w:val="000000"/>
          <w:spacing w:val="0"/>
          <w:w w:val="100"/>
          <w:position w:val="0"/>
        </w:rPr>
        <w:t>股）。</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437,416</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1,172,022.00</w:t>
      </w:r>
      <w:r>
        <w:rPr>
          <w:color w:val="000000"/>
          <w:spacing w:val="0"/>
          <w:w w:val="100"/>
          <w:position w:val="0"/>
        </w:rPr>
        <w:t>元，冲减其他应付款。</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日，公司按照股权激励计划的规定解锁第一期限制性股票，共</w:t>
      </w:r>
      <w:r>
        <w:rPr>
          <w:rFonts w:ascii="Times New Roman" w:eastAsia="Times New Roman" w:hAnsi="Times New Roman" w:cs="Times New Roman"/>
          <w:color w:val="000000"/>
          <w:spacing w:val="0"/>
          <w:w w:val="100"/>
          <w:position w:val="0"/>
        </w:rPr>
        <w:t>8,372,874</w:t>
      </w:r>
      <w:r>
        <w:rPr>
          <w:color w:val="000000"/>
          <w:spacing w:val="0"/>
          <w:w w:val="100"/>
          <w:position w:val="0"/>
        </w:rPr>
        <w:t>股（转增前</w:t>
      </w:r>
      <w:r>
        <w:rPr>
          <w:rFonts w:ascii="Times New Roman" w:eastAsia="Times New Roman" w:hAnsi="Times New Roman" w:cs="Times New Roman"/>
          <w:color w:val="000000"/>
          <w:spacing w:val="0"/>
          <w:w w:val="100"/>
          <w:position w:val="0"/>
        </w:rPr>
        <w:t>2,811,900</w:t>
      </w:r>
      <w:r>
        <w:rPr>
          <w:color w:val="000000"/>
          <w:spacing w:val="0"/>
          <w:w w:val="100"/>
          <w:position w:val="0"/>
        </w:rPr>
        <w:t>股）。</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年，公司按照股权激励计划的规定回购了</w:t>
      </w:r>
      <w:r>
        <w:rPr>
          <w:rFonts w:ascii="Times New Roman" w:eastAsia="Times New Roman" w:hAnsi="Times New Roman" w:cs="Times New Roman"/>
          <w:color w:val="000000"/>
          <w:spacing w:val="0"/>
          <w:w w:val="100"/>
          <w:position w:val="0"/>
        </w:rPr>
        <w:t>375,184</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670,182.46</w:t>
      </w:r>
      <w:r>
        <w:rPr>
          <w:color w:val="000000"/>
          <w:spacing w:val="0"/>
          <w:w w:val="100"/>
          <w:position w:val="0"/>
        </w:rPr>
        <w:t>元，冲减其他 应付款。</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日，公司按照股权激励计划的规定解锁第三期限制性股票，共</w:t>
      </w:r>
      <w:r>
        <w:rPr>
          <w:rFonts w:ascii="Times New Roman" w:eastAsia="Times New Roman" w:hAnsi="Times New Roman" w:cs="Times New Roman"/>
          <w:color w:val="000000"/>
          <w:spacing w:val="0"/>
          <w:w w:val="100"/>
          <w:position w:val="0"/>
        </w:rPr>
        <w:t>16,316,910.85</w:t>
      </w:r>
      <w:r>
        <w:rPr>
          <w:color w:val="000000"/>
          <w:spacing w:val="0"/>
          <w:w w:val="100"/>
          <w:position w:val="0"/>
        </w:rPr>
        <w:t>股（转增前</w:t>
      </w:r>
      <w:r>
        <w:rPr>
          <w:rFonts w:ascii="Times New Roman" w:eastAsia="Times New Roman" w:hAnsi="Times New Roman" w:cs="Times New Roman"/>
          <w:color w:val="000000"/>
          <w:spacing w:val="0"/>
          <w:w w:val="100"/>
          <w:position w:val="0"/>
        </w:rPr>
        <w:t>3,653,200</w:t>
      </w:r>
      <w:r>
        <w:rPr>
          <w:color w:val="000000"/>
          <w:spacing w:val="0"/>
          <w:w w:val="100"/>
          <w:position w:val="0"/>
        </w:rPr>
        <w:t>股）</w:t>
      </w:r>
    </w:p>
    <w:p>
      <w:pPr>
        <w:pStyle w:val="Style23"/>
        <w:keepNext w:val="0"/>
        <w:keepLines w:val="0"/>
        <w:widowControl w:val="0"/>
        <w:shd w:val="clear" w:color="auto" w:fill="auto"/>
        <w:bidi w:val="0"/>
        <w:spacing w:before="0" w:after="80" w:line="33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12,000</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95,739.08</w:t>
      </w:r>
      <w:r>
        <w:rPr>
          <w:color w:val="000000"/>
          <w:spacing w:val="0"/>
          <w:w w:val="100"/>
          <w:position w:val="0"/>
        </w:rPr>
        <w:t>元，冲减其他应 付款。</w:t>
      </w:r>
    </w:p>
    <w:p>
      <w:pPr>
        <w:pStyle w:val="Style23"/>
        <w:keepNext w:val="0"/>
        <w:keepLines w:val="0"/>
        <w:widowControl w:val="0"/>
        <w:shd w:val="clear" w:color="auto" w:fill="auto"/>
        <w:tabs>
          <w:tab w:pos="358" w:val="left"/>
        </w:tabs>
        <w:bidi w:val="0"/>
        <w:spacing w:before="0" w:after="0" w:line="240" w:lineRule="auto"/>
        <w:ind w:left="0" w:right="0" w:firstLine="0"/>
        <w:jc w:val="both"/>
      </w:pPr>
      <w:bookmarkStart w:id="1624" w:name="bookmark1624"/>
      <w:r>
        <w:rPr>
          <w:rFonts w:ascii="Times New Roman" w:eastAsia="Times New Roman" w:hAnsi="Times New Roman" w:cs="Times New Roman"/>
          <w:b/>
          <w:bCs/>
          <w:color w:val="000000"/>
          <w:spacing w:val="0"/>
          <w:w w:val="100"/>
          <w:position w:val="0"/>
        </w:rPr>
        <w:t>2</w:t>
      </w:r>
      <w:bookmarkEnd w:id="1624"/>
      <w:r>
        <w:rPr>
          <w:b/>
          <w:bCs/>
          <w:color w:val="000000"/>
          <w:spacing w:val="0"/>
          <w:w w:val="100"/>
          <w:position w:val="0"/>
        </w:rPr>
        <w:t>、</w:t>
        <w:tab/>
      </w:r>
      <w:r>
        <w:rPr>
          <w:rFonts w:ascii="Times New Roman" w:eastAsia="Times New Roman" w:hAnsi="Times New Roman" w:cs="Times New Roman"/>
          <w:b/>
          <w:bCs/>
          <w:color w:val="000000"/>
          <w:spacing w:val="0"/>
          <w:w w:val="100"/>
          <w:position w:val="0"/>
        </w:rPr>
        <w:t>2013</w:t>
      </w:r>
      <w:r>
        <w:rPr>
          <w:b/>
          <w:bCs/>
          <w:color w:val="000000"/>
          <w:spacing w:val="0"/>
          <w:w w:val="100"/>
          <w:position w:val="0"/>
        </w:rPr>
        <w:t>年度股权激励</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经本公司股东大会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rPr>
        <w:t>231</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5,526,000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元），授予价格</w:t>
      </w:r>
      <w:r>
        <w:rPr>
          <w:rFonts w:ascii="Times New Roman" w:eastAsia="Times New Roman" w:hAnsi="Times New Roman" w:cs="Times New Roman"/>
          <w:color w:val="000000"/>
          <w:spacing w:val="0"/>
          <w:w w:val="100"/>
          <w:position w:val="0"/>
        </w:rPr>
        <w:t>7.82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43,213,320.00</w:t>
      </w:r>
      <w:r>
        <w:rPr>
          <w:color w:val="000000"/>
          <w:spacing w:val="0"/>
          <w:w w:val="100"/>
          <w:position w:val="0"/>
        </w:rPr>
        <w:t>元，其中，记入股本</w:t>
      </w:r>
      <w:r>
        <w:rPr>
          <w:rFonts w:ascii="Times New Roman" w:eastAsia="Times New Roman" w:hAnsi="Times New Roman" w:cs="Times New Roman"/>
          <w:color w:val="000000"/>
          <w:spacing w:val="0"/>
          <w:w w:val="100"/>
          <w:position w:val="0"/>
        </w:rPr>
        <w:t>5,526,000</w:t>
      </w:r>
      <w:r>
        <w:rPr>
          <w:color w:val="000000"/>
          <w:spacing w:val="0"/>
          <w:w w:val="100"/>
          <w:position w:val="0"/>
        </w:rPr>
        <w:t>元，记入资 本公积（股本溢价）</w:t>
      </w:r>
      <w:r>
        <w:rPr>
          <w:rFonts w:ascii="Times New Roman" w:eastAsia="Times New Roman" w:hAnsi="Times New Roman" w:cs="Times New Roman"/>
          <w:color w:val="000000"/>
          <w:spacing w:val="0"/>
          <w:w w:val="100"/>
          <w:position w:val="0"/>
        </w:rPr>
        <w:t>37,687,320.00</w:t>
      </w:r>
      <w:r>
        <w:rPr>
          <w:color w:val="000000"/>
          <w:spacing w:val="0"/>
          <w:w w:val="100"/>
          <w:position w:val="0"/>
        </w:rPr>
        <w:t>元。同时记入库存股</w:t>
      </w:r>
      <w:r>
        <w:rPr>
          <w:rFonts w:ascii="Times New Roman" w:eastAsia="Times New Roman" w:hAnsi="Times New Roman" w:cs="Times New Roman"/>
          <w:color w:val="000000"/>
          <w:spacing w:val="0"/>
          <w:w w:val="100"/>
          <w:position w:val="0"/>
        </w:rPr>
        <w:t>43,213,320.00</w:t>
      </w:r>
      <w:r>
        <w:rPr>
          <w:color w:val="000000"/>
          <w:spacing w:val="0"/>
          <w:w w:val="100"/>
          <w:position w:val="0"/>
        </w:rPr>
        <w:t>元，记入其他应付款</w:t>
      </w:r>
      <w:r>
        <w:rPr>
          <w:rFonts w:ascii="Times New Roman" w:eastAsia="Times New Roman" w:hAnsi="Times New Roman" w:cs="Times New Roman"/>
          <w:color w:val="000000"/>
          <w:spacing w:val="0"/>
          <w:w w:val="100"/>
          <w:position w:val="0"/>
        </w:rPr>
        <w:t>43,213,320.00</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根据公司股权激励计划，激励对象获授限制性股票之日起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 到本计划规定的限制性股票的解锁条件，激励对象可在授予日起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个月后分三期分别申请解锁所获授 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353,348</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1,368,614.00</w:t>
      </w:r>
      <w:r>
        <w:rPr>
          <w:color w:val="000000"/>
          <w:spacing w:val="0"/>
          <w:w w:val="100"/>
          <w:position w:val="0"/>
        </w:rPr>
        <w:t>元，冲减其他应付款。</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日，公司按照股权激励计划的规定解锁第一期限制性股票，共</w:t>
      </w:r>
      <w:r>
        <w:rPr>
          <w:rFonts w:ascii="Times New Roman" w:eastAsia="Times New Roman" w:hAnsi="Times New Roman" w:cs="Times New Roman"/>
          <w:color w:val="000000"/>
          <w:spacing w:val="0"/>
          <w:w w:val="100"/>
          <w:position w:val="0"/>
        </w:rPr>
        <w:t>3,161,125</w:t>
      </w:r>
      <w:r>
        <w:rPr>
          <w:color w:val="000000"/>
          <w:spacing w:val="0"/>
          <w:w w:val="100"/>
          <w:position w:val="0"/>
        </w:rPr>
        <w:t>股（转增前</w:t>
      </w:r>
      <w:r>
        <w:rPr>
          <w:rFonts w:ascii="Times New Roman" w:eastAsia="Times New Roman" w:hAnsi="Times New Roman" w:cs="Times New Roman"/>
          <w:color w:val="000000"/>
          <w:spacing w:val="0"/>
          <w:w w:val="100"/>
          <w:position w:val="0"/>
        </w:rPr>
        <w:t>1,592,400</w:t>
      </w:r>
      <w:r>
        <w:rPr>
          <w:color w:val="000000"/>
          <w:spacing w:val="0"/>
          <w:w w:val="100"/>
          <w:position w:val="0"/>
        </w:rPr>
        <w:t>股）。</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年，公司按照股权激励计划的规定回购了</w:t>
      </w:r>
      <w:r>
        <w:rPr>
          <w:rFonts w:ascii="Times New Roman" w:eastAsia="Times New Roman" w:hAnsi="Times New Roman" w:cs="Times New Roman"/>
          <w:color w:val="000000"/>
          <w:spacing w:val="0"/>
          <w:w w:val="100"/>
          <w:position w:val="0"/>
        </w:rPr>
        <w:t>246,151</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736,141.42</w:t>
      </w:r>
      <w:r>
        <w:rPr>
          <w:color w:val="000000"/>
          <w:spacing w:val="0"/>
          <w:w w:val="100"/>
          <w:position w:val="0"/>
        </w:rPr>
        <w:t>元，冲减其他 应付款。</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日，公司按照股权激励计划的规定解锁第二期限制性股票，共</w:t>
      </w:r>
      <w:r>
        <w:rPr>
          <w:rFonts w:ascii="Times New Roman" w:eastAsia="Times New Roman" w:hAnsi="Times New Roman" w:cs="Times New Roman"/>
          <w:color w:val="000000"/>
          <w:spacing w:val="0"/>
          <w:w w:val="100"/>
          <w:position w:val="0"/>
        </w:rPr>
        <w:t>4,509,384.84</w:t>
      </w:r>
      <w:r>
        <w:rPr>
          <w:color w:val="000000"/>
          <w:spacing w:val="0"/>
          <w:w w:val="100"/>
          <w:position w:val="0"/>
        </w:rPr>
        <w:t>股（转增前</w:t>
      </w:r>
      <w:r>
        <w:rPr>
          <w:rFonts w:ascii="Times New Roman" w:eastAsia="Times New Roman" w:hAnsi="Times New Roman" w:cs="Times New Roman"/>
          <w:color w:val="000000"/>
          <w:spacing w:val="0"/>
          <w:w w:val="100"/>
          <w:position w:val="0"/>
        </w:rPr>
        <w:t>1,568,400</w:t>
      </w:r>
      <w:r>
        <w:rPr>
          <w:color w:val="000000"/>
          <w:spacing w:val="0"/>
          <w:w w:val="100"/>
          <w:position w:val="0"/>
        </w:rPr>
        <w:t>股）</w:t>
      </w:r>
    </w:p>
    <w:p>
      <w:pPr>
        <w:pStyle w:val="Style23"/>
        <w:keepNext w:val="0"/>
        <w:keepLines w:val="0"/>
        <w:widowControl w:val="0"/>
        <w:shd w:val="clear" w:color="auto" w:fill="auto"/>
        <w:bidi w:val="0"/>
        <w:spacing w:before="0" w:after="8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年，公司按照股权激励计划的规定回购了</w:t>
      </w:r>
      <w:r>
        <w:rPr>
          <w:rFonts w:ascii="Times New Roman" w:eastAsia="Times New Roman" w:hAnsi="Times New Roman" w:cs="Times New Roman"/>
          <w:color w:val="000000"/>
          <w:spacing w:val="0"/>
          <w:w w:val="100"/>
          <w:position w:val="0"/>
        </w:rPr>
        <w:t>60,000</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454,967.16</w:t>
      </w:r>
      <w:r>
        <w:rPr>
          <w:color w:val="000000"/>
          <w:spacing w:val="0"/>
          <w:w w:val="100"/>
          <w:position w:val="0"/>
        </w:rPr>
        <w:t>元，冲减其他 应付款。</w:t>
      </w:r>
    </w:p>
    <w:p>
      <w:pPr>
        <w:pStyle w:val="Style23"/>
        <w:keepNext w:val="0"/>
        <w:keepLines w:val="0"/>
        <w:widowControl w:val="0"/>
        <w:shd w:val="clear" w:color="auto" w:fill="auto"/>
        <w:tabs>
          <w:tab w:pos="358" w:val="left"/>
        </w:tabs>
        <w:bidi w:val="0"/>
        <w:spacing w:before="0" w:after="0" w:line="240" w:lineRule="auto"/>
        <w:ind w:left="0" w:right="0" w:firstLine="0"/>
        <w:jc w:val="both"/>
      </w:pPr>
      <w:bookmarkStart w:id="1625" w:name="bookmark1625"/>
      <w:r>
        <w:rPr>
          <w:rFonts w:ascii="Times New Roman" w:eastAsia="Times New Roman" w:hAnsi="Times New Roman" w:cs="Times New Roman"/>
          <w:b/>
          <w:bCs/>
          <w:color w:val="000000"/>
          <w:spacing w:val="0"/>
          <w:w w:val="100"/>
          <w:position w:val="0"/>
        </w:rPr>
        <w:t>3</w:t>
      </w:r>
      <w:bookmarkEnd w:id="1625"/>
      <w:r>
        <w:rPr>
          <w:b/>
          <w:bCs/>
          <w:color w:val="000000"/>
          <w:spacing w:val="0"/>
          <w:w w:val="100"/>
          <w:position w:val="0"/>
        </w:rPr>
        <w:t>、</w:t>
        <w:tab/>
      </w:r>
      <w:r>
        <w:rPr>
          <w:rFonts w:ascii="Times New Roman" w:eastAsia="Times New Roman" w:hAnsi="Times New Roman" w:cs="Times New Roman"/>
          <w:b/>
          <w:bCs/>
          <w:color w:val="000000"/>
          <w:spacing w:val="0"/>
          <w:w w:val="100"/>
          <w:position w:val="0"/>
        </w:rPr>
        <w:t>2014</w:t>
      </w:r>
      <w:r>
        <w:rPr>
          <w:b/>
          <w:bCs/>
          <w:color w:val="000000"/>
          <w:spacing w:val="0"/>
          <w:w w:val="100"/>
          <w:position w:val="0"/>
        </w:rPr>
        <w:t>年度股权激励</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经本公司股东大会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rPr>
        <w:t>556</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12,696,000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元），授予价格</w:t>
      </w:r>
      <w:r>
        <w:rPr>
          <w:rFonts w:ascii="Times New Roman" w:eastAsia="Times New Roman" w:hAnsi="Times New Roman" w:cs="Times New Roman"/>
          <w:color w:val="000000"/>
          <w:spacing w:val="0"/>
          <w:w w:val="100"/>
          <w:position w:val="0"/>
        </w:rPr>
        <w:t xml:space="preserve">6.5 </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82,524,000.00</w:t>
      </w:r>
      <w:r>
        <w:rPr>
          <w:color w:val="000000"/>
          <w:spacing w:val="0"/>
          <w:w w:val="100"/>
          <w:position w:val="0"/>
        </w:rPr>
        <w:t>元，其中，记入股本</w:t>
      </w:r>
      <w:r>
        <w:rPr>
          <w:rFonts w:ascii="Times New Roman" w:eastAsia="Times New Roman" w:hAnsi="Times New Roman" w:cs="Times New Roman"/>
          <w:color w:val="000000"/>
          <w:spacing w:val="0"/>
          <w:w w:val="100"/>
          <w:position w:val="0"/>
        </w:rPr>
        <w:t>12,696,000</w:t>
      </w:r>
      <w:r>
        <w:rPr>
          <w:color w:val="000000"/>
          <w:spacing w:val="0"/>
          <w:w w:val="100"/>
          <w:position w:val="0"/>
        </w:rPr>
        <w:t>元，记入 资本公积（股本溢价）</w:t>
      </w:r>
      <w:r>
        <w:rPr>
          <w:rFonts w:ascii="Times New Roman" w:eastAsia="Times New Roman" w:hAnsi="Times New Roman" w:cs="Times New Roman"/>
          <w:color w:val="000000"/>
          <w:spacing w:val="0"/>
          <w:w w:val="100"/>
          <w:position w:val="0"/>
        </w:rPr>
        <w:t>69,828,000.00</w:t>
      </w:r>
      <w:r>
        <w:rPr>
          <w:color w:val="000000"/>
          <w:spacing w:val="0"/>
          <w:w w:val="100"/>
          <w:position w:val="0"/>
        </w:rPr>
        <w:t>元。同时记入库存股</w:t>
      </w:r>
      <w:r>
        <w:rPr>
          <w:rFonts w:ascii="Times New Roman" w:eastAsia="Times New Roman" w:hAnsi="Times New Roman" w:cs="Times New Roman"/>
          <w:color w:val="000000"/>
          <w:spacing w:val="0"/>
          <w:w w:val="100"/>
          <w:position w:val="0"/>
        </w:rPr>
        <w:t>82,524,000.00</w:t>
      </w:r>
      <w:r>
        <w:rPr>
          <w:color w:val="000000"/>
          <w:spacing w:val="0"/>
          <w:w w:val="100"/>
          <w:position w:val="0"/>
        </w:rPr>
        <w:t>元，记入其他应付款</w:t>
      </w:r>
      <w:r>
        <w:rPr>
          <w:rFonts w:ascii="Times New Roman" w:eastAsia="Times New Roman" w:hAnsi="Times New Roman" w:cs="Times New Roman"/>
          <w:color w:val="000000"/>
          <w:spacing w:val="0"/>
          <w:w w:val="100"/>
          <w:position w:val="0"/>
        </w:rPr>
        <w:t>82,524,000.00</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根据公司股权激励计划，激励对象获授限制性股票之日起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 到本计划规定的限制性股票的解锁条件，激励对象可在授予日起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个月后分三期分别申请解锁所获授 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年，公司按照股权激励计划的规定回购了</w:t>
      </w:r>
      <w:r>
        <w:rPr>
          <w:rFonts w:ascii="Times New Roman" w:eastAsia="Times New Roman" w:hAnsi="Times New Roman" w:cs="Times New Roman"/>
          <w:color w:val="000000"/>
          <w:spacing w:val="0"/>
          <w:w w:val="100"/>
          <w:position w:val="0"/>
        </w:rPr>
        <w:t>30,000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195,000.00</w:t>
      </w:r>
      <w:r>
        <w:rPr>
          <w:color w:val="000000"/>
          <w:spacing w:val="0"/>
          <w:w w:val="100"/>
          <w:position w:val="0"/>
        </w:rPr>
        <w:t>元，其中面值部分</w:t>
      </w:r>
      <w:r>
        <w:rPr>
          <w:rFonts w:ascii="Times New Roman" w:eastAsia="Times New Roman" w:hAnsi="Times New Roman" w:cs="Times New Roman"/>
          <w:color w:val="000000"/>
          <w:spacing w:val="0"/>
          <w:w w:val="100"/>
          <w:position w:val="0"/>
        </w:rPr>
        <w:t>353,348</w:t>
      </w:r>
      <w:r>
        <w:rPr>
          <w:color w:val="000000"/>
          <w:spacing w:val="0"/>
          <w:w w:val="100"/>
          <w:position w:val="0"/>
        </w:rPr>
        <w:t>, 冲减其他应付款。</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日，公司按照股权激励计划的规定解锁第一期限制性股票，共</w:t>
      </w:r>
      <w:r>
        <w:rPr>
          <w:rFonts w:ascii="Times New Roman" w:eastAsia="Times New Roman" w:hAnsi="Times New Roman" w:cs="Times New Roman"/>
          <w:color w:val="000000"/>
          <w:spacing w:val="0"/>
          <w:w w:val="100"/>
          <w:position w:val="0"/>
        </w:rPr>
        <w:t>4,293,000</w:t>
      </w:r>
      <w:r>
        <w:rPr>
          <w:color w:val="000000"/>
          <w:spacing w:val="0"/>
          <w:w w:val="100"/>
          <w:position w:val="0"/>
        </w:rPr>
        <w:t>股（转增前</w:t>
      </w:r>
      <w:r>
        <w:rPr>
          <w:rFonts w:ascii="Times New Roman" w:eastAsia="Times New Roman" w:hAnsi="Times New Roman" w:cs="Times New Roman"/>
          <w:color w:val="000000"/>
          <w:spacing w:val="0"/>
          <w:w w:val="100"/>
          <w:position w:val="0"/>
        </w:rPr>
        <w:t>3,691,800</w:t>
      </w:r>
      <w:r>
        <w:rPr>
          <w:color w:val="000000"/>
          <w:spacing w:val="0"/>
          <w:w w:val="100"/>
          <w:position w:val="0"/>
        </w:rPr>
        <w:t>股）。</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507,250</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2,934,750.00</w:t>
      </w:r>
      <w:r>
        <w:rPr>
          <w:color w:val="000000"/>
          <w:spacing w:val="0"/>
          <w:w w:val="100"/>
          <w:position w:val="0"/>
        </w:rPr>
        <w:t>元，冲减其 他应付款。</w:t>
      </w:r>
    </w:p>
    <w:p>
      <w:pPr>
        <w:pStyle w:val="Style23"/>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日，公司按照股权激励计划的规定解锁第二期限制性股票，共</w:t>
      </w:r>
      <w:r>
        <w:rPr>
          <w:rFonts w:ascii="Times New Roman" w:eastAsia="Times New Roman" w:hAnsi="Times New Roman" w:cs="Times New Roman"/>
          <w:color w:val="000000"/>
          <w:spacing w:val="0"/>
          <w:w w:val="100"/>
          <w:position w:val="0"/>
        </w:rPr>
        <w:t>5,096,700</w:t>
      </w:r>
      <w:r>
        <w:rPr>
          <w:color w:val="000000"/>
          <w:spacing w:val="0"/>
          <w:w w:val="100"/>
          <w:position w:val="0"/>
        </w:rPr>
        <w:t>股（转增前</w:t>
      </w:r>
      <w:r>
        <w:rPr>
          <w:rFonts w:ascii="Times New Roman" w:eastAsia="Times New Roman" w:hAnsi="Times New Roman" w:cs="Times New Roman"/>
          <w:color w:val="000000"/>
          <w:spacing w:val="0"/>
          <w:w w:val="100"/>
          <w:position w:val="0"/>
        </w:rPr>
        <w:t>3,397,800</w:t>
      </w:r>
      <w:r>
        <w:rPr>
          <w:color w:val="000000"/>
          <w:spacing w:val="0"/>
          <w:w w:val="100"/>
          <w:position w:val="0"/>
        </w:rPr>
        <w:t>股）</w:t>
      </w:r>
    </w:p>
    <w:p>
      <w:pPr>
        <w:pStyle w:val="Style23"/>
        <w:keepNext w:val="0"/>
        <w:keepLines w:val="0"/>
        <w:widowControl w:val="0"/>
        <w:shd w:val="clear" w:color="auto" w:fill="auto"/>
        <w:bidi w:val="0"/>
        <w:spacing w:before="0" w:after="6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639,500</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4,146,535.00</w:t>
      </w:r>
      <w:r>
        <w:rPr>
          <w:color w:val="000000"/>
          <w:spacing w:val="0"/>
          <w:w w:val="100"/>
          <w:position w:val="0"/>
        </w:rPr>
        <w:t xml:space="preserve">元，冲减其 </w:t>
      </w:r>
      <w:r>
        <w:rPr>
          <w:color w:val="000000"/>
          <w:spacing w:val="0"/>
          <w:w w:val="100"/>
          <w:position w:val="0"/>
        </w:rPr>
        <w:t>他应付款。</w:t>
      </w:r>
    </w:p>
    <w:p>
      <w:pPr>
        <w:pStyle w:val="Style23"/>
        <w:keepNext w:val="0"/>
        <w:keepLines w:val="0"/>
        <w:widowControl w:val="0"/>
        <w:shd w:val="clear" w:color="auto" w:fill="auto"/>
        <w:tabs>
          <w:tab w:pos="354" w:val="left"/>
        </w:tabs>
        <w:bidi w:val="0"/>
        <w:spacing w:before="0" w:after="0" w:line="240" w:lineRule="auto"/>
        <w:ind w:left="0" w:right="0" w:firstLine="0"/>
        <w:jc w:val="both"/>
      </w:pPr>
      <w:bookmarkStart w:id="1626" w:name="bookmark1626"/>
      <w:r>
        <w:rPr>
          <w:rFonts w:ascii="Times New Roman" w:eastAsia="Times New Roman" w:hAnsi="Times New Roman" w:cs="Times New Roman"/>
          <w:b/>
          <w:bCs/>
          <w:color w:val="000000"/>
          <w:spacing w:val="0"/>
          <w:w w:val="100"/>
          <w:position w:val="0"/>
        </w:rPr>
        <w:t>4</w:t>
      </w:r>
      <w:bookmarkEnd w:id="1626"/>
      <w:r>
        <w:rPr>
          <w:b/>
          <w:bCs/>
          <w:color w:val="000000"/>
          <w:spacing w:val="0"/>
          <w:w w:val="100"/>
          <w:position w:val="0"/>
        </w:rPr>
        <w:t>、</w:t>
        <w:tab/>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年度股权激励</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经本公司股东大会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rPr>
        <w:t>251</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5,026,000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w:t>
      </w:r>
      <w:r>
        <w:rPr>
          <w:i/>
          <w:iCs/>
          <w:color w:val="000000"/>
          <w:spacing w:val="0"/>
          <w:w w:val="100"/>
          <w:position w:val="0"/>
        </w:rPr>
        <w:t>，</w:t>
      </w:r>
      <w:r>
        <w:rPr>
          <w:color w:val="000000"/>
          <w:spacing w:val="0"/>
          <w:w w:val="100"/>
          <w:position w:val="0"/>
        </w:rPr>
        <w:t>授予价格</w:t>
      </w:r>
      <w:r>
        <w:rPr>
          <w:rFonts w:ascii="Times New Roman" w:eastAsia="Times New Roman" w:hAnsi="Times New Roman" w:cs="Times New Roman"/>
          <w:color w:val="000000"/>
          <w:spacing w:val="0"/>
          <w:w w:val="100"/>
          <w:position w:val="0"/>
        </w:rPr>
        <w:t>11.0</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55,336,260.00</w:t>
      </w:r>
      <w:r>
        <w:rPr>
          <w:color w:val="000000"/>
          <w:spacing w:val="0"/>
          <w:w w:val="100"/>
          <w:position w:val="0"/>
        </w:rPr>
        <w:t>元，其中，记入股本</w:t>
      </w:r>
      <w:r>
        <w:rPr>
          <w:rFonts w:ascii="Times New Roman" w:eastAsia="Times New Roman" w:hAnsi="Times New Roman" w:cs="Times New Roman"/>
          <w:color w:val="000000"/>
          <w:spacing w:val="0"/>
          <w:w w:val="100"/>
          <w:position w:val="0"/>
        </w:rPr>
        <w:t>5,026,000</w:t>
      </w:r>
      <w:r>
        <w:rPr>
          <w:color w:val="000000"/>
          <w:spacing w:val="0"/>
          <w:w w:val="100"/>
          <w:position w:val="0"/>
        </w:rPr>
        <w:t>元，记入资 本公积（股本溢价）</w:t>
      </w:r>
      <w:r>
        <w:rPr>
          <w:rFonts w:ascii="Times New Roman" w:eastAsia="Times New Roman" w:hAnsi="Times New Roman" w:cs="Times New Roman"/>
          <w:color w:val="000000"/>
          <w:spacing w:val="0"/>
          <w:w w:val="100"/>
          <w:position w:val="0"/>
        </w:rPr>
        <w:t>50,310,260.00</w:t>
      </w:r>
      <w:r>
        <w:rPr>
          <w:color w:val="000000"/>
          <w:spacing w:val="0"/>
          <w:w w:val="100"/>
          <w:position w:val="0"/>
        </w:rPr>
        <w:t>元，同时记入库存股</w:t>
      </w:r>
      <w:r>
        <w:rPr>
          <w:rFonts w:ascii="Times New Roman" w:eastAsia="Times New Roman" w:hAnsi="Times New Roman" w:cs="Times New Roman"/>
          <w:color w:val="000000"/>
          <w:spacing w:val="0"/>
          <w:w w:val="100"/>
          <w:position w:val="0"/>
        </w:rPr>
        <w:t>55,336,260.00</w:t>
      </w:r>
      <w:r>
        <w:rPr>
          <w:color w:val="000000"/>
          <w:spacing w:val="0"/>
          <w:w w:val="100"/>
          <w:position w:val="0"/>
        </w:rPr>
        <w:t>元，记入其他应付款</w:t>
      </w:r>
      <w:r>
        <w:rPr>
          <w:rFonts w:ascii="Times New Roman" w:eastAsia="Times New Roman" w:hAnsi="Times New Roman" w:cs="Times New Roman"/>
          <w:color w:val="000000"/>
          <w:spacing w:val="0"/>
          <w:w w:val="100"/>
          <w:position w:val="0"/>
        </w:rPr>
        <w:t>55,336,260.00</w:t>
      </w:r>
      <w:r>
        <w:rPr>
          <w:color w:val="000000"/>
          <w:spacing w:val="0"/>
          <w:w w:val="100"/>
          <w:position w:val="0"/>
        </w:rPr>
        <w:t>元。</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根据公司股权激励计划，激励对象获授限制性股票之日起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 到本计划规定的限制性股票的解锁条件，激励对象可在授予日起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个月后分三期分别申请解锁所获授 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50,000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550,500.00</w:t>
      </w:r>
      <w:r>
        <w:rPr>
          <w:color w:val="000000"/>
          <w:spacing w:val="0"/>
          <w:w w:val="100"/>
          <w:position w:val="0"/>
        </w:rPr>
        <w:t>元，冲减其他应付款。</w:t>
      </w:r>
    </w:p>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日，公司按照股权激励计划的规定解锁第一期限制性股票，共</w:t>
      </w:r>
      <w:r>
        <w:rPr>
          <w:rFonts w:ascii="Times New Roman" w:eastAsia="Times New Roman" w:hAnsi="Times New Roman" w:cs="Times New Roman"/>
          <w:color w:val="000000"/>
          <w:spacing w:val="0"/>
          <w:w w:val="100"/>
          <w:position w:val="0"/>
        </w:rPr>
        <w:t>1,217,100</w:t>
      </w:r>
      <w:r>
        <w:rPr>
          <w:color w:val="000000"/>
          <w:spacing w:val="0"/>
          <w:w w:val="100"/>
          <w:position w:val="0"/>
        </w:rPr>
        <w:t>股（转增前</w:t>
      </w:r>
      <w:r>
        <w:rPr>
          <w:rFonts w:ascii="Times New Roman" w:eastAsia="Times New Roman" w:hAnsi="Times New Roman" w:cs="Times New Roman"/>
          <w:color w:val="000000"/>
          <w:spacing w:val="0"/>
          <w:w w:val="100"/>
          <w:position w:val="0"/>
        </w:rPr>
        <w:t>1,217,100</w:t>
      </w:r>
      <w:r>
        <w:rPr>
          <w:color w:val="000000"/>
          <w:spacing w:val="0"/>
          <w:w w:val="100"/>
          <w:position w:val="0"/>
        </w:rPr>
        <w:t>股）</w:t>
      </w:r>
    </w:p>
    <w:p>
      <w:pPr>
        <w:pStyle w:val="Style23"/>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年，公司按照股权激励计划的规定回购了</w:t>
      </w:r>
      <w:r>
        <w:rPr>
          <w:rFonts w:ascii="Times New Roman" w:eastAsia="Times New Roman" w:hAnsi="Times New Roman" w:cs="Times New Roman"/>
          <w:color w:val="000000"/>
          <w:spacing w:val="0"/>
          <w:w w:val="100"/>
          <w:position w:val="0"/>
        </w:rPr>
        <w:t>919,000</w:t>
      </w:r>
      <w:r>
        <w:rPr>
          <w:color w:val="000000"/>
          <w:spacing w:val="0"/>
          <w:w w:val="100"/>
          <w:position w:val="0"/>
        </w:rPr>
        <w:t>股（转增前）已授予的限制性股票，共计出资</w:t>
      </w:r>
      <w:r>
        <w:rPr>
          <w:rFonts w:ascii="Times New Roman" w:eastAsia="Times New Roman" w:hAnsi="Times New Roman" w:cs="Times New Roman"/>
          <w:color w:val="000000"/>
          <w:spacing w:val="0"/>
          <w:w w:val="100"/>
          <w:position w:val="0"/>
        </w:rPr>
        <w:t>10,098,870.00</w:t>
      </w:r>
      <w:r>
        <w:rPr>
          <w:color w:val="000000"/>
          <w:spacing w:val="0"/>
          <w:w w:val="100"/>
          <w:position w:val="0"/>
        </w:rPr>
        <w:t>元，冲减其 他应付款。</w:t>
      </w:r>
    </w:p>
    <w:p>
      <w:pPr>
        <w:pStyle w:val="Style23"/>
        <w:keepNext w:val="0"/>
        <w:keepLines w:val="0"/>
        <w:widowControl w:val="0"/>
        <w:shd w:val="clear" w:color="auto" w:fill="auto"/>
        <w:tabs>
          <w:tab w:pos="354" w:val="left"/>
        </w:tabs>
        <w:bidi w:val="0"/>
        <w:spacing w:before="0" w:after="0" w:line="240" w:lineRule="auto"/>
        <w:ind w:left="0" w:right="0" w:firstLine="0"/>
        <w:jc w:val="both"/>
      </w:pPr>
      <w:bookmarkStart w:id="1627" w:name="bookmark1627"/>
      <w:r>
        <w:rPr>
          <w:rFonts w:ascii="Times New Roman" w:eastAsia="Times New Roman" w:hAnsi="Times New Roman" w:cs="Times New Roman"/>
          <w:b/>
          <w:bCs/>
          <w:color w:val="000000"/>
          <w:spacing w:val="0"/>
          <w:w w:val="100"/>
          <w:position w:val="0"/>
        </w:rPr>
        <w:t>5</w:t>
      </w:r>
      <w:bookmarkEnd w:id="1627"/>
      <w:r>
        <w:rPr>
          <w:b/>
          <w:bCs/>
          <w:color w:val="000000"/>
          <w:spacing w:val="0"/>
          <w:w w:val="100"/>
          <w:position w:val="0"/>
        </w:rPr>
        <w:t>、</w:t>
        <w:tab/>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年度股权激励</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经本公司股东大会</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日审议批准，本公司以定向发行的方式向</w:t>
      </w:r>
      <w:r>
        <w:rPr>
          <w:rFonts w:ascii="Times New Roman" w:eastAsia="Times New Roman" w:hAnsi="Times New Roman" w:cs="Times New Roman"/>
          <w:color w:val="000000"/>
          <w:spacing w:val="0"/>
          <w:w w:val="100"/>
          <w:position w:val="0"/>
        </w:rPr>
        <w:t>1039</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27,095,500 .</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元），授予价格</w:t>
      </w:r>
      <w:r>
        <w:rPr>
          <w:rFonts w:ascii="Times New Roman" w:eastAsia="Times New Roman" w:hAnsi="Times New Roman" w:cs="Times New Roman"/>
          <w:color w:val="000000"/>
          <w:spacing w:val="0"/>
          <w:w w:val="100"/>
          <w:position w:val="0"/>
        </w:rPr>
        <w:t>7.27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rPr>
        <w:t>196,984,285.00</w:t>
      </w:r>
      <w:r>
        <w:rPr>
          <w:color w:val="000000"/>
          <w:spacing w:val="0"/>
          <w:w w:val="100"/>
          <w:position w:val="0"/>
        </w:rPr>
        <w:t>元，其中，记入股本</w:t>
      </w:r>
      <w:r>
        <w:rPr>
          <w:rFonts w:ascii="Times New Roman" w:eastAsia="Times New Roman" w:hAnsi="Times New Roman" w:cs="Times New Roman"/>
          <w:color w:val="000000"/>
          <w:spacing w:val="0"/>
          <w:w w:val="100"/>
          <w:position w:val="0"/>
        </w:rPr>
        <w:t>27,095,500.00</w:t>
      </w:r>
      <w:r>
        <w:rPr>
          <w:color w:val="000000"/>
          <w:spacing w:val="0"/>
          <w:w w:val="100"/>
          <w:position w:val="0"/>
        </w:rPr>
        <w:t>元， 记入资本公积（股本溢价）</w:t>
      </w:r>
      <w:r>
        <w:rPr>
          <w:rFonts w:ascii="Times New Roman" w:eastAsia="Times New Roman" w:hAnsi="Times New Roman" w:cs="Times New Roman"/>
          <w:color w:val="000000"/>
          <w:spacing w:val="0"/>
          <w:w w:val="100"/>
          <w:position w:val="0"/>
        </w:rPr>
        <w:t>169,888,785.00</w:t>
      </w:r>
      <w:r>
        <w:rPr>
          <w:color w:val="000000"/>
          <w:spacing w:val="0"/>
          <w:w w:val="100"/>
          <w:position w:val="0"/>
        </w:rPr>
        <w:t>元，同时记入库存股</w:t>
      </w:r>
      <w:r>
        <w:rPr>
          <w:rFonts w:ascii="Times New Roman" w:eastAsia="Times New Roman" w:hAnsi="Times New Roman" w:cs="Times New Roman"/>
          <w:color w:val="000000"/>
          <w:spacing w:val="0"/>
          <w:w w:val="100"/>
          <w:position w:val="0"/>
        </w:rPr>
        <w:t>196,984,285.00</w:t>
      </w:r>
      <w:r>
        <w:rPr>
          <w:color w:val="000000"/>
          <w:spacing w:val="0"/>
          <w:w w:val="100"/>
          <w:position w:val="0"/>
        </w:rPr>
        <w:t>元，记入其他应付款</w:t>
      </w:r>
      <w:r>
        <w:rPr>
          <w:rFonts w:ascii="Times New Roman" w:eastAsia="Times New Roman" w:hAnsi="Times New Roman" w:cs="Times New Roman"/>
          <w:color w:val="000000"/>
          <w:spacing w:val="0"/>
          <w:w w:val="100"/>
          <w:position w:val="0"/>
        </w:rPr>
        <w:t>196,984,285.00</w:t>
      </w:r>
      <w:r>
        <w:rPr>
          <w:color w:val="000000"/>
          <w:spacing w:val="0"/>
          <w:w w:val="100"/>
          <w:position w:val="0"/>
        </w:rPr>
        <w:t>元。</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根据公司股权激励计划，激励对象获授限制性股票之日起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个月内为锁定期，锁定期后</w:t>
      </w:r>
      <w:r>
        <w:rPr>
          <w:rFonts w:ascii="Times New Roman" w:eastAsia="Times New Roman" w:hAnsi="Times New Roman" w:cs="Times New Roman"/>
          <w:color w:val="000000"/>
          <w:spacing w:val="0"/>
          <w:w w:val="100"/>
          <w:position w:val="0"/>
        </w:rPr>
        <w:t>36</w:t>
      </w:r>
      <w:r>
        <w:rPr>
          <w:color w:val="000000"/>
          <w:spacing w:val="0"/>
          <w:w w:val="100"/>
          <w:position w:val="0"/>
        </w:rPr>
        <w:t>个月为解锁期。在解锁期内，若达 到本计划规定的限制性股票的解锁条件，激励对象可在授予日起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个月后分三期分别申请解锁所获授 限制性股票总量的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和</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23"/>
        <w:keepNext w:val="0"/>
        <w:keepLines w:val="0"/>
        <w:widowControl w:val="0"/>
        <w:shd w:val="clear" w:color="auto" w:fill="auto"/>
        <w:bidi w:val="0"/>
        <w:spacing w:before="0" w:after="360" w:line="311"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年，公司按照股权激励计划的规定回购了 </w:t>
      </w:r>
      <w:r>
        <w:rPr>
          <w:rFonts w:ascii="Times New Roman" w:eastAsia="Times New Roman" w:hAnsi="Times New Roman" w:cs="Times New Roman"/>
          <w:color w:val="000000"/>
          <w:spacing w:val="0"/>
          <w:w w:val="100"/>
          <w:position w:val="0"/>
        </w:rPr>
        <w:t>475,000</w:t>
      </w:r>
      <w:r>
        <w:rPr>
          <w:color w:val="000000"/>
          <w:spacing w:val="0"/>
          <w:w w:val="100"/>
          <w:position w:val="0"/>
        </w:rPr>
        <w:t>股已授予的限制性股票，共计出资</w:t>
      </w:r>
      <w:r>
        <w:rPr>
          <w:rFonts w:ascii="Times New Roman" w:eastAsia="Times New Roman" w:hAnsi="Times New Roman" w:cs="Times New Roman"/>
          <w:color w:val="000000"/>
          <w:spacing w:val="0"/>
          <w:w w:val="100"/>
          <w:position w:val="0"/>
        </w:rPr>
        <w:t>3,453,250.00</w:t>
      </w:r>
      <w:r>
        <w:rPr>
          <w:color w:val="000000"/>
          <w:spacing w:val="0"/>
          <w:w w:val="100"/>
          <w:position w:val="0"/>
        </w:rPr>
        <w:t>元，冲减其他应付款。</w:t>
      </w:r>
    </w:p>
    <w:p>
      <w:pPr>
        <w:pStyle w:val="Style26"/>
        <w:keepNext/>
        <w:keepLines/>
        <w:widowControl w:val="0"/>
        <w:shd w:val="clear" w:color="auto" w:fill="auto"/>
        <w:bidi w:val="0"/>
        <w:spacing w:before="0" w:after="280" w:line="240" w:lineRule="auto"/>
        <w:ind w:left="0" w:right="0" w:firstLine="0"/>
        <w:jc w:val="both"/>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bookmarkEnd w:id="1630"/>
      <w:r>
        <w:rPr>
          <w:color w:val="000000"/>
          <w:spacing w:val="0"/>
          <w:w w:val="100"/>
          <w:position w:val="0"/>
        </w:rPr>
        <w:t>、以权益结算的股份支付情况</w:t>
      </w:r>
      <w:bookmarkEnd w:id="1628"/>
      <w:bookmarkEnd w:id="1629"/>
      <w:bookmarkEnd w:id="1631"/>
    </w:p>
    <w:p>
      <w:pPr>
        <w:pStyle w:val="Style23"/>
        <w:keepNext w:val="0"/>
        <w:keepLines w:val="0"/>
        <w:widowControl w:val="0"/>
        <w:shd w:val="clear" w:color="auto" w:fill="auto"/>
        <w:bidi w:val="0"/>
        <w:spacing w:before="0" w:after="6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60" w:line="314"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599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年度股权激励以授予日的市场价格（</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rPr>
              <w:t>日收盘价</w:t>
            </w:r>
            <w:r>
              <w:rPr>
                <w:rFonts w:ascii="Times New Roman" w:eastAsia="Times New Roman" w:hAnsi="Times New Roman" w:cs="Times New Roman"/>
                <w:color w:val="000000"/>
                <w:spacing w:val="0"/>
                <w:w w:val="100"/>
                <w:position w:val="0"/>
              </w:rPr>
              <w:t>16.36</w:t>
            </w:r>
            <w:r>
              <w:rPr>
                <w:color w:val="000000"/>
                <w:spacing w:val="0"/>
                <w:w w:val="100"/>
                <w:position w:val="0"/>
              </w:rPr>
              <w:t>元）为基础，考虑由于限售造成的股价 波动风险，扣除参照</w:t>
            </w:r>
            <w:r>
              <w:rPr>
                <w:rFonts w:ascii="Times New Roman" w:eastAsia="Times New Roman" w:hAnsi="Times New Roman" w:cs="Times New Roman"/>
                <w:color w:val="000000"/>
                <w:spacing w:val="0"/>
                <w:w w:val="100"/>
                <w:position w:val="0"/>
              </w:rPr>
              <w:t>BS</w:t>
            </w:r>
            <w:r>
              <w:rPr>
                <w:color w:val="000000"/>
                <w:spacing w:val="0"/>
                <w:w w:val="100"/>
                <w:position w:val="0"/>
              </w:rPr>
              <w:t>模型计算得出流通性折扣后得到 授予日限制性股票的公允价值。银信资产评估有限公司对 上述本公司授予的限制性股票公允价值作了评估，在授予 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个月后解锁的限制性股票 的公允价值分别为每股</w:t>
            </w:r>
            <w:r>
              <w:rPr>
                <w:rFonts w:ascii="Times New Roman" w:eastAsia="Times New Roman" w:hAnsi="Times New Roman" w:cs="Times New Roman"/>
                <w:color w:val="000000"/>
                <w:spacing w:val="0"/>
                <w:w w:val="100"/>
                <w:position w:val="0"/>
              </w:rPr>
              <w:t>12.25</w:t>
            </w:r>
            <w:r>
              <w:rPr>
                <w:color w:val="000000"/>
                <w:spacing w:val="0"/>
                <w:w w:val="100"/>
                <w:position w:val="0"/>
              </w:rPr>
              <w:t>元、</w:t>
            </w:r>
            <w:r>
              <w:rPr>
                <w:rFonts w:ascii="Times New Roman" w:eastAsia="Times New Roman" w:hAnsi="Times New Roman" w:cs="Times New Roman"/>
                <w:color w:val="000000"/>
                <w:spacing w:val="0"/>
                <w:w w:val="100"/>
                <w:position w:val="0"/>
              </w:rPr>
              <w:t>10.61</w:t>
            </w:r>
            <w:r>
              <w:rPr>
                <w:color w:val="000000"/>
                <w:spacing w:val="0"/>
                <w:w w:val="100"/>
                <w:position w:val="0"/>
              </w:rPr>
              <w:t>元、</w:t>
            </w:r>
            <w:r>
              <w:rPr>
                <w:rFonts w:ascii="Times New Roman" w:eastAsia="Times New Roman" w:hAnsi="Times New Roman" w:cs="Times New Roman"/>
                <w:color w:val="000000"/>
                <w:spacing w:val="0"/>
                <w:w w:val="100"/>
                <w:position w:val="0"/>
              </w:rPr>
              <w:t>9.41</w:t>
            </w:r>
            <w:r>
              <w:rPr>
                <w:color w:val="000000"/>
                <w:spacing w:val="0"/>
                <w:w w:val="100"/>
                <w:position w:val="0"/>
              </w:rPr>
              <w:t>元，并出 具银信评财字（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032</w:t>
            </w:r>
            <w:r>
              <w:rPr>
                <w:color w:val="000000"/>
                <w:spacing w:val="0"/>
                <w:w w:val="100"/>
                <w:position w:val="0"/>
              </w:rPr>
              <w:t>号评估报告。授予日限制性 股票的公允价值扣除授予价格</w:t>
            </w:r>
            <w:r>
              <w:rPr>
                <w:color w:val="000000"/>
                <w:spacing w:val="0"/>
                <w:w w:val="100"/>
                <w:position w:val="0"/>
              </w:rPr>
              <w:t>（</w:t>
            </w:r>
            <w:r>
              <w:rPr>
                <w:rFonts w:ascii="Times New Roman" w:eastAsia="Times New Roman" w:hAnsi="Times New Roman" w:cs="Times New Roman"/>
                <w:color w:val="000000"/>
                <w:spacing w:val="0"/>
                <w:w w:val="100"/>
                <w:position w:val="0"/>
              </w:rPr>
              <w:t>8.40</w:t>
            </w:r>
            <w:r>
              <w:rPr>
                <w:color w:val="000000"/>
                <w:spacing w:val="0"/>
                <w:w w:val="100"/>
                <w:position w:val="0"/>
              </w:rPr>
              <w:t>元）即授予日权益工 具单位公允价值。授予日权益工具单位公允价值乘以限制 性股票数量即授予日权益工具公允价值总额。具体如下： 类别公允价值第一期（授予日起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个月后解锁）</w:t>
            </w:r>
          </w:p>
          <w:p>
            <w:pPr>
              <w:pStyle w:val="Style2"/>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11,128,425.00</w:t>
            </w:r>
            <w:r>
              <w:rPr>
                <w:color w:val="000000"/>
                <w:spacing w:val="0"/>
                <w:w w:val="100"/>
                <w:position w:val="0"/>
              </w:rPr>
              <w:t>第二期（授予日起</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6,388,005.00</w:t>
            </w:r>
            <w:r>
              <w:rPr>
                <w:color w:val="000000"/>
                <w:spacing w:val="0"/>
                <w:w w:val="100"/>
                <w:position w:val="0"/>
              </w:rPr>
              <w:t>第三期（授予日起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 xml:space="preserve">3,892,540.00 </w:t>
            </w:r>
            <w:r>
              <w:rPr>
                <w:color w:val="000000"/>
                <w:spacing w:val="0"/>
                <w:w w:val="100"/>
                <w:position w:val="0"/>
              </w:rPr>
              <w:t xml:space="preserve">合计 </w:t>
            </w:r>
            <w:r>
              <w:rPr>
                <w:rFonts w:ascii="Times New Roman" w:eastAsia="Times New Roman" w:hAnsi="Times New Roman" w:cs="Times New Roman"/>
                <w:color w:val="000000"/>
                <w:spacing w:val="0"/>
                <w:w w:val="100"/>
                <w:position w:val="0"/>
              </w:rPr>
              <w:t>21,408,970.002</w:t>
            </w:r>
            <w:r>
              <w:rPr>
                <w:color w:val="000000"/>
                <w:spacing w:val="0"/>
                <w:w w:val="100"/>
                <w:position w:val="0"/>
              </w:rPr>
              <w:t>、</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年度股权 激励以授予日的市场价格（</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日收盘价</w:t>
            </w:r>
            <w:r>
              <w:rPr>
                <w:rFonts w:ascii="Times New Roman" w:eastAsia="Times New Roman" w:hAnsi="Times New Roman" w:cs="Times New Roman"/>
                <w:color w:val="000000"/>
                <w:spacing w:val="0"/>
                <w:w w:val="100"/>
                <w:position w:val="0"/>
              </w:rPr>
              <w:t xml:space="preserve">17.90 </w:t>
            </w:r>
            <w:r>
              <w:rPr>
                <w:color w:val="000000"/>
                <w:spacing w:val="0"/>
                <w:w w:val="100"/>
                <w:position w:val="0"/>
              </w:rPr>
              <w:t>元）为基础，考虑由于限售造成的股价波动风险，扣除参 照</w:t>
            </w:r>
            <w:r>
              <w:rPr>
                <w:rFonts w:ascii="Times New Roman" w:eastAsia="Times New Roman" w:hAnsi="Times New Roman" w:cs="Times New Roman"/>
                <w:color w:val="000000"/>
                <w:spacing w:val="0"/>
                <w:w w:val="100"/>
                <w:position w:val="0"/>
              </w:rPr>
              <w:t>BS</w:t>
            </w:r>
            <w:r>
              <w:rPr>
                <w:color w:val="000000"/>
                <w:spacing w:val="0"/>
                <w:w w:val="100"/>
                <w:position w:val="0"/>
              </w:rPr>
              <w:t>模型计算得出流通性折扣后得到授予日限制性股票 的公允价值。银信资产评估有限公司对上述本公司授予的</w:t>
            </w:r>
          </w:p>
        </w:tc>
      </w:tr>
    </w:tbl>
    <w:p>
      <w:pPr>
        <w:pStyle w:val="Style23"/>
        <w:keepNext w:val="0"/>
        <w:keepLines w:val="0"/>
        <w:widowControl w:val="0"/>
        <w:pBdr>
          <w:top w:val="single" w:sz="0" w:space="3" w:color="D3D3D3"/>
          <w:left w:val="single" w:sz="0" w:space="0" w:color="D3D3D3"/>
          <w:bottom w:val="single" w:sz="0" w:space="2" w:color="D3D3D3"/>
          <w:right w:val="single" w:sz="0" w:space="0" w:color="D3D3D3"/>
        </w:pBdr>
        <w:shd w:val="clear" w:color="auto" w:fill="D3D3D3"/>
        <w:bidi w:val="0"/>
        <w:spacing w:before="0" w:after="0" w:line="312" w:lineRule="exact"/>
        <w:ind w:left="5040" w:right="0" w:firstLine="0"/>
        <w:jc w:val="both"/>
      </w:pPr>
      <w:r>
        <w:rPr>
          <w:color w:val="000000"/>
          <w:spacing w:val="0"/>
          <w:w w:val="100"/>
          <w:position w:val="0"/>
        </w:rPr>
        <w:t>限制性股票公允价值作了评估，在授予日起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个月后解锁的限制性股票的公允价值分别为每 股</w:t>
      </w:r>
      <w:r>
        <w:rPr>
          <w:rFonts w:ascii="Times New Roman" w:eastAsia="Times New Roman" w:hAnsi="Times New Roman" w:cs="Times New Roman"/>
          <w:color w:val="000000"/>
          <w:spacing w:val="0"/>
          <w:w w:val="100"/>
          <w:position w:val="0"/>
        </w:rPr>
        <w:t>11.33</w:t>
      </w:r>
      <w:r>
        <w:rPr>
          <w:color w:val="000000"/>
          <w:spacing w:val="0"/>
          <w:w w:val="100"/>
          <w:position w:val="0"/>
        </w:rPr>
        <w:t>元、</w:t>
      </w:r>
      <w:r>
        <w:rPr>
          <w:rFonts w:ascii="Times New Roman" w:eastAsia="Times New Roman" w:hAnsi="Times New Roman" w:cs="Times New Roman"/>
          <w:color w:val="000000"/>
          <w:spacing w:val="0"/>
          <w:w w:val="100"/>
          <w:position w:val="0"/>
        </w:rPr>
        <w:t>10.94</w:t>
      </w:r>
      <w:r>
        <w:rPr>
          <w:color w:val="000000"/>
          <w:spacing w:val="0"/>
          <w:w w:val="100"/>
          <w:position w:val="0"/>
        </w:rPr>
        <w:t>元、</w:t>
      </w:r>
      <w:r>
        <w:rPr>
          <w:rFonts w:ascii="Times New Roman" w:eastAsia="Times New Roman" w:hAnsi="Times New Roman" w:cs="Times New Roman"/>
          <w:color w:val="000000"/>
          <w:spacing w:val="0"/>
          <w:w w:val="100"/>
          <w:position w:val="0"/>
        </w:rPr>
        <w:t>10.13</w:t>
      </w:r>
      <w:r>
        <w:rPr>
          <w:color w:val="000000"/>
          <w:spacing w:val="0"/>
          <w:w w:val="100"/>
          <w:position w:val="0"/>
        </w:rPr>
        <w:t>元，并出具银信评财字（</w:t>
      </w:r>
      <w:r>
        <w:rPr>
          <w:rFonts w:ascii="Times New Roman" w:eastAsia="Times New Roman" w:hAnsi="Times New Roman" w:cs="Times New Roman"/>
          <w:color w:val="000000"/>
          <w:spacing w:val="0"/>
          <w:w w:val="100"/>
          <w:position w:val="0"/>
        </w:rPr>
        <w:t>2014</w:t>
      </w:r>
      <w:r>
        <w:rPr>
          <w:color w:val="000000"/>
          <w:spacing w:val="0"/>
          <w:w w:val="100"/>
          <w:position w:val="0"/>
        </w:rPr>
        <w:t>） 第</w:t>
      </w:r>
      <w:r>
        <w:rPr>
          <w:rFonts w:ascii="Times New Roman" w:eastAsia="Times New Roman" w:hAnsi="Times New Roman" w:cs="Times New Roman"/>
          <w:color w:val="000000"/>
          <w:spacing w:val="0"/>
          <w:w w:val="100"/>
          <w:position w:val="0"/>
        </w:rPr>
        <w:t>060</w:t>
      </w:r>
      <w:r>
        <w:rPr>
          <w:color w:val="000000"/>
          <w:spacing w:val="0"/>
          <w:w w:val="100"/>
          <w:position w:val="0"/>
        </w:rPr>
        <w:t>号评估报告。授予日限制性股票的公允价值扣除授 予价格（</w:t>
      </w:r>
      <w:r>
        <w:rPr>
          <w:rFonts w:ascii="Times New Roman" w:eastAsia="Times New Roman" w:hAnsi="Times New Roman" w:cs="Times New Roman"/>
          <w:color w:val="000000"/>
          <w:spacing w:val="0"/>
          <w:w w:val="100"/>
          <w:position w:val="0"/>
        </w:rPr>
        <w:t>7.82</w:t>
      </w:r>
      <w:r>
        <w:rPr>
          <w:color w:val="000000"/>
          <w:spacing w:val="0"/>
          <w:w w:val="100"/>
          <w:position w:val="0"/>
        </w:rPr>
        <w:t>元）即授予日权益工具单位公允价值。授予 日权益工具单位公允价值乘以限制性股票数量即授予日权 益工具公允价值总额。具体如下：类别 公允价值第一 期（授予日起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个月后解锁）</w:t>
      </w:r>
      <w:r>
        <w:rPr>
          <w:rFonts w:ascii="Times New Roman" w:eastAsia="Times New Roman" w:hAnsi="Times New Roman" w:cs="Times New Roman"/>
          <w:color w:val="000000"/>
          <w:spacing w:val="0"/>
          <w:w w:val="100"/>
          <w:position w:val="0"/>
        </w:rPr>
        <w:t>5,818,878.00</w:t>
      </w:r>
      <w:r>
        <w:rPr>
          <w:color w:val="000000"/>
          <w:spacing w:val="0"/>
          <w:w w:val="100"/>
          <w:position w:val="0"/>
        </w:rPr>
        <w:t>第二期（授予 日起</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5,172,336.00</w:t>
      </w:r>
      <w:r>
        <w:rPr>
          <w:color w:val="000000"/>
          <w:spacing w:val="0"/>
          <w:w w:val="100"/>
          <w:position w:val="0"/>
        </w:rPr>
        <w:t xml:space="preserve">第三期（授予日起 </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5,106,024.00</w:t>
      </w:r>
      <w:r>
        <w:rPr>
          <w:color w:val="000000"/>
          <w:spacing w:val="0"/>
          <w:w w:val="100"/>
          <w:position w:val="0"/>
        </w:rPr>
        <w:t>合计</w:t>
      </w:r>
    </w:p>
    <w:p>
      <w:pPr>
        <w:pStyle w:val="Style23"/>
        <w:keepNext w:val="0"/>
        <w:keepLines w:val="0"/>
        <w:widowControl w:val="0"/>
        <w:pBdr>
          <w:top w:val="single" w:sz="0" w:space="3" w:color="D3D3D3"/>
          <w:left w:val="single" w:sz="0" w:space="0" w:color="D3D3D3"/>
          <w:bottom w:val="single" w:sz="0" w:space="2" w:color="D3D3D3"/>
          <w:right w:val="single" w:sz="0" w:space="0" w:color="D3D3D3"/>
        </w:pBdr>
        <w:shd w:val="clear" w:color="auto" w:fill="D3D3D3"/>
        <w:bidi w:val="0"/>
        <w:spacing w:before="0" w:after="0" w:line="312" w:lineRule="exact"/>
        <w:ind w:left="5040" w:right="0" w:firstLine="420"/>
        <w:jc w:val="both"/>
      </w:pPr>
      <w:r>
        <w:rPr>
          <w:rFonts w:ascii="Times New Roman" w:eastAsia="Times New Roman" w:hAnsi="Times New Roman" w:cs="Times New Roman"/>
          <w:color w:val="000000"/>
          <w:spacing w:val="0"/>
          <w:w w:val="100"/>
          <w:position w:val="0"/>
        </w:rPr>
        <w:t>16,097,238.003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年度股权激励以授予日的市场 价格（</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日收盘价</w:t>
      </w:r>
      <w:r>
        <w:rPr>
          <w:rFonts w:ascii="Times New Roman" w:eastAsia="Times New Roman" w:hAnsi="Times New Roman" w:cs="Times New Roman"/>
          <w:color w:val="000000"/>
          <w:spacing w:val="0"/>
          <w:w w:val="100"/>
          <w:position w:val="0"/>
        </w:rPr>
        <w:t>13.92</w:t>
      </w:r>
      <w:r>
        <w:rPr>
          <w:color w:val="000000"/>
          <w:spacing w:val="0"/>
          <w:w w:val="100"/>
          <w:position w:val="0"/>
        </w:rPr>
        <w:t>元）为基础，考虑 由于限售造成的股价波动风险，扣除参照</w:t>
      </w:r>
      <w:r>
        <w:rPr>
          <w:rFonts w:ascii="Times New Roman" w:eastAsia="Times New Roman" w:hAnsi="Times New Roman" w:cs="Times New Roman"/>
          <w:color w:val="000000"/>
          <w:spacing w:val="0"/>
          <w:w w:val="100"/>
          <w:position w:val="0"/>
        </w:rPr>
        <w:t>BS</w:t>
      </w:r>
      <w:r>
        <w:rPr>
          <w:color w:val="000000"/>
          <w:spacing w:val="0"/>
          <w:w w:val="100"/>
          <w:position w:val="0"/>
        </w:rPr>
        <w:t>模型计算得 出流通性折扣后得到授予日限制性股票的公允价值。银信 资产评估有限公司对上述本公司授予的限制性股票公允价 值作了评估，在授予日起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 后解锁的限制性股票的公允价值分别为每股</w:t>
      </w:r>
      <w:r>
        <w:rPr>
          <w:rFonts w:ascii="Times New Roman" w:eastAsia="Times New Roman" w:hAnsi="Times New Roman" w:cs="Times New Roman"/>
          <w:color w:val="000000"/>
          <w:spacing w:val="0"/>
          <w:w w:val="100"/>
          <w:position w:val="0"/>
        </w:rPr>
        <w:t>9.79</w:t>
      </w:r>
      <w:r>
        <w:rPr>
          <w:color w:val="000000"/>
          <w:spacing w:val="0"/>
          <w:w w:val="100"/>
          <w:position w:val="0"/>
        </w:rPr>
        <w:t>元、</w:t>
      </w:r>
      <w:r>
        <w:rPr>
          <w:rFonts w:ascii="Times New Roman" w:eastAsia="Times New Roman" w:hAnsi="Times New Roman" w:cs="Times New Roman"/>
          <w:color w:val="000000"/>
          <w:spacing w:val="0"/>
          <w:w w:val="100"/>
          <w:position w:val="0"/>
        </w:rPr>
        <w:t xml:space="preserve">8.23 </w:t>
      </w:r>
      <w:r>
        <w:rPr>
          <w:color w:val="000000"/>
          <w:spacing w:val="0"/>
          <w:w w:val="100"/>
          <w:position w:val="0"/>
        </w:rPr>
        <w:t>元、</w:t>
      </w:r>
      <w:r>
        <w:rPr>
          <w:rFonts w:ascii="Times New Roman" w:eastAsia="Times New Roman" w:hAnsi="Times New Roman" w:cs="Times New Roman"/>
          <w:color w:val="000000"/>
          <w:spacing w:val="0"/>
          <w:w w:val="100"/>
          <w:position w:val="0"/>
        </w:rPr>
        <w:t>7.64</w:t>
      </w:r>
      <w:r>
        <w:rPr>
          <w:color w:val="000000"/>
          <w:spacing w:val="0"/>
          <w:w w:val="100"/>
          <w:position w:val="0"/>
        </w:rPr>
        <w:t>元，并出具银信评财字（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062</w:t>
      </w:r>
      <w:r>
        <w:rPr>
          <w:color w:val="000000"/>
          <w:spacing w:val="0"/>
          <w:w w:val="100"/>
          <w:position w:val="0"/>
        </w:rPr>
        <w:t>号评估报 告。授予日限制性股票的公允价值扣除授予价格</w:t>
      </w:r>
      <w:r>
        <w:rPr>
          <w:color w:val="000000"/>
          <w:spacing w:val="0"/>
          <w:w w:val="100"/>
          <w:position w:val="0"/>
        </w:rPr>
        <w:t>（</w:t>
      </w:r>
      <w:r>
        <w:rPr>
          <w:rFonts w:ascii="Times New Roman" w:eastAsia="Times New Roman" w:hAnsi="Times New Roman" w:cs="Times New Roman"/>
          <w:color w:val="000000"/>
          <w:spacing w:val="0"/>
          <w:w w:val="100"/>
          <w:position w:val="0"/>
        </w:rPr>
        <w:t>6.50</w:t>
      </w:r>
      <w:r>
        <w:rPr>
          <w:color w:val="000000"/>
          <w:spacing w:val="0"/>
          <w:w w:val="100"/>
          <w:position w:val="0"/>
        </w:rPr>
        <w:t>元） 即授予日权益工具单位公允价值。授予日权益工具单位公 允价值乘以限制性股票数量即授予日权益工具公允价值总 额。具体如下：类别公允价值第一期（授予日起</w:t>
      </w:r>
      <w:r>
        <w:rPr>
          <w:rFonts w:ascii="Times New Roman" w:eastAsia="Times New Roman" w:hAnsi="Times New Roman" w:cs="Times New Roman"/>
          <w:color w:val="000000"/>
          <w:spacing w:val="0"/>
          <w:w w:val="100"/>
          <w:position w:val="0"/>
        </w:rPr>
        <w:t>12</w:t>
      </w:r>
      <w:r>
        <w:rPr>
          <w:color w:val="000000"/>
          <w:spacing w:val="0"/>
          <w:w w:val="100"/>
          <w:position w:val="0"/>
        </w:rPr>
        <w:t>个月 后解锁）</w:t>
      </w:r>
      <w:r>
        <w:rPr>
          <w:rFonts w:ascii="Times New Roman" w:eastAsia="Times New Roman" w:hAnsi="Times New Roman" w:cs="Times New Roman"/>
          <w:color w:val="000000"/>
          <w:spacing w:val="0"/>
          <w:w w:val="100"/>
          <w:position w:val="0"/>
        </w:rPr>
        <w:t>12,530,952.00</w:t>
      </w:r>
      <w:r>
        <w:rPr>
          <w:color w:val="000000"/>
          <w:spacing w:val="0"/>
          <w:w w:val="100"/>
          <w:position w:val="0"/>
        </w:rPr>
        <w:t>第二期（授予日起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个月后解锁）</w:t>
      </w:r>
    </w:p>
    <w:p>
      <w:pPr>
        <w:pStyle w:val="Style23"/>
        <w:keepNext w:val="0"/>
        <w:keepLines w:val="0"/>
        <w:widowControl w:val="0"/>
        <w:pBdr>
          <w:top w:val="single" w:sz="0" w:space="3" w:color="D3D3D3"/>
          <w:left w:val="single" w:sz="0" w:space="0" w:color="D3D3D3"/>
          <w:bottom w:val="single" w:sz="0" w:space="2" w:color="D3D3D3"/>
          <w:right w:val="single" w:sz="0" w:space="0" w:color="D3D3D3"/>
        </w:pBdr>
        <w:shd w:val="clear" w:color="auto" w:fill="D3D3D3"/>
        <w:bidi w:val="0"/>
        <w:spacing w:before="0" w:after="0" w:line="312" w:lineRule="exact"/>
        <w:ind w:left="5040" w:right="0" w:firstLine="420"/>
        <w:jc w:val="both"/>
      </w:pPr>
      <w:r>
        <w:rPr>
          <w:rFonts w:ascii="Times New Roman" w:eastAsia="Times New Roman" w:hAnsi="Times New Roman" w:cs="Times New Roman"/>
          <w:color w:val="000000"/>
          <w:spacing w:val="0"/>
          <w:w w:val="100"/>
          <w:position w:val="0"/>
        </w:rPr>
        <w:t>6,589,224.00</w:t>
      </w:r>
      <w:r>
        <w:rPr>
          <w:color w:val="000000"/>
          <w:spacing w:val="0"/>
          <w:w w:val="100"/>
          <w:position w:val="0"/>
        </w:rPr>
        <w:t>第三期（授予日起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个月后解锁）</w:t>
      </w:r>
    </w:p>
    <w:p>
      <w:pPr>
        <w:pStyle w:val="Style23"/>
        <w:keepNext w:val="0"/>
        <w:keepLines w:val="0"/>
        <w:widowControl w:val="0"/>
        <w:pBdr>
          <w:top w:val="single" w:sz="0" w:space="3" w:color="D3D3D3"/>
          <w:left w:val="single" w:sz="0" w:space="0" w:color="D3D3D3"/>
          <w:bottom w:val="single" w:sz="0" w:space="2" w:color="D3D3D3"/>
          <w:right w:val="single" w:sz="0" w:space="0" w:color="D3D3D3"/>
        </w:pBdr>
        <w:shd w:val="clear" w:color="auto" w:fill="D3D3D3"/>
        <w:bidi w:val="0"/>
        <w:spacing w:before="0" w:after="0" w:line="312" w:lineRule="exact"/>
        <w:ind w:left="5040" w:right="0" w:firstLine="420"/>
        <w:jc w:val="both"/>
      </w:pPr>
      <w:r>
        <w:rPr>
          <w:rFonts w:ascii="Times New Roman" w:eastAsia="Times New Roman" w:hAnsi="Times New Roman" w:cs="Times New Roman"/>
          <w:color w:val="000000"/>
          <w:spacing w:val="0"/>
          <w:w w:val="100"/>
          <w:position w:val="0"/>
        </w:rPr>
        <w:t xml:space="preserve">5,789,376.00 </w:t>
      </w:r>
      <w:r>
        <w:rPr>
          <w:color w:val="000000"/>
          <w:spacing w:val="0"/>
          <w:w w:val="100"/>
          <w:position w:val="0"/>
        </w:rPr>
        <w:t xml:space="preserve">合计 </w:t>
      </w:r>
      <w:r>
        <w:rPr>
          <w:rFonts w:ascii="Times New Roman" w:eastAsia="Times New Roman" w:hAnsi="Times New Roman" w:cs="Times New Roman"/>
          <w:color w:val="000000"/>
          <w:spacing w:val="0"/>
          <w:w w:val="100"/>
          <w:position w:val="0"/>
        </w:rPr>
        <w:t>24,909,552.003</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年度股权 激励以授予日的市场价格（</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日收盘价</w:t>
      </w:r>
      <w:r>
        <w:rPr>
          <w:rFonts w:ascii="Times New Roman" w:eastAsia="Times New Roman" w:hAnsi="Times New Roman" w:cs="Times New Roman"/>
          <w:color w:val="000000"/>
          <w:spacing w:val="0"/>
          <w:w w:val="100"/>
          <w:position w:val="0"/>
        </w:rPr>
        <w:t xml:space="preserve">17.35 </w:t>
      </w:r>
      <w:r>
        <w:rPr>
          <w:color w:val="000000"/>
          <w:spacing w:val="0"/>
          <w:w w:val="100"/>
          <w:position w:val="0"/>
        </w:rPr>
        <w:t>元）为基础，考虑由于限售造成的股价波动风险，扣除参 照</w:t>
      </w:r>
      <w:r>
        <w:rPr>
          <w:rFonts w:ascii="Times New Roman" w:eastAsia="Times New Roman" w:hAnsi="Times New Roman" w:cs="Times New Roman"/>
          <w:color w:val="000000"/>
          <w:spacing w:val="0"/>
          <w:w w:val="100"/>
          <w:position w:val="0"/>
        </w:rPr>
        <w:t>BS</w:t>
      </w:r>
      <w:r>
        <w:rPr>
          <w:color w:val="000000"/>
          <w:spacing w:val="0"/>
          <w:w w:val="100"/>
          <w:position w:val="0"/>
        </w:rPr>
        <w:t>模型计算得出流通性折扣后得到授予日限制性股票 的公允价值。银信资产评估有限公司对上述本公司授予的 限制性股票公允价值作了评估，在授予日起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个月后解锁的限制性股票的公允价值分别为每 股</w:t>
      </w:r>
      <w:r>
        <w:rPr>
          <w:rFonts w:ascii="Times New Roman" w:eastAsia="Times New Roman" w:hAnsi="Times New Roman" w:cs="Times New Roman"/>
          <w:color w:val="000000"/>
          <w:spacing w:val="0"/>
          <w:w w:val="100"/>
          <w:position w:val="0"/>
        </w:rPr>
        <w:t>9.48</w:t>
      </w:r>
      <w:r>
        <w:rPr>
          <w:color w:val="000000"/>
          <w:spacing w:val="0"/>
          <w:w w:val="100"/>
          <w:position w:val="0"/>
        </w:rPr>
        <w:t>元、</w:t>
      </w:r>
      <w:r>
        <w:rPr>
          <w:rFonts w:ascii="Times New Roman" w:eastAsia="Times New Roman" w:hAnsi="Times New Roman" w:cs="Times New Roman"/>
          <w:color w:val="000000"/>
          <w:spacing w:val="0"/>
          <w:w w:val="100"/>
          <w:position w:val="0"/>
        </w:rPr>
        <w:t>8.77</w:t>
      </w:r>
      <w:r>
        <w:rPr>
          <w:color w:val="000000"/>
          <w:spacing w:val="0"/>
          <w:w w:val="100"/>
          <w:position w:val="0"/>
        </w:rPr>
        <w:t>元、</w:t>
      </w:r>
      <w:r>
        <w:rPr>
          <w:rFonts w:ascii="Times New Roman" w:eastAsia="Times New Roman" w:hAnsi="Times New Roman" w:cs="Times New Roman"/>
          <w:color w:val="000000"/>
          <w:spacing w:val="0"/>
          <w:w w:val="100"/>
          <w:position w:val="0"/>
        </w:rPr>
        <w:t>8.21</w:t>
      </w:r>
      <w:r>
        <w:rPr>
          <w:color w:val="000000"/>
          <w:spacing w:val="0"/>
          <w:w w:val="100"/>
          <w:position w:val="0"/>
        </w:rPr>
        <w:t>元，并出具银信财报字（</w:t>
      </w:r>
      <w:r>
        <w:rPr>
          <w:rFonts w:ascii="Times New Roman" w:eastAsia="Times New Roman" w:hAnsi="Times New Roman" w:cs="Times New Roman"/>
          <w:color w:val="000000"/>
          <w:spacing w:val="0"/>
          <w:w w:val="100"/>
          <w:position w:val="0"/>
        </w:rPr>
        <w:t>2015</w:t>
      </w:r>
      <w:r>
        <w:rPr>
          <w:color w:val="000000"/>
          <w:spacing w:val="0"/>
          <w:w w:val="100"/>
          <w:position w:val="0"/>
        </w:rPr>
        <w:t>） 第</w:t>
      </w:r>
      <w:r>
        <w:rPr>
          <w:rFonts w:ascii="Times New Roman" w:eastAsia="Times New Roman" w:hAnsi="Times New Roman" w:cs="Times New Roman"/>
          <w:color w:val="000000"/>
          <w:spacing w:val="0"/>
          <w:w w:val="100"/>
          <w:position w:val="0"/>
        </w:rPr>
        <w:t>096</w:t>
      </w:r>
      <w:r>
        <w:rPr>
          <w:color w:val="000000"/>
          <w:spacing w:val="0"/>
          <w:w w:val="100"/>
          <w:position w:val="0"/>
        </w:rPr>
        <w:t>号评估报告。授予日限制性股票的公允价值扣除授 予价格（</w:t>
      </w:r>
      <w:r>
        <w:rPr>
          <w:rFonts w:ascii="Times New Roman" w:eastAsia="Times New Roman" w:hAnsi="Times New Roman" w:cs="Times New Roman"/>
          <w:color w:val="000000"/>
          <w:spacing w:val="0"/>
          <w:w w:val="100"/>
          <w:position w:val="0"/>
        </w:rPr>
        <w:t>11.01</w:t>
      </w:r>
      <w:r>
        <w:rPr>
          <w:color w:val="000000"/>
          <w:spacing w:val="0"/>
          <w:w w:val="100"/>
          <w:position w:val="0"/>
        </w:rPr>
        <w:t>元）已低于授予日权益工具单位公允价值， 按零计算。</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年度股权激励以授予日的市场价格（</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日收盘价</w:t>
      </w:r>
      <w:r>
        <w:rPr>
          <w:rFonts w:ascii="Times New Roman" w:eastAsia="Times New Roman" w:hAnsi="Times New Roman" w:cs="Times New Roman"/>
          <w:color w:val="000000"/>
          <w:spacing w:val="0"/>
          <w:w w:val="100"/>
          <w:position w:val="0"/>
        </w:rPr>
        <w:t>14.89</w:t>
      </w:r>
      <w:r>
        <w:rPr>
          <w:color w:val="000000"/>
          <w:spacing w:val="0"/>
          <w:w w:val="100"/>
          <w:position w:val="0"/>
        </w:rPr>
        <w:t>元）为基础，考虑由于限售造成 的股价波动风险，扣除参照</w:t>
      </w:r>
      <w:r>
        <w:rPr>
          <w:rFonts w:ascii="Times New Roman" w:eastAsia="Times New Roman" w:hAnsi="Times New Roman" w:cs="Times New Roman"/>
          <w:color w:val="000000"/>
          <w:spacing w:val="0"/>
          <w:w w:val="100"/>
          <w:position w:val="0"/>
        </w:rPr>
        <w:t>BS</w:t>
      </w:r>
      <w:r>
        <w:rPr>
          <w:color w:val="000000"/>
          <w:spacing w:val="0"/>
          <w:w w:val="100"/>
          <w:position w:val="0"/>
        </w:rPr>
        <w:t>模型计算得出流通性折扣 后得到授予日限制性股票的公允价值。银信资产评估有限 公司对上述本公司授予的限制性股票公允价值作了评估， 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w:t>
      </w:r>
      <w:r>
        <w:rPr>
          <w:rFonts w:ascii="Times New Roman" w:eastAsia="Times New Roman" w:hAnsi="Times New Roman" w:cs="Times New Roman"/>
          <w:color w:val="000000"/>
          <w:spacing w:val="0"/>
          <w:w w:val="100"/>
          <w:position w:val="0"/>
        </w:rPr>
        <w:t>36</w:t>
      </w:r>
      <w:r>
        <w:rPr>
          <w:color w:val="000000"/>
          <w:spacing w:val="0"/>
          <w:w w:val="100"/>
          <w:position w:val="0"/>
        </w:rPr>
        <w:t>个月后解锁的限制 性股票的公允价值分别为每股</w:t>
      </w:r>
      <w:r>
        <w:rPr>
          <w:rFonts w:ascii="Times New Roman" w:eastAsia="Times New Roman" w:hAnsi="Times New Roman" w:cs="Times New Roman"/>
          <w:color w:val="000000"/>
          <w:spacing w:val="0"/>
          <w:w w:val="100"/>
          <w:position w:val="0"/>
        </w:rPr>
        <w:t>9.27</w:t>
      </w:r>
      <w:r>
        <w:rPr>
          <w:color w:val="000000"/>
          <w:spacing w:val="0"/>
          <w:w w:val="100"/>
          <w:position w:val="0"/>
        </w:rPr>
        <w:t>元、</w:t>
      </w:r>
      <w:r>
        <w:rPr>
          <w:rFonts w:ascii="Times New Roman" w:eastAsia="Times New Roman" w:hAnsi="Times New Roman" w:cs="Times New Roman"/>
          <w:color w:val="000000"/>
          <w:spacing w:val="0"/>
          <w:w w:val="100"/>
          <w:position w:val="0"/>
        </w:rPr>
        <w:t>7.58</w:t>
      </w:r>
      <w:r>
        <w:rPr>
          <w:color w:val="000000"/>
          <w:spacing w:val="0"/>
          <w:w w:val="100"/>
          <w:position w:val="0"/>
        </w:rPr>
        <w:t>元、</w:t>
      </w:r>
      <w:r>
        <w:rPr>
          <w:rFonts w:ascii="Times New Roman" w:eastAsia="Times New Roman" w:hAnsi="Times New Roman" w:cs="Times New Roman"/>
          <w:color w:val="000000"/>
          <w:spacing w:val="0"/>
          <w:w w:val="100"/>
          <w:position w:val="0"/>
        </w:rPr>
        <w:t>7.16</w:t>
      </w:r>
      <w:r>
        <w:rPr>
          <w:color w:val="000000"/>
          <w:spacing w:val="0"/>
          <w:w w:val="100"/>
          <w:position w:val="0"/>
        </w:rPr>
        <w:t>元， 并出具银信财报字（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127</w:t>
      </w:r>
      <w:r>
        <w:rPr>
          <w:color w:val="000000"/>
          <w:spacing w:val="0"/>
          <w:w w:val="100"/>
          <w:position w:val="0"/>
        </w:rPr>
        <w:t>号评估报告。授予日限 制性股票的公允价值扣除授予价格</w:t>
      </w:r>
      <w:r>
        <w:rPr>
          <w:color w:val="000000"/>
          <w:spacing w:val="0"/>
          <w:w w:val="100"/>
          <w:position w:val="0"/>
        </w:rPr>
        <w:t>（</w:t>
      </w:r>
      <w:r>
        <w:rPr>
          <w:rFonts w:ascii="Times New Roman" w:eastAsia="Times New Roman" w:hAnsi="Times New Roman" w:cs="Times New Roman"/>
          <w:color w:val="000000"/>
          <w:spacing w:val="0"/>
          <w:w w:val="100"/>
          <w:position w:val="0"/>
        </w:rPr>
        <w:t>7.27</w:t>
      </w:r>
      <w:r>
        <w:rPr>
          <w:color w:val="000000"/>
          <w:spacing w:val="0"/>
          <w:w w:val="100"/>
          <w:position w:val="0"/>
        </w:rPr>
        <w:t>元）即授予日权 益工具公允价值总额。授予日权益工具单位公允价值乘以</w:t>
      </w:r>
      <w:r>
        <w:br w:type="page"/>
      </w:r>
    </w:p>
    <w:tbl>
      <w:tblPr>
        <w:tblOverlap w:val="never"/>
        <w:jc w:val="center"/>
        <w:tblLayout w:type="fixed"/>
      </w:tblPr>
      <w:tblGrid>
        <w:gridCol w:w="4987"/>
        <w:gridCol w:w="4594"/>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限制性股票数量即授予日权益工具公允价值总额。具体如 下：类别公允价值第一期（授予日起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16,257,300.00</w:t>
            </w:r>
            <w:r>
              <w:rPr>
                <w:color w:val="000000"/>
                <w:spacing w:val="0"/>
                <w:w w:val="100"/>
                <w:position w:val="0"/>
              </w:rPr>
              <w:t>第二期（授予日起</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个月后解锁） </w:t>
            </w:r>
            <w:r>
              <w:rPr>
                <w:rFonts w:ascii="Times New Roman" w:eastAsia="Times New Roman" w:hAnsi="Times New Roman" w:cs="Times New Roman"/>
                <w:color w:val="000000"/>
                <w:spacing w:val="0"/>
                <w:w w:val="100"/>
                <w:position w:val="0"/>
              </w:rPr>
              <w:t>2,519,881.50</w:t>
            </w:r>
            <w:r>
              <w:rPr>
                <w:color w:val="000000"/>
                <w:spacing w:val="0"/>
                <w:w w:val="100"/>
                <w:position w:val="0"/>
              </w:rPr>
              <w:t>第三期（授予日起</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个月后解锁） 合计 </w:t>
            </w:r>
            <w:r>
              <w:rPr>
                <w:rFonts w:ascii="Times New Roman" w:eastAsia="Times New Roman" w:hAnsi="Times New Roman" w:cs="Times New Roman"/>
                <w:color w:val="000000"/>
                <w:spacing w:val="0"/>
                <w:w w:val="100"/>
                <w:position w:val="0"/>
              </w:rPr>
              <w:t>18,777,181.50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75,681,024.48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13,265,264.48</w:t>
            </w:r>
          </w:p>
        </w:tc>
      </w:tr>
    </w:tbl>
    <w:p>
      <w:pPr>
        <w:widowControl w:val="0"/>
        <w:spacing w:after="659" w:line="1" w:lineRule="exact"/>
      </w:pPr>
    </w:p>
    <w:p>
      <w:pPr>
        <w:pStyle w:val="Style26"/>
        <w:keepNext/>
        <w:keepLines/>
        <w:widowControl w:val="0"/>
        <w:shd w:val="clear" w:color="auto" w:fill="auto"/>
        <w:tabs>
          <w:tab w:pos="382" w:val="left"/>
        </w:tabs>
        <w:bidi w:val="0"/>
        <w:spacing w:before="0" w:line="240" w:lineRule="auto"/>
        <w:ind w:left="0" w:right="0" w:firstLine="0"/>
        <w:jc w:val="both"/>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3</w:t>
      </w:r>
      <w:bookmarkEnd w:id="1634"/>
      <w:r>
        <w:rPr>
          <w:color w:val="000000"/>
          <w:spacing w:val="0"/>
          <w:w w:val="100"/>
          <w:position w:val="0"/>
        </w:rPr>
        <w:t>、</w:t>
        <w:tab/>
        <w:t>以现金结算的股份支付情况</w:t>
      </w:r>
      <w:bookmarkEnd w:id="1632"/>
      <w:bookmarkEnd w:id="1633"/>
      <w:bookmarkEnd w:id="1635"/>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382" w:val="left"/>
        </w:tabs>
        <w:bidi w:val="0"/>
        <w:spacing w:before="0" w:line="240" w:lineRule="auto"/>
        <w:ind w:left="0" w:right="0" w:firstLine="0"/>
        <w:jc w:val="both"/>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color w:val="000000"/>
          <w:spacing w:val="0"/>
          <w:w w:val="100"/>
          <w:position w:val="0"/>
        </w:rPr>
        <w:t>、</w:t>
        <w:tab/>
        <w:t>股份支付的修改、终止情况</w:t>
      </w:r>
      <w:bookmarkEnd w:id="1636"/>
      <w:bookmarkEnd w:id="1637"/>
      <w:bookmarkEnd w:id="1639"/>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6"/>
        <w:keepNext/>
        <w:keepLines/>
        <w:widowControl w:val="0"/>
        <w:shd w:val="clear" w:color="auto" w:fill="auto"/>
        <w:tabs>
          <w:tab w:pos="382" w:val="left"/>
        </w:tabs>
        <w:bidi w:val="0"/>
        <w:spacing w:before="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color w:val="000000"/>
          <w:spacing w:val="0"/>
          <w:w w:val="100"/>
          <w:position w:val="0"/>
        </w:rPr>
        <w:t>、</w:t>
        <w:tab/>
        <w:t>其他</w:t>
      </w:r>
      <w:bookmarkEnd w:id="1640"/>
      <w:bookmarkEnd w:id="1641"/>
      <w:bookmarkEnd w:id="1643"/>
    </w:p>
    <w:p>
      <w:pPr>
        <w:pStyle w:val="Style21"/>
        <w:keepNext/>
        <w:keepLines/>
        <w:widowControl w:val="0"/>
        <w:shd w:val="clear" w:color="auto" w:fill="auto"/>
        <w:bidi w:val="0"/>
        <w:spacing w:before="0" w:after="360" w:line="240" w:lineRule="auto"/>
        <w:ind w:left="0" w:right="0" w:firstLine="0"/>
        <w:jc w:val="both"/>
      </w:pPr>
      <w:bookmarkStart w:id="1644" w:name="bookmark1644"/>
      <w:bookmarkStart w:id="1645" w:name="bookmark1645"/>
      <w:bookmarkStart w:id="1646" w:name="bookmark1646"/>
      <w:r>
        <w:rPr>
          <w:color w:val="000000"/>
          <w:spacing w:val="0"/>
          <w:w w:val="100"/>
          <w:position w:val="0"/>
          <w:sz w:val="24"/>
          <w:szCs w:val="24"/>
        </w:rPr>
        <w:t>十四、承诺及或有事项</w:t>
      </w:r>
      <w:bookmarkEnd w:id="1644"/>
      <w:bookmarkEnd w:id="1645"/>
      <w:bookmarkEnd w:id="1646"/>
    </w:p>
    <w:p>
      <w:pPr>
        <w:pStyle w:val="Style26"/>
        <w:keepNext/>
        <w:keepLines/>
        <w:widowControl w:val="0"/>
        <w:shd w:val="clear" w:color="auto" w:fill="auto"/>
        <w:bidi w:val="0"/>
        <w:spacing w:before="0" w:line="240" w:lineRule="auto"/>
        <w:ind w:left="0" w:right="0" w:firstLine="0"/>
        <w:jc w:val="both"/>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47"/>
      <w:bookmarkEnd w:id="1648"/>
      <w:bookmarkEnd w:id="1649"/>
    </w:p>
    <w:p>
      <w:pPr>
        <w:pStyle w:val="Style2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日，公司已签订尚未到期的保函如下:</w:t>
      </w:r>
    </w:p>
    <w:tbl>
      <w:tblPr>
        <w:tblOverlap w:val="never"/>
        <w:jc w:val="center"/>
        <w:tblLayout w:type="fixed"/>
      </w:tblPr>
      <w:tblGrid>
        <w:gridCol w:w="1656"/>
        <w:gridCol w:w="1589"/>
        <w:gridCol w:w="2227"/>
        <w:gridCol w:w="2232"/>
        <w:gridCol w:w="1973"/>
      </w:tblGrid>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保函号码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保函种类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保函开立日期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保函到期日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保函余额</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3805161201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2016-10-24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2017-2-24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265,500.00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2138013827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2016-4-12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2017-4-30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215,096.00</w:t>
            </w: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2138013865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2016-6-23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171,100.00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2138013870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1,190,000.00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2138013905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2016-8-16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1,489,880.00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2018-3-31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678,000.00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234,255.00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61,964.00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3,325.00</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2017-12-31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2017-10-31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289,968.00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12,470.00</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2138014064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非融资类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2016-12-21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2017-6-30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180,000.00</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4,794,278.00</w:t>
            </w:r>
          </w:p>
        </w:tc>
      </w:tr>
    </w:tbl>
    <w:p>
      <w:pPr>
        <w:pStyle w:val="Style26"/>
        <w:keepNext/>
        <w:keepLines/>
        <w:widowControl w:val="0"/>
        <w:shd w:val="clear" w:color="auto" w:fill="auto"/>
        <w:bidi w:val="0"/>
        <w:spacing w:before="0" w:after="34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50"/>
      <w:bookmarkEnd w:id="1651"/>
      <w:bookmarkEnd w:id="1652"/>
    </w:p>
    <w:p>
      <w:pPr>
        <w:pStyle w:val="Style26"/>
        <w:keepNext/>
        <w:keepLines/>
        <w:widowControl w:val="0"/>
        <w:shd w:val="clear" w:color="auto" w:fill="auto"/>
        <w:bidi w:val="0"/>
        <w:spacing w:before="0" w:after="240" w:line="240" w:lineRule="auto"/>
        <w:ind w:left="0" w:right="0" w:firstLine="0"/>
        <w:jc w:val="left"/>
      </w:pPr>
      <w:bookmarkStart w:id="1650" w:name="bookmark1650"/>
      <w:bookmarkStart w:id="1651" w:name="bookmark1651"/>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50"/>
      <w:bookmarkEnd w:id="1651"/>
      <w:bookmarkEnd w:id="1653"/>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未决诉讼、未决仲裁：</w:t>
      </w:r>
    </w:p>
    <w:p>
      <w:pPr>
        <w:pStyle w:val="Style23"/>
        <w:keepNext w:val="0"/>
        <w:keepLines w:val="0"/>
        <w:widowControl w:val="0"/>
        <w:shd w:val="clear" w:color="auto" w:fill="auto"/>
        <w:tabs>
          <w:tab w:pos="505" w:val="left"/>
        </w:tabs>
        <w:bidi w:val="0"/>
        <w:spacing w:before="0" w:after="0" w:line="312" w:lineRule="exact"/>
        <w:ind w:left="0" w:right="0" w:firstLine="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日委托上海瑞富律师事务所陆炜律师就丰联酒业控股集团有限公司所拖欠的服务费人民币 </w:t>
      </w:r>
      <w:r>
        <w:rPr>
          <w:rFonts w:ascii="Times New Roman" w:eastAsia="Times New Roman" w:hAnsi="Times New Roman" w:cs="Times New Roman"/>
          <w:color w:val="000000"/>
          <w:spacing w:val="0"/>
          <w:w w:val="100"/>
          <w:position w:val="0"/>
        </w:rPr>
        <w:t>2,882,383.00</w:t>
      </w:r>
      <w:r>
        <w:rPr>
          <w:color w:val="000000"/>
          <w:spacing w:val="0"/>
          <w:w w:val="100"/>
          <w:position w:val="0"/>
        </w:rPr>
        <w:t>元向北京市海淀区人民法院提起诉讼，请求丰联酒业控股集团有限公司支付拖欠的《实施咨询服务框架合同》 服务费用。截止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日，诉讼尚在审理中，公司账面应收该项目款项</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,882,383.00</w:t>
      </w:r>
      <w:r>
        <w:rPr>
          <w:color w:val="000000"/>
          <w:spacing w:val="0"/>
          <w:w w:val="100"/>
          <w:position w:val="0"/>
        </w:rPr>
        <w:t>元，已全额计提坏账准备。</w:t>
      </w:r>
    </w:p>
    <w:p>
      <w:pPr>
        <w:pStyle w:val="Style23"/>
        <w:keepNext w:val="0"/>
        <w:keepLines w:val="0"/>
        <w:widowControl w:val="0"/>
        <w:shd w:val="clear" w:color="auto" w:fill="auto"/>
        <w:tabs>
          <w:tab w:pos="495" w:val="left"/>
        </w:tabs>
        <w:bidi w:val="0"/>
        <w:spacing w:before="0" w:after="0" w:line="312" w:lineRule="exact"/>
        <w:ind w:left="0" w:right="0" w:firstLine="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2</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日委托上海瑞富律师事务所陆炜律师就戴尔信息技术（昆山）有限公司所拖欠的服务费人民币 </w:t>
      </w:r>
      <w:r>
        <w:rPr>
          <w:rFonts w:ascii="Times New Roman" w:eastAsia="Times New Roman" w:hAnsi="Times New Roman" w:cs="Times New Roman"/>
          <w:color w:val="000000"/>
          <w:spacing w:val="0"/>
          <w:w w:val="100"/>
          <w:position w:val="0"/>
        </w:rPr>
        <w:t>862,840.00</w:t>
      </w:r>
      <w:r>
        <w:rPr>
          <w:color w:val="000000"/>
          <w:spacing w:val="0"/>
          <w:w w:val="100"/>
          <w:position w:val="0"/>
        </w:rPr>
        <w:t>元向中国国际经济贸易仲裁委员会申请仲裁，请求戴尔信息技术（昆山）有限公司支付拖欠的《中国石油</w:t>
      </w:r>
      <w:r>
        <w:rPr>
          <w:rFonts w:ascii="Times New Roman" w:eastAsia="Times New Roman" w:hAnsi="Times New Roman" w:cs="Times New Roman"/>
          <w:color w:val="000000"/>
          <w:spacing w:val="0"/>
          <w:w w:val="100"/>
          <w:position w:val="0"/>
        </w:rPr>
        <w:t>ERP</w:t>
      </w:r>
      <w:r>
        <w:rPr>
          <w:color w:val="000000"/>
          <w:spacing w:val="0"/>
          <w:w w:val="100"/>
          <w:position w:val="0"/>
        </w:rPr>
        <w:t>应 用集成项目》服务费用及为办理本案支出的相关费用。根据中国国际经济贸易仲裁委员会于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w:t>
      </w:r>
      <w:r>
        <w:rPr>
          <w:rFonts w:ascii="Times New Roman" w:eastAsia="Times New Roman" w:hAnsi="Times New Roman" w:cs="Times New Roman"/>
          <w:color w:val="000000"/>
          <w:spacing w:val="0"/>
          <w:w w:val="100"/>
          <w:position w:val="0"/>
        </w:rPr>
        <w:t>2016</w:t>
      </w:r>
      <w:r>
        <w:rPr>
          <w:color w:val="000000"/>
          <w:spacing w:val="0"/>
          <w:w w:val="100"/>
          <w:position w:val="0"/>
        </w:rPr>
        <w:t>） 中国贸仲京裁字第</w:t>
      </w:r>
      <w:r>
        <w:rPr>
          <w:rFonts w:ascii="Times New Roman" w:eastAsia="Times New Roman" w:hAnsi="Times New Roman" w:cs="Times New Roman"/>
          <w:color w:val="000000"/>
          <w:spacing w:val="0"/>
          <w:w w:val="100"/>
          <w:position w:val="0"/>
        </w:rPr>
        <w:t>0604</w:t>
      </w:r>
      <w:r>
        <w:rPr>
          <w:color w:val="000000"/>
          <w:spacing w:val="0"/>
          <w:w w:val="100"/>
          <w:position w:val="0"/>
        </w:rPr>
        <w:t>号的裁决，判令戴尔信息技术（昆山）有限公司向本公司支付服务费</w:t>
      </w:r>
      <w:r>
        <w:rPr>
          <w:rFonts w:ascii="Times New Roman" w:eastAsia="Times New Roman" w:hAnsi="Times New Roman" w:cs="Times New Roman"/>
          <w:color w:val="000000"/>
          <w:spacing w:val="0"/>
          <w:w w:val="100"/>
          <w:position w:val="0"/>
        </w:rPr>
        <w:t>862,840.00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本公司已收到该笔赔偿款。</w:t>
      </w:r>
    </w:p>
    <w:p>
      <w:pPr>
        <w:pStyle w:val="Style23"/>
        <w:keepNext w:val="0"/>
        <w:keepLines w:val="0"/>
        <w:widowControl w:val="0"/>
        <w:shd w:val="clear" w:color="auto" w:fill="auto"/>
        <w:tabs>
          <w:tab w:pos="495" w:val="left"/>
        </w:tabs>
        <w:bidi w:val="0"/>
        <w:spacing w:before="0" w:after="0" w:line="312" w:lineRule="exact"/>
        <w:ind w:left="0" w:right="0" w:firstLine="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日委托上海瑞富律师事务所陆炜律师就埃森哲（中国）有限公司所拖欠的服务费人民币 </w:t>
      </w:r>
      <w:r>
        <w:rPr>
          <w:rFonts w:ascii="Times New Roman" w:eastAsia="Times New Roman" w:hAnsi="Times New Roman" w:cs="Times New Roman"/>
          <w:color w:val="000000"/>
          <w:spacing w:val="0"/>
          <w:w w:val="100"/>
          <w:position w:val="0"/>
        </w:rPr>
        <w:t>1,908,800.00</w:t>
      </w:r>
      <w:r>
        <w:rPr>
          <w:color w:val="000000"/>
          <w:spacing w:val="0"/>
          <w:w w:val="100"/>
          <w:position w:val="0"/>
        </w:rPr>
        <w:t>元向中国国际经济贸易仲裁委员会申请仲裁，请求埃森哲（中国）有限公司支付拖欠的《交付成果分包协议》</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（江铜</w:t>
      </w:r>
      <w:r>
        <w:rPr>
          <w:rFonts w:ascii="Times New Roman" w:eastAsia="Times New Roman" w:hAnsi="Times New Roman" w:cs="Times New Roman"/>
          <w:color w:val="000000"/>
          <w:spacing w:val="0"/>
          <w:w w:val="100"/>
          <w:position w:val="0"/>
        </w:rPr>
        <w:t>JT185</w:t>
      </w:r>
      <w:r>
        <w:rPr>
          <w:color w:val="000000"/>
          <w:spacing w:val="0"/>
          <w:w w:val="100"/>
          <w:position w:val="0"/>
        </w:rPr>
        <w:t>工程二期</w:t>
      </w:r>
      <w:r>
        <w:rPr>
          <w:rFonts w:ascii="Times New Roman" w:eastAsia="Times New Roman" w:hAnsi="Times New Roman" w:cs="Times New Roman"/>
          <w:color w:val="000000"/>
          <w:spacing w:val="0"/>
          <w:w w:val="100"/>
          <w:position w:val="0"/>
        </w:rPr>
        <w:t>-ERP</w:t>
      </w:r>
      <w:r>
        <w:rPr>
          <w:color w:val="000000"/>
          <w:spacing w:val="0"/>
          <w:w w:val="100"/>
          <w:position w:val="0"/>
        </w:rPr>
        <w:t>推广项目）及《埃森哲</w:t>
      </w:r>
      <w:r>
        <w:rPr>
          <w:rFonts w:ascii="Times New Roman" w:eastAsia="Times New Roman" w:hAnsi="Times New Roman" w:cs="Times New Roman"/>
          <w:color w:val="000000"/>
          <w:spacing w:val="0"/>
          <w:w w:val="100"/>
          <w:position w:val="0"/>
        </w:rPr>
        <w:t>-</w:t>
      </w:r>
      <w:r>
        <w:rPr>
          <w:color w:val="000000"/>
          <w:spacing w:val="0"/>
          <w:w w:val="100"/>
          <w:position w:val="0"/>
        </w:rPr>
        <w:t>江西铜业二期</w:t>
      </w:r>
      <w:r>
        <w:rPr>
          <w:rFonts w:ascii="Times New Roman" w:eastAsia="Times New Roman" w:hAnsi="Times New Roman" w:cs="Times New Roman"/>
          <w:color w:val="000000"/>
          <w:spacing w:val="0"/>
          <w:w w:val="100"/>
          <w:position w:val="0"/>
        </w:rPr>
        <w:t>ERP</w:t>
      </w:r>
      <w:r>
        <w:rPr>
          <w:color w:val="000000"/>
          <w:spacing w:val="0"/>
          <w:w w:val="100"/>
          <w:position w:val="0"/>
        </w:rPr>
        <w:t>系统实施项目</w:t>
      </w:r>
      <w:r>
        <w:rPr>
          <w:rFonts w:ascii="Times New Roman" w:eastAsia="Times New Roman" w:hAnsi="Times New Roman" w:cs="Times New Roman"/>
          <w:color w:val="000000"/>
          <w:spacing w:val="0"/>
          <w:w w:val="100"/>
          <w:position w:val="0"/>
        </w:rPr>
        <w:t>-PM-0603</w:t>
      </w:r>
      <w:r>
        <w:rPr>
          <w:color w:val="000000"/>
          <w:spacing w:val="0"/>
          <w:w w:val="100"/>
          <w:position w:val="0"/>
        </w:rPr>
        <w:t>》</w:t>
      </w:r>
      <w:r>
        <w:rPr>
          <w:color w:val="000000"/>
          <w:spacing w:val="0"/>
          <w:w w:val="100"/>
          <w:position w:val="0"/>
        </w:rPr>
        <w:t>服务费用及为办理本案支出的 相关费用。该仲裁委员会于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日作出裁决（</w:t>
      </w:r>
      <w:r>
        <w:rPr>
          <w:rFonts w:ascii="Times New Roman" w:eastAsia="Times New Roman" w:hAnsi="Times New Roman" w:cs="Times New Roman"/>
          <w:color w:val="000000"/>
          <w:spacing w:val="0"/>
          <w:w w:val="100"/>
          <w:position w:val="0"/>
        </w:rPr>
        <w:t>2016</w:t>
      </w:r>
      <w:r>
        <w:rPr>
          <w:color w:val="000000"/>
          <w:spacing w:val="0"/>
          <w:w w:val="100"/>
          <w:position w:val="0"/>
        </w:rPr>
        <w:t>）中国贸仲京（沪）裁字第</w:t>
      </w:r>
      <w:r>
        <w:rPr>
          <w:rFonts w:ascii="Times New Roman" w:eastAsia="Times New Roman" w:hAnsi="Times New Roman" w:cs="Times New Roman"/>
          <w:color w:val="000000"/>
          <w:spacing w:val="0"/>
          <w:w w:val="100"/>
          <w:position w:val="0"/>
        </w:rPr>
        <w:t>164</w:t>
      </w:r>
      <w:r>
        <w:rPr>
          <w:color w:val="000000"/>
          <w:spacing w:val="0"/>
          <w:w w:val="100"/>
          <w:position w:val="0"/>
        </w:rPr>
        <w:t>号，判令埃森哲（中国）有限公司 向本公司支付服务费</w:t>
      </w:r>
      <w:r>
        <w:rPr>
          <w:rFonts w:ascii="Times New Roman" w:eastAsia="Times New Roman" w:hAnsi="Times New Roman" w:cs="Times New Roman"/>
          <w:color w:val="000000"/>
          <w:spacing w:val="0"/>
          <w:w w:val="100"/>
          <w:position w:val="0"/>
        </w:rPr>
        <w:t>624,800.00</w:t>
      </w:r>
      <w:r>
        <w:rPr>
          <w:color w:val="000000"/>
          <w:spacing w:val="0"/>
          <w:w w:val="100"/>
          <w:position w:val="0"/>
        </w:rPr>
        <w:t>元，剩余服务费的争议由于不能依据《交付成果分包协议》中的</w:t>
      </w:r>
      <w:r>
        <w:rPr>
          <w:rFonts w:ascii="Times New Roman" w:eastAsia="Times New Roman" w:hAnsi="Times New Roman" w:cs="Times New Roman"/>
          <w:color w:val="000000"/>
          <w:spacing w:val="0"/>
          <w:w w:val="100"/>
          <w:position w:val="0"/>
        </w:rPr>
        <w:t>“</w:t>
      </w:r>
      <w:r>
        <w:rPr>
          <w:color w:val="000000"/>
          <w:spacing w:val="0"/>
          <w:w w:val="100"/>
          <w:position w:val="0"/>
        </w:rPr>
        <w:t>争议解决</w:t>
      </w:r>
      <w:r>
        <w:rPr>
          <w:rFonts w:ascii="Times New Roman" w:eastAsia="Times New Roman" w:hAnsi="Times New Roman" w:cs="Times New Roman"/>
          <w:color w:val="000000"/>
          <w:spacing w:val="0"/>
          <w:w w:val="100"/>
          <w:position w:val="0"/>
        </w:rPr>
        <w:t>”</w:t>
      </w:r>
      <w:r>
        <w:rPr>
          <w:color w:val="000000"/>
          <w:spacing w:val="0"/>
          <w:w w:val="100"/>
          <w:position w:val="0"/>
        </w:rPr>
        <w:t>条款约定由仲裁 委员会仲裁管辖，仲裁机构未能作出判决。截止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日，公司账面应收埃森哲（中国）有限公司上述项目款为 </w:t>
      </w:r>
      <w:r>
        <w:rPr>
          <w:rFonts w:ascii="Times New Roman" w:eastAsia="Times New Roman" w:hAnsi="Times New Roman" w:cs="Times New Roman"/>
          <w:color w:val="000000"/>
          <w:spacing w:val="0"/>
          <w:w w:val="100"/>
          <w:position w:val="0"/>
        </w:rPr>
        <w:t>1,851,000.00</w:t>
      </w:r>
      <w:r>
        <w:rPr>
          <w:color w:val="000000"/>
          <w:spacing w:val="0"/>
          <w:w w:val="100"/>
          <w:position w:val="0"/>
        </w:rPr>
        <w:t>元，已全额计提坏账准备。</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日，本公司已收到赔偿款。</w:t>
      </w:r>
    </w:p>
    <w:p>
      <w:pPr>
        <w:pStyle w:val="Style23"/>
        <w:keepNext w:val="0"/>
        <w:keepLines w:val="0"/>
        <w:widowControl w:val="0"/>
        <w:shd w:val="clear" w:color="auto" w:fill="auto"/>
        <w:tabs>
          <w:tab w:pos="505" w:val="left"/>
        </w:tabs>
        <w:bidi w:val="0"/>
        <w:spacing w:before="0" w:after="0" w:line="312" w:lineRule="exact"/>
        <w:ind w:left="0" w:right="0" w:firstLine="0"/>
        <w:jc w:val="both"/>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日委托上海金茂凯德事务所田孝明律师就埃森哲（中国）有限公司所拖欠的服务费人民币 </w:t>
      </w:r>
      <w:r>
        <w:rPr>
          <w:rFonts w:ascii="Times New Roman" w:eastAsia="Times New Roman" w:hAnsi="Times New Roman" w:cs="Times New Roman"/>
          <w:color w:val="000000"/>
          <w:spacing w:val="0"/>
          <w:w w:val="100"/>
          <w:position w:val="0"/>
        </w:rPr>
        <w:t>12,011,522.40</w:t>
      </w:r>
      <w:r>
        <w:rPr>
          <w:color w:val="000000"/>
          <w:spacing w:val="0"/>
          <w:w w:val="100"/>
          <w:position w:val="0"/>
        </w:rPr>
        <w:t>元向中国国际经济贸易仲裁委员会申请仲裁，请求埃森哲（中国）有限公司支付拖欠的《埃森哲</w:t>
      </w:r>
      <w:r>
        <w:rPr>
          <w:rFonts w:ascii="Times New Roman" w:eastAsia="Times New Roman" w:hAnsi="Times New Roman" w:cs="Times New Roman"/>
          <w:color w:val="000000"/>
          <w:spacing w:val="0"/>
          <w:w w:val="100"/>
          <w:position w:val="0"/>
        </w:rPr>
        <w:t>-</w:t>
      </w:r>
      <w:r>
        <w:rPr>
          <w:color w:val="000000"/>
          <w:spacing w:val="0"/>
          <w:w w:val="100"/>
          <w:position w:val="0"/>
        </w:rPr>
        <w:t>华润雪花啤 酒</w:t>
      </w:r>
      <w:r>
        <w:rPr>
          <w:rFonts w:ascii="Times New Roman" w:eastAsia="Times New Roman" w:hAnsi="Times New Roman" w:cs="Times New Roman"/>
          <w:color w:val="000000"/>
          <w:spacing w:val="0"/>
          <w:w w:val="100"/>
          <w:position w:val="0"/>
        </w:rPr>
        <w:t xml:space="preserve">ERP </w:t>
      </w:r>
      <w:r>
        <w:rPr>
          <w:color w:val="000000"/>
          <w:spacing w:val="0"/>
          <w:w w:val="100"/>
          <w:position w:val="0"/>
        </w:rPr>
        <w:t>（基础阶段）试点及推广项目》及补充协议的服务费用及办理本案支出的相关费用。截止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日，诉讼尚在 审理中，公司账面应收该项目款项</w:t>
      </w:r>
      <w:r>
        <w:rPr>
          <w:rFonts w:ascii="Times New Roman" w:eastAsia="Times New Roman" w:hAnsi="Times New Roman" w:cs="Times New Roman"/>
          <w:color w:val="000000"/>
          <w:spacing w:val="0"/>
          <w:w w:val="100"/>
          <w:position w:val="0"/>
        </w:rPr>
        <w:t>11,505,150.40</w:t>
      </w:r>
      <w:r>
        <w:rPr>
          <w:color w:val="000000"/>
          <w:spacing w:val="0"/>
          <w:w w:val="100"/>
          <w:position w:val="0"/>
        </w:rPr>
        <w:t>元，已计提坏账准备</w:t>
      </w:r>
      <w:r>
        <w:rPr>
          <w:rFonts w:ascii="Times New Roman" w:eastAsia="Times New Roman" w:hAnsi="Times New Roman" w:cs="Times New Roman"/>
          <w:color w:val="000000"/>
          <w:spacing w:val="0"/>
          <w:w w:val="100"/>
          <w:position w:val="0"/>
        </w:rPr>
        <w:t>6,193,086.05</w:t>
      </w:r>
      <w:r>
        <w:rPr>
          <w:color w:val="000000"/>
          <w:spacing w:val="0"/>
          <w:w w:val="100"/>
          <w:position w:val="0"/>
        </w:rPr>
        <w:t>元。</w:t>
      </w:r>
    </w:p>
    <w:p>
      <w:pPr>
        <w:pStyle w:val="Style23"/>
        <w:keepNext w:val="0"/>
        <w:keepLines w:val="0"/>
        <w:widowControl w:val="0"/>
        <w:shd w:val="clear" w:color="auto" w:fill="auto"/>
        <w:tabs>
          <w:tab w:pos="505" w:val="left"/>
        </w:tabs>
        <w:bidi w:val="0"/>
        <w:spacing w:before="0" w:after="0" w:line="312" w:lineRule="exact"/>
        <w:ind w:left="0" w:right="0" w:firstLine="0"/>
        <w:jc w:val="both"/>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日委托北京市盈科（福州）律师事务所陈斌律师就明一国际营养品集团有限公司所拖欠的《明一 集团</w:t>
      </w:r>
      <w:r>
        <w:rPr>
          <w:rFonts w:ascii="Times New Roman" w:eastAsia="Times New Roman" w:hAnsi="Times New Roman" w:cs="Times New Roman"/>
          <w:color w:val="000000"/>
          <w:spacing w:val="0"/>
          <w:w w:val="100"/>
          <w:position w:val="0"/>
        </w:rPr>
        <w:t>-ORACLE</w:t>
      </w:r>
      <w:r>
        <w:rPr>
          <w:color w:val="000000"/>
          <w:spacing w:val="0"/>
          <w:w w:val="100"/>
          <w:position w:val="0"/>
        </w:rPr>
        <w:t>软件销售合同》的软件销售款及维护费用</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元向福建省长乐市人民法院提起诉讼，请求明一国际营 养品集团有限公司支付所拖欠的软件销售款及逾期付款的违约金共计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,560,000.00</w:t>
      </w:r>
      <w:r>
        <w:rPr>
          <w:color w:val="000000"/>
          <w:spacing w:val="0"/>
          <w:w w:val="100"/>
          <w:position w:val="0"/>
        </w:rPr>
        <w:t>元。该案件受理法院已于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日作 出民事判决（</w:t>
      </w:r>
      <w:r>
        <w:rPr>
          <w:rFonts w:ascii="Times New Roman" w:eastAsia="Times New Roman" w:hAnsi="Times New Roman" w:cs="Times New Roman"/>
          <w:color w:val="000000"/>
          <w:spacing w:val="0"/>
          <w:w w:val="100"/>
          <w:position w:val="0"/>
        </w:rPr>
        <w:t>2016</w:t>
      </w:r>
      <w:r>
        <w:rPr>
          <w:color w:val="000000"/>
          <w:spacing w:val="0"/>
          <w:w w:val="100"/>
          <w:position w:val="0"/>
        </w:rPr>
        <w:t>）闽</w:t>
      </w:r>
      <w:r>
        <w:rPr>
          <w:rFonts w:ascii="Times New Roman" w:eastAsia="Times New Roman" w:hAnsi="Times New Roman" w:cs="Times New Roman"/>
          <w:color w:val="000000"/>
          <w:spacing w:val="0"/>
          <w:w w:val="100"/>
          <w:position w:val="0"/>
        </w:rPr>
        <w:t>0182</w:t>
      </w:r>
      <w:r>
        <w:rPr>
          <w:color w:val="000000"/>
          <w:spacing w:val="0"/>
          <w:w w:val="100"/>
          <w:position w:val="0"/>
        </w:rPr>
        <w:t>民初</w:t>
      </w:r>
      <w:r>
        <w:rPr>
          <w:rFonts w:ascii="Times New Roman" w:eastAsia="Times New Roman" w:hAnsi="Times New Roman" w:cs="Times New Roman"/>
          <w:color w:val="000000"/>
          <w:spacing w:val="0"/>
          <w:w w:val="100"/>
          <w:position w:val="0"/>
        </w:rPr>
        <w:t>2680</w:t>
      </w:r>
      <w:r>
        <w:rPr>
          <w:color w:val="000000"/>
          <w:spacing w:val="0"/>
          <w:w w:val="100"/>
          <w:position w:val="0"/>
        </w:rPr>
        <w:t>号，判令明一公司应向本公司支付违约金</w:t>
      </w:r>
      <w:r>
        <w:rPr>
          <w:rFonts w:ascii="Times New Roman" w:eastAsia="Times New Roman" w:hAnsi="Times New Roman" w:cs="Times New Roman"/>
          <w:color w:val="000000"/>
          <w:spacing w:val="0"/>
          <w:w w:val="100"/>
          <w:position w:val="0"/>
        </w:rPr>
        <w:t>196,721.3</w:t>
      </w:r>
      <w:r>
        <w:rPr>
          <w:rFonts w:ascii="Times New Roman" w:eastAsia="Times New Roman" w:hAnsi="Times New Roman" w:cs="Times New Roman"/>
          <w:color w:val="000000"/>
          <w:spacing w:val="0"/>
          <w:w w:val="100"/>
          <w:position w:val="0"/>
        </w:rPr>
        <w:t>1</w:t>
      </w:r>
      <w:r>
        <w:rPr>
          <w:color w:val="000000"/>
          <w:spacing w:val="0"/>
          <w:w w:val="100"/>
          <w:position w:val="0"/>
        </w:rPr>
        <w:t>元，其余诉讼请求不予支持。明一 国际营养品集团有限公司不服长乐市人民法院的一审判决，于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日向福州市中级人民法院提起上诉，要求驳回一 审的诉讼请求，本公司已委托福建建达律师事务所刘善理律师作为该案件的诉讼代理人。截止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日，诉讼尚在审 理中，公司账面无应收该项目款项。</w:t>
      </w:r>
    </w:p>
    <w:p>
      <w:pPr>
        <w:pStyle w:val="Style23"/>
        <w:keepNext w:val="0"/>
        <w:keepLines w:val="0"/>
        <w:widowControl w:val="0"/>
        <w:shd w:val="clear" w:color="auto" w:fill="auto"/>
        <w:tabs>
          <w:tab w:pos="510" w:val="left"/>
        </w:tabs>
        <w:bidi w:val="0"/>
        <w:spacing w:before="0" w:after="0" w:line="312" w:lineRule="exact"/>
        <w:ind w:left="0" w:right="0" w:firstLine="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日委托上海金茂凯德事务所田孝明律师就集怡嘉数码科技（深圳）有限公司所拖欠的服务费人 民币</w:t>
      </w:r>
      <w:r>
        <w:rPr>
          <w:rFonts w:ascii="Times New Roman" w:eastAsia="Times New Roman" w:hAnsi="Times New Roman" w:cs="Times New Roman"/>
          <w:color w:val="000000"/>
          <w:spacing w:val="0"/>
          <w:w w:val="100"/>
          <w:position w:val="0"/>
        </w:rPr>
        <w:t>1,350,000.00</w:t>
      </w:r>
      <w:r>
        <w:rPr>
          <w:color w:val="000000"/>
          <w:spacing w:val="0"/>
          <w:w w:val="100"/>
          <w:position w:val="0"/>
        </w:rPr>
        <w:t xml:space="preserve">元向中国国际经济贸易仲裁委员会申请仲裁，请求集怡嘉数码科技（深圳）有限公司支付拖欠的《集怡嘉 </w:t>
      </w:r>
      <w:r>
        <w:rPr>
          <w:rFonts w:ascii="Times New Roman" w:eastAsia="Times New Roman" w:hAnsi="Times New Roman" w:cs="Times New Roman"/>
          <w:color w:val="000000"/>
          <w:spacing w:val="0"/>
          <w:w w:val="100"/>
          <w:position w:val="0"/>
        </w:rPr>
        <w:t>-SAP</w:t>
      </w:r>
      <w:r>
        <w:rPr>
          <w:color w:val="000000"/>
          <w:spacing w:val="0"/>
          <w:w w:val="100"/>
          <w:position w:val="0"/>
        </w:rPr>
        <w:t>实施项目》服务费及办理本案的相关费用。中国国际经济贸易仲裁委员会于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日开庭，目前尚未作出裁决。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日，本公司账面应收该项目款项</w:t>
      </w:r>
      <w:r>
        <w:rPr>
          <w:rFonts w:ascii="Times New Roman" w:eastAsia="Times New Roman" w:hAnsi="Times New Roman" w:cs="Times New Roman"/>
          <w:color w:val="000000"/>
          <w:spacing w:val="0"/>
          <w:w w:val="100"/>
          <w:position w:val="0"/>
        </w:rPr>
        <w:t>1,440,000.00</w:t>
      </w:r>
      <w:r>
        <w:rPr>
          <w:color w:val="000000"/>
          <w:spacing w:val="0"/>
          <w:w w:val="100"/>
          <w:position w:val="0"/>
        </w:rPr>
        <w:t>元，已计提坏账准备</w:t>
      </w:r>
      <w:r>
        <w:rPr>
          <w:rFonts w:ascii="Times New Roman" w:eastAsia="Times New Roman" w:hAnsi="Times New Roman" w:cs="Times New Roman"/>
          <w:color w:val="000000"/>
          <w:spacing w:val="0"/>
          <w:w w:val="100"/>
          <w:position w:val="0"/>
        </w:rPr>
        <w:t>639,000.00</w:t>
      </w:r>
      <w:r>
        <w:rPr>
          <w:color w:val="000000"/>
          <w:spacing w:val="0"/>
          <w:w w:val="100"/>
          <w:position w:val="0"/>
        </w:rPr>
        <w:t>元。</w:t>
      </w:r>
    </w:p>
    <w:p>
      <w:pPr>
        <w:pStyle w:val="Style23"/>
        <w:keepNext w:val="0"/>
        <w:keepLines w:val="0"/>
        <w:widowControl w:val="0"/>
        <w:shd w:val="clear" w:color="auto" w:fill="auto"/>
        <w:tabs>
          <w:tab w:pos="514" w:val="left"/>
        </w:tabs>
        <w:bidi w:val="0"/>
        <w:spacing w:before="0" w:after="0" w:line="312" w:lineRule="exact"/>
        <w:ind w:left="0" w:right="0" w:firstLine="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rPr>
        <w:t>7</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日委托上海金茂凯德事务所田孝明律师就深圳市唯富科技有限公司所拖欠的服务费人民币 </w:t>
      </w:r>
      <w:r>
        <w:rPr>
          <w:rFonts w:ascii="Times New Roman" w:eastAsia="Times New Roman" w:hAnsi="Times New Roman" w:cs="Times New Roman"/>
          <w:color w:val="000000"/>
          <w:spacing w:val="0"/>
          <w:w w:val="100"/>
          <w:position w:val="0"/>
        </w:rPr>
        <w:t>495,000.00</w:t>
      </w:r>
      <w:r>
        <w:rPr>
          <w:color w:val="000000"/>
          <w:spacing w:val="0"/>
          <w:w w:val="100"/>
          <w:position w:val="0"/>
        </w:rPr>
        <w:t>元向中国国际经济贸易仲裁委员会申请仲裁，请求深圳市唯富科技有限公司支付拖欠的《唯富科技</w:t>
      </w:r>
      <w:r>
        <w:rPr>
          <w:rFonts w:ascii="Times New Roman" w:eastAsia="Times New Roman" w:hAnsi="Times New Roman" w:cs="Times New Roman"/>
          <w:color w:val="000000"/>
          <w:spacing w:val="0"/>
          <w:w w:val="100"/>
          <w:position w:val="0"/>
        </w:rPr>
        <w:t>-SAP</w:t>
      </w:r>
      <w:r>
        <w:rPr>
          <w:color w:val="000000"/>
          <w:spacing w:val="0"/>
          <w:w w:val="100"/>
          <w:position w:val="0"/>
        </w:rPr>
        <w:t>实施项 目》服务费及办理本案的相关费用。中国国际经济贸易仲裁委员会于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日作出裁决，裁决深圳市唯富科技有限公 司向公司支付标的金额款项。目前公司尚未收到标的金额款项，已进入执行阶段，由深圳市中级人民法院受理。截止</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日，本公司账面无应收该项目款项。</w:t>
      </w:r>
    </w:p>
    <w:p>
      <w:pPr>
        <w:pStyle w:val="Style23"/>
        <w:keepNext w:val="0"/>
        <w:keepLines w:val="0"/>
        <w:widowControl w:val="0"/>
        <w:shd w:val="clear" w:color="auto" w:fill="auto"/>
        <w:tabs>
          <w:tab w:pos="510" w:val="left"/>
        </w:tabs>
        <w:bidi w:val="0"/>
        <w:spacing w:before="0" w:after="0" w:line="312" w:lineRule="exact"/>
        <w:ind w:left="0" w:right="0" w:firstLine="0"/>
        <w:jc w:val="both"/>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rPr>
        <w:t>8</w:t>
      </w:r>
      <w:r>
        <w:rPr>
          <w:color w:val="000000"/>
          <w:spacing w:val="0"/>
          <w:w w:val="100"/>
          <w:position w:val="0"/>
        </w:rPr>
        <w:t>）</w:t>
        <w:tab/>
        <w:t>北京信利恒丰科技发展有限公司以公司为被申请人，于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日向北京仲裁委员会提起仲裁，要求公司支付《软 件产品购销合同》约定的软件款</w:t>
      </w:r>
      <w:r>
        <w:rPr>
          <w:rFonts w:ascii="Times New Roman" w:eastAsia="Times New Roman" w:hAnsi="Times New Roman" w:cs="Times New Roman"/>
          <w:color w:val="000000"/>
          <w:spacing w:val="0"/>
          <w:w w:val="100"/>
          <w:position w:val="0"/>
        </w:rPr>
        <w:t>1,150,000.00</w:t>
      </w:r>
      <w:r>
        <w:rPr>
          <w:color w:val="000000"/>
          <w:spacing w:val="0"/>
          <w:w w:val="100"/>
          <w:position w:val="0"/>
        </w:rPr>
        <w:t>元。北京仲裁委员会于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日作出裁决，裁决公司向北京信利恒丰科技 发展有限公司支付标的金额款项。</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日，本公司已付讫该笔费用。</w:t>
      </w:r>
    </w:p>
    <w:p>
      <w:pPr>
        <w:pStyle w:val="Style26"/>
        <w:keepNext/>
        <w:keepLines/>
        <w:widowControl w:val="0"/>
        <w:shd w:val="clear" w:color="auto" w:fill="auto"/>
        <w:bidi w:val="0"/>
        <w:spacing w:before="0" w:after="34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62"/>
      <w:bookmarkEnd w:id="1663"/>
      <w:bookmarkEnd w:id="1664"/>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4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color w:val="000000"/>
          <w:spacing w:val="0"/>
          <w:w w:val="100"/>
          <w:position w:val="0"/>
        </w:rPr>
        <w:t>、其他</w:t>
      </w:r>
      <w:bookmarkEnd w:id="1665"/>
      <w:bookmarkEnd w:id="1666"/>
      <w:bookmarkEnd w:id="1668"/>
    </w:p>
    <w:p>
      <w:pPr>
        <w:pStyle w:val="Style2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sz w:val="24"/>
          <w:szCs w:val="24"/>
        </w:rPr>
        <w:t>十五、资产负债表日后事项</w:t>
      </w:r>
      <w:bookmarkEnd w:id="1669"/>
      <w:bookmarkEnd w:id="1670"/>
      <w:bookmarkEnd w:id="1671"/>
    </w:p>
    <w:p>
      <w:pPr>
        <w:pStyle w:val="Style26"/>
        <w:keepNext/>
        <w:keepLines/>
        <w:widowControl w:val="0"/>
        <w:shd w:val="clear" w:color="auto" w:fill="auto"/>
        <w:tabs>
          <w:tab w:pos="373" w:val="left"/>
        </w:tabs>
        <w:bidi w:val="0"/>
        <w:spacing w:before="0" w:after="34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bookmarkEnd w:id="1674"/>
      <w:r>
        <w:rPr>
          <w:color w:val="000000"/>
          <w:spacing w:val="0"/>
          <w:w w:val="100"/>
          <w:position w:val="0"/>
        </w:rPr>
        <w:t>、</w:t>
        <w:tab/>
        <w:t>重要的非调整事项</w:t>
      </w:r>
      <w:bookmarkEnd w:id="1672"/>
      <w:bookmarkEnd w:id="1673"/>
      <w:bookmarkEnd w:id="1675"/>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34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bookmarkEnd w:id="1678"/>
      <w:r>
        <w:rPr>
          <w:color w:val="000000"/>
          <w:spacing w:val="0"/>
          <w:w w:val="100"/>
          <w:position w:val="0"/>
        </w:rPr>
        <w:t>、</w:t>
        <w:tab/>
        <w:t>利润分配情况</w:t>
      </w:r>
      <w:bookmarkEnd w:id="1676"/>
      <w:bookmarkEnd w:id="1677"/>
      <w:bookmarkEnd w:id="167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42,894,393.45</w:t>
            </w:r>
          </w:p>
        </w:tc>
      </w:tr>
    </w:tbl>
    <w:p>
      <w:pPr>
        <w:widowControl w:val="0"/>
        <w:spacing w:after="339" w:line="1" w:lineRule="exact"/>
      </w:pPr>
    </w:p>
    <w:p>
      <w:pPr>
        <w:pStyle w:val="Style26"/>
        <w:keepNext/>
        <w:keepLines/>
        <w:widowControl w:val="0"/>
        <w:shd w:val="clear" w:color="auto" w:fill="auto"/>
        <w:tabs>
          <w:tab w:pos="382" w:val="left"/>
        </w:tabs>
        <w:bidi w:val="0"/>
        <w:spacing w:before="0" w:after="2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3</w:t>
      </w:r>
      <w:bookmarkEnd w:id="1682"/>
      <w:r>
        <w:rPr>
          <w:color w:val="000000"/>
          <w:spacing w:val="0"/>
          <w:w w:val="100"/>
          <w:position w:val="0"/>
        </w:rPr>
        <w:t>、</w:t>
        <w:tab/>
        <w:t>库存股期后注销情况</w:t>
      </w:r>
      <w:bookmarkEnd w:id="1680"/>
      <w:bookmarkEnd w:id="1681"/>
      <w:bookmarkEnd w:id="1683"/>
    </w:p>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日，经中国证券登记结算有限责任公司深圳分公司审核确认，公司回购注销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p>
    <w:p>
      <w:pPr>
        <w:pStyle w:val="Style23"/>
        <w:keepNext w:val="0"/>
        <w:keepLines w:val="0"/>
        <w:widowControl w:val="0"/>
        <w:shd w:val="clear" w:color="auto" w:fill="auto"/>
        <w:bidi w:val="0"/>
        <w:spacing w:before="0" w:after="340" w:line="326"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年股权激励计划授予股份共计</w:t>
      </w:r>
      <w:r>
        <w:rPr>
          <w:rFonts w:ascii="Times New Roman" w:eastAsia="Times New Roman" w:hAnsi="Times New Roman" w:cs="Times New Roman"/>
          <w:color w:val="000000"/>
          <w:spacing w:val="0"/>
          <w:w w:val="100"/>
          <w:position w:val="0"/>
        </w:rPr>
        <w:t>4,582,265</w:t>
      </w:r>
      <w:r>
        <w:rPr>
          <w:color w:val="000000"/>
          <w:spacing w:val="0"/>
          <w:w w:val="100"/>
          <w:position w:val="0"/>
        </w:rPr>
        <w:t>股股份。回购前，公司总股本为</w:t>
      </w:r>
      <w:r>
        <w:rPr>
          <w:rFonts w:ascii="Times New Roman" w:eastAsia="Times New Roman" w:hAnsi="Times New Roman" w:cs="Times New Roman"/>
          <w:color w:val="000000"/>
          <w:spacing w:val="0"/>
          <w:w w:val="100"/>
          <w:position w:val="0"/>
        </w:rPr>
        <w:t>862,470,134</w:t>
      </w:r>
      <w:r>
        <w:rPr>
          <w:color w:val="000000"/>
          <w:spacing w:val="0"/>
          <w:w w:val="100"/>
          <w:position w:val="0"/>
        </w:rPr>
        <w:t>股，回购后，公司总股本为</w:t>
      </w:r>
      <w:r>
        <w:rPr>
          <w:rFonts w:ascii="Times New Roman" w:eastAsia="Times New Roman" w:hAnsi="Times New Roman" w:cs="Times New Roman"/>
          <w:color w:val="000000"/>
          <w:spacing w:val="0"/>
          <w:w w:val="100"/>
          <w:position w:val="0"/>
        </w:rPr>
        <w:t xml:space="preserve">857,887,869 </w:t>
      </w:r>
      <w:r>
        <w:rPr>
          <w:color w:val="000000"/>
          <w:spacing w:val="0"/>
          <w:w w:val="100"/>
          <w:position w:val="0"/>
        </w:rPr>
        <w:t>股。</w:t>
      </w:r>
    </w:p>
    <w:p>
      <w:pPr>
        <w:pStyle w:val="Style26"/>
        <w:keepNext/>
        <w:keepLines/>
        <w:widowControl w:val="0"/>
        <w:shd w:val="clear" w:color="auto" w:fill="auto"/>
        <w:tabs>
          <w:tab w:pos="382" w:val="left"/>
        </w:tabs>
        <w:bidi w:val="0"/>
        <w:spacing w:before="0" w:after="34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color w:val="000000"/>
          <w:spacing w:val="0"/>
          <w:w w:val="100"/>
          <w:position w:val="0"/>
        </w:rPr>
        <w:t>、</w:t>
        <w:tab/>
        <w:t>销售退回</w:t>
      </w:r>
      <w:bookmarkEnd w:id="1684"/>
      <w:bookmarkEnd w:id="1685"/>
      <w:bookmarkEnd w:id="1687"/>
    </w:p>
    <w:p>
      <w:pPr>
        <w:pStyle w:val="Style26"/>
        <w:keepNext/>
        <w:keepLines/>
        <w:widowControl w:val="0"/>
        <w:shd w:val="clear" w:color="auto" w:fill="auto"/>
        <w:tabs>
          <w:tab w:pos="382" w:val="left"/>
        </w:tabs>
        <w:bidi w:val="0"/>
        <w:spacing w:before="0" w:after="340" w:line="240" w:lineRule="auto"/>
        <w:ind w:left="0" w:right="0" w:firstLine="0"/>
        <w:jc w:val="left"/>
      </w:pPr>
      <w:bookmarkStart w:id="1684" w:name="bookmark1684"/>
      <w:bookmarkStart w:id="1685" w:name="bookmark1685"/>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color w:val="000000"/>
          <w:spacing w:val="0"/>
          <w:w w:val="100"/>
          <w:position w:val="0"/>
        </w:rPr>
        <w:t>、</w:t>
        <w:tab/>
        <w:t>其他资产负债表日后事项说明</w:t>
      </w:r>
      <w:bookmarkEnd w:id="1684"/>
      <w:bookmarkEnd w:id="1685"/>
      <w:bookmarkEnd w:id="1689"/>
    </w:p>
    <w:p>
      <w:pPr>
        <w:pStyle w:val="Style21"/>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color w:val="000000"/>
          <w:spacing w:val="0"/>
          <w:w w:val="100"/>
          <w:position w:val="0"/>
          <w:sz w:val="24"/>
          <w:szCs w:val="24"/>
        </w:rPr>
        <w:t>十六、其他重要事项</w:t>
      </w:r>
      <w:bookmarkEnd w:id="1690"/>
      <w:bookmarkEnd w:id="1691"/>
      <w:bookmarkEnd w:id="1692"/>
    </w:p>
    <w:p>
      <w:pPr>
        <w:pStyle w:val="Style26"/>
        <w:keepNext/>
        <w:keepLines/>
        <w:widowControl w:val="0"/>
        <w:shd w:val="clear" w:color="auto" w:fill="auto"/>
        <w:tabs>
          <w:tab w:pos="373" w:val="left"/>
        </w:tabs>
        <w:bidi w:val="0"/>
        <w:spacing w:before="0" w:after="34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1</w:t>
      </w:r>
      <w:bookmarkEnd w:id="1695"/>
      <w:r>
        <w:rPr>
          <w:color w:val="000000"/>
          <w:spacing w:val="0"/>
          <w:w w:val="100"/>
          <w:position w:val="0"/>
        </w:rPr>
        <w:t>、</w:t>
        <w:tab/>
        <w:t>前期会计差错更正</w:t>
      </w:r>
      <w:bookmarkEnd w:id="1693"/>
      <w:bookmarkEnd w:id="1694"/>
      <w:bookmarkEnd w:id="1696"/>
    </w:p>
    <w:p>
      <w:pPr>
        <w:pStyle w:val="Style26"/>
        <w:keepNext/>
        <w:keepLines/>
        <w:widowControl w:val="0"/>
        <w:shd w:val="clear" w:color="auto" w:fill="auto"/>
        <w:tabs>
          <w:tab w:pos="493" w:val="left"/>
        </w:tabs>
        <w:bidi w:val="0"/>
        <w:spacing w:before="0" w:after="260" w:line="240" w:lineRule="auto"/>
        <w:ind w:left="0" w:right="0" w:firstLine="0"/>
        <w:jc w:val="left"/>
      </w:pPr>
      <w:bookmarkStart w:id="1693" w:name="bookmark1693"/>
      <w:bookmarkStart w:id="1694" w:name="bookmark1694"/>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693"/>
      <w:bookmarkEnd w:id="1694"/>
      <w:bookmarkEnd w:id="1698"/>
    </w:p>
    <w:p>
      <w:pPr>
        <w:pStyle w:val="Style2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26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699"/>
      <w:bookmarkEnd w:id="1700"/>
      <w:bookmarkEnd w:id="1702"/>
    </w:p>
    <w:p>
      <w:pPr>
        <w:pStyle w:val="Style2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无</w:t>
      </w:r>
    </w:p>
    <w:p>
      <w:pPr>
        <w:pStyle w:val="Style26"/>
        <w:keepNext/>
        <w:keepLines/>
        <w:widowControl w:val="0"/>
        <w:shd w:val="clear" w:color="auto" w:fill="auto"/>
        <w:tabs>
          <w:tab w:pos="382" w:val="left"/>
        </w:tabs>
        <w:bidi w:val="0"/>
        <w:spacing w:before="0" w:after="2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bookmarkEnd w:id="1705"/>
      <w:r>
        <w:rPr>
          <w:color w:val="000000"/>
          <w:spacing w:val="0"/>
          <w:w w:val="100"/>
          <w:position w:val="0"/>
        </w:rPr>
        <w:t>、</w:t>
        <w:tab/>
        <w:t>债务重组</w:t>
      </w:r>
      <w:bookmarkEnd w:id="1703"/>
      <w:bookmarkEnd w:id="1704"/>
      <w:bookmarkEnd w:id="1706"/>
    </w:p>
    <w:p>
      <w:pPr>
        <w:pStyle w:val="Style23"/>
        <w:keepNext w:val="0"/>
        <w:keepLines w:val="0"/>
        <w:widowControl w:val="0"/>
        <w:shd w:val="clear" w:color="auto" w:fill="auto"/>
        <w:bidi w:val="0"/>
        <w:spacing w:before="0" w:after="340" w:line="326" w:lineRule="exact"/>
        <w:ind w:left="0" w:right="0" w:firstLine="0"/>
        <w:jc w:val="left"/>
      </w:pPr>
      <w:r>
        <w:rPr>
          <w:color w:val="000000"/>
          <w:spacing w:val="0"/>
          <w:w w:val="100"/>
          <w:position w:val="0"/>
        </w:rPr>
        <w:t>无</w:t>
      </w:r>
    </w:p>
    <w:p>
      <w:pPr>
        <w:pStyle w:val="Style47"/>
        <w:keepNext w:val="0"/>
        <w:keepLines w:val="0"/>
        <w:widowControl w:val="0"/>
        <w:shd w:val="clear" w:color="auto" w:fill="auto"/>
        <w:bidi w:val="0"/>
        <w:spacing w:before="0" w:line="240" w:lineRule="auto"/>
        <w:ind w:left="0" w:right="0" w:firstLine="0"/>
        <w:jc w:val="left"/>
      </w:pPr>
      <w:bookmarkStart w:id="1707" w:name="bookmark1707"/>
      <w:r>
        <w:rPr>
          <w:rFonts w:ascii="Times New Roman" w:eastAsia="Times New Roman" w:hAnsi="Times New Roman" w:cs="Times New Roman"/>
          <w:color w:val="000000"/>
          <w:spacing w:val="0"/>
          <w:w w:val="100"/>
          <w:position w:val="0"/>
        </w:rPr>
        <w:t>3</w:t>
      </w:r>
      <w:bookmarkEnd w:id="1707"/>
      <w:r>
        <w:rPr>
          <w:color w:val="000000"/>
          <w:spacing w:val="0"/>
          <w:w w:val="100"/>
          <w:position w:val="0"/>
        </w:rPr>
        <w:t>、资产置换</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09" w:name="bookmark1709"/>
      <w:r>
        <w:rPr>
          <w:color w:val="000000"/>
          <w:spacing w:val="0"/>
          <w:w w:val="100"/>
          <w:position w:val="0"/>
        </w:rPr>
        <w:t>（</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710" w:name="bookmark1710"/>
      <w:r>
        <w:rPr>
          <w:rFonts w:ascii="Times New Roman" w:eastAsia="Times New Roman" w:hAnsi="Times New Roman" w:cs="Times New Roman"/>
          <w:color w:val="000000"/>
          <w:spacing w:val="0"/>
          <w:w w:val="100"/>
          <w:position w:val="0"/>
        </w:rPr>
        <w:t>4</w:t>
      </w:r>
      <w:bookmarkEnd w:id="1710"/>
      <w:r>
        <w:rPr>
          <w:color w:val="000000"/>
          <w:spacing w:val="0"/>
          <w:w w:val="100"/>
          <w:position w:val="0"/>
        </w:rPr>
        <w:t>、</w:t>
        <w:tab/>
        <w:t>年金计划</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711" w:name="bookmark1711"/>
      <w:r>
        <w:rPr>
          <w:rFonts w:ascii="Times New Roman" w:eastAsia="Times New Roman" w:hAnsi="Times New Roman" w:cs="Times New Roman"/>
          <w:color w:val="000000"/>
          <w:spacing w:val="0"/>
          <w:w w:val="100"/>
          <w:position w:val="0"/>
        </w:rPr>
        <w:t>5</w:t>
      </w:r>
      <w:bookmarkEnd w:id="1711"/>
      <w:r>
        <w:rPr>
          <w:color w:val="000000"/>
          <w:spacing w:val="0"/>
          <w:w w:val="100"/>
          <w:position w:val="0"/>
        </w:rPr>
        <w:t>、</w:t>
        <w:tab/>
        <w:t>终止经营</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712" w:name="bookmark1712"/>
      <w:r>
        <w:rPr>
          <w:rFonts w:ascii="Times New Roman" w:eastAsia="Times New Roman" w:hAnsi="Times New Roman" w:cs="Times New Roman"/>
          <w:color w:val="000000"/>
          <w:spacing w:val="0"/>
          <w:w w:val="100"/>
          <w:position w:val="0"/>
        </w:rPr>
        <w:t>6</w:t>
      </w:r>
      <w:bookmarkEnd w:id="1712"/>
      <w:r>
        <w:rPr>
          <w:color w:val="000000"/>
          <w:spacing w:val="0"/>
          <w:w w:val="100"/>
          <w:position w:val="0"/>
        </w:rPr>
        <w:t>、</w:t>
        <w:tab/>
        <w:t>分部信息</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13" w:name="bookmark1713"/>
      <w:r>
        <w:rPr>
          <w:color w:val="000000"/>
          <w:spacing w:val="0"/>
          <w:w w:val="100"/>
          <w:position w:val="0"/>
        </w:rPr>
        <w:t>（</w:t>
      </w:r>
      <w:bookmarkEnd w:id="171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14" w:name="bookmark1714"/>
      <w:r>
        <w:rPr>
          <w:color w:val="000000"/>
          <w:spacing w:val="0"/>
          <w:w w:val="100"/>
          <w:position w:val="0"/>
        </w:rPr>
        <w:t>（</w:t>
      </w:r>
      <w:bookmarkEnd w:id="171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15" w:name="bookmark1715"/>
      <w:r>
        <w:rPr>
          <w:color w:val="000000"/>
          <w:spacing w:val="0"/>
          <w:w w:val="100"/>
          <w:position w:val="0"/>
        </w:rPr>
        <w:t>（</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493" w:val="left"/>
        </w:tabs>
        <w:bidi w:val="0"/>
        <w:spacing w:before="0" w:line="240" w:lineRule="auto"/>
        <w:ind w:left="0" w:right="0" w:firstLine="0"/>
        <w:jc w:val="left"/>
      </w:pPr>
      <w:bookmarkStart w:id="1716" w:name="bookmark1716"/>
      <w:r>
        <w:rPr>
          <w:color w:val="000000"/>
          <w:spacing w:val="0"/>
          <w:w w:val="100"/>
          <w:position w:val="0"/>
        </w:rPr>
        <w:t>（</w:t>
      </w:r>
      <w:bookmarkEnd w:id="1716"/>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val="0"/>
        <w:keepLines w:val="0"/>
        <w:widowControl w:val="0"/>
        <w:shd w:val="clear" w:color="auto" w:fill="auto"/>
        <w:tabs>
          <w:tab w:pos="382" w:val="left"/>
        </w:tabs>
        <w:bidi w:val="0"/>
        <w:spacing w:before="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rPr>
        <w:t>7</w:t>
      </w:r>
      <w:bookmarkEnd w:id="1717"/>
      <w:r>
        <w:rPr>
          <w:color w:val="000000"/>
          <w:spacing w:val="0"/>
          <w:w w:val="100"/>
          <w:position w:val="0"/>
        </w:rPr>
        <w:t>、</w:t>
        <w:tab/>
        <w:t>其他对投资者决策有影响的重要交易和事项</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after="340" w:line="240" w:lineRule="auto"/>
        <w:ind w:left="0" w:right="0" w:firstLine="0"/>
        <w:jc w:val="both"/>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8</w:t>
      </w:r>
      <w:bookmarkEnd w:id="1720"/>
      <w:r>
        <w:rPr>
          <w:color w:val="000000"/>
          <w:spacing w:val="0"/>
          <w:w w:val="100"/>
          <w:position w:val="0"/>
        </w:rPr>
        <w:t>、其他</w:t>
      </w:r>
      <w:bookmarkEnd w:id="1718"/>
      <w:bookmarkEnd w:id="1719"/>
      <w:bookmarkEnd w:id="1721"/>
    </w:p>
    <w:p>
      <w:pPr>
        <w:pStyle w:val="Style21"/>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r>
        <w:rPr>
          <w:color w:val="000000"/>
          <w:spacing w:val="0"/>
          <w:w w:val="100"/>
          <w:position w:val="0"/>
          <w:sz w:val="24"/>
          <w:szCs w:val="24"/>
        </w:rPr>
        <w:t>十七、母公司财务报表主要项目注释</w:t>
      </w:r>
      <w:bookmarkEnd w:id="1722"/>
      <w:bookmarkEnd w:id="1723"/>
      <w:bookmarkEnd w:id="1724"/>
    </w:p>
    <w:p>
      <w:pPr>
        <w:pStyle w:val="Style26"/>
        <w:keepNext/>
        <w:keepLines/>
        <w:widowControl w:val="0"/>
        <w:shd w:val="clear" w:color="auto" w:fill="auto"/>
        <w:bidi w:val="0"/>
        <w:spacing w:before="0" w:after="340" w:line="240" w:lineRule="auto"/>
        <w:ind w:left="0" w:right="0" w:firstLine="0"/>
        <w:jc w:val="both"/>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5"/>
      <w:bookmarkEnd w:id="1726"/>
      <w:bookmarkEnd w:id="1727"/>
    </w:p>
    <w:p>
      <w:pPr>
        <w:pStyle w:val="Style26"/>
        <w:keepNext/>
        <w:keepLines/>
        <w:widowControl w:val="0"/>
        <w:shd w:val="clear" w:color="auto" w:fill="auto"/>
        <w:bidi w:val="0"/>
        <w:spacing w:before="0" w:after="340" w:line="240" w:lineRule="auto"/>
        <w:ind w:left="0" w:right="0" w:firstLine="0"/>
        <w:jc w:val="both"/>
      </w:pPr>
      <w:bookmarkStart w:id="1725" w:name="bookmark1725"/>
      <w:bookmarkStart w:id="1726" w:name="bookmark1726"/>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5"/>
      <w:bookmarkEnd w:id="1726"/>
      <w:bookmarkEnd w:id="172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71,174,9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71,174,97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50,230,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9,805,261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40,425,403.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855,812,</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186,995,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668,816,9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592,744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127,309,7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465,434,42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16,611,5</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16,611,52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943,598,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186,995,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756,603,4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642,974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137,115,0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505,859,82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汉得日本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37,229,452.70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按会计政策</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汉得新加坡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33,945,527.13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按会计政策</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71,174,979.83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635,439,687.40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31,771,984.37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line="1" w:lineRule="exact"/>
      </w:pP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130,298,472.08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65,149,236.04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45,758,296.24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45,758,296.24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44,315,630.53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44,315,630.53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855,812,086.25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186,995,147.18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26"/>
        <w:keepNext/>
        <w:keepLines/>
        <w:widowControl w:val="0"/>
        <w:shd w:val="clear" w:color="auto" w:fill="auto"/>
        <w:tabs>
          <w:tab w:pos="493" w:val="left"/>
        </w:tabs>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29"/>
      <w:bookmarkEnd w:id="1730"/>
      <w:bookmarkEnd w:id="1732"/>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49,880,143.04</w:t>
      </w:r>
      <w:r>
        <w:rPr>
          <w:color w:val="000000"/>
          <w:spacing w:val="0"/>
          <w:w w:val="100"/>
          <w:position w:val="0"/>
        </w:rPr>
        <w:t>元。</w:t>
      </w:r>
    </w:p>
    <w:p>
      <w:pPr>
        <w:pStyle w:val="Style26"/>
        <w:keepNext/>
        <w:keepLines/>
        <w:widowControl w:val="0"/>
        <w:shd w:val="clear" w:color="auto" w:fill="auto"/>
        <w:tabs>
          <w:tab w:pos="493" w:val="left"/>
        </w:tabs>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733"/>
      <w:bookmarkEnd w:id="1734"/>
      <w:bookmarkEnd w:id="1736"/>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64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737"/>
      <w:bookmarkEnd w:id="1738"/>
      <w:bookmarkEnd w:id="1740"/>
    </w:p>
    <w:tbl>
      <w:tblPr>
        <w:tblOverlap w:val="never"/>
        <w:jc w:val="center"/>
        <w:tblLayout w:type="fixed"/>
      </w:tblPr>
      <w:tblGrid>
        <w:gridCol w:w="3643"/>
        <w:gridCol w:w="2074"/>
        <w:gridCol w:w="1834"/>
        <w:gridCol w:w="2126"/>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占应收账款合计数的比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汉得日本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37,229,452.70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汉得新加坡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33,945,527.13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埃森哲（中国）有限公司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23,018,725.37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10,638,900.53</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华为技术有限公司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14,233,440.90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711,672.05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日立（中国）有限公司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10,972,110.03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548,605.50</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119,399,256.13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11,899,178.08</w:t>
            </w:r>
          </w:p>
        </w:tc>
      </w:tr>
    </w:tbl>
    <w:p>
      <w:pPr>
        <w:widowControl w:val="0"/>
        <w:spacing w:after="299" w:line="1" w:lineRule="exact"/>
      </w:pPr>
    </w:p>
    <w:p>
      <w:pPr>
        <w:pStyle w:val="Style26"/>
        <w:keepNext/>
        <w:keepLines/>
        <w:widowControl w:val="0"/>
        <w:shd w:val="clear" w:color="auto" w:fill="auto"/>
        <w:tabs>
          <w:tab w:pos="493" w:val="left"/>
        </w:tabs>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41"/>
      <w:bookmarkEnd w:id="1742"/>
      <w:bookmarkEnd w:id="1744"/>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tabs>
          <w:tab w:pos="493" w:val="left"/>
        </w:tabs>
        <w:bidi w:val="0"/>
        <w:spacing w:before="0" w:after="38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45"/>
      <w:bookmarkEnd w:id="1746"/>
      <w:bookmarkEnd w:id="1748"/>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6"/>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49"/>
      <w:bookmarkEnd w:id="1750"/>
      <w:bookmarkEnd w:id="1751"/>
    </w:p>
    <w:p>
      <w:pPr>
        <w:pStyle w:val="Style26"/>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49"/>
      <w:bookmarkEnd w:id="1750"/>
      <w:bookmarkEnd w:id="17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1"/>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318,604,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318,604,2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31,780,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2,224,023</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29,556,816.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38,008,6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8,307,46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29,701,20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4,542,656</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17,462,447.</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27,520,3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4,230,23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23,290,09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6,293,2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3,193,987</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3,099,306.2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384,133,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12,537,6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371,595,5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9,960,668</w:t>
            </w:r>
          </w:p>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50,118,570.</w:t>
            </w:r>
          </w:p>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81</w:t>
            </w:r>
          </w:p>
        </w:tc>
      </w:tr>
    </w:tbl>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274,830,854.44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按会计政策</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汉得欧俊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28,845,993.73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按会计政策</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14,927,436.73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按会计政策</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318,604,284.90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line="360"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28,479,792.83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1,423,989.64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5,290,812.21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2,645,406.11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1,256,950.79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1,256,950.79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2,981,117.56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2,981,117.56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38,008,673.39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8,307,464.10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493" w:val="left"/>
        </w:tabs>
        <w:bidi w:val="0"/>
        <w:spacing w:before="0" w:after="380" w:line="240" w:lineRule="auto"/>
        <w:ind w:left="0" w:right="0" w:firstLine="0"/>
        <w:jc w:val="both"/>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753"/>
      <w:bookmarkEnd w:id="1754"/>
      <w:bookmarkEnd w:id="1756"/>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2,577,031.65</w:t>
      </w:r>
      <w:r>
        <w:rPr>
          <w:color w:val="000000"/>
          <w:spacing w:val="0"/>
          <w:w w:val="100"/>
          <w:position w:val="0"/>
        </w:rPr>
        <w:t>元。</w:t>
      </w:r>
    </w:p>
    <w:p>
      <w:pPr>
        <w:pStyle w:val="Style26"/>
        <w:keepNext/>
        <w:keepLines/>
        <w:widowControl w:val="0"/>
        <w:shd w:val="clear" w:color="auto" w:fill="auto"/>
        <w:tabs>
          <w:tab w:pos="493" w:val="left"/>
        </w:tabs>
        <w:bidi w:val="0"/>
        <w:spacing w:before="0" w:after="380" w:line="240" w:lineRule="auto"/>
        <w:ind w:left="0" w:right="0" w:firstLine="0"/>
        <w:jc w:val="both"/>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757"/>
      <w:bookmarkEnd w:id="1758"/>
      <w:bookmarkEnd w:id="1760"/>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6"/>
        <w:keepNext/>
        <w:keepLines/>
        <w:widowControl w:val="0"/>
        <w:shd w:val="clear" w:color="auto" w:fill="auto"/>
        <w:tabs>
          <w:tab w:pos="493" w:val="left"/>
        </w:tabs>
        <w:bidi w:val="0"/>
        <w:spacing w:before="0" w:after="38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761"/>
      <w:bookmarkEnd w:id="1762"/>
      <w:bookmarkEnd w:id="17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346,124,613.27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38,074,134.32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3,831,402.68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8,039,851.60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149,328.99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457,013.08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31,673,996.10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12,183,104.63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2,353,945.62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1,325,135.38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384,133,286.66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60,079,239.01</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65"/>
      <w:bookmarkEnd w:id="1766"/>
      <w:bookmarkEnd w:id="17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274,830,854.44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汉得欧俊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28,845,993.73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汉得知云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14,927,436.73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随身科技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11,912,189.02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4,230,235.75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上海达美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关联企业往来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4,187,810.41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334,704,284.33</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4,230,235.75</w:t>
            </w:r>
          </w:p>
        </w:tc>
      </w:tr>
    </w:tbl>
    <w:p>
      <w:pPr>
        <w:pStyle w:val="Style26"/>
        <w:keepNext/>
        <w:keepLines/>
        <w:widowControl w:val="0"/>
        <w:numPr>
          <w:ilvl w:val="0"/>
          <w:numId w:val="69"/>
        </w:numPr>
        <w:shd w:val="clear" w:color="auto" w:fill="auto"/>
        <w:tabs>
          <w:tab w:pos="493"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涉及政府补助的应收款项</w:t>
      </w:r>
      <w:bookmarkEnd w:id="1769"/>
      <w:bookmarkEnd w:id="1770"/>
      <w:bookmarkEnd w:id="1772"/>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26"/>
        <w:keepNext/>
        <w:keepLines/>
        <w:widowControl w:val="0"/>
        <w:numPr>
          <w:ilvl w:val="0"/>
          <w:numId w:val="69"/>
        </w:numPr>
        <w:shd w:val="clear" w:color="auto" w:fill="auto"/>
        <w:tabs>
          <w:tab w:pos="493"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因金融资产转移而终止确认的其他应收款</w:t>
      </w:r>
      <w:bookmarkEnd w:id="1773"/>
      <w:bookmarkEnd w:id="1774"/>
      <w:bookmarkEnd w:id="1776"/>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26"/>
        <w:keepNext/>
        <w:keepLines/>
        <w:widowControl w:val="0"/>
        <w:numPr>
          <w:ilvl w:val="0"/>
          <w:numId w:val="69"/>
        </w:numPr>
        <w:shd w:val="clear" w:color="auto" w:fill="auto"/>
        <w:tabs>
          <w:tab w:pos="493"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转移其他应收款且继续涉入形成的资产、负债金额</w:t>
      </w:r>
      <w:bookmarkEnd w:id="1777"/>
      <w:bookmarkEnd w:id="1778"/>
      <w:bookmarkEnd w:id="1780"/>
    </w:p>
    <w:p>
      <w:pPr>
        <w:pStyle w:val="Style47"/>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、长期股权投资</w:t>
      </w:r>
      <w:bookmarkEnd w:id="1781"/>
      <w:bookmarkEnd w:id="1782"/>
      <w:bookmarkEnd w:id="17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455,960,856.62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455,960,856.62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201,545,056.89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201,545,056.89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455,960,856.62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455,960,856.62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201,545,056.89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201,545,056.89</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14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85"/>
      <w:bookmarkEnd w:id="1786"/>
      <w:bookmarkEnd w:id="178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4"/>
        <w:gridCol w:w="1339"/>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上海夏尔软件有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61,873,283.21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61,873,283.21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HAND</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ENTERPRISE SOLUTIONS(SIN GAPORE)PTE.,L 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2,533,960.00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40,998,735.00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43,532,695.00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随身科技(上海)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上海汉得融晶信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汉得日本株式会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574,886.68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574,886.68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HANDENTERPRI</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SESOLUTIONSU</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SA.,LTD.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6,462,925.00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6,462,925.00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4"/>
        <w:gridCol w:w="1339"/>
        <w:gridCol w:w="1334"/>
        <w:gridCol w:w="1334"/>
        <w:gridCol w:w="1387"/>
        <w:gridCol w:w="1402"/>
      </w:tblGrid>
      <w:tr>
        <w:trPr>
          <w:trHeight w:val="72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上海汉得欧俊信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上海汉得商业保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上海汉得微扬信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上海汉得知云软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13,350,264.72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13,350,264.72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HANDENTERPRI</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SESOLUTIONSU</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SA.INC.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上海甄汇信息科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上海达美信息技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扬州达美投资管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55,282,500.01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55,282,500.01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201,545,056.89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254,415,799.73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455,960,856.62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numPr>
          <w:ilvl w:val="0"/>
          <w:numId w:val="71"/>
        </w:numPr>
        <w:shd w:val="clear" w:color="auto" w:fill="auto"/>
        <w:tabs>
          <w:tab w:pos="493" w:val="left"/>
        </w:tabs>
        <w:bidi w:val="0"/>
        <w:spacing w:before="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对联营、合营企业投资</w:t>
      </w:r>
      <w:bookmarkEnd w:id="1788"/>
      <w:bookmarkEnd w:id="1789"/>
      <w:bookmarkEnd w:id="1791"/>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numPr>
          <w:ilvl w:val="0"/>
          <w:numId w:val="71"/>
        </w:numPr>
        <w:shd w:val="clear" w:color="auto" w:fill="auto"/>
        <w:tabs>
          <w:tab w:pos="49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其他说明</w:t>
      </w:r>
      <w:bookmarkEnd w:id="1792"/>
      <w:bookmarkEnd w:id="1793"/>
      <w:bookmarkEnd w:id="1795"/>
    </w:p>
    <w:p>
      <w:pPr>
        <w:pStyle w:val="Style26"/>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color w:val="000000"/>
          <w:spacing w:val="0"/>
          <w:w w:val="100"/>
          <w:position w:val="0"/>
        </w:rPr>
        <w:t>、营业收入和营业成本</w:t>
      </w:r>
      <w:bookmarkEnd w:id="1792"/>
      <w:bookmarkEnd w:id="1793"/>
      <w:bookmarkEnd w:id="17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1,530,654,597.02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955,991,865.23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1,128,697,106.57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691,354,090.07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3,723,699.19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2,299,484.26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1,534,378,296.21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955,991,865.23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1,130,996,590.83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691,354,090.07</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5</w:t>
      </w:r>
      <w:bookmarkEnd w:id="1800"/>
      <w:r>
        <w:rPr>
          <w:color w:val="000000"/>
          <w:spacing w:val="0"/>
          <w:w w:val="100"/>
          <w:position w:val="0"/>
        </w:rPr>
        <w:t>、投资收益</w:t>
      </w:r>
      <w:bookmarkEnd w:id="1798"/>
      <w:bookmarkEnd w:id="1799"/>
      <w:bookmarkEnd w:id="18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处置以公允价值计量且其变动计入当期损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-4,773,999.81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r>
        <w:trPr>
          <w:trHeight w:val="288"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益的金融资产取得的投资收益</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可供出售金融资产在持有期间的投资收益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-4,676,538.81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1,627,250.00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6</w:t>
      </w:r>
      <w:bookmarkEnd w:id="1804"/>
      <w:r>
        <w:rPr>
          <w:color w:val="000000"/>
          <w:spacing w:val="0"/>
          <w:w w:val="100"/>
          <w:position w:val="0"/>
        </w:rPr>
        <w:t>、其他</w:t>
      </w:r>
      <w:bookmarkEnd w:id="1802"/>
      <w:bookmarkEnd w:id="1803"/>
      <w:bookmarkEnd w:id="1805"/>
    </w:p>
    <w:p>
      <w:pPr>
        <w:pStyle w:val="Style21"/>
        <w:keepNext/>
        <w:keepLines/>
        <w:widowControl w:val="0"/>
        <w:shd w:val="clear" w:color="auto" w:fill="auto"/>
        <w:bidi w:val="0"/>
        <w:spacing w:before="0" w:after="320" w:line="240" w:lineRule="auto"/>
        <w:ind w:left="0" w:right="0" w:firstLine="0"/>
        <w:jc w:val="both"/>
      </w:pPr>
      <w:bookmarkStart w:id="1806" w:name="bookmark1806"/>
      <w:bookmarkStart w:id="1807" w:name="bookmark1807"/>
      <w:bookmarkStart w:id="1808" w:name="bookmark1808"/>
      <w:r>
        <w:rPr>
          <w:color w:val="000000"/>
          <w:spacing w:val="0"/>
          <w:w w:val="100"/>
          <w:position w:val="0"/>
          <w:sz w:val="24"/>
          <w:szCs w:val="24"/>
        </w:rPr>
        <w:t>十八、补充资料</w:t>
      </w:r>
      <w:bookmarkEnd w:id="1806"/>
      <w:bookmarkEnd w:id="1807"/>
      <w:bookmarkEnd w:id="1808"/>
    </w:p>
    <w:p>
      <w:pPr>
        <w:pStyle w:val="Style26"/>
        <w:keepNext/>
        <w:keepLines/>
        <w:widowControl w:val="0"/>
        <w:shd w:val="clear" w:color="auto" w:fill="auto"/>
        <w:bidi w:val="0"/>
        <w:spacing w:before="0" w:after="320" w:line="240" w:lineRule="auto"/>
        <w:ind w:left="0" w:right="0" w:firstLine="0"/>
        <w:jc w:val="both"/>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9"/>
      <w:bookmarkEnd w:id="1810"/>
      <w:bookmarkEnd w:id="1811"/>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-39,226.23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30,177,441.18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-5,377,499.81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361,505.38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3,882,446.79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102,526.26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21,137,247.47</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12"/>
      <w:bookmarkEnd w:id="1813"/>
      <w:bookmarkEnd w:id="1814"/>
    </w:p>
    <w:tbl>
      <w:tblPr>
        <w:tblOverlap w:val="never"/>
        <w:jc w:val="center"/>
        <w:tblLayout w:type="fixed"/>
      </w:tblPr>
      <w:tblGrid>
        <w:gridCol w:w="2664"/>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12.72%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bl>
    <w:p>
      <w:pPr>
        <w:pStyle w:val="Style47"/>
        <w:keepNext w:val="0"/>
        <w:keepLines w:val="0"/>
        <w:widowControl w:val="0"/>
        <w:shd w:val="clear" w:color="auto" w:fill="auto"/>
        <w:bidi w:val="0"/>
        <w:spacing w:before="0" w:after="28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rPr>
        <w:t>3</w:t>
      </w:r>
      <w:bookmarkEnd w:id="1815"/>
      <w:r>
        <w:rPr>
          <w:color w:val="000000"/>
          <w:spacing w:val="0"/>
          <w:w w:val="100"/>
          <w:position w:val="0"/>
        </w:rPr>
        <w:t>、境内外会计准则下会计数据差异</w:t>
      </w:r>
    </w:p>
    <w:p>
      <w:pPr>
        <w:pStyle w:val="Style47"/>
        <w:keepNext w:val="0"/>
        <w:keepLines w:val="0"/>
        <w:widowControl w:val="0"/>
        <w:numPr>
          <w:ilvl w:val="0"/>
          <w:numId w:val="73"/>
        </w:numPr>
        <w:shd w:val="clear" w:color="auto" w:fill="auto"/>
        <w:tabs>
          <w:tab w:pos="493" w:val="left"/>
        </w:tabs>
        <w:bidi w:val="0"/>
        <w:spacing w:before="0" w:line="331" w:lineRule="exact"/>
        <w:ind w:left="0" w:right="0" w:firstLine="0"/>
        <w:jc w:val="left"/>
      </w:pPr>
      <w:bookmarkStart w:id="1816" w:name="bookmark1816"/>
      <w:bookmarkEnd w:id="1816"/>
      <w:r>
        <w:rPr>
          <w:color w:val="000000"/>
          <w:spacing w:val="0"/>
          <w:w w:val="100"/>
          <w:position w:val="0"/>
        </w:rPr>
        <w:t>同时按照国际会计准则与按中国会计准则披露的财务报告中净利润和净资产差异情况</w:t>
      </w:r>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val="0"/>
        <w:keepLines w:val="0"/>
        <w:widowControl w:val="0"/>
        <w:numPr>
          <w:ilvl w:val="0"/>
          <w:numId w:val="73"/>
        </w:numPr>
        <w:shd w:val="clear" w:color="auto" w:fill="auto"/>
        <w:tabs>
          <w:tab w:pos="493" w:val="left"/>
        </w:tabs>
        <w:bidi w:val="0"/>
        <w:spacing w:before="0" w:line="331" w:lineRule="exact"/>
        <w:ind w:left="0" w:right="0" w:firstLine="0"/>
        <w:jc w:val="left"/>
      </w:pPr>
      <w:bookmarkStart w:id="1817" w:name="bookmark1817"/>
      <w:bookmarkEnd w:id="1817"/>
      <w:r>
        <w:rPr>
          <w:color w:val="000000"/>
          <w:spacing w:val="0"/>
          <w:w w:val="100"/>
          <w:position w:val="0"/>
        </w:rPr>
        <w:t>同时按照境外会计准则与按中国会计准则披露的财务报告中净利润和净资产差异情况</w:t>
      </w:r>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7"/>
        <w:keepNext w:val="0"/>
        <w:keepLines w:val="0"/>
        <w:widowControl w:val="0"/>
        <w:numPr>
          <w:ilvl w:val="0"/>
          <w:numId w:val="73"/>
        </w:numPr>
        <w:shd w:val="clear" w:color="auto" w:fill="auto"/>
        <w:tabs>
          <w:tab w:pos="589" w:val="left"/>
        </w:tabs>
        <w:bidi w:val="0"/>
        <w:spacing w:before="0" w:after="280" w:line="331" w:lineRule="exact"/>
        <w:ind w:left="0" w:right="0" w:firstLine="0"/>
        <w:jc w:val="left"/>
      </w:pPr>
      <w:bookmarkStart w:id="1818" w:name="bookmark1818"/>
      <w:bookmarkEnd w:id="1818"/>
      <w:r>
        <w:rPr>
          <w:color w:val="000000"/>
          <w:spacing w:val="0"/>
          <w:w w:val="100"/>
          <w:position w:val="0"/>
        </w:rPr>
        <w:t>境内外会计准则下会计数据差异原因说明，对已经境外审计机构审计的数据进行差异调节的，应注 明该境外机构的名称</w:t>
      </w:r>
    </w:p>
    <w:p>
      <w:pPr>
        <w:pStyle w:val="Style47"/>
        <w:keepNext w:val="0"/>
        <w:keepLines w:val="0"/>
        <w:widowControl w:val="0"/>
        <w:shd w:val="clear" w:color="auto" w:fill="auto"/>
        <w:bidi w:val="0"/>
        <w:spacing w:before="0" w:after="280" w:line="331" w:lineRule="exact"/>
        <w:ind w:left="0" w:right="0" w:firstLine="0"/>
        <w:jc w:val="both"/>
        <w:sectPr>
          <w:footnotePr>
            <w:pos w:val="pageBottom"/>
            <w:numFmt w:val="decimal"/>
            <w:numRestart w:val="continuous"/>
          </w:footnotePr>
          <w:pgSz w:w="11900" w:h="16840"/>
          <w:pgMar w:top="1340" w:right="1052" w:bottom="1407" w:left="1051" w:header="0" w:footer="3" w:gutter="0"/>
          <w:cols w:space="720"/>
          <w:noEndnote/>
          <w:rtlGutter w:val="0"/>
          <w:docGrid w:linePitch="360"/>
        </w:sectPr>
      </w:pPr>
      <w:bookmarkStart w:id="1819" w:name="bookmark1819"/>
      <w:r>
        <w:rPr>
          <w:rFonts w:ascii="Times New Roman" w:eastAsia="Times New Roman" w:hAnsi="Times New Roman" w:cs="Times New Roman"/>
          <w:color w:val="000000"/>
          <w:spacing w:val="0"/>
          <w:w w:val="100"/>
          <w:position w:val="0"/>
        </w:rPr>
        <w:t>4</w:t>
      </w:r>
      <w:bookmarkEnd w:id="1819"/>
      <w:r>
        <w:rPr>
          <w:color w:val="000000"/>
          <w:spacing w:val="0"/>
          <w:w w:val="100"/>
          <w:position w:val="0"/>
        </w:rPr>
        <w:t>、其他</w:t>
      </w:r>
    </w:p>
    <w:p>
      <w:pPr>
        <w:pStyle w:val="Style12"/>
        <w:keepNext/>
        <w:keepLines/>
        <w:widowControl w:val="0"/>
        <w:shd w:val="clear" w:color="auto" w:fill="auto"/>
        <w:bidi w:val="0"/>
        <w:spacing w:before="0" w:after="440" w:line="240" w:lineRule="auto"/>
        <w:ind w:left="0" w:right="0" w:firstLine="0"/>
        <w:jc w:val="center"/>
      </w:pPr>
      <w:bookmarkStart w:id="1820" w:name="bookmark1820"/>
      <w:bookmarkStart w:id="1821" w:name="bookmark1821"/>
      <w:bookmarkStart w:id="1822" w:name="bookmark1822"/>
      <w:r>
        <w:rPr>
          <w:color w:val="000000"/>
          <w:spacing w:val="0"/>
          <w:w w:val="100"/>
          <w:position w:val="0"/>
        </w:rPr>
        <w:t>第十二节备查文件目录</w:t>
      </w:r>
      <w:bookmarkEnd w:id="1820"/>
      <w:bookmarkEnd w:id="1821"/>
      <w:bookmarkEnd w:id="1822"/>
    </w:p>
    <w:p>
      <w:pPr>
        <w:pStyle w:val="Style30"/>
        <w:keepNext w:val="0"/>
        <w:keepLines w:val="0"/>
        <w:widowControl w:val="0"/>
        <w:shd w:val="clear" w:color="auto" w:fill="auto"/>
        <w:tabs>
          <w:tab w:pos="517" w:val="left"/>
        </w:tabs>
        <w:bidi w:val="0"/>
        <w:spacing w:before="0" w:after="0" w:line="475" w:lineRule="exact"/>
        <w:ind w:left="0" w:right="0" w:firstLine="0"/>
        <w:jc w:val="both"/>
      </w:pPr>
      <w:bookmarkStart w:id="1823" w:name="bookmark1823"/>
      <w:r>
        <w:rPr>
          <w:color w:val="000000"/>
          <w:spacing w:val="0"/>
          <w:w w:val="100"/>
          <w:position w:val="0"/>
          <w:sz w:val="24"/>
          <w:szCs w:val="24"/>
        </w:rPr>
        <w:t>一</w:t>
      </w:r>
      <w:bookmarkEnd w:id="1823"/>
      <w:r>
        <w:rPr>
          <w:color w:val="000000"/>
          <w:spacing w:val="0"/>
          <w:w w:val="100"/>
          <w:position w:val="0"/>
          <w:sz w:val="24"/>
          <w:szCs w:val="24"/>
        </w:rPr>
        <w:t>、</w:t>
        <w:tab/>
        <w:t>载有法定代表人陈迪清先生、主管会计工作负责人、会计机构负责人王辛夷女士签名并 盖章的财务报告文本；</w:t>
      </w:r>
    </w:p>
    <w:p>
      <w:pPr>
        <w:pStyle w:val="Style30"/>
        <w:keepNext w:val="0"/>
        <w:keepLines w:val="0"/>
        <w:widowControl w:val="0"/>
        <w:shd w:val="clear" w:color="auto" w:fill="auto"/>
        <w:tabs>
          <w:tab w:pos="512" w:val="left"/>
        </w:tabs>
        <w:bidi w:val="0"/>
        <w:spacing w:before="0" w:after="0" w:line="475" w:lineRule="exact"/>
        <w:ind w:left="0" w:right="0" w:firstLine="0"/>
        <w:jc w:val="both"/>
      </w:pPr>
      <w:bookmarkStart w:id="1824" w:name="bookmark1824"/>
      <w:r>
        <w:rPr>
          <w:color w:val="000000"/>
          <w:spacing w:val="0"/>
          <w:w w:val="100"/>
          <w:position w:val="0"/>
          <w:sz w:val="24"/>
          <w:szCs w:val="24"/>
        </w:rPr>
        <w:t>二</w:t>
      </w:r>
      <w:bookmarkEnd w:id="1824"/>
      <w:r>
        <w:rPr>
          <w:color w:val="000000"/>
          <w:spacing w:val="0"/>
          <w:w w:val="100"/>
          <w:position w:val="0"/>
          <w:sz w:val="24"/>
          <w:szCs w:val="24"/>
        </w:rPr>
        <w:t>、</w:t>
        <w:tab/>
        <w:t>载有会计师事务所盖章、注册会计师签名并盖章的审计报告原件；</w:t>
      </w:r>
    </w:p>
    <w:p>
      <w:pPr>
        <w:pStyle w:val="Style30"/>
        <w:keepNext w:val="0"/>
        <w:keepLines w:val="0"/>
        <w:widowControl w:val="0"/>
        <w:shd w:val="clear" w:color="auto" w:fill="auto"/>
        <w:tabs>
          <w:tab w:pos="512" w:val="left"/>
        </w:tabs>
        <w:bidi w:val="0"/>
        <w:spacing w:before="0" w:after="0" w:line="475" w:lineRule="exact"/>
        <w:ind w:left="0" w:right="0" w:firstLine="0"/>
        <w:jc w:val="both"/>
      </w:pPr>
      <w:bookmarkStart w:id="1825" w:name="bookmark1825"/>
      <w:r>
        <w:rPr>
          <w:color w:val="000000"/>
          <w:spacing w:val="0"/>
          <w:w w:val="100"/>
          <w:position w:val="0"/>
          <w:sz w:val="24"/>
          <w:szCs w:val="24"/>
        </w:rPr>
        <w:t>三</w:t>
      </w:r>
      <w:bookmarkEnd w:id="1825"/>
      <w:r>
        <w:rPr>
          <w:color w:val="000000"/>
          <w:spacing w:val="0"/>
          <w:w w:val="100"/>
          <w:position w:val="0"/>
          <w:sz w:val="24"/>
          <w:szCs w:val="24"/>
        </w:rPr>
        <w:t>、</w:t>
        <w:tab/>
        <w:t>报告期内在中国证监会指定网站上公开披露过的所有公司文件的正本及公告的原稿；</w:t>
      </w:r>
    </w:p>
    <w:p>
      <w:pPr>
        <w:pStyle w:val="Style30"/>
        <w:keepNext w:val="0"/>
        <w:keepLines w:val="0"/>
        <w:widowControl w:val="0"/>
        <w:shd w:val="clear" w:color="auto" w:fill="auto"/>
        <w:tabs>
          <w:tab w:pos="512" w:val="left"/>
        </w:tabs>
        <w:bidi w:val="0"/>
        <w:spacing w:before="0" w:after="0" w:line="475" w:lineRule="exact"/>
        <w:ind w:left="0" w:right="0" w:firstLine="0"/>
        <w:jc w:val="both"/>
      </w:pPr>
      <w:bookmarkStart w:id="1826" w:name="bookmark1826"/>
      <w:r>
        <w:rPr>
          <w:color w:val="000000"/>
          <w:spacing w:val="0"/>
          <w:w w:val="100"/>
          <w:position w:val="0"/>
          <w:sz w:val="24"/>
          <w:szCs w:val="24"/>
        </w:rPr>
        <w:t>四</w:t>
      </w:r>
      <w:bookmarkEnd w:id="1826"/>
      <w:r>
        <w:rPr>
          <w:color w:val="000000"/>
          <w:spacing w:val="0"/>
          <w:w w:val="100"/>
          <w:position w:val="0"/>
          <w:sz w:val="24"/>
          <w:szCs w:val="24"/>
        </w:rPr>
        <w:t>、</w:t>
        <w:tab/>
        <w:t>经公司法定代表人陈迪清先生签名的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年年度报告原件；</w:t>
      </w:r>
    </w:p>
    <w:p>
      <w:pPr>
        <w:pStyle w:val="Style30"/>
        <w:keepNext w:val="0"/>
        <w:keepLines w:val="0"/>
        <w:widowControl w:val="0"/>
        <w:shd w:val="clear" w:color="auto" w:fill="auto"/>
        <w:tabs>
          <w:tab w:pos="512" w:val="left"/>
        </w:tabs>
        <w:bidi w:val="0"/>
        <w:spacing w:before="0" w:after="1240" w:line="475" w:lineRule="exact"/>
        <w:ind w:left="0" w:right="0" w:firstLine="0"/>
        <w:jc w:val="both"/>
      </w:pPr>
      <w:bookmarkStart w:id="1827" w:name="bookmark1827"/>
      <w:r>
        <w:rPr>
          <w:color w:val="000000"/>
          <w:spacing w:val="0"/>
          <w:w w:val="100"/>
          <w:position w:val="0"/>
          <w:sz w:val="24"/>
          <w:szCs w:val="24"/>
        </w:rPr>
        <w:t>五</w:t>
      </w:r>
      <w:bookmarkEnd w:id="1827"/>
      <w:r>
        <w:rPr>
          <w:color w:val="000000"/>
          <w:spacing w:val="0"/>
          <w:w w:val="100"/>
          <w:position w:val="0"/>
          <w:sz w:val="24"/>
          <w:szCs w:val="24"/>
        </w:rPr>
        <w:t>、</w:t>
        <w:tab/>
        <w:t>其他有关资料。</w:t>
      </w:r>
    </w:p>
    <w:p>
      <w:pPr>
        <w:pStyle w:val="Style30"/>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上海汉得信息技术股份有限公司</w:t>
      </w:r>
    </w:p>
    <w:p>
      <w:pPr>
        <w:pStyle w:val="Style30"/>
        <w:keepNext w:val="0"/>
        <w:keepLines w:val="0"/>
        <w:widowControl w:val="0"/>
        <w:shd w:val="clear" w:color="auto" w:fill="auto"/>
        <w:bidi w:val="0"/>
        <w:spacing w:before="0" w:after="220" w:line="240" w:lineRule="auto"/>
        <w:ind w:left="0" w:right="0" w:firstLine="0"/>
        <w:jc w:val="right"/>
      </w:pPr>
      <w:r>
        <w:rPr>
          <w:color w:val="000000"/>
          <w:spacing w:val="0"/>
          <w:w w:val="100"/>
          <w:position w:val="0"/>
          <w:sz w:val="24"/>
          <w:szCs w:val="24"/>
        </w:rPr>
        <w:t>法定代表人：陈迪清</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一七年四月二十六日</w:t>
      </w:r>
    </w:p>
    <w:sectPr>
      <w:footnotePr>
        <w:pos w:val="pageBottom"/>
        <w:numFmt w:val="decimal"/>
        <w:numRestart w:val="continuous"/>
      </w:footnotePr>
      <w:pgSz w:w="11900" w:h="16840"/>
      <w:pgMar w:top="1647" w:right="1112" w:bottom="1647"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6741160</wp:posOffset>
              </wp:positionH>
              <wp:positionV relativeFrom="page">
                <wp:posOffset>9955530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9999999999995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上海汉得信息技术股份有限公司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上海汉得信息技术股份有限公司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4168775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上海汉得信息技术股份有限公司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28.25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上海汉得信息技术股份有限公司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正文文本 (2)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48">
    <w:name w:val="正文文本 (6)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2">
    <w:name w:val="正文文本 (7)_"/>
    <w:basedOn w:val="DefaultParagraphFont"/>
    <w:link w:val="Style61"/>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290" w:after="4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标题 #2"/>
    <w:basedOn w:val="Normal"/>
    <w:link w:val="CharStyle22"/>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3">
    <w:name w:val="正文文本 (2)"/>
    <w:basedOn w:val="Normal"/>
    <w:link w:val="CharStyle24"/>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正文文本"/>
    <w:basedOn w:val="Normal"/>
    <w:link w:val="CharStyle31"/>
    <w:pPr>
      <w:widowControl w:val="0"/>
      <w:shd w:val="clear" w:color="auto" w:fill="auto"/>
      <w:spacing w:line="41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7">
    <w:name w:val="正文文本 (6)"/>
    <w:basedOn w:val="Normal"/>
    <w:link w:val="CharStyle48"/>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61">
    <w:name w:val="正文文本 (7)"/>
    <w:basedOn w:val="Normal"/>
    <w:link w:val="CharStyle62"/>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&lt;4D6963726F736F667420576F7264202D2032303136C4EAC4EAB6C8B1A8B8E6C8ABCEC4&gt;</dc:title>
  <dc:subject/>
  <dc:creator>hand</dc:creator>
  <cp:keywords/>
</cp:coreProperties>
</file>