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3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10461" cy="400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461"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上海汉得信息技术股份有限公司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3" w:right="147" w:firstLine="561"/>
        <w:jc w:val="both"/>
        <w:rPr>
          <w:b w:val="0"/>
          <w:bCs w:val="0"/>
        </w:rPr>
      </w:pPr>
      <w:r>
        <w:rPr>
          <w:spacing w:val="4"/>
          <w:w w:val="95"/>
        </w:rPr>
        <w:t>公司董事会、监事会及董事、监事、高级管理人员保证年度报告内容的真</w:t>
      </w:r>
      <w:r>
        <w:rPr>
          <w:spacing w:val="4"/>
          <w:w w:val="99"/>
        </w:rPr>
        <w:t> </w:t>
      </w:r>
      <w:r>
        <w:rPr>
          <w:spacing w:val="3"/>
          <w:w w:val="95"/>
        </w:rPr>
        <w:t>实、准确、完整，不存在虚假记载、误导性陈述或重大遗漏，并承担个别和连</w:t>
      </w:r>
      <w:r>
        <w:rPr>
          <w:spacing w:val="19"/>
          <w:w w:val="95"/>
        </w:rPr>
        <w:t> </w:t>
      </w:r>
      <w:r>
        <w:rPr>
          <w:spacing w:val="19"/>
          <w:w w:val="95"/>
        </w:rPr>
      </w:r>
      <w:r>
        <w:rPr/>
        <w:t>带的法律责任。</w:t>
      </w:r>
      <w:r>
        <w:rPr>
          <w:b w:val="0"/>
          <w:bCs w:val="0"/>
        </w:rPr>
      </w:r>
    </w:p>
    <w:p>
      <w:pPr>
        <w:pStyle w:val="Heading2"/>
        <w:spacing w:line="386" w:lineRule="auto" w:before="161"/>
        <w:ind w:right="151" w:firstLine="561"/>
        <w:jc w:val="both"/>
        <w:rPr>
          <w:b w:val="0"/>
          <w:bCs w:val="0"/>
        </w:rPr>
      </w:pPr>
      <w:r>
        <w:rPr>
          <w:w w:val="95"/>
        </w:rPr>
        <w:t>公司负责人陈迪清、主管会计工作负责人沈雁冰及会计机构负责人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沈雁冰声明：保证年度报告中财务报告的真实、准确、完整。</w:t>
      </w:r>
      <w:r>
        <w:rPr>
          <w:b w:val="0"/>
          <w:bCs w:val="0"/>
        </w:rPr>
      </w:r>
    </w:p>
    <w:p>
      <w:pPr>
        <w:pStyle w:val="Heading2"/>
        <w:spacing w:line="240" w:lineRule="auto" w:before="147"/>
        <w:ind w:left="715" w:right="0"/>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27"/>
          <w:szCs w:val="27"/>
        </w:rPr>
      </w:pPr>
    </w:p>
    <w:p>
      <w:pPr>
        <w:pStyle w:val="Heading2"/>
        <w:spacing w:line="472" w:lineRule="auto"/>
        <w:ind w:left="715" w:right="0"/>
        <w:jc w:val="left"/>
        <w:rPr>
          <w:b w:val="0"/>
          <w:bCs w:val="0"/>
        </w:rPr>
      </w:pPr>
      <w:r>
        <w:rPr/>
        <w:t>（一）宏观经济波动的风险。</w:t>
      </w:r>
      <w:r>
        <w:rPr>
          <w:spacing w:val="1"/>
          <w:w w:val="99"/>
        </w:rPr>
        <w:t> </w:t>
      </w:r>
      <w:r>
        <w:rPr>
          <w:spacing w:val="4"/>
          <w:w w:val="95"/>
        </w:rPr>
        <w:t>宏观经济的波动在一定程度上，可能会影响企业自身的经营状况和对未来</w:t>
      </w:r>
      <w:r>
        <w:rPr>
          <w:b w:val="0"/>
          <w:bCs w:val="0"/>
        </w:rPr>
      </w:r>
    </w:p>
    <w:p>
      <w:pPr>
        <w:pStyle w:val="Heading2"/>
        <w:spacing w:line="408" w:lineRule="auto"/>
        <w:ind w:right="149"/>
        <w:jc w:val="both"/>
        <w:rPr>
          <w:b w:val="0"/>
          <w:bCs w:val="0"/>
        </w:rPr>
      </w:pPr>
      <w:r>
        <w:rPr/>
        <w:t>的预期及其投资意愿，从而影响客户在</w:t>
      </w:r>
      <w:r>
        <w:rPr>
          <w:spacing w:val="-105"/>
        </w:rPr>
        <w:t> </w:t>
      </w:r>
      <w:r>
        <w:rPr/>
        <w:t>IT</w:t>
      </w:r>
      <w:r>
        <w:rPr>
          <w:spacing w:val="-104"/>
        </w:rPr>
        <w:t> </w:t>
      </w:r>
      <w:r>
        <w:rPr/>
        <w:t>建设方面的预算。公司的客户主要为</w:t>
      </w:r>
      <w:r>
        <w:rPr>
          <w:spacing w:val="1"/>
          <w:w w:val="99"/>
        </w:rPr>
        <w:t> </w:t>
      </w:r>
      <w:r>
        <w:rPr>
          <w:spacing w:val="3"/>
          <w:w w:val="95"/>
        </w:rPr>
        <w:t>具有较强实力的跨国公司和大中型企业，信息系统对于客户企业的运营和管理</w:t>
      </w:r>
      <w:r>
        <w:rPr>
          <w:spacing w:val="19"/>
          <w:w w:val="95"/>
        </w:rPr>
        <w:t> </w:t>
      </w:r>
      <w:r>
        <w:rPr>
          <w:spacing w:val="19"/>
          <w:w w:val="95"/>
        </w:rPr>
      </w:r>
      <w:r>
        <w:rPr/>
        <w:t>至关重要。在行业低潮期，一部分公司会推迟</w:t>
      </w:r>
      <w:r>
        <w:rPr>
          <w:spacing w:val="-103"/>
        </w:rPr>
        <w:t> </w:t>
      </w:r>
      <w:r>
        <w:rPr/>
        <w:t>IT</w:t>
      </w:r>
      <w:r>
        <w:rPr>
          <w:spacing w:val="-103"/>
        </w:rPr>
        <w:t> </w:t>
      </w:r>
      <w:r>
        <w:rPr/>
        <w:t>的投入，但也有一部分公司需</w:t>
      </w:r>
      <w:r>
        <w:rPr>
          <w:spacing w:val="1"/>
          <w:w w:val="99"/>
        </w:rPr>
        <w:t> </w:t>
      </w:r>
      <w:r>
        <w:rPr/>
        <w:t>要通过</w:t>
      </w:r>
      <w:r>
        <w:rPr>
          <w:spacing w:val="-90"/>
        </w:rPr>
        <w:t> </w:t>
      </w:r>
      <w:r>
        <w:rPr>
          <w:spacing w:val="-8"/>
        </w:rPr>
        <w:t>ERP、MES、费控等</w:t>
      </w:r>
      <w:r>
        <w:rPr>
          <w:spacing w:val="-90"/>
        </w:rPr>
        <w:t> </w:t>
      </w:r>
      <w:r>
        <w:rPr/>
        <w:t>IT</w:t>
      </w:r>
      <w:r>
        <w:rPr>
          <w:spacing w:val="-89"/>
        </w:rPr>
        <w:t> </w:t>
      </w:r>
      <w:r>
        <w:rPr/>
        <w:t>系统提升公司运营效率，降低综合成本来对抗危机</w:t>
      </w:r>
      <w:r>
        <w:rPr>
          <w:spacing w:val="1"/>
          <w:w w:val="99"/>
        </w:rPr>
        <w:t> </w:t>
      </w:r>
      <w:r>
        <w:rPr>
          <w:spacing w:val="3"/>
          <w:w w:val="95"/>
        </w:rPr>
        <w:t>的负面影响，另一方面，由于公司的客户数量众多，行业分布广泛，单个行业</w:t>
      </w:r>
      <w:r>
        <w:rPr>
          <w:spacing w:val="19"/>
          <w:w w:val="95"/>
        </w:rPr>
        <w:t> </w:t>
      </w:r>
      <w:r>
        <w:rPr>
          <w:spacing w:val="19"/>
          <w:w w:val="95"/>
        </w:rPr>
      </w:r>
      <w:r>
        <w:rPr>
          <w:spacing w:val="3"/>
          <w:w w:val="95"/>
        </w:rPr>
        <w:t>的景气周期对于公司的影响较弱，但从长远来看，宏观及行业经济周期的变化</w:t>
      </w:r>
      <w:r>
        <w:rPr>
          <w:spacing w:val="19"/>
          <w:w w:val="95"/>
        </w:rPr>
        <w:t> </w:t>
      </w:r>
      <w:r>
        <w:rPr>
          <w:spacing w:val="19"/>
          <w:w w:val="95"/>
        </w:rPr>
      </w:r>
      <w:r>
        <w:rPr>
          <w:spacing w:val="3"/>
          <w:w w:val="95"/>
        </w:rPr>
        <w:t>仍与公司所在行业的市场景气程度存在一定的关联性。因此，如果未来宏观经</w:t>
      </w:r>
      <w:r>
        <w:rPr>
          <w:spacing w:val="19"/>
          <w:w w:val="95"/>
        </w:rPr>
        <w:t> </w:t>
      </w:r>
      <w:r>
        <w:rPr>
          <w:spacing w:val="19"/>
          <w:w w:val="95"/>
        </w:rPr>
      </w:r>
      <w:r>
        <w:rPr>
          <w:spacing w:val="-4"/>
        </w:rPr>
        <w:t>济景气度长期低迷，有可能对</w:t>
      </w:r>
      <w:r>
        <w:rPr>
          <w:spacing w:val="-82"/>
        </w:rPr>
        <w:t> </w:t>
      </w:r>
      <w:r>
        <w:rPr/>
        <w:t>IT</w:t>
      </w:r>
      <w:r>
        <w:rPr>
          <w:spacing w:val="-81"/>
        </w:rPr>
        <w:t> </w:t>
      </w:r>
      <w:r>
        <w:rPr/>
        <w:t>咨询实施服务行业需求的持续或增长带来一定</w:t>
      </w:r>
      <w:r>
        <w:rPr>
          <w:spacing w:val="1"/>
          <w:w w:val="99"/>
        </w:rPr>
        <w:t> </w:t>
      </w:r>
      <w:r>
        <w:rPr/>
        <w:t>程度的不利影响。</w:t>
      </w:r>
      <w:r>
        <w:rPr>
          <w:b w:val="0"/>
          <w:bCs w:val="0"/>
        </w:rPr>
      </w:r>
    </w:p>
    <w:p>
      <w:pPr>
        <w:pStyle w:val="Heading2"/>
        <w:spacing w:line="472" w:lineRule="auto" w:before="161"/>
        <w:ind w:left="715" w:right="0"/>
        <w:jc w:val="left"/>
        <w:rPr>
          <w:b w:val="0"/>
          <w:bCs w:val="0"/>
        </w:rPr>
      </w:pPr>
      <w:r>
        <w:rPr/>
        <w:t>（二）人力成本上升和人才流失风险。</w:t>
      </w:r>
      <w:r>
        <w:rPr>
          <w:spacing w:val="1"/>
          <w:w w:val="99"/>
        </w:rPr>
        <w:t> </w:t>
      </w:r>
      <w:r>
        <w:rPr>
          <w:spacing w:val="4"/>
          <w:w w:val="95"/>
        </w:rPr>
        <w:t>咨询行业属于人才密集型行业，公司最主要的经营资源是人力，因此如果</w:t>
      </w:r>
      <w:r>
        <w:rPr>
          <w:b w:val="0"/>
          <w:bCs w:val="0"/>
        </w:rPr>
      </w:r>
    </w:p>
    <w:p>
      <w:pPr>
        <w:spacing w:after="0" w:line="472" w:lineRule="auto"/>
        <w:jc w:val="left"/>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408" w:lineRule="auto" w:before="13"/>
        <w:ind w:left="153" w:right="103"/>
        <w:jc w:val="both"/>
        <w:rPr>
          <w:b w:val="0"/>
          <w:bCs w:val="0"/>
        </w:rPr>
      </w:pPr>
      <w:r>
        <w:rPr>
          <w:spacing w:val="3"/>
        </w:rPr>
        <w:t>人力成本平均上升速度快于人均产值的增长速度，则公司的毛利率水平将会有</w:t>
      </w:r>
      <w:r>
        <w:rPr>
          <w:spacing w:val="3"/>
          <w:w w:val="99"/>
        </w:rPr>
        <w:t> </w:t>
      </w:r>
      <w:r>
        <w:rPr>
          <w:spacing w:val="3"/>
        </w:rPr>
        <w:t>下降的风险。为应对该项风险，公司一方面将通过进一步提高服务质量、服务</w:t>
      </w:r>
      <w:r>
        <w:rPr>
          <w:spacing w:val="3"/>
          <w:w w:val="99"/>
        </w:rPr>
        <w:t> </w:t>
      </w:r>
      <w:r>
        <w:rPr>
          <w:spacing w:val="3"/>
        </w:rPr>
        <w:t>效率和提升客户体验来推动实施顾问人均产值的持续增长，另一方面，公司凭</w:t>
      </w:r>
      <w:r>
        <w:rPr>
          <w:spacing w:val="3"/>
          <w:w w:val="99"/>
        </w:rPr>
        <w:t> </w:t>
      </w:r>
      <w:r>
        <w:rPr>
          <w:spacing w:val="3"/>
        </w:rPr>
        <w:t>借总结行业整体解决方案、立足于自主培养人才、加强区域集中共享、远程化</w:t>
      </w:r>
      <w:r>
        <w:rPr>
          <w:spacing w:val="3"/>
          <w:w w:val="99"/>
        </w:rPr>
        <w:t> </w:t>
      </w:r>
      <w:r>
        <w:rPr>
          <w:spacing w:val="3"/>
        </w:rPr>
        <w:t>支持技术等手段来加速实施顾问的成长，提高人员利用率，从而缓解人力成本</w:t>
      </w:r>
      <w:r>
        <w:rPr>
          <w:spacing w:val="3"/>
          <w:w w:val="99"/>
        </w:rPr>
        <w:t> </w:t>
      </w:r>
      <w:r>
        <w:rPr>
          <w:spacing w:val="3"/>
        </w:rPr>
        <w:t>上升的压力。虽然如此，但未来随着经济的发展、生活成本的上升、竞争对手</w:t>
      </w:r>
      <w:r>
        <w:rPr>
          <w:spacing w:val="3"/>
          <w:w w:val="99"/>
        </w:rPr>
        <w:t> </w:t>
      </w:r>
      <w:r>
        <w:rPr>
          <w:spacing w:val="3"/>
        </w:rPr>
        <w:t>对专业人才的争夺，以及政府部门对社会保障体系相关政策的调整，公司的人</w:t>
      </w:r>
      <w:r>
        <w:rPr>
          <w:spacing w:val="3"/>
          <w:w w:val="99"/>
        </w:rPr>
        <w:t> </w:t>
      </w:r>
      <w:r>
        <w:rPr>
          <w:spacing w:val="3"/>
        </w:rPr>
        <w:t>力成本仍可能存在增加的风险。一方面，近年来随着互联网企业的快速发展，</w:t>
      </w:r>
      <w:r>
        <w:rPr>
          <w:spacing w:val="3"/>
          <w:w w:val="99"/>
        </w:rPr>
        <w:t> </w:t>
      </w:r>
      <w:r>
        <w:rPr/>
        <w:t>IT</w:t>
      </w:r>
      <w:r>
        <w:rPr>
          <w:spacing w:val="-82"/>
        </w:rPr>
        <w:t> </w:t>
      </w:r>
      <w:r>
        <w:rPr>
          <w:spacing w:val="-6"/>
        </w:rPr>
        <w:t>人才的工资水平迅速提高，发展方向多样化，公司人才面临较多的市场机会，</w:t>
      </w:r>
      <w:r>
        <w:rPr>
          <w:w w:val="99"/>
        </w:rPr>
        <w:t> </w:t>
      </w:r>
      <w:r>
        <w:rPr>
          <w:spacing w:val="3"/>
        </w:rPr>
        <w:t>再加上行业特性，长期出差、强度高对人员稳定性造成了一定影响，另一方面</w:t>
      </w:r>
      <w:r>
        <w:rPr>
          <w:spacing w:val="3"/>
          <w:w w:val="99"/>
        </w:rPr>
        <w:t> </w:t>
      </w:r>
      <w:r>
        <w:rPr>
          <w:spacing w:val="3"/>
        </w:rPr>
        <w:t>公司的股权激励因为资本市场波动较大给激励效果带来了不确定性，也影响了</w:t>
      </w:r>
      <w:r>
        <w:rPr>
          <w:spacing w:val="3"/>
          <w:w w:val="99"/>
        </w:rPr>
        <w:t> </w:t>
      </w:r>
      <w:r>
        <w:rPr>
          <w:spacing w:val="3"/>
        </w:rPr>
        <w:t>员工的黏性，存在人才流失的风险，人才流失会直接影响到项目交付进度和交</w:t>
      </w:r>
      <w:r>
        <w:rPr>
          <w:spacing w:val="3"/>
          <w:w w:val="99"/>
        </w:rPr>
        <w:t> </w:t>
      </w:r>
      <w:r>
        <w:rPr>
          <w:spacing w:val="3"/>
        </w:rPr>
        <w:t>付质量，从而影响公司的市场口碑和品牌形象。针对此风险，公司将通过实行</w:t>
      </w:r>
      <w:r>
        <w:rPr>
          <w:spacing w:val="3"/>
          <w:w w:val="99"/>
        </w:rPr>
        <w:t> </w:t>
      </w:r>
      <w:r>
        <w:rPr>
          <w:spacing w:val="3"/>
        </w:rPr>
        <w:t>更为有效的激励和约束机制，加强企业文化建设，员工关怀，来提高高级顾问</w:t>
      </w:r>
      <w:r>
        <w:rPr>
          <w:spacing w:val="3"/>
          <w:w w:val="99"/>
        </w:rPr>
        <w:t> </w:t>
      </w:r>
      <w:r>
        <w:rPr/>
        <w:t>和核心员工的稳定度。</w:t>
      </w:r>
      <w:r>
        <w:rPr>
          <w:b w:val="0"/>
          <w:bCs w:val="0"/>
        </w:rPr>
      </w:r>
    </w:p>
    <w:p>
      <w:pPr>
        <w:pStyle w:val="Heading2"/>
        <w:spacing w:line="240" w:lineRule="auto" w:before="160"/>
        <w:ind w:left="715" w:right="91"/>
        <w:jc w:val="left"/>
        <w:rPr>
          <w:b w:val="0"/>
          <w:bCs w:val="0"/>
        </w:rPr>
      </w:pPr>
      <w:r>
        <w:rPr/>
        <w:t>公司经本次董事会审议通过的利润分配预案为：以</w:t>
      </w:r>
      <w:r>
        <w:rPr>
          <w:spacing w:val="-94"/>
        </w:rPr>
        <w:t> </w:t>
      </w:r>
      <w:r>
        <w:rPr>
          <w:rFonts w:ascii="Times New Roman" w:hAnsi="Times New Roman" w:cs="Times New Roman" w:eastAsia="Times New Roman" w:hint="default"/>
        </w:rPr>
        <w:t>872,994,589</w:t>
      </w:r>
      <w:r>
        <w:rPr>
          <w:rFonts w:ascii="Times New Roman" w:hAnsi="Times New Roman" w:cs="Times New Roman" w:eastAsia="Times New Roman" w:hint="default"/>
          <w:spacing w:val="-24"/>
        </w:rPr>
        <w:t> </w:t>
      </w:r>
      <w:r>
        <w:rPr>
          <w:spacing w:val="-5"/>
        </w:rPr>
        <w:t>为基数，向</w:t>
      </w:r>
      <w:r>
        <w:rPr>
          <w:b w:val="0"/>
          <w:bCs w:val="0"/>
          <w:spacing w:val="-5"/>
        </w:rPr>
      </w:r>
    </w:p>
    <w:p>
      <w:pPr>
        <w:pStyle w:val="Heading2"/>
        <w:spacing w:line="240" w:lineRule="auto" w:before="236"/>
        <w:ind w:left="153" w:right="0"/>
        <w:jc w:val="both"/>
        <w:rPr>
          <w:b w:val="0"/>
          <w:bCs w:val="0"/>
        </w:rPr>
      </w:pPr>
      <w:r>
        <w:rPr>
          <w:spacing w:val="1"/>
          <w:w w:val="99"/>
        </w:rPr>
        <w:t>全体股东</w:t>
      </w:r>
      <w:r>
        <w:rPr>
          <w:w w:val="99"/>
        </w:rPr>
        <w:t>每</w:t>
      </w:r>
      <w:r>
        <w:rPr>
          <w:spacing w:val="-70"/>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股派发现金红</w:t>
      </w:r>
      <w:r>
        <w:rPr>
          <w:w w:val="99"/>
        </w:rPr>
        <w:t>利</w:t>
      </w:r>
      <w:r>
        <w:rPr>
          <w:spacing w:val="-70"/>
        </w:rPr>
        <w:t> </w:t>
      </w:r>
      <w:r>
        <w:rPr>
          <w:rFonts w:ascii="Times New Roman" w:hAnsi="Times New Roman" w:cs="Times New Roman" w:eastAsia="Times New Roman" w:hint="default"/>
          <w:w w:val="99"/>
        </w:rPr>
        <w:t>0.30</w:t>
      </w:r>
      <w:r>
        <w:rPr>
          <w:rFonts w:ascii="Times New Roman" w:hAnsi="Times New Roman" w:cs="Times New Roman" w:eastAsia="Times New Roman" w:hint="default"/>
        </w:rPr>
        <w:t> </w:t>
      </w:r>
      <w:r>
        <w:rPr>
          <w:spacing w:val="-30"/>
          <w:w w:val="99"/>
        </w:rPr>
        <w:t>元</w:t>
      </w:r>
      <w:r>
        <w:rPr>
          <w:spacing w:val="1"/>
          <w:w w:val="99"/>
        </w:rPr>
        <w:t>（含税</w:t>
      </w:r>
      <w:r>
        <w:rPr>
          <w:spacing w:val="-140"/>
          <w:w w:val="99"/>
        </w:rPr>
        <w:t>）</w:t>
      </w:r>
      <w:r>
        <w:rPr>
          <w:spacing w:val="-30"/>
          <w:w w:val="99"/>
        </w:rPr>
        <w:t>，</w:t>
      </w:r>
      <w:r>
        <w:rPr>
          <w:spacing w:val="1"/>
          <w:w w:val="99"/>
        </w:rPr>
        <w:t>送红</w:t>
      </w:r>
      <w:r>
        <w:rPr>
          <w:w w:val="99"/>
        </w:rPr>
        <w:t>股</w:t>
      </w:r>
      <w:r>
        <w:rPr>
          <w:spacing w:val="-70"/>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30"/>
          <w:w w:val="99"/>
        </w:rPr>
        <w:t>股</w:t>
      </w:r>
      <w:r>
        <w:rPr>
          <w:w w:val="99"/>
        </w:rPr>
        <w:t>（</w:t>
      </w:r>
      <w:r>
        <w:rPr>
          <w:spacing w:val="1"/>
          <w:w w:val="99"/>
        </w:rPr>
        <w:t>含税</w:t>
      </w:r>
      <w:r>
        <w:rPr>
          <w:spacing w:val="-140"/>
          <w:w w:val="99"/>
        </w:rPr>
        <w:t>）</w:t>
      </w:r>
      <w:r>
        <w:rPr>
          <w:spacing w:val="-30"/>
          <w:w w:val="99"/>
        </w:rPr>
        <w:t>，</w:t>
      </w:r>
      <w:r>
        <w:rPr>
          <w:spacing w:val="1"/>
          <w:w w:val="99"/>
        </w:rPr>
        <w:t>以资本公</w:t>
      </w:r>
      <w:r>
        <w:rPr>
          <w:b w:val="0"/>
          <w:bCs w:val="0"/>
        </w:rPr>
      </w:r>
    </w:p>
    <w:p>
      <w:pPr>
        <w:pStyle w:val="Heading2"/>
        <w:spacing w:line="240" w:lineRule="auto" w:before="237"/>
        <w:ind w:right="0"/>
        <w:jc w:val="both"/>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b w:val="0"/>
          <w:bCs w:val="0"/>
        </w:rPr>
      </w:r>
    </w:p>
    <w:p>
      <w:pPr>
        <w:spacing w:after="0" w:line="240" w:lineRule="auto"/>
        <w:jc w:val="both"/>
        <w:sectPr>
          <w:pgSz w:w="11910" w:h="16840"/>
          <w:pgMar w:header="747" w:footer="982" w:top="1060" w:bottom="1180" w:left="98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10">
            <w:r>
              <w:rPr/>
              <w:t>第二节 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left="154" w:right="0"/>
            <w:jc w:val="left"/>
            <w:rPr>
              <w:rFonts w:ascii="Times New Roman" w:hAnsi="Times New Roman" w:cs="Times New Roman" w:eastAsia="Times New Roman" w:hint="default"/>
              <w:b w:val="0"/>
              <w:bCs w:val="0"/>
            </w:rPr>
          </w:pPr>
          <w:hyperlink w:history="true" w:anchor="_TOC_250009">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b w:val="0"/>
                <w:bCs w:val="0"/>
                <w:spacing w:val="-8"/>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 经营情况讨论与分析</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 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6">
            <w:r>
              <w:rPr/>
              <w:t>第六节 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 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 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3">
            <w:r>
              <w:rPr/>
              <w:t>第九节 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 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 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0">
            <w:r>
              <w:rPr/>
              <w:t>第十二节 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Oracle</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年正式进入中国市场成立甲 骨文（中国）软件系统有限公司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SAP</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总部位于德国的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Applications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Products</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的缩写，既是其公司简称，也是其主要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软件产品的简称</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ERP</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的缩写，中文意思为企业资源计划</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BPO</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169"/>
              <w:jc w:val="left"/>
              <w:rPr>
                <w:rFonts w:ascii="宋体" w:hAnsi="宋体" w:cs="宋体" w:eastAsia="宋体" w:hint="default"/>
                <w:sz w:val="18"/>
                <w:szCs w:val="18"/>
              </w:rPr>
            </w:pPr>
            <w:r>
              <w:rPr>
                <w:rFonts w:ascii="宋体" w:hAnsi="宋体" w:cs="宋体" w:eastAsia="宋体" w:hint="default"/>
                <w:sz w:val="18"/>
                <w:szCs w:val="18"/>
              </w:rPr>
              <w:t>企业将一些标准化的、非决策性的业务流程外包给第三方服务供应 商，以降低成本，同时提高作业质量的业务模式</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2"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（软件即服务）的简称。它是一种通过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pacing w:val="-2"/>
                <w:sz w:val="18"/>
                <w:szCs w:val="18"/>
              </w:rPr>
              <w:t>提供软件的模式，厂商将应用软件统一部署在自己的服务器上，客户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通过互联网向厂商定购所需的应用软件服务，按定购的服务多少和时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间长短向厂商支付费用，并通过互联网获得厂商提供的服务。</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PaaS</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Platform-as-a-Service</w:t>
            </w:r>
            <w:r>
              <w:rPr>
                <w:rFonts w:ascii="宋体" w:hAnsi="宋体" w:cs="宋体" w:eastAsia="宋体" w:hint="default"/>
                <w:sz w:val="18"/>
                <w:szCs w:val="18"/>
              </w:rPr>
              <w:t>（平台即服务）的缩写。把服务器平台或者开发 环境作为一种服务提供的商业模式。</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IaaS</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9" w:lineRule="auto" w:before="51"/>
              <w:ind w:left="16"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Infrastructure-as-a-Service</w:t>
            </w:r>
            <w:r>
              <w:rPr>
                <w:rFonts w:ascii="宋体" w:hAnsi="宋体" w:cs="宋体" w:eastAsia="宋体" w:hint="default"/>
                <w:spacing w:val="-6"/>
                <w:sz w:val="18"/>
                <w:szCs w:val="18"/>
              </w:rPr>
              <w:t>（基础设施即服务）的缩写。客户通过</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34"/>
                <w:sz w:val="18"/>
                <w:szCs w:val="18"/>
              </w:rPr>
              <w:t> </w:t>
            </w:r>
            <w:r>
              <w:rPr>
                <w:rFonts w:ascii="宋体" w:hAnsi="宋体" w:cs="宋体" w:eastAsia="宋体" w:hint="default"/>
                <w:spacing w:val="-2"/>
                <w:sz w:val="18"/>
                <w:szCs w:val="18"/>
              </w:rPr>
              <w:t>可以从完善的场外服务器，存储和网络硬件等计算机基础设施获得服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汇联易</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公司自主研发产品，致力于企业商旅及费用管控报销的云产品</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SRM</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169"/>
              <w:jc w:val="left"/>
              <w:rPr>
                <w:rFonts w:ascii="宋体" w:hAnsi="宋体" w:cs="宋体" w:eastAsia="宋体" w:hint="default"/>
                <w:sz w:val="18"/>
                <w:szCs w:val="18"/>
              </w:rPr>
            </w:pPr>
            <w:r>
              <w:rPr>
                <w:rFonts w:ascii="宋体" w:hAnsi="宋体" w:cs="宋体" w:eastAsia="宋体" w:hint="default"/>
                <w:sz w:val="18"/>
                <w:szCs w:val="18"/>
              </w:rPr>
              <w:t>公司自主研发的汉得供应商关系管理平台软件及汉得供应商关系管 理云平台软件</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MES</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Manufacturing Execution System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即制造执行系统。是面向制造企业的 生产信息化管理系统。</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PLM</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Product lifecycle management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的缩写，中文意思即产品生命周期管理 系统</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CPQ</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Configure Price Quote</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的缩写，即配置、定价和报价系统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WMS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Warehouse Management System</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的缩写，即仓储管理系统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TMS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Transportation Management System</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的缩写，即运输管理系统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的缩写，即客户关系管理系统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BI</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Intelligence</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的缩写，即商务智能分析系统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HRMS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Human Resource Management System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的缩写，即人力资源管理系统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EPM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performance management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的缩写，即企业绩效管理系统</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HEC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公司自主研发的汉得费控及报账系统，专注于帮助国内企业进行有效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的支出性资源规划和实时管控，同时提高内部运营管理能力。</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HLS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公司自主研发的汉得融资租赁系统，主要面向融资租赁公司提供核心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业务管理系统的信息化服务。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HRP</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9"/>
              <w:jc w:val="left"/>
              <w:rPr>
                <w:rFonts w:ascii="宋体" w:hAnsi="宋体" w:cs="宋体" w:eastAsia="宋体" w:hint="default"/>
                <w:sz w:val="18"/>
                <w:szCs w:val="18"/>
              </w:rPr>
            </w:pPr>
            <w:r>
              <w:rPr>
                <w:rFonts w:ascii="宋体" w:hAnsi="宋体" w:cs="宋体" w:eastAsia="宋体" w:hint="default"/>
                <w:spacing w:val="-1"/>
                <w:sz w:val="18"/>
                <w:szCs w:val="18"/>
              </w:rPr>
              <w:t>公司自主研发的汉得医果（</w:t>
            </w:r>
            <w:r>
              <w:rPr>
                <w:rFonts w:ascii="Times New Roman" w:hAnsi="Times New Roman" w:cs="Times New Roman" w:eastAsia="Times New Roman" w:hint="default"/>
                <w:spacing w:val="-1"/>
                <w:sz w:val="18"/>
                <w:szCs w:val="18"/>
              </w:rPr>
              <w:t>Hospital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Resource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t>Planning</w:t>
            </w:r>
            <w:r>
              <w:rPr>
                <w:rFonts w:ascii="宋体" w:hAnsi="宋体" w:cs="宋体" w:eastAsia="宋体" w:hint="default"/>
                <w:spacing w:val="-7"/>
                <w:sz w:val="18"/>
                <w:szCs w:val="18"/>
              </w:rPr>
              <w:t>），主要面向医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院行业的客户提供运营管理的信息化服务。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HAP</w:t>
            </w:r>
            <w:r>
              <w:rPr>
                <w:rFonts w:ascii="Times New Roman"/>
                <w:spacing w:val="-15"/>
                <w:sz w:val="18"/>
              </w:rPr>
              <w:t> </w:t>
            </w:r>
            <w:r>
              <w:rPr>
                <w:rFonts w:ascii="Times New Roman"/>
                <w:sz w:val="18"/>
              </w:rPr>
              <w:t>Cloud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HAND Application Platform</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4"/>
                <w:sz w:val="18"/>
                <w:szCs w:val="18"/>
              </w:rPr>
              <w:t>Cloud</w:t>
            </w:r>
            <w:r>
              <w:rPr>
                <w:rFonts w:ascii="宋体" w:hAnsi="宋体" w:cs="宋体" w:eastAsia="宋体" w:hint="default"/>
                <w:spacing w:val="-4"/>
                <w:sz w:val="18"/>
                <w:szCs w:val="18"/>
              </w:rPr>
              <w:t>，中文名汉得云应用开发平台，是面</w:t>
            </w:r>
            <w:r>
              <w:rPr>
                <w:rFonts w:ascii="宋体" w:hAnsi="宋体" w:cs="宋体" w:eastAsia="宋体" w:hint="default"/>
                <w:sz w:val="18"/>
                <w:szCs w:val="18"/>
              </w:rPr>
              <w:t> 向微服务架构思想和分布式应用架构研发的分布式应用开发平台</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HCMP</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Hand Cloud Management Platform</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的缩写，中文名汉得融合云治理平 台，主要是为提高企业跨云资源管理的效率</w:t>
            </w:r>
          </w:p>
        </w:tc>
      </w:tr>
    </w:tbl>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1.119995pt;margin-top:114.135941pt;width:362.65pt;height:20.8pt;mso-position-horizontal-relative:page;mso-position-vertical-relative:paragraph;z-index:-995200" coordorigin="3422,2283" coordsize="7253,416">
            <v:group style="position:absolute;left:3434;top:2295;width:2;height:392" coordorigin="3434,2295" coordsize="2,392">
              <v:shape style="position:absolute;left:3434;top:2295;width:2;height:392" coordorigin="3434,2295" coordsize="0,392" path="m3434,2295l3434,2686e" filled="false" stroked="true" strokeweight="1.2pt" strokecolor="#ffffff">
                <v:path arrowok="t"/>
              </v:shape>
            </v:group>
            <v:group style="position:absolute;left:3446;top:2295;width:7229;height:392" coordorigin="3446,2295" coordsize="7229,392">
              <v:shape style="position:absolute;left:3446;top:2295;width:7229;height:392" coordorigin="3446,2295" coordsize="7229,392" path="m3446,2686l10675,2686,10675,2295,3446,2295,3446,2686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44"/>
        <w:gridCol w:w="2188"/>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300170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HAND ENTERPRISE SOLUTIONS CO.,</w:t>
            </w:r>
            <w:r>
              <w:rPr>
                <w:rFonts w:ascii="Times New Roman"/>
                <w:spacing w:val="-21"/>
                <w:sz w:val="18"/>
              </w:rPr>
              <w:t> </w:t>
            </w:r>
            <w:r>
              <w:rPr>
                <w:rFonts w:ascii="Times New Roman"/>
                <w:spacing w:val="-5"/>
                <w:sz w:val="18"/>
              </w:rPr>
              <w:t>LTD.</w:t>
            </w:r>
            <w:r>
              <w:rPr>
                <w:rFonts w:ascii="Times New Roman"/>
                <w:sz w:val="18"/>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HAND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陈迪清</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201707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http://www.hand-china.com/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舒笑</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021-67002300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021-50177372</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021-59800969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021-59800969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sherry.li@hand-china.com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上海市四川中路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号久事商务大厦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陈竑、何剑</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2,325,047,409.32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1,710,218,028.51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1,218,798,082.68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323,750,932.99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241,382,013.60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214,240,021.65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249,676,699.46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220,244,766.13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191,468,659.61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-25,003,883.79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-270,460,681.06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206,128,153.69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3,146,622,560.24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2,637,265,339.69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2,108,380,164.71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2,459,654,331.35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2,064,546,600.18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1,731,909,030.76</w:t>
            </w:r>
          </w:p>
        </w:tc>
      </w:tr>
    </w:tbl>
    <w:p>
      <w:pPr>
        <w:pStyle w:val="BodyText"/>
        <w:spacing w:line="316" w:lineRule="auto" w:before="51"/>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6"/>
          <w:szCs w:val="6"/>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516;top:14;width:2;height:393" coordorigin="4516,14" coordsize="2,393">
              <v:shape style="position:absolute;left:4516;top:14;width:2;height:393" coordorigin="4516,14" coordsize="0,393" path="m4516,14l4516,407e" filled="false" stroked="true" strokeweight="1.140pt" strokecolor="#d3d3d3">
                <v:path arrowok="t"/>
              </v:shape>
            </v:group>
            <v:group style="position:absolute;left:37;top:14;width:4468;height:393" coordorigin="37,14" coordsize="4468,393">
              <v:shape style="position:absolute;left:37;top:14;width:4468;height:393" coordorigin="37,14" coordsize="4468,393" path="m37,407l4505,407,450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523;height:2" coordorigin="5,412" coordsize="4523,2">
              <v:shape style="position:absolute;left:5;top:412;width:4523;height:2" coordorigin="5,412" coordsize="4523,0" path="m5,412l4528,412e" filled="false" stroked="true" strokeweight=".48pt" strokecolor="#000000">
                <v:path arrowok="t"/>
              </v:shape>
            </v:group>
            <v:group style="position:absolute;left:4532;top:14;width:2;height:402" coordorigin="4532,14" coordsize="2,402">
              <v:shape style="position:absolute;left:4532;top:14;width:2;height:402" coordorigin="4532,14" coordsize="0,402" path="m4532,14l4532,416e" filled="false" stroked="true" strokeweight=".48001pt" strokecolor="#000000">
                <v:path arrowok="t"/>
              </v:shape>
            </v:group>
            <v:group style="position:absolute;left:4537;top:412;width:5036;height:2" coordorigin="4537,412" coordsize="5036,2">
              <v:shape style="position:absolute;left:4537;top:412;width:5036;height:2" coordorigin="4537,412" coordsize="5036,0" path="m4537,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512;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4;top:129;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0.3709</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7"/>
          <w:szCs w:val="17"/>
        </w:rPr>
      </w:pPr>
    </w:p>
    <w:p>
      <w:pPr>
        <w:pStyle w:val="Heading3"/>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401,832,131.23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552,717,932.12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639,503,689.08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730,993,656.89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47,146,021.50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82,000,332.56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68,407,644.79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126,196,934.14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43,067,429.11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67,753,069.16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63,677,256.68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75,178,944.51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-286,693,218.34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73,556,618.75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14,089,299.79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174,043,416.01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55,892,953.46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-39,226.23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-97,604.17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29,476,916.67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30,177,441.18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27,186,759.43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-5,377,499.81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2,184,213.22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361,505.38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372,291.98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13,280,859.80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3,882,446.79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4,104,895.34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198,990.02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102,526.26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585,189.86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74,074,233.53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21,137,247.47</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22,771,362.04</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说明原因</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504"/>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93"/>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91"/>
        <w:jc w:val="left"/>
      </w:pPr>
      <w:r>
        <w:rPr/>
        <w:t>公司是否需要遵守特殊行业的披露要求 否</w:t>
      </w:r>
    </w:p>
    <w:p>
      <w:pPr>
        <w:pStyle w:val="Heading4"/>
        <w:spacing w:line="357" w:lineRule="auto" w:before="54"/>
        <w:ind w:left="634" w:right="93"/>
        <w:jc w:val="left"/>
      </w:pPr>
      <w:r>
        <w:rPr/>
        <w:t>（一）公司的主要产品和服务： </w:t>
      </w:r>
      <w:r>
        <w:rPr>
          <w:spacing w:val="-3"/>
        </w:rPr>
        <w:t>公司是国内最早从事高端ERP实施服务的专业咨询公司之一，通过多年的技术积累、业务</w:t>
      </w:r>
    </w:p>
    <w:p>
      <w:pPr>
        <w:pStyle w:val="Heading4"/>
        <w:spacing w:line="357" w:lineRule="auto"/>
        <w:ind w:right="228"/>
        <w:jc w:val="both"/>
      </w:pPr>
      <w:r>
        <w:rPr/>
        <w:t>创新和市场开拓，公司在企业信息化领域的客户规模、实施经验、专业技术、人才团队和服</w:t>
      </w:r>
      <w:r>
        <w:rPr>
          <w:spacing w:val="-83"/>
        </w:rPr>
        <w:t> </w:t>
      </w:r>
      <w:r>
        <w:rPr>
          <w:spacing w:val="-83"/>
        </w:rPr>
      </w:r>
      <w:r>
        <w:rPr/>
        <w:t>务能力已居于国内领先水平，公司业务领域已扩展至全面的企业信息化应用产品研发、咨询</w:t>
      </w:r>
      <w:r>
        <w:rPr>
          <w:spacing w:val="-83"/>
        </w:rPr>
        <w:t> </w:t>
      </w:r>
      <w:r>
        <w:rPr>
          <w:spacing w:val="-83"/>
        </w:rPr>
      </w:r>
      <w:r>
        <w:rPr/>
        <w:t>实施与技术服务。公司已由最初的信息化软件实施商，发展为解决方案服务商，并开始向数</w:t>
      </w:r>
      <w:r>
        <w:rPr>
          <w:spacing w:val="-83"/>
        </w:rPr>
        <w:t> </w:t>
      </w:r>
      <w:r>
        <w:rPr>
          <w:spacing w:val="-83"/>
        </w:rPr>
      </w:r>
      <w:r>
        <w:rPr/>
        <w:t>字化生态综合服务商进化。</w:t>
      </w:r>
    </w:p>
    <w:p>
      <w:pPr>
        <w:pStyle w:val="Heading4"/>
        <w:spacing w:line="357" w:lineRule="auto"/>
        <w:ind w:right="228" w:firstLine="480"/>
        <w:jc w:val="both"/>
      </w:pPr>
      <w:r>
        <w:rPr/>
        <w:t>多年来公司除了在传统IT领域不断精益求精，也积极跟踪和研究物联网、云计算、大数</w:t>
      </w:r>
      <w:r>
        <w:rPr>
          <w:spacing w:val="1"/>
        </w:rPr>
        <w:t> </w:t>
      </w:r>
      <w:r>
        <w:rPr/>
        <w:t>据、人工智能、工业互联网等技术的发展和应用，充分与全球IT生态圈的合作伙伴们共同推</w:t>
      </w:r>
      <w:r>
        <w:rPr>
          <w:spacing w:val="-82"/>
        </w:rPr>
        <w:t> </w:t>
      </w:r>
      <w:r>
        <w:rPr>
          <w:spacing w:val="-82"/>
        </w:rPr>
      </w:r>
      <w:r>
        <w:rPr/>
        <w:t>动包括云、大数据、智能制造等新业务在企业服务领域的应用拓展。与此同时，公司为适应</w:t>
      </w:r>
      <w:r>
        <w:rPr>
          <w:spacing w:val="-83"/>
        </w:rPr>
        <w:t> </w:t>
      </w:r>
      <w:r>
        <w:rPr>
          <w:spacing w:val="-83"/>
        </w:rPr>
      </w:r>
      <w:r>
        <w:rPr/>
        <w:t>企业客户不断发展的IT需求而持续丰富完善企业信息化整体解决方案咨询服务能力，积极研</w:t>
      </w:r>
      <w:r>
        <w:rPr>
          <w:spacing w:val="-101"/>
        </w:rPr>
        <w:t> </w:t>
      </w:r>
      <w:r>
        <w:rPr>
          <w:spacing w:val="-101"/>
        </w:rPr>
      </w:r>
      <w:r>
        <w:rPr>
          <w:spacing w:val="-2"/>
        </w:rPr>
        <w:t>发自主产品和解决方案，拥有包括供应链金融、汇联易、汉得SRM等自主创新业务，使得公司</w:t>
      </w:r>
      <w:r>
        <w:rPr/>
        <w:t> 的产品和服务领域也随之不断延伸。</w:t>
      </w:r>
    </w:p>
    <w:p>
      <w:pPr>
        <w:pStyle w:val="Heading4"/>
        <w:spacing w:line="357" w:lineRule="auto"/>
        <w:ind w:right="228" w:firstLine="480"/>
        <w:jc w:val="both"/>
      </w:pPr>
      <w:r>
        <w:rPr/>
        <w:t>公司致力于成为连接企业管理与信息技术的桥梁，帮助企业实现数字化转型，以信息化</w:t>
      </w:r>
      <w:r>
        <w:rPr>
          <w:spacing w:val="1"/>
        </w:rPr>
        <w:t> </w:t>
      </w:r>
      <w:r>
        <w:rPr/>
        <w:t>手段帮助客户提高组织的运营效率、效益与竞争能力，实现客户价值。报告期内，公司提供</w:t>
      </w:r>
      <w:r>
        <w:rPr>
          <w:spacing w:val="-83"/>
        </w:rPr>
        <w:t> </w:t>
      </w:r>
      <w:r>
        <w:rPr>
          <w:spacing w:val="-83"/>
        </w:rPr>
      </w:r>
      <w:r>
        <w:rPr/>
        <w:t>的主要产品及服务如下：</w:t>
      </w:r>
    </w:p>
    <w:p>
      <w:pPr>
        <w:pStyle w:val="Heading4"/>
        <w:spacing w:line="357" w:lineRule="auto"/>
        <w:ind w:right="111" w:firstLine="480"/>
        <w:jc w:val="both"/>
      </w:pPr>
      <w:r>
        <w:rPr/>
        <w:t>1、传统ERP及相关信息化服务。主要是以SAP，Oracle，微软等厂商为代表的传统ERP／ CRM／HRMS／EPM／PLM／BI／WMS／TMS等企业信息化套装软件的实施服务和软件销售，提供涵 盖企业信息化建设全生命周期（业务咨询、系统规划、流程梳理、蓝图设计、软件部署、系</w:t>
      </w:r>
      <w:r>
        <w:rPr>
          <w:spacing w:val="-83"/>
        </w:rPr>
        <w:t> </w:t>
      </w:r>
      <w:r>
        <w:rPr>
          <w:spacing w:val="-83"/>
        </w:rPr>
      </w:r>
      <w:r>
        <w:rPr/>
        <w:t>统上线等）的交付服务，以及实施过程中的培训、配置、定制开发、运维、升级等服务。公</w:t>
      </w:r>
      <w:r>
        <w:rPr>
          <w:spacing w:val="-83"/>
        </w:rPr>
        <w:t> </w:t>
      </w:r>
      <w:r>
        <w:rPr>
          <w:spacing w:val="-83"/>
        </w:rPr>
      </w:r>
      <w:r>
        <w:rPr/>
        <w:t>司多年来已在ERP等企业信息化套装软件领域积累了丰富的实施和开发经验，从核心财务管理</w:t>
      </w:r>
      <w:r>
        <w:rPr/>
        <w:t> 到生产计划优化，从客户关系管理基础到营销数据分析，从组织人事管理到人力资源效能提</w:t>
      </w:r>
      <w:r>
        <w:rPr>
          <w:spacing w:val="-83"/>
        </w:rPr>
        <w:t> </w:t>
      </w:r>
      <w:r>
        <w:rPr>
          <w:spacing w:val="-83"/>
        </w:rPr>
      </w:r>
      <w:r>
        <w:rPr>
          <w:spacing w:val="-2"/>
        </w:rPr>
        <w:t>升，业务主线贯穿全方位的企业信息化解决方案，能够满足企业越来越多的业务IT建设诉求。</w:t>
      </w:r>
    </w:p>
    <w:p>
      <w:pPr>
        <w:pStyle w:val="Heading4"/>
        <w:spacing w:line="357" w:lineRule="auto"/>
        <w:ind w:right="228" w:firstLine="480"/>
        <w:jc w:val="both"/>
      </w:pPr>
      <w:r>
        <w:rPr>
          <w:spacing w:val="-3"/>
        </w:rPr>
        <w:t>2、智能制造实施服务。在中国制造2025政策的强力推动下，智能制造成为当前中国制造</w:t>
      </w:r>
      <w:r>
        <w:rPr/>
        <w:t> 业转型升级的重要战略，智能制造融合了信息通讯，大数据，自动化，人工智能和工业互联</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网等先进技术，进行制造业价值链的智能化创新。公司拥有坚实的制造业信息化服务基础，</w:t>
      </w:r>
      <w:r>
        <w:rPr>
          <w:spacing w:val="-83"/>
        </w:rPr>
        <w:t> </w:t>
      </w:r>
      <w:r>
        <w:rPr>
          <w:spacing w:val="-83"/>
        </w:rPr>
      </w:r>
      <w:r>
        <w:rPr/>
        <w:t>在国内外具有广泛的制造业客户群体，通过围绕制造业的智能制造转型，以精细化生产制造</w:t>
      </w:r>
      <w:r>
        <w:rPr>
          <w:spacing w:val="-83"/>
        </w:rPr>
        <w:t> </w:t>
      </w:r>
      <w:r>
        <w:rPr>
          <w:spacing w:val="-83"/>
        </w:rPr>
      </w:r>
      <w:r>
        <w:rPr>
          <w:spacing w:val="-2"/>
        </w:rPr>
        <w:t>为核心，提供基于MES、PLM、CPQ等软件平台的智能制造解决方案，着眼于为制造企业运营能</w:t>
      </w:r>
      <w:r>
        <w:rPr>
          <w:spacing w:val="-114"/>
        </w:rPr>
        <w:t> </w:t>
      </w:r>
      <w:r>
        <w:rPr>
          <w:spacing w:val="-114"/>
        </w:rPr>
      </w:r>
      <w:r>
        <w:rPr/>
        <w:t>力和产品控制能力的提升赋能，进一步帮助制造业客户建立从个性化定制、协同供应链、远</w:t>
      </w:r>
      <w:r>
        <w:rPr>
          <w:spacing w:val="-83"/>
        </w:rPr>
        <w:t> </w:t>
      </w:r>
      <w:r>
        <w:rPr>
          <w:spacing w:val="-83"/>
        </w:rPr>
      </w:r>
      <w:r>
        <w:rPr/>
        <w:t>程协作和智能分析等在内的一整套落地方案。</w:t>
      </w:r>
    </w:p>
    <w:p>
      <w:pPr>
        <w:pStyle w:val="Heading4"/>
        <w:spacing w:line="357" w:lineRule="auto"/>
        <w:ind w:right="93" w:firstLine="480"/>
        <w:jc w:val="left"/>
      </w:pPr>
      <w:r>
        <w:rPr/>
        <w:t>3、第三方云计算产品及服务。云计算是信息技术的重要趋势，包括SAP和Oracle等在内 的传统企业信息化套装软件厂商都在加快向云计算的转型，而新兴的互联网企业亚马逊，阿</w:t>
      </w:r>
      <w:r>
        <w:rPr>
          <w:spacing w:val="-83"/>
        </w:rPr>
        <w:t> </w:t>
      </w:r>
      <w:r>
        <w:rPr>
          <w:spacing w:val="-83"/>
        </w:rPr>
      </w:r>
      <w:r>
        <w:rPr/>
        <w:t>里巴巴，腾讯和华为等都在大力推动云计算。公司积极研究市场和技术变革的趋势，提升相</w:t>
      </w:r>
      <w:r>
        <w:rPr>
          <w:spacing w:val="-83"/>
        </w:rPr>
        <w:t> </w:t>
      </w:r>
      <w:r>
        <w:rPr>
          <w:spacing w:val="-83"/>
        </w:rPr>
      </w:r>
      <w:r>
        <w:rPr>
          <w:spacing w:val="-2"/>
        </w:rPr>
        <w:t>关技术储备和解决方案能力，目前已经成为主要云计算厂商在企业服务市场重要的合作伙伴，</w:t>
      </w:r>
      <w:r>
        <w:rPr/>
        <w:t> 第三方云计算产品及服务也形成了新的业务增长点。</w:t>
      </w:r>
    </w:p>
    <w:p>
      <w:pPr>
        <w:pStyle w:val="Heading4"/>
        <w:spacing w:line="357" w:lineRule="auto"/>
        <w:ind w:right="99" w:firstLine="480"/>
        <w:jc w:val="left"/>
      </w:pPr>
      <w:r>
        <w:rPr>
          <w:spacing w:val="-3"/>
        </w:rPr>
        <w:t>4、自有云计算产品及服务。云计算是信息技术革命的核心之一，也是公司解决方案产品</w:t>
      </w:r>
      <w:r>
        <w:rPr/>
        <w:t> 化的重要方向。公司基于多年的信息化经验和能力，积极研究客户需求和市场趋势，研发了</w:t>
      </w:r>
      <w:r>
        <w:rPr>
          <w:spacing w:val="-83"/>
        </w:rPr>
        <w:t> </w:t>
      </w:r>
      <w:r>
        <w:rPr>
          <w:spacing w:val="-83"/>
        </w:rPr>
      </w:r>
      <w:r>
        <w:rPr/>
        <w:t>具有市场竞争力的云计算产品，为客户提供基于自有云计算的独特解决方案和专业化实施服</w:t>
      </w:r>
      <w:r>
        <w:rPr>
          <w:spacing w:val="-83"/>
        </w:rPr>
        <w:t> </w:t>
      </w:r>
      <w:r>
        <w:rPr>
          <w:spacing w:val="-83"/>
        </w:rPr>
      </w:r>
      <w:r>
        <w:rPr/>
        <w:t>务。截止报告期末公司在软件即服务SaaS领域和平台即服务PaaS领域，先后有汇联易（一站</w:t>
      </w:r>
      <w:r>
        <w:rPr>
          <w:spacing w:val="-117"/>
        </w:rPr>
        <w:t> </w:t>
      </w:r>
      <w:r>
        <w:rPr>
          <w:spacing w:val="-117"/>
        </w:rPr>
      </w:r>
      <w:r>
        <w:rPr>
          <w:spacing w:val="-3"/>
        </w:rPr>
        <w:t>式商旅及费用管理平台），云SRM（供应商关系管理平台，为企业打造敏捷、高效、高控的供</w:t>
      </w:r>
      <w:r>
        <w:rPr>
          <w:spacing w:val="-79"/>
        </w:rPr>
        <w:t> </w:t>
      </w:r>
      <w:r>
        <w:rPr>
          <w:spacing w:val="-79"/>
        </w:rPr>
      </w:r>
      <w:r>
        <w:rPr>
          <w:spacing w:val="-22"/>
        </w:rPr>
        <w:t>应链体系），HAP</w:t>
      </w:r>
      <w:r>
        <w:rPr>
          <w:spacing w:val="-28"/>
        </w:rPr>
        <w:t> </w:t>
      </w:r>
      <w:r>
        <w:rPr>
          <w:spacing w:val="-6"/>
        </w:rPr>
        <w:t>Cloud（面向微服务架构思想和分布式应用架构研发的分布式应用开发平台），</w:t>
      </w:r>
      <w:r>
        <w:rPr>
          <w:spacing w:val="-116"/>
        </w:rPr>
        <w:t> </w:t>
      </w:r>
      <w:r>
        <w:rPr>
          <w:spacing w:val="-116"/>
        </w:rPr>
      </w:r>
      <w:r>
        <w:rPr/>
        <w:t>HCMP（汉得融合云治理平台，提高企业跨云资源管理的效率）等在内的多个产品推出，并服</w:t>
      </w:r>
      <w:r>
        <w:rPr>
          <w:spacing w:val="-102"/>
        </w:rPr>
        <w:t> </w:t>
      </w:r>
      <w:r>
        <w:rPr>
          <w:spacing w:val="-102"/>
        </w:rPr>
      </w:r>
      <w:r>
        <w:rPr/>
        <w:t>务于大量企业客户。</w:t>
      </w:r>
    </w:p>
    <w:p>
      <w:pPr>
        <w:pStyle w:val="Heading4"/>
        <w:spacing w:line="357" w:lineRule="auto"/>
        <w:ind w:right="228" w:firstLine="480"/>
        <w:jc w:val="both"/>
      </w:pPr>
      <w:r>
        <w:rPr/>
        <w:t>5、应用系统运营维护服务。通常大中型企业客户在进行了大规模的ERP及相关系统信息 </w:t>
      </w:r>
      <w:r>
        <w:rPr>
          <w:spacing w:val="-2"/>
        </w:rPr>
        <w:t>化建设后，由于ERP等相关企业信息平台的专业性和复杂性，这些客户往往需要IT服务商提供</w:t>
      </w:r>
      <w:r>
        <w:rPr>
          <w:spacing w:val="-116"/>
        </w:rPr>
        <w:t> </w:t>
      </w:r>
      <w:r>
        <w:rPr>
          <w:spacing w:val="-116"/>
        </w:rPr>
      </w:r>
      <w:r>
        <w:rPr/>
        <w:t>长期的高质量系统运维支持。此外，新技术的飞速发展带动着业务模式及运营模式不断地发</w:t>
      </w:r>
      <w:r>
        <w:rPr>
          <w:spacing w:val="-83"/>
        </w:rPr>
        <w:t> </w:t>
      </w:r>
      <w:r>
        <w:rPr>
          <w:spacing w:val="-83"/>
        </w:rPr>
      </w:r>
      <w:r>
        <w:rPr/>
        <w:t>生变化，企业内部IT追逐和聚焦新业务和新技术的意识越来越强烈，越来越多的企业选择运</w:t>
      </w:r>
      <w:r>
        <w:rPr>
          <w:spacing w:val="-101"/>
        </w:rPr>
        <w:t> </w:t>
      </w:r>
      <w:r>
        <w:rPr>
          <w:spacing w:val="-101"/>
        </w:rPr>
      </w:r>
      <w:r>
        <w:rPr/>
        <w:t>维服务外包。为此公司设立了专业的团队，以面向全球市场，提供7*24小时的、基于服务级</w:t>
      </w:r>
      <w:r>
        <w:rPr>
          <w:spacing w:val="-85"/>
        </w:rPr>
        <w:t> </w:t>
      </w:r>
      <w:r>
        <w:rPr>
          <w:spacing w:val="-85"/>
        </w:rPr>
      </w:r>
      <w:r>
        <w:rPr/>
        <w:t>别的信息化整体运营和维护服务。与此同时，公司也为客户提供资源外包服务以及基于IT运</w:t>
      </w:r>
      <w:r>
        <w:rPr>
          <w:spacing w:val="-82"/>
        </w:rPr>
        <w:t> </w:t>
      </w:r>
      <w:r>
        <w:rPr>
          <w:spacing w:val="-82"/>
        </w:rPr>
      </w:r>
      <w:r>
        <w:rPr/>
        <w:t>营的业务流程外包BPO及数据存储服务。</w:t>
      </w:r>
    </w:p>
    <w:p>
      <w:pPr>
        <w:pStyle w:val="Heading4"/>
        <w:spacing w:line="357" w:lineRule="auto"/>
        <w:ind w:left="633" w:right="93"/>
        <w:jc w:val="left"/>
      </w:pPr>
      <w:r>
        <w:rPr/>
        <w:t>（二）报告期内发生的重大变化： 市场需求方面，各类新技术、新产品蓬勃发展，尤其是云平台、SaaS应用的发展，加速</w:t>
      </w:r>
    </w:p>
    <w:p>
      <w:pPr>
        <w:pStyle w:val="Heading4"/>
        <w:spacing w:line="357" w:lineRule="auto"/>
        <w:ind w:right="228"/>
        <w:jc w:val="both"/>
      </w:pPr>
      <w:r>
        <w:rPr/>
        <w:t>了传统企业信息化／数字化转型，企业不再仅仅局限于传统的信息管理诉求，更多的关注新</w:t>
      </w:r>
      <w:r>
        <w:rPr>
          <w:spacing w:val="-83"/>
        </w:rPr>
        <w:t> </w:t>
      </w:r>
      <w:r>
        <w:rPr>
          <w:spacing w:val="-83"/>
        </w:rPr>
      </w:r>
      <w:r>
        <w:rPr/>
        <w:t>技术、新产品的应用发展，由过去的“痛点驱动”升级为“愿景驱动”，过去企业寄希望于</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93"/>
        <w:jc w:val="left"/>
      </w:pPr>
      <w:r>
        <w:rPr>
          <w:spacing w:val="-2"/>
        </w:rPr>
        <w:t>通过信息化手段来解决管理痛点问题，而现在提出了更多诸如智能化发展等改革提升的愿景，</w:t>
      </w:r>
      <w:r>
        <w:rPr/>
        <w:t> 因此有更多涵盖企业前中后台的信息化／数字化的诉求。这样的需求升级推动了公司所在行</w:t>
      </w:r>
      <w:r>
        <w:rPr>
          <w:spacing w:val="-83"/>
        </w:rPr>
        <w:t> </w:t>
      </w:r>
      <w:r>
        <w:rPr>
          <w:spacing w:val="-83"/>
        </w:rPr>
      </w:r>
      <w:r>
        <w:rPr/>
        <w:t>业市场容量快速变大，并对服务商的服务能力覆盖面、对新技术的应用能力和整体解决方案</w:t>
      </w:r>
      <w:r>
        <w:rPr>
          <w:spacing w:val="-83"/>
        </w:rPr>
        <w:t> </w:t>
      </w:r>
      <w:r>
        <w:rPr>
          <w:spacing w:val="-83"/>
        </w:rPr>
      </w:r>
      <w:r>
        <w:rPr/>
        <w:t>能力提出了更高的要求。</w:t>
      </w:r>
    </w:p>
    <w:p>
      <w:pPr>
        <w:pStyle w:val="Heading4"/>
        <w:spacing w:line="357" w:lineRule="auto"/>
        <w:ind w:right="93" w:firstLine="480"/>
        <w:jc w:val="left"/>
      </w:pPr>
      <w:r>
        <w:rPr/>
        <w:t>公司经营情况方面，为适应企业客户不断发展的IT需求，公司持续丰富完善自身信息化</w:t>
      </w:r>
      <w:r>
        <w:rPr>
          <w:spacing w:val="1"/>
        </w:rPr>
        <w:t> </w:t>
      </w:r>
      <w:r>
        <w:rPr/>
        <w:t>咨询服务能力，对员工专业能力和综合素质提出了更高的要求，同时受实施项目范围及地点</w:t>
      </w:r>
      <w:r>
        <w:rPr>
          <w:spacing w:val="-83"/>
        </w:rPr>
        <w:t> </w:t>
      </w:r>
      <w:r>
        <w:rPr>
          <w:spacing w:val="-83"/>
        </w:rPr>
      </w:r>
      <w:r>
        <w:rPr>
          <w:spacing w:val="-3"/>
        </w:rPr>
        <w:t>扩大影响，使得人力成本及员工差旅成本增长较快。报告期内，公司继续基于行业深度拓展，</w:t>
      </w:r>
      <w:r>
        <w:rPr>
          <w:spacing w:val="-81"/>
        </w:rPr>
        <w:t> </w:t>
      </w:r>
      <w:r>
        <w:rPr>
          <w:spacing w:val="-81"/>
        </w:rPr>
      </w:r>
      <w:r>
        <w:rPr/>
        <w:t>并针对性发展自有产品和自有业务，研发成本进一步增加。公司品牌持续壮大，带来的行业</w:t>
      </w:r>
      <w:r>
        <w:rPr>
          <w:spacing w:val="-83"/>
        </w:rPr>
        <w:t> </w:t>
      </w:r>
      <w:r>
        <w:rPr>
          <w:spacing w:val="-83"/>
        </w:rPr>
      </w:r>
      <w:r>
        <w:rPr/>
        <w:t>影响力大幅提升，产品化以及解决方案的标准化，大大提升了公司整体的交付能力及实施效</w:t>
      </w:r>
      <w:r>
        <w:rPr>
          <w:spacing w:val="-83"/>
        </w:rPr>
        <w:t> </w:t>
      </w:r>
      <w:r>
        <w:rPr>
          <w:spacing w:val="-83"/>
        </w:rPr>
      </w:r>
      <w:r>
        <w:rPr/>
        <w:t>率。近几年，公司持续对交付模式进行优化，大力推行区域集中共享交付与远程交付模式，</w:t>
      </w:r>
      <w:r>
        <w:rPr>
          <w:spacing w:val="-83"/>
        </w:rPr>
        <w:t> </w:t>
      </w:r>
      <w:r>
        <w:rPr>
          <w:spacing w:val="-83"/>
        </w:rPr>
      </w:r>
      <w:r>
        <w:rPr/>
        <w:t>为解决资源结构不均衡与提高项目毛利率带来了一定的效果。</w:t>
      </w:r>
    </w:p>
    <w:p>
      <w:pPr>
        <w:pStyle w:val="Heading4"/>
        <w:spacing w:line="357" w:lineRule="auto"/>
        <w:ind w:right="109" w:firstLine="480"/>
        <w:jc w:val="left"/>
      </w:pPr>
      <w:r>
        <w:rPr/>
        <w:t>公司不断丰富完善合作伙伴生态圈，除传统主业长期合作伙伴SAP和Oracle外，近年来也 </w:t>
      </w:r>
      <w:r>
        <w:rPr>
          <w:spacing w:val="-2"/>
        </w:rPr>
        <w:t>先后成为国际软件巨头微软与西门子的认证合作伙伴，并不断推进了与Salesforce、Kronos、</w:t>
      </w:r>
      <w:r>
        <w:rPr>
          <w:spacing w:val="-104"/>
        </w:rPr>
        <w:t> </w:t>
      </w:r>
      <w:r>
        <w:rPr>
          <w:spacing w:val="-104"/>
        </w:rPr>
      </w:r>
      <w:r>
        <w:rPr/>
        <w:t>Tableau、穆迪等在内的众多细分领域领先软件企业的合作。此外，为推动工业4.0、智能制</w:t>
      </w:r>
      <w:r>
        <w:rPr/>
        <w:t> </w:t>
      </w:r>
      <w:r>
        <w:rPr>
          <w:spacing w:val="-3"/>
        </w:rPr>
        <w:t>造、互联网+、两化融合等信息化前沿技术储备和业务开展，公司在增强自身业务能力的同时</w:t>
      </w:r>
      <w:r>
        <w:rPr>
          <w:spacing w:val="-81"/>
        </w:rPr>
        <w:t> </w:t>
      </w:r>
      <w:r>
        <w:rPr>
          <w:spacing w:val="-81"/>
        </w:rPr>
      </w:r>
      <w:r>
        <w:rPr/>
        <w:t>不断引入包括阿里、华为、AWS等基础架构合作伙伴及腾讯、携程、滴滴等互联网创新业务合</w:t>
      </w:r>
      <w:r>
        <w:rPr/>
        <w:t> 作伙伴，构筑了一个覆盖全面、能力领先、优势互补、创新共赢的合作生态，与众多合作伙</w:t>
      </w:r>
      <w:r>
        <w:rPr>
          <w:spacing w:val="-83"/>
        </w:rPr>
        <w:t> </w:t>
      </w:r>
      <w:r>
        <w:rPr>
          <w:spacing w:val="-83"/>
        </w:rPr>
      </w:r>
      <w:r>
        <w:rPr/>
        <w:t>伴一起携手数字化转型之旅。</w:t>
      </w:r>
    </w:p>
    <w:p>
      <w:pPr>
        <w:pStyle w:val="Heading4"/>
        <w:spacing w:line="357" w:lineRule="auto"/>
        <w:ind w:left="633" w:right="93"/>
        <w:jc w:val="left"/>
      </w:pPr>
      <w:r>
        <w:rPr/>
        <w:t>（三）主要的业绩驱动因素： 报告期内，公司实现营业收入2,325,047,409.32元，同比增长35.95%；实现归属于上市</w:t>
      </w:r>
    </w:p>
    <w:p>
      <w:pPr>
        <w:pStyle w:val="Heading4"/>
        <w:spacing w:line="357" w:lineRule="auto"/>
        <w:ind w:right="230"/>
        <w:jc w:val="both"/>
      </w:pPr>
      <w:r>
        <w:rPr/>
        <w:t>公司普通股股东的净利润323,750,932.99元，同比增长34.12%；归属于上市公司普通股股东</w:t>
      </w:r>
      <w:r>
        <w:rPr>
          <w:spacing w:val="-110"/>
        </w:rPr>
        <w:t> </w:t>
      </w:r>
      <w:r>
        <w:rPr>
          <w:spacing w:val="-110"/>
        </w:rPr>
      </w:r>
      <w:r>
        <w:rPr/>
        <w:t>的扣除非经常性损益后的净利润249,676,699.46元，同比增长13.36%。主要的业绩驱动因素</w:t>
      </w:r>
      <w:r>
        <w:rPr>
          <w:spacing w:val="-107"/>
        </w:rPr>
        <w:t> </w:t>
      </w:r>
      <w:r>
        <w:rPr>
          <w:spacing w:val="-107"/>
        </w:rPr>
      </w:r>
      <w:r>
        <w:rPr/>
        <w:t>来源于以下几方面：</w:t>
      </w:r>
    </w:p>
    <w:p>
      <w:pPr>
        <w:pStyle w:val="Heading4"/>
        <w:spacing w:line="357" w:lineRule="auto"/>
        <w:ind w:left="633" w:right="93"/>
        <w:jc w:val="left"/>
      </w:pPr>
      <w:r>
        <w:rPr/>
        <w:t>1、公司自身竞争力优势。 公司经过多年努力，已成功积累了丰富的客户资源和实施经验，拥有领先的技术储备以</w:t>
      </w:r>
    </w:p>
    <w:p>
      <w:pPr>
        <w:pStyle w:val="Heading4"/>
        <w:spacing w:line="357" w:lineRule="auto"/>
        <w:ind w:right="228"/>
        <w:jc w:val="both"/>
      </w:pPr>
      <w:r>
        <w:rPr/>
        <w:t>及良好的市场口碑，并聚集了行业内优秀的业务、技术、营销和管理团队，公司自上而下团</w:t>
      </w:r>
      <w:r>
        <w:rPr>
          <w:spacing w:val="-83"/>
        </w:rPr>
        <w:t> </w:t>
      </w:r>
      <w:r>
        <w:rPr>
          <w:spacing w:val="-83"/>
        </w:rPr>
      </w:r>
      <w:r>
        <w:rPr/>
        <w:t>结协作，各团队互联互通，能对客户需求快速响应，共同促进各项业务稳步发展。公司经营</w:t>
      </w:r>
      <w:r>
        <w:rPr>
          <w:spacing w:val="-83"/>
        </w:rPr>
        <w:t> </w:t>
      </w:r>
      <w:r>
        <w:rPr>
          <w:spacing w:val="-83"/>
        </w:rPr>
      </w:r>
      <w:r>
        <w:rPr/>
        <w:t>规模持续扩大的同时，品牌影响力不断增强，业务领域已扩展至全面的企业信息化应用产品</w:t>
      </w:r>
      <w:r>
        <w:rPr>
          <w:spacing w:val="-83"/>
        </w:rPr>
        <w:t> </w:t>
      </w:r>
      <w:r>
        <w:rPr>
          <w:spacing w:val="-83"/>
        </w:rPr>
      </w:r>
      <w:r>
        <w:rPr/>
        <w:t>研发、咨询实施与技术服务。高黏性的客户基础在保障主营业务稳健发展的同时也为其他新</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left="634" w:right="93" w:hanging="480"/>
        <w:jc w:val="left"/>
      </w:pPr>
      <w:r>
        <w:rPr/>
        <w:t>的业务方向提供了潜在的优质客户资源。 近年来，公司致力于成为企业数字化转型综合服务商。公司继续保持主营业务在国内领</w:t>
      </w:r>
    </w:p>
    <w:p>
      <w:pPr>
        <w:pStyle w:val="Heading4"/>
        <w:spacing w:line="357" w:lineRule="auto"/>
        <w:ind w:right="228"/>
        <w:jc w:val="both"/>
      </w:pPr>
      <w:r>
        <w:rPr/>
        <w:t>先地位的同时，积极探索业务和管理提升的方法，通过包括行业精细化、解决方案产品化和</w:t>
      </w:r>
      <w:r>
        <w:rPr>
          <w:spacing w:val="-83"/>
        </w:rPr>
        <w:t> </w:t>
      </w:r>
      <w:r>
        <w:rPr>
          <w:spacing w:val="-83"/>
        </w:rPr>
      </w:r>
      <w:r>
        <w:rPr/>
        <w:t>标准化、项目管理透明化等手段提升交付质量和效率，打破产品的界限，提高行业整合解决</w:t>
      </w:r>
      <w:r>
        <w:rPr>
          <w:spacing w:val="-83"/>
        </w:rPr>
        <w:t> </w:t>
      </w:r>
      <w:r>
        <w:rPr>
          <w:spacing w:val="-83"/>
        </w:rPr>
      </w:r>
      <w:r>
        <w:rPr/>
        <w:t>方案的能力，以行业为单元端到端的信息化整体解决方案为公司带来了更多的机会和客户。</w:t>
      </w:r>
      <w:r>
        <w:rPr>
          <w:spacing w:val="-83"/>
        </w:rPr>
        <w:t> </w:t>
      </w:r>
      <w:r>
        <w:rPr>
          <w:spacing w:val="-83"/>
        </w:rPr>
      </w:r>
      <w:r>
        <w:rPr/>
        <w:t>在组织架构和资源上，以客户为中心加强整合，以实现内部资源更加便捷的共享，方案和业</w:t>
      </w:r>
      <w:r>
        <w:rPr>
          <w:spacing w:val="-83"/>
        </w:rPr>
        <w:t> </w:t>
      </w:r>
      <w:r>
        <w:rPr>
          <w:spacing w:val="-83"/>
        </w:rPr>
      </w:r>
      <w:r>
        <w:rPr/>
        <w:t>务更加高效的集成，由此也提升了公司的竞争优势。与此同时，公司紧紧抓住信息技术革命</w:t>
      </w:r>
      <w:r>
        <w:rPr>
          <w:spacing w:val="-83"/>
        </w:rPr>
        <w:t> </w:t>
      </w:r>
      <w:r>
        <w:rPr>
          <w:spacing w:val="-83"/>
        </w:rPr>
      </w:r>
      <w:r>
        <w:rPr/>
        <w:t>带来的新机遇，积极应变面对来自各个领域的挑战，在智能制造、云计算和大数据等新兴技</w:t>
      </w:r>
      <w:r>
        <w:rPr>
          <w:spacing w:val="-83"/>
        </w:rPr>
        <w:t> </w:t>
      </w:r>
      <w:r>
        <w:rPr>
          <w:spacing w:val="-83"/>
        </w:rPr>
      </w:r>
      <w:r>
        <w:rPr/>
        <w:t>术和应用领域进行了研究和实践，取得了较好的发展机遇。</w:t>
      </w:r>
    </w:p>
    <w:p>
      <w:pPr>
        <w:pStyle w:val="Heading4"/>
        <w:spacing w:line="357" w:lineRule="auto"/>
        <w:ind w:right="228" w:firstLine="480"/>
        <w:jc w:val="both"/>
      </w:pPr>
      <w:r>
        <w:rPr/>
        <w:t>公司通过校企合作加大对优秀毕业人才的获取力度，同时加大社会招聘力度来获取新技</w:t>
      </w:r>
      <w:r>
        <w:rPr>
          <w:spacing w:val="1"/>
        </w:rPr>
        <w:t> </w:t>
      </w:r>
      <w:r>
        <w:rPr/>
        <w:t>术专业人才，从人才储备上保障公司的业务发展，通过新人培养体系以及项目快速上线实施</w:t>
      </w:r>
      <w:r>
        <w:rPr>
          <w:spacing w:val="-83"/>
        </w:rPr>
        <w:t> </w:t>
      </w:r>
      <w:r>
        <w:rPr>
          <w:spacing w:val="-83"/>
        </w:rPr>
      </w:r>
      <w:r>
        <w:rPr/>
        <w:t>方法的落地，区域集中共享交付与远程交付模式的逐渐应用，降低了差旅成本同时提升了人</w:t>
      </w:r>
      <w:r>
        <w:rPr>
          <w:spacing w:val="-83"/>
        </w:rPr>
        <w:t> </w:t>
      </w:r>
      <w:r>
        <w:rPr>
          <w:spacing w:val="-83"/>
        </w:rPr>
      </w:r>
      <w:r>
        <w:rPr/>
        <w:t>员利用率，也有利于保障公司层面整体的交付质量与实施效率，近几年公司一直在努力优化</w:t>
      </w:r>
      <w:r>
        <w:rPr>
          <w:spacing w:val="-83"/>
        </w:rPr>
        <w:t> </w:t>
      </w:r>
      <w:r>
        <w:rPr>
          <w:spacing w:val="-83"/>
        </w:rPr>
      </w:r>
      <w:r>
        <w:rPr/>
        <w:t>利润中心即事业部的绩效管理和考核，强调风险监控意识，来有效控制成本费用，提高项目</w:t>
      </w:r>
      <w:r>
        <w:rPr>
          <w:spacing w:val="-83"/>
        </w:rPr>
        <w:t> </w:t>
      </w:r>
      <w:r>
        <w:rPr>
          <w:spacing w:val="-83"/>
        </w:rPr>
      </w:r>
      <w:r>
        <w:rPr/>
        <w:t>交付质量和客户满意度。</w:t>
      </w:r>
    </w:p>
    <w:p>
      <w:pPr>
        <w:pStyle w:val="Heading4"/>
        <w:spacing w:line="357" w:lineRule="auto"/>
        <w:ind w:right="228" w:firstLine="480"/>
        <w:jc w:val="both"/>
      </w:pPr>
      <w:r>
        <w:rPr/>
        <w:t>汉得自有技术体系建立并快速发展，提升了自有解决方案设计及产品研发的发展空间及</w:t>
      </w:r>
      <w:r>
        <w:rPr>
          <w:spacing w:val="1"/>
        </w:rPr>
        <w:t> </w:t>
      </w:r>
      <w:r>
        <w:rPr/>
        <w:t>能力。国内企业业务个性化需求强烈，很多大型套装软件不能很好的满足其个性化需求，因</w:t>
      </w:r>
      <w:r>
        <w:rPr>
          <w:spacing w:val="-83"/>
        </w:rPr>
        <w:t> </w:t>
      </w:r>
      <w:r>
        <w:rPr>
          <w:spacing w:val="-83"/>
        </w:rPr>
      </w:r>
      <w:r>
        <w:rPr/>
        <w:t>此给公司自主产品带来发展空间，公司深入行业研究，聚焦中国特色，精准识别客户需求，</w:t>
      </w:r>
      <w:r>
        <w:rPr>
          <w:spacing w:val="-83"/>
        </w:rPr>
        <w:t> </w:t>
      </w:r>
      <w:r>
        <w:rPr>
          <w:spacing w:val="-83"/>
        </w:rPr>
      </w:r>
      <w:r>
        <w:rPr/>
        <w:t>针对企业个性化定制，成立专业的自主研发产品团队，通过加大研发力度，不断更新迭代产</w:t>
      </w:r>
      <w:r>
        <w:rPr>
          <w:spacing w:val="-83"/>
        </w:rPr>
        <w:t> </w:t>
      </w:r>
      <w:r>
        <w:rPr>
          <w:spacing w:val="-83"/>
        </w:rPr>
      </w:r>
      <w:r>
        <w:rPr/>
        <w:t>品，公司自主研发的产品及解决方案功能逐渐完善，具有较好的用户体验，更加适应国内客</w:t>
      </w:r>
      <w:r>
        <w:rPr>
          <w:spacing w:val="-83"/>
        </w:rPr>
        <w:t> </w:t>
      </w:r>
      <w:r>
        <w:rPr>
          <w:spacing w:val="-83"/>
        </w:rPr>
      </w:r>
      <w:r>
        <w:rPr/>
        <w:t>户的需求，由此得到越来越多的认可，加之公司庞大的客户基础以及丰富的实施经验，专业</w:t>
      </w:r>
      <w:r>
        <w:rPr>
          <w:spacing w:val="-83"/>
        </w:rPr>
        <w:t> </w:t>
      </w:r>
      <w:r>
        <w:rPr>
          <w:spacing w:val="-83"/>
        </w:rPr>
      </w:r>
      <w:r>
        <w:rPr/>
        <w:t>的服务能力，使得自主研发产品及解决方案得到较快拓展。</w:t>
      </w:r>
    </w:p>
    <w:p>
      <w:pPr>
        <w:pStyle w:val="Heading4"/>
        <w:spacing w:line="357" w:lineRule="auto"/>
        <w:ind w:left="633" w:right="93"/>
        <w:jc w:val="left"/>
      </w:pPr>
      <w:r>
        <w:rPr/>
        <w:t>2、政策及市场推动因素。 近几年国家对诸如物联网、云计算、大数据、人工智能、工业互联网等新兴技术出台了</w:t>
      </w:r>
    </w:p>
    <w:p>
      <w:pPr>
        <w:pStyle w:val="Heading4"/>
        <w:spacing w:line="357" w:lineRule="auto"/>
        <w:ind w:right="111"/>
        <w:jc w:val="both"/>
      </w:pPr>
      <w:r>
        <w:rPr/>
        <w:t>一系列的相关扶持政策，新技术新业务的市场环境不断改善，信息化步伐逐渐加快，企业在</w:t>
      </w:r>
      <w:r>
        <w:rPr>
          <w:spacing w:val="-83"/>
        </w:rPr>
        <w:t> </w:t>
      </w:r>
      <w:r>
        <w:rPr>
          <w:spacing w:val="-83"/>
        </w:rPr>
      </w:r>
      <w:r>
        <w:rPr/>
        <w:t>此大环境下需要通过更多的技术创新、管理创新以促进企业转型和竞争力的提升，支撑其创</w:t>
      </w:r>
      <w:r>
        <w:rPr>
          <w:spacing w:val="-83"/>
        </w:rPr>
        <w:t> </w:t>
      </w:r>
      <w:r>
        <w:rPr>
          <w:spacing w:val="-83"/>
        </w:rPr>
      </w:r>
      <w:r>
        <w:rPr/>
        <w:t>新思想的相关信息化管理工具及相关实施服务的需求也蓬勃发展。公司一直致力于成为连接</w:t>
      </w:r>
      <w:r>
        <w:rPr>
          <w:spacing w:val="-83"/>
        </w:rPr>
        <w:t> </w:t>
      </w:r>
      <w:r>
        <w:rPr>
          <w:spacing w:val="-83"/>
        </w:rPr>
      </w:r>
      <w:r>
        <w:rPr/>
        <w:t>企业管理与信息技术的桥梁，帮助企业实现数字化转型，因此公司的业务从原来较为标准的</w:t>
      </w:r>
      <w:r>
        <w:rPr>
          <w:spacing w:val="-83"/>
        </w:rPr>
        <w:t> </w:t>
      </w:r>
      <w:r>
        <w:rPr>
          <w:spacing w:val="-83"/>
        </w:rPr>
      </w:r>
      <w:r>
        <w:rPr>
          <w:spacing w:val="-2"/>
        </w:rPr>
        <w:t>套装产品实施扩展到了行业和整体解决方案设计实施，通过各行业标杆企业项目经验的积累，</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left="634" w:right="0" w:hanging="480"/>
        <w:jc w:val="left"/>
      </w:pPr>
      <w:r>
        <w:rPr/>
        <w:t>获得了广泛的好评，并由此带来了较好的市场机会。 </w:t>
      </w:r>
      <w:r>
        <w:rPr>
          <w:spacing w:val="3"/>
        </w:rPr>
        <w:t>随着国内市场对云产品的接受度提高，云计算及相关市场机会增长较快。Oracle、SAP</w:t>
      </w:r>
    </w:p>
    <w:p>
      <w:pPr>
        <w:pStyle w:val="Heading4"/>
        <w:spacing w:line="357" w:lineRule="auto"/>
        <w:ind w:right="148"/>
        <w:jc w:val="both"/>
      </w:pPr>
      <w:r>
        <w:rPr/>
        <w:t>等大型软件厂商调整销售策略，增强各自云产品的市场推广力度，亚马逊、微软、阿里、华</w:t>
      </w:r>
      <w:r>
        <w:rPr>
          <w:spacing w:val="-83"/>
        </w:rPr>
        <w:t> </w:t>
      </w:r>
      <w:r>
        <w:rPr>
          <w:spacing w:val="-83"/>
        </w:rPr>
      </w:r>
      <w:r>
        <w:rPr/>
        <w:t>为、腾讯等公有云都在大力推动云计算发展，上云已经成了众多企业目前的改革重点，企业</w:t>
      </w:r>
      <w:r>
        <w:rPr>
          <w:spacing w:val="-83"/>
        </w:rPr>
        <w:t> </w:t>
      </w:r>
      <w:r>
        <w:rPr>
          <w:spacing w:val="-83"/>
        </w:rPr>
      </w:r>
      <w:r>
        <w:rPr/>
        <w:t>需要专业的云产品、解决方案，以及持续的服务，公司目前已经成为主要云计算厂商在企业</w:t>
      </w:r>
      <w:r>
        <w:rPr>
          <w:spacing w:val="-83"/>
        </w:rPr>
        <w:t> </w:t>
      </w:r>
      <w:r>
        <w:rPr>
          <w:spacing w:val="-83"/>
        </w:rPr>
      </w:r>
      <w:r>
        <w:rPr>
          <w:spacing w:val="-3"/>
        </w:rPr>
        <w:t>服务市场重要的合作伙伴。除此之外，公司自有云产品也在不断发展：SRM、创业管家、资产</w:t>
      </w:r>
      <w:r>
        <w:rPr>
          <w:spacing w:val="-79"/>
        </w:rPr>
        <w:t> </w:t>
      </w:r>
      <w:r>
        <w:rPr>
          <w:spacing w:val="-79"/>
        </w:rPr>
      </w:r>
      <w:r>
        <w:rPr/>
        <w:t>云等已经完成相应的初步研发并投入市场使用；为了提高企业跨云资源管理的效率，成功开</w:t>
      </w:r>
      <w:r>
        <w:rPr>
          <w:spacing w:val="-83"/>
        </w:rPr>
        <w:t> </w:t>
      </w:r>
      <w:r>
        <w:rPr>
          <w:spacing w:val="-83"/>
        </w:rPr>
      </w:r>
      <w:r>
        <w:rPr/>
        <w:t>发了专门的汉得融合云治理平台(HCMP)。</w:t>
      </w:r>
    </w:p>
    <w:p>
      <w:pPr>
        <w:pStyle w:val="Heading4"/>
        <w:spacing w:line="357" w:lineRule="auto"/>
        <w:ind w:right="148" w:firstLine="480"/>
        <w:jc w:val="both"/>
      </w:pPr>
      <w:r>
        <w:rPr/>
        <w:t>在智能制造成为制造行业转型的关键路径之一的背景下，高端制造企业在持续进行信息</w:t>
      </w:r>
      <w:r>
        <w:rPr>
          <w:spacing w:val="1"/>
        </w:rPr>
        <w:t> </w:t>
      </w:r>
      <w:r>
        <w:rPr>
          <w:spacing w:val="-5"/>
        </w:rPr>
        <w:t>化投资，公司在制造业长期深耕细作，积累了丰富的行业知识和实施经验，配合中国制造2025</w:t>
      </w:r>
      <w:r>
        <w:rPr>
          <w:spacing w:val="-109"/>
        </w:rPr>
        <w:t> </w:t>
      </w:r>
      <w:r>
        <w:rPr>
          <w:spacing w:val="-109"/>
        </w:rPr>
      </w:r>
      <w:r>
        <w:rPr/>
        <w:t>的纲领，报告期内智能制造团队加大投入，取得了快速发展的机遇，寻找到了创新模式上的</w:t>
      </w:r>
      <w:r>
        <w:rPr>
          <w:spacing w:val="-83"/>
        </w:rPr>
        <w:t> </w:t>
      </w:r>
      <w:r>
        <w:rPr>
          <w:spacing w:val="-83"/>
        </w:rPr>
      </w:r>
      <w:r>
        <w:rPr/>
        <w:t>突破，并积累了一定的客户资源。</w:t>
      </w:r>
    </w:p>
    <w:p>
      <w:pPr>
        <w:pStyle w:val="Heading4"/>
        <w:spacing w:line="357" w:lineRule="auto"/>
        <w:ind w:left="154" w:right="148" w:firstLine="480"/>
        <w:jc w:val="both"/>
      </w:pPr>
      <w:r>
        <w:rPr/>
        <w:t>随着IT架构的不断完善，IT建设机制的成熟，各企业的关注点开始由生产、销售、供应</w:t>
      </w:r>
      <w:r>
        <w:rPr>
          <w:spacing w:val="1"/>
        </w:rPr>
        <w:t> </w:t>
      </w:r>
      <w:r>
        <w:rPr/>
        <w:t>链等基础信息建设向数据分析、智能运营和价值链整合转移，因此市场对企业费用管控与报</w:t>
      </w:r>
      <w:r>
        <w:rPr>
          <w:spacing w:val="-83"/>
        </w:rPr>
        <w:t> </w:t>
      </w:r>
      <w:r>
        <w:rPr>
          <w:spacing w:val="-83"/>
        </w:rPr>
      </w:r>
      <w:r>
        <w:rPr/>
        <w:t>销、绩效管理、供应商关系管理、智慧营销、专业运维、共享服务等的需求增长迅速，顺应</w:t>
      </w:r>
      <w:r>
        <w:rPr>
          <w:spacing w:val="-83"/>
        </w:rPr>
        <w:t> </w:t>
      </w:r>
      <w:r>
        <w:rPr>
          <w:spacing w:val="-83"/>
        </w:rPr>
      </w:r>
      <w:r>
        <w:rPr/>
        <w:t>这样的市场需求，公司加强销售力度，积极开拓相关客户，努力提升自身实施水平和交付质</w:t>
      </w:r>
      <w:r>
        <w:rPr>
          <w:spacing w:val="-83"/>
        </w:rPr>
        <w:t> </w:t>
      </w:r>
      <w:r>
        <w:rPr>
          <w:spacing w:val="-83"/>
        </w:rPr>
      </w:r>
      <w:r>
        <w:rPr/>
        <w:t>量，以稳定优质的资源保证了高质量的服务能力。</w:t>
      </w:r>
    </w:p>
    <w:p>
      <w:pPr>
        <w:pStyle w:val="Heading4"/>
        <w:spacing w:line="357" w:lineRule="auto"/>
        <w:ind w:left="154" w:right="148" w:firstLine="480"/>
        <w:jc w:val="both"/>
      </w:pPr>
      <w:r>
        <w:rPr/>
        <w:t>随着社会化生产方式的不断深入，市场竞争已经从单一客户之间的竞争转变为供应链与</w:t>
      </w:r>
      <w:r>
        <w:rPr>
          <w:spacing w:val="1"/>
        </w:rPr>
        <w:t> </w:t>
      </w:r>
      <w:r>
        <w:rPr/>
        <w:t>供应链之间的竞争，同一供应链内部各方相互依存，这样的变化给公司的供应链金融业务带</w:t>
      </w:r>
      <w:r>
        <w:rPr>
          <w:spacing w:val="-83"/>
        </w:rPr>
        <w:t> </w:t>
      </w:r>
      <w:r>
        <w:rPr>
          <w:spacing w:val="-83"/>
        </w:rPr>
      </w:r>
      <w:r>
        <w:rPr/>
        <w:t>来了较好的发展机会。报告期内公司不断优化资产结构，使得优质核心企业的构成比例越来</w:t>
      </w:r>
      <w:r>
        <w:rPr>
          <w:spacing w:val="-83"/>
        </w:rPr>
        <w:t> </w:t>
      </w:r>
      <w:r>
        <w:rPr>
          <w:spacing w:val="-83"/>
        </w:rPr>
      </w:r>
      <w:r>
        <w:rPr/>
        <w:t>越高，有效降低了业务风险。公司供应链金融通过将融资产品推广到更多业务场景、解决方</w:t>
      </w:r>
      <w:r>
        <w:rPr>
          <w:spacing w:val="-83"/>
        </w:rPr>
        <w:t> </w:t>
      </w:r>
      <w:r>
        <w:rPr>
          <w:spacing w:val="-83"/>
        </w:rPr>
      </w:r>
      <w:r>
        <w:rPr/>
        <w:t>案上的积累使得在市场发展时能够把握机会实现快速发展。</w:t>
      </w:r>
    </w:p>
    <w:p>
      <w:pPr>
        <w:pStyle w:val="Heading4"/>
        <w:spacing w:line="357" w:lineRule="auto"/>
        <w:ind w:left="634" w:right="0"/>
        <w:jc w:val="left"/>
      </w:pPr>
      <w:r>
        <w:rPr/>
        <w:t>（四）行业发展阶段、周期性特点及公司所处地位： IT咨询服务行业与科技发展和企业信息化建设密切相关，并无明显的周期性特点，虽然</w:t>
      </w:r>
    </w:p>
    <w:p>
      <w:pPr>
        <w:pStyle w:val="Heading4"/>
        <w:spacing w:line="357" w:lineRule="auto"/>
        <w:ind w:left="154" w:right="148"/>
        <w:jc w:val="both"/>
      </w:pPr>
      <w:r>
        <w:rPr>
          <w:spacing w:val="-2"/>
        </w:rPr>
        <w:t>ERP等传统企业信息化套装软件的建设已逐渐完善，但新技术新应用的发展，使得企业信息化</w:t>
      </w:r>
      <w:r>
        <w:rPr>
          <w:spacing w:val="-118"/>
        </w:rPr>
        <w:t> </w:t>
      </w:r>
      <w:r>
        <w:rPr>
          <w:spacing w:val="-118"/>
        </w:rPr>
      </w:r>
      <w:r>
        <w:rPr/>
        <w:t>步伐加快，目前国内IT咨询服务行业整体处于稳定增长中。随着各种新技术一浪高过一浪的</w:t>
      </w:r>
      <w:r>
        <w:rPr>
          <w:spacing w:val="-101"/>
        </w:rPr>
        <w:t> </w:t>
      </w:r>
      <w:r>
        <w:rPr>
          <w:spacing w:val="-101"/>
        </w:rPr>
      </w:r>
      <w:r>
        <w:rPr>
          <w:spacing w:val="-2"/>
        </w:rPr>
        <w:t>快速发展，以及中国在互联网领域超乎预料的快速推进，中国企业目前在信息化/数字化上的</w:t>
      </w:r>
      <w:r>
        <w:rPr/>
        <w:t> 诉求，已经发生了很大的改变，企业由过去的“痛点驱动”升级为“愿景驱动”，过去企业</w:t>
      </w:r>
      <w:r>
        <w:rPr>
          <w:spacing w:val="-83"/>
        </w:rPr>
        <w:t> </w:t>
      </w:r>
      <w:r>
        <w:rPr>
          <w:spacing w:val="-83"/>
        </w:rPr>
      </w:r>
      <w:r>
        <w:rPr/>
        <w:t>寄希望于通过信息化手段来解决管理痛点问题，而现在提出了更多诸如智能化发展等改革提</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148"/>
        <w:jc w:val="both"/>
      </w:pPr>
      <w:r>
        <w:rPr/>
        <w:t>升的愿景，因此有更多涵盖企业前中后台的信息化／数字化的诉求。这样的需求升级推动了</w:t>
      </w:r>
      <w:r>
        <w:rPr>
          <w:spacing w:val="-83"/>
        </w:rPr>
        <w:t> </w:t>
      </w:r>
      <w:r>
        <w:rPr>
          <w:spacing w:val="-83"/>
        </w:rPr>
      </w:r>
      <w:r>
        <w:rPr/>
        <w:t>公司所在行业市场容量快速变大，并对服务商的服务能力覆盖面、对新技术的应用能力和整</w:t>
      </w:r>
      <w:r>
        <w:rPr>
          <w:spacing w:val="-83"/>
        </w:rPr>
        <w:t> </w:t>
      </w:r>
      <w:r>
        <w:rPr>
          <w:spacing w:val="-83"/>
        </w:rPr>
      </w:r>
      <w:r>
        <w:rPr/>
        <w:t>体解决方案能力提出了更高的要求。这几年公司在行业内的竞争优势越来越明显，主要得益</w:t>
      </w:r>
      <w:r>
        <w:rPr>
          <w:spacing w:val="-83"/>
        </w:rPr>
        <w:t> </w:t>
      </w:r>
      <w:r>
        <w:rPr>
          <w:spacing w:val="-83"/>
        </w:rPr>
      </w:r>
      <w:r>
        <w:rPr/>
        <w:t>于自身竞争力的提升和相对竞争优势的变化、以及服务结构的升级，公司的竞争能力、品牌</w:t>
      </w:r>
      <w:r>
        <w:rPr>
          <w:spacing w:val="-83"/>
        </w:rPr>
        <w:t> </w:t>
      </w:r>
      <w:r>
        <w:rPr>
          <w:spacing w:val="-83"/>
        </w:rPr>
      </w:r>
      <w:r>
        <w:rPr/>
        <w:t>影响力和自身价值在提升，同时和国际竞争对手的差距在缩小。市场环境整体来看，公司在</w:t>
      </w:r>
      <w:r>
        <w:rPr>
          <w:spacing w:val="-83"/>
        </w:rPr>
        <w:t> </w:t>
      </w:r>
      <w:r>
        <w:rPr>
          <w:spacing w:val="-83"/>
        </w:rPr>
      </w:r>
      <w:r>
        <w:rPr/>
        <w:t>传统企业信息化套装软件咨询服务市场上优势地位逐步形成。</w:t>
      </w:r>
    </w:p>
    <w:p>
      <w:pPr>
        <w:pStyle w:val="Heading4"/>
        <w:spacing w:line="357" w:lineRule="auto"/>
        <w:ind w:right="148" w:firstLine="480"/>
        <w:jc w:val="both"/>
      </w:pPr>
      <w:r>
        <w:rPr/>
        <w:t>从公司主要业务和产品来看，企业信息化整体架构已经开始发生变化，企业不但需要稳</w:t>
      </w:r>
      <w:r>
        <w:rPr>
          <w:spacing w:val="1"/>
        </w:rPr>
        <w:t> </w:t>
      </w:r>
      <w:r>
        <w:rPr/>
        <w:t>定可靠的后台，还需要打造全渠道接入的前台，和灵活应变的中台。目前来看企业在信息化</w:t>
      </w:r>
      <w:r>
        <w:rPr>
          <w:spacing w:val="-83"/>
        </w:rPr>
        <w:t> </w:t>
      </w:r>
      <w:r>
        <w:rPr>
          <w:spacing w:val="-83"/>
        </w:rPr>
      </w:r>
      <w:r>
        <w:rPr/>
        <w:t>的前台和中台的投入有显著增加，而公司具有大量优质的客户基础，在新的IT架构方面走在</w:t>
      </w:r>
      <w:r>
        <w:rPr>
          <w:spacing w:val="-82"/>
        </w:rPr>
        <w:t> </w:t>
      </w:r>
      <w:r>
        <w:rPr>
          <w:spacing w:val="-82"/>
        </w:rPr>
      </w:r>
      <w:r>
        <w:rPr/>
        <w:t>了行业前列，也较好的抓住了市场机会。同时公司基于行业进行深度挖掘和方案整合，逐步</w:t>
      </w:r>
      <w:r>
        <w:rPr>
          <w:spacing w:val="-83"/>
        </w:rPr>
        <w:t> </w:t>
      </w:r>
      <w:r>
        <w:rPr>
          <w:spacing w:val="-83"/>
        </w:rPr>
      </w:r>
      <w:r>
        <w:rPr/>
        <w:t>积累了丰富的案例和规模较大的优质客户，并形成具有竞争优势的标准化解决方案和自主产</w:t>
      </w:r>
      <w:r>
        <w:rPr>
          <w:spacing w:val="-83"/>
        </w:rPr>
        <w:t> </w:t>
      </w:r>
      <w:r>
        <w:rPr>
          <w:spacing w:val="-83"/>
        </w:rPr>
      </w:r>
      <w:r>
        <w:rPr/>
        <w:t>品，使得公司能在竞争激烈的IT咨询服务市场上稳步发展。过去几年，公司提前对各类新技</w:t>
      </w:r>
      <w:r>
        <w:rPr>
          <w:spacing w:val="-101"/>
        </w:rPr>
        <w:t> </w:t>
      </w:r>
      <w:r>
        <w:rPr>
          <w:spacing w:val="-101"/>
        </w:rPr>
      </w:r>
      <w:r>
        <w:rPr/>
        <w:t>术进行了学习和储备，并积极的跟各类云计算、大数据、人工智能等热点新技术合作伙伴形</w:t>
      </w:r>
      <w:r>
        <w:rPr>
          <w:spacing w:val="-83"/>
        </w:rPr>
        <w:t> </w:t>
      </w:r>
      <w:r>
        <w:rPr>
          <w:spacing w:val="-83"/>
        </w:rPr>
      </w:r>
      <w:r>
        <w:rPr/>
        <w:t>成生态圈，报告期内公司在很多涉及新技术领域的项目上取得突破，初步形成一定的竞争壁</w:t>
      </w:r>
      <w:r>
        <w:rPr>
          <w:spacing w:val="-83"/>
        </w:rPr>
        <w:t> </w:t>
      </w:r>
      <w:r>
        <w:rPr>
          <w:spacing w:val="-83"/>
        </w:rPr>
      </w:r>
      <w:r>
        <w:rPr/>
        <w:t>垒。</w:t>
      </w:r>
    </w:p>
    <w:p>
      <w:pPr>
        <w:spacing w:line="240" w:lineRule="auto" w:before="11"/>
        <w:rPr>
          <w:rFonts w:ascii="宋体" w:hAnsi="宋体" w:cs="宋体" w:eastAsia="宋体" w:hint="default"/>
          <w:sz w:val="19"/>
          <w:szCs w:val="19"/>
        </w:rPr>
      </w:pPr>
    </w:p>
    <w:p>
      <w:pPr>
        <w:pStyle w:val="Heading3"/>
        <w:spacing w:line="240" w:lineRule="auto"/>
        <w:ind w:left="153"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主要系数据采集平台软件、主数据管理软件、融合云治理平台软件、财务云管理软</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nil" w:sz="6" w:space="0" w:color="auto"/>
              <w:left w:val="single" w:sz="13" w:space="0" w:color="D3D3D3"/>
              <w:bottom w:val="nil" w:sz="6" w:space="0" w:color="auto"/>
              <w:right w:val="single" w:sz="4" w:space="0" w:color="000000"/>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件、结算平台软件、</w:t>
            </w:r>
            <w:r>
              <w:rPr>
                <w:rFonts w:ascii="Times New Roman" w:hAnsi="Times New Roman" w:cs="Times New Roman" w:eastAsia="Times New Roman" w:hint="default"/>
                <w:sz w:val="18"/>
                <w:szCs w:val="18"/>
              </w:rPr>
              <w:t>HSSP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共享服务软件、融资租赁管理软件、海马汇移动应用等</w:t>
            </w: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知识产权的软件开发投入形成所致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主要系保理公司核心企业还款业务模式变化所致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主要系咨询业务规模扩大所致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主要系软件实施项目中代为采购的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SAP/Oracle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License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主要系业务增长导致的员工押金借款以及投标保证金余额增加所致</w:t>
            </w:r>
          </w:p>
        </w:tc>
      </w:tr>
      <w:tr>
        <w:trPr>
          <w:trHeight w:val="362" w:hRule="exact"/>
        </w:trPr>
        <w:tc>
          <w:tcPr>
            <w:tcW w:w="3052" w:type="dxa"/>
            <w:tcBorders>
              <w:top w:val="single" w:sz="4" w:space="0" w:color="000000"/>
              <w:left w:val="single" w:sz="4" w:space="0" w:color="000000"/>
              <w:bottom w:val="nil" w:sz="6" w:space="0" w:color="auto"/>
              <w:right w:val="single" w:sz="4" w:space="0" w:color="000000"/>
            </w:tcBorders>
          </w:tcPr>
          <w:p>
            <w:pPr/>
          </w:p>
        </w:tc>
        <w:tc>
          <w:tcPr>
            <w:tcW w:w="6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主要系上海众数联颂创业投资合伙企业（有限合伙）投资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万，上海复歌信息科</w:t>
            </w:r>
          </w:p>
        </w:tc>
      </w:tr>
      <w:tr>
        <w:trPr>
          <w:trHeight w:val="312" w:hRule="exact"/>
        </w:trPr>
        <w:tc>
          <w:tcPr>
            <w:tcW w:w="30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万，投资参与设立共享智能铸造产业创新中心有限公司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2300</w:t>
            </w:r>
          </w:p>
        </w:tc>
      </w:tr>
      <w:tr>
        <w:trPr>
          <w:trHeight w:val="352" w:hRule="exact"/>
        </w:trPr>
        <w:tc>
          <w:tcPr>
            <w:tcW w:w="3052" w:type="dxa"/>
            <w:tcBorders>
              <w:top w:val="nil" w:sz="6" w:space="0" w:color="auto"/>
              <w:left w:val="single" w:sz="4" w:space="0" w:color="000000"/>
              <w:bottom w:val="single" w:sz="4" w:space="0" w:color="000000"/>
              <w:right w:val="single" w:sz="4" w:space="0" w:color="000000"/>
            </w:tcBorders>
          </w:tcPr>
          <w:p>
            <w:pPr/>
          </w:p>
        </w:tc>
        <w:tc>
          <w:tcPr>
            <w:tcW w:w="6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主要系青浦园区以及武汉</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西安</w:t>
            </w:r>
            <w:r>
              <w:rPr>
                <w:rFonts w:ascii="Times New Roman" w:hAnsi="Times New Roman" w:cs="Times New Roman" w:eastAsia="Times New Roman" w:hint="default"/>
                <w:sz w:val="18"/>
                <w:szCs w:val="18"/>
              </w:rPr>
              <w:t>/</w:t>
            </w:r>
            <w:r>
              <w:rPr>
                <w:rFonts w:ascii="宋体" w:hAnsi="宋体" w:cs="宋体" w:eastAsia="宋体" w:hint="default"/>
                <w:sz w:val="18"/>
                <w:szCs w:val="18"/>
              </w:rPr>
              <w:t>大连等中心的装修所致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主要系由于在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年度将递延所得税的税率由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93"/>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91"/>
        <w:jc w:val="left"/>
      </w:pPr>
      <w:r>
        <w:rPr/>
        <w:t>公司是否需要遵守特殊行业的披露要求 否</w:t>
      </w:r>
    </w:p>
    <w:p>
      <w:pPr>
        <w:pStyle w:val="Heading4"/>
        <w:spacing w:line="357" w:lineRule="auto" w:before="57"/>
        <w:ind w:left="634" w:right="214"/>
        <w:jc w:val="left"/>
      </w:pPr>
      <w:r>
        <w:rPr/>
        <w:t>（一）丰富的实施服务经验和全面的信息化服务能力 </w:t>
      </w:r>
      <w:r>
        <w:rPr>
          <w:spacing w:val="-2"/>
        </w:rPr>
        <w:t>公司长期从事ERP及相关企业信息化咨询实施服务，已先后为3000多家企业客户成功提供</w:t>
      </w:r>
    </w:p>
    <w:p>
      <w:pPr>
        <w:pStyle w:val="Heading4"/>
        <w:spacing w:line="357" w:lineRule="auto"/>
        <w:ind w:right="228"/>
        <w:jc w:val="both"/>
      </w:pPr>
      <w:r>
        <w:rPr/>
        <w:t>了信息化建设服务，客户遍及制造、金融、贸易、快速消费品、互联网、公用事业和房地产</w:t>
      </w:r>
      <w:r>
        <w:rPr>
          <w:spacing w:val="-83"/>
        </w:rPr>
        <w:t> </w:t>
      </w:r>
      <w:r>
        <w:rPr>
          <w:spacing w:val="-83"/>
        </w:rPr>
      </w:r>
      <w:r>
        <w:rPr>
          <w:spacing w:val="-2"/>
        </w:rPr>
        <w:t>等诸多行业，涵盖诸多世界500强企业、大型民营、国企集团等行业领军企业。公司不断深化</w:t>
      </w:r>
      <w:r>
        <w:rPr/>
        <w:t> 行业服务能力，与客户共同推动企业数字化转型，致力于成为企业信息化整体解决方案服务</w:t>
      </w:r>
      <w:r>
        <w:rPr>
          <w:spacing w:val="-83"/>
        </w:rPr>
        <w:t> </w:t>
      </w:r>
      <w:r>
        <w:rPr>
          <w:spacing w:val="-83"/>
        </w:rPr>
      </w:r>
      <w:r>
        <w:rPr/>
        <w:t>商，为企业提供业务和管理信息化全生命周期（规划、实施、定制开发、运维、升级等）一</w:t>
      </w:r>
      <w:r>
        <w:rPr>
          <w:spacing w:val="-83"/>
        </w:rPr>
        <w:t> </w:t>
      </w:r>
      <w:r>
        <w:rPr>
          <w:spacing w:val="-83"/>
        </w:rPr>
      </w:r>
      <w:r>
        <w:rPr/>
        <w:t>站式服务。</w:t>
      </w:r>
    </w:p>
    <w:p>
      <w:pPr>
        <w:pStyle w:val="Heading4"/>
        <w:spacing w:line="357" w:lineRule="auto"/>
        <w:ind w:right="111" w:firstLine="480"/>
        <w:jc w:val="left"/>
      </w:pPr>
      <w:r>
        <w:rPr/>
        <w:t>在传统业务上，公司主要针对Oracle、SAP、微软等高端ERP等套装软件提供实施服务， 公司在长期的实施过程中经过不断的消化、提炼、整合和完善解决方案，对其产品内容形成</w:t>
      </w:r>
      <w:r>
        <w:rPr>
          <w:spacing w:val="-83"/>
        </w:rPr>
        <w:t> </w:t>
      </w:r>
      <w:r>
        <w:rPr>
          <w:spacing w:val="-83"/>
        </w:rPr>
      </w:r>
      <w:r>
        <w:rPr/>
        <w:t>了十分深刻的理解，并在实施服务领域中积累了丰富的实战经验。与国内同行相比，由于公</w:t>
      </w:r>
      <w:r>
        <w:rPr>
          <w:spacing w:val="-83"/>
        </w:rPr>
        <w:t> </w:t>
      </w:r>
      <w:r>
        <w:rPr>
          <w:spacing w:val="-83"/>
        </w:rPr>
      </w:r>
      <w:r>
        <w:rPr/>
        <w:t>司的客户众多，行业分布广泛，加之公司自身的知识库和方法论整理及时有效，因此公司在</w:t>
      </w:r>
      <w:r>
        <w:rPr>
          <w:spacing w:val="-83"/>
        </w:rPr>
        <w:t> </w:t>
      </w:r>
      <w:r>
        <w:rPr>
          <w:spacing w:val="-83"/>
        </w:rPr>
      </w:r>
      <w:r>
        <w:rPr/>
        <w:t>高端ERP实施服务的经验方面具有明显的优势。目前企业的业务和需求愈发呈现出多样化和个</w:t>
      </w:r>
      <w:r>
        <w:rPr/>
        <w:t> 性化的特点，单一的ERP软件已较难满足企业全面信息化建设的需求。因此，近年来公司服务 </w:t>
      </w:r>
      <w:r>
        <w:rPr>
          <w:spacing w:val="-5"/>
        </w:rPr>
        <w:t>的软件平台从ERP为主进一步扩展到了企业信息化其他相关领域，比如CRM客户关系管理、HRMS</w:t>
      </w:r>
      <w:r>
        <w:rPr>
          <w:spacing w:val="-92"/>
        </w:rPr>
        <w:t> </w:t>
      </w:r>
      <w:r>
        <w:rPr>
          <w:spacing w:val="-92"/>
        </w:rPr>
      </w:r>
      <w:r>
        <w:rPr/>
        <w:t>人力资源管理、EPM企业绩效管理系统、BI商务智能分析系统等专业领域，公司通过自身的人</w:t>
      </w:r>
      <w:r>
        <w:rPr/>
        <w:t> 才培养体系和方案整合能力、产品化能力、业务咨询服务能力、技术开发能力，在项目实施</w:t>
      </w:r>
      <w:r>
        <w:rPr>
          <w:spacing w:val="-83"/>
        </w:rPr>
        <w:t> </w:t>
      </w:r>
      <w:r>
        <w:rPr>
          <w:spacing w:val="-83"/>
        </w:rPr>
      </w:r>
      <w:r>
        <w:rPr>
          <w:spacing w:val="-2"/>
        </w:rPr>
        <w:t>过程中逐渐积累了这些专业产品的实施经验，形成了跨产品线、跨产品体系的全面解决方案，</w:t>
      </w:r>
      <w:r>
        <w:rPr/>
        <w:t> 能够为客户提供端到端的全面信息化服务。公司基于对不同软件产品内容的理解，结合客户</w:t>
      </w:r>
      <w:r>
        <w:rPr>
          <w:spacing w:val="-83"/>
        </w:rPr>
        <w:t> </w:t>
      </w:r>
      <w:r>
        <w:rPr>
          <w:spacing w:val="-83"/>
        </w:rPr>
      </w:r>
      <w:r>
        <w:rPr/>
        <w:t>差异化的经营业务内容以及流程为国内大量企业提供量身定制的实施服务，并通过大量成功</w:t>
      </w:r>
      <w:r>
        <w:rPr>
          <w:spacing w:val="-83"/>
        </w:rPr>
        <w:t> </w:t>
      </w:r>
      <w:r>
        <w:rPr>
          <w:spacing w:val="-83"/>
        </w:rPr>
      </w:r>
      <w:r>
        <w:rPr/>
        <w:t>实施服务经验的总结形成了自己的Quick-HAND实施方法论和多项业内领先、适应性强的行业</w:t>
      </w:r>
      <w:r>
        <w:rPr>
          <w:spacing w:val="-92"/>
        </w:rPr>
        <w:t> </w:t>
      </w:r>
      <w:r>
        <w:rPr>
          <w:spacing w:val="-92"/>
        </w:rPr>
      </w:r>
      <w:r>
        <w:rPr/>
        <w:t>解决方案。经过多年实施服务经验的积累，公司目前具备为客户提供全面而先进的企业信息</w:t>
      </w:r>
      <w:r>
        <w:rPr>
          <w:spacing w:val="-83"/>
        </w:rPr>
        <w:t> </w:t>
      </w:r>
      <w:r>
        <w:rPr>
          <w:spacing w:val="-83"/>
        </w:rPr>
      </w:r>
      <w:r>
        <w:rPr/>
        <w:t>化软件实施服务的能力，可有效保障企业管理信息化建设，提升企业的管理与经营效率。</w:t>
      </w:r>
    </w:p>
    <w:p>
      <w:pPr>
        <w:pStyle w:val="Heading4"/>
        <w:spacing w:line="357" w:lineRule="auto"/>
        <w:ind w:left="154" w:right="93" w:firstLine="480"/>
        <w:jc w:val="left"/>
      </w:pPr>
      <w:r>
        <w:rPr/>
        <w:t>多年来公司通过对客户业务的深化应用，对方案经验的积累沉淀，对技术能力的储备提</w:t>
      </w:r>
      <w:r>
        <w:rPr>
          <w:spacing w:val="1"/>
        </w:rPr>
        <w:t> </w:t>
      </w:r>
      <w:r>
        <w:rPr>
          <w:spacing w:val="-18"/>
        </w:rPr>
        <w:t>升，加大研发创新投入，自我积累了包括汉得费控及报账系统（HEC）、汉得融资租赁系统（HLS）、</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spacing w:val="-2"/>
        </w:rPr>
        <w:t>汉得医果（HRP）等一大批优秀的自主研发产品，补充完善了部分细分领域的解决方案，提供</w:t>
      </w:r>
      <w:r>
        <w:rPr/>
        <w:t> 更优质的适应企业特性的实施服务，帮助客户提高业务效率、优化资源配置的同时更关注企</w:t>
      </w:r>
      <w:r>
        <w:rPr>
          <w:spacing w:val="-83"/>
        </w:rPr>
        <w:t> </w:t>
      </w:r>
      <w:r>
        <w:rPr>
          <w:spacing w:val="-83"/>
        </w:rPr>
      </w:r>
      <w:r>
        <w:rPr/>
        <w:t>业的内部控制、风险管理等，提高了企业治理水平，目前这些产品已在众多客户处取得了良</w:t>
      </w:r>
      <w:r>
        <w:rPr>
          <w:spacing w:val="-83"/>
        </w:rPr>
        <w:t> </w:t>
      </w:r>
      <w:r>
        <w:rPr>
          <w:spacing w:val="-83"/>
        </w:rPr>
      </w:r>
      <w:r>
        <w:rPr/>
        <w:t>好的应用效果，不仅为公司开辟了新的业务市场和利润增长点，更扩大了公司的综合实施服</w:t>
      </w:r>
      <w:r>
        <w:rPr>
          <w:spacing w:val="-83"/>
        </w:rPr>
        <w:t> </w:t>
      </w:r>
      <w:r>
        <w:rPr>
          <w:spacing w:val="-83"/>
        </w:rPr>
      </w:r>
      <w:r>
        <w:rPr/>
        <w:t>务能力。</w:t>
      </w:r>
    </w:p>
    <w:p>
      <w:pPr>
        <w:pStyle w:val="Heading4"/>
        <w:spacing w:line="357" w:lineRule="auto"/>
        <w:ind w:left="633" w:right="93"/>
        <w:jc w:val="left"/>
      </w:pPr>
      <w:r>
        <w:rPr/>
        <w:t>（二）客户资源优势 目前，公司以国内市场为主，并积极开拓全球市场，为大中型企业客户提供专业的信息</w:t>
      </w:r>
    </w:p>
    <w:p>
      <w:pPr>
        <w:pStyle w:val="Heading4"/>
        <w:spacing w:line="357" w:lineRule="auto"/>
        <w:ind w:right="93"/>
        <w:jc w:val="left"/>
      </w:pPr>
      <w:r>
        <w:rPr/>
        <w:t>化咨询服务，涉及到了各行各业企业管理的主要领域。自公司成立以来，始终坚持以客户为</w:t>
      </w:r>
      <w:r>
        <w:rPr>
          <w:spacing w:val="-83"/>
        </w:rPr>
        <w:t> </w:t>
      </w:r>
      <w:r>
        <w:rPr>
          <w:spacing w:val="-83"/>
        </w:rPr>
      </w:r>
      <w:r>
        <w:rPr/>
        <w:t>中心的战略，高度关注客户满意度和黏着度，通过整合多元化的信息化产品和服务能力，能</w:t>
      </w:r>
      <w:r>
        <w:rPr>
          <w:spacing w:val="-83"/>
        </w:rPr>
        <w:t> </w:t>
      </w:r>
      <w:r>
        <w:rPr>
          <w:spacing w:val="-83"/>
        </w:rPr>
      </w:r>
      <w:r>
        <w:rPr/>
        <w:t>够更好的帮助客户规划落实众多信息化诉求，并做到更有匹配度的量身定制IT规划、实施部</w:t>
      </w:r>
      <w:r>
        <w:rPr>
          <w:spacing w:val="-82"/>
        </w:rPr>
        <w:t> </w:t>
      </w:r>
      <w:r>
        <w:rPr>
          <w:spacing w:val="-82"/>
        </w:rPr>
      </w:r>
      <w:r>
        <w:rPr>
          <w:spacing w:val="-2"/>
        </w:rPr>
        <w:t>署和系统运行维护的服务，能够更有效的帮助客户降低整合外部服务资源的成本和提高效率，</w:t>
      </w:r>
      <w:r>
        <w:rPr/>
        <w:t> 优质和全面的服务使得公司与客户建立了长期稳定的合作关系，延长了公司与客户的服务周</w:t>
      </w:r>
      <w:r>
        <w:rPr>
          <w:spacing w:val="-83"/>
        </w:rPr>
        <w:t> </w:t>
      </w:r>
      <w:r>
        <w:rPr>
          <w:spacing w:val="-83"/>
        </w:rPr>
      </w:r>
      <w:r>
        <w:rPr/>
        <w:t>期，并更多呈现可持续的合作态势。公司在Oracle和SAP等高端企业信息化套装软件实施服务</w:t>
      </w:r>
      <w:r>
        <w:rPr/>
        <w:t> 市场中拥有稳定的客户基础和持久的客户关系，在行业内形成了较好的口碑和较强的品牌影</w:t>
      </w:r>
      <w:r>
        <w:rPr>
          <w:spacing w:val="-83"/>
        </w:rPr>
        <w:t> </w:t>
      </w:r>
      <w:r>
        <w:rPr>
          <w:spacing w:val="-83"/>
        </w:rPr>
      </w:r>
      <w:r>
        <w:rPr/>
        <w:t>响力，近年来公司主营业务收入60%以上来自于老客户，较高的客户黏性是公司主营业务收入</w:t>
      </w:r>
      <w:r>
        <w:rPr/>
        <w:t> 保持稳定增长的重要原因，同时，公司高黏性的客户也是其他新的业务方向潜在的优质客户</w:t>
      </w:r>
      <w:r>
        <w:rPr>
          <w:spacing w:val="-83"/>
        </w:rPr>
        <w:t> </w:t>
      </w:r>
      <w:r>
        <w:rPr>
          <w:spacing w:val="-83"/>
        </w:rPr>
      </w:r>
      <w:r>
        <w:rPr/>
        <w:t>资源，公司将在这些老客户上深耕细作，推出更多的创新产品和创新服务。随着企业信息化</w:t>
      </w:r>
      <w:r>
        <w:rPr>
          <w:spacing w:val="-83"/>
        </w:rPr>
        <w:t> </w:t>
      </w:r>
      <w:r>
        <w:rPr>
          <w:spacing w:val="-83"/>
        </w:rPr>
      </w:r>
      <w:r>
        <w:rPr/>
        <w:t>的不断深入，原有的客户资源为公司的业务扩展和创新提供了良好的平台，充分的信任及合</w:t>
      </w:r>
      <w:r>
        <w:rPr>
          <w:spacing w:val="-83"/>
        </w:rPr>
        <w:t> </w:t>
      </w:r>
      <w:r>
        <w:rPr>
          <w:spacing w:val="-83"/>
        </w:rPr>
      </w:r>
      <w:r>
        <w:rPr/>
        <w:t>作基础有助于公司推动新的业务转化。</w:t>
      </w:r>
    </w:p>
    <w:p>
      <w:pPr>
        <w:pStyle w:val="Heading4"/>
        <w:spacing w:line="357" w:lineRule="auto"/>
        <w:ind w:left="633" w:right="93"/>
        <w:jc w:val="left"/>
      </w:pPr>
      <w:r>
        <w:rPr/>
        <w:t>（三）人才优势 咨询行业本身是人才密集型行业，自成立开始，公司就高度重视人才培养和团队建设，</w:t>
      </w:r>
    </w:p>
    <w:p>
      <w:pPr>
        <w:pStyle w:val="Heading4"/>
        <w:spacing w:line="357" w:lineRule="auto"/>
        <w:ind w:right="103"/>
        <w:jc w:val="left"/>
      </w:pPr>
      <w:r>
        <w:rPr/>
        <w:t>通过有序引进、持续培训等方式逐步完善项目服务团队，多年来聚集了行业内优秀的业务、</w:t>
      </w:r>
      <w:r>
        <w:rPr>
          <w:spacing w:val="-83"/>
        </w:rPr>
        <w:t> </w:t>
      </w:r>
      <w:r>
        <w:rPr>
          <w:spacing w:val="-83"/>
        </w:rPr>
      </w:r>
      <w:r>
        <w:rPr/>
        <w:t>技术、营销和管理团队，为项目的正常运行和质量提供了保障。公司设立专门的汉得学院，</w:t>
      </w:r>
      <w:r>
        <w:rPr>
          <w:spacing w:val="-83"/>
        </w:rPr>
        <w:t> </w:t>
      </w:r>
      <w:r>
        <w:rPr>
          <w:spacing w:val="-83"/>
        </w:rPr>
      </w:r>
      <w:r>
        <w:rPr/>
        <w:t>从事各行业信息化人才的挖掘、筛选、评估、培训、选拔工作，其培养体系受到业界内外的</w:t>
      </w:r>
      <w:r>
        <w:rPr>
          <w:spacing w:val="-83"/>
        </w:rPr>
        <w:t> </w:t>
      </w:r>
      <w:r>
        <w:rPr>
          <w:spacing w:val="-83"/>
        </w:rPr>
      </w:r>
      <w:r>
        <w:rPr/>
        <w:t>广泛认可，是公司长期以来快速成长和扩充的基础保证。作为具备人力资本密集特性的现代</w:t>
      </w:r>
      <w:r>
        <w:rPr>
          <w:spacing w:val="-83"/>
        </w:rPr>
        <w:t> </w:t>
      </w:r>
      <w:r>
        <w:rPr>
          <w:spacing w:val="-83"/>
        </w:rPr>
      </w:r>
      <w:r>
        <w:rPr/>
        <w:t>高科技服务类企业，公司十分重视企业文化的建设，注重提高员工的积极性，倡导“Better</w:t>
      </w:r>
      <w:r>
        <w:rPr>
          <w:spacing w:val="-98"/>
        </w:rPr>
        <w:t> </w:t>
      </w:r>
      <w:r>
        <w:rPr>
          <w:spacing w:val="-98"/>
        </w:rPr>
      </w:r>
      <w:r>
        <w:rPr>
          <w:spacing w:val="-2"/>
        </w:rPr>
        <w:t>Experience，更好体验”的经营理念，构建企业感恩文化，努力为客户提供更好的服务体验，</w:t>
      </w:r>
      <w:r>
        <w:rPr>
          <w:spacing w:val="-112"/>
        </w:rPr>
        <w:t> </w:t>
      </w:r>
      <w:r>
        <w:rPr>
          <w:spacing w:val="-112"/>
        </w:rPr>
      </w:r>
      <w:r>
        <w:rPr/>
        <w:t>为员工提供更好的工作体验。公平、竞争、激励的人力资源管理体系，为员工构建了良好向</w:t>
      </w:r>
      <w:r>
        <w:rPr>
          <w:spacing w:val="-83"/>
        </w:rPr>
        <w:t> </w:t>
      </w:r>
      <w:r>
        <w:rPr>
          <w:spacing w:val="-83"/>
        </w:rPr>
      </w:r>
      <w:r>
        <w:rPr/>
        <w:t>上的发展氛围。公司在人才招聘、人才培养和激励等方面采取了一系列的措施，包括：</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240" w:lineRule="auto" w:before="26"/>
        <w:ind w:left="674" w:right="92"/>
        <w:jc w:val="left"/>
      </w:pPr>
      <w:r>
        <w:rPr/>
        <w:t>（1）员工持股和项目跟投计划的实施，使其得以共享企业发展带来的收益；</w:t>
      </w:r>
    </w:p>
    <w:p>
      <w:pPr>
        <w:pStyle w:val="Heading4"/>
        <w:spacing w:line="240" w:lineRule="auto" w:before="154"/>
        <w:ind w:left="674" w:right="92"/>
        <w:jc w:val="left"/>
      </w:pPr>
      <w:r>
        <w:rPr/>
        <w:t>（2）具有完善的培训与考核体制，为人才的进一步发展提供良好的平台；</w:t>
      </w:r>
    </w:p>
    <w:p>
      <w:pPr>
        <w:pStyle w:val="Heading4"/>
        <w:spacing w:line="357" w:lineRule="auto" w:before="154"/>
        <w:ind w:left="674" w:right="92"/>
        <w:jc w:val="left"/>
      </w:pPr>
      <w:r>
        <w:rPr/>
        <w:t>（3）加强企业文化建设，为员工提供良好的工作氛围，提高幸福指数和归属感。 通过上述一系列措施的实施，公司目前拥有总计超过7000名具备各类专业知识与技能的</w:t>
      </w:r>
    </w:p>
    <w:p>
      <w:pPr>
        <w:pStyle w:val="Heading4"/>
        <w:spacing w:line="357" w:lineRule="auto"/>
        <w:ind w:left="193" w:right="111"/>
        <w:jc w:val="both"/>
      </w:pPr>
      <w:r>
        <w:rPr/>
        <w:t>顾问，高级顾问和核心员工的稳定度较高，新进员工的成长快速，逐渐形成了行业导向化、</w:t>
      </w:r>
      <w:r>
        <w:rPr>
          <w:spacing w:val="-83"/>
        </w:rPr>
        <w:t> </w:t>
      </w:r>
      <w:r>
        <w:rPr>
          <w:spacing w:val="-83"/>
        </w:rPr>
      </w:r>
      <w:r>
        <w:rPr/>
        <w:t>交付专业化、协作体系化、技术领先化的组织架构以及阶梯式的人才资源结构，通过内部知</w:t>
      </w:r>
      <w:r>
        <w:rPr>
          <w:spacing w:val="-83"/>
        </w:rPr>
        <w:t> </w:t>
      </w:r>
      <w:r>
        <w:rPr>
          <w:spacing w:val="-83"/>
        </w:rPr>
      </w:r>
      <w:r>
        <w:rPr>
          <w:spacing w:val="-2"/>
        </w:rPr>
        <w:t>识共享和人才储备达到了稳定优质的资源保证，为客户的信息化建设提供了充实的资源保障。</w:t>
      </w:r>
    </w:p>
    <w:p>
      <w:pPr>
        <w:pStyle w:val="Heading4"/>
        <w:spacing w:line="357" w:lineRule="auto"/>
        <w:ind w:left="674" w:right="92"/>
        <w:jc w:val="left"/>
      </w:pPr>
      <w:r>
        <w:rPr/>
        <w:t>（四）品牌优势 </w:t>
      </w:r>
      <w:r>
        <w:rPr>
          <w:spacing w:val="-3"/>
        </w:rPr>
        <w:t>基于多年ERP实施经验的累积，公司已逐渐发展成为国内信息化综合实力领先的咨询服务</w:t>
      </w:r>
    </w:p>
    <w:p>
      <w:pPr>
        <w:pStyle w:val="Heading4"/>
        <w:spacing w:line="357" w:lineRule="auto"/>
        <w:ind w:left="194" w:right="92"/>
        <w:jc w:val="left"/>
      </w:pPr>
      <w:r>
        <w:rPr>
          <w:spacing w:val="-3"/>
        </w:rPr>
        <w:t>公司，并致力于成为企业数字化转型综合服务商。自上市以后，公司的品牌影响力不断提升。</w:t>
      </w:r>
      <w:r>
        <w:rPr>
          <w:spacing w:val="-81"/>
        </w:rPr>
        <w:t> </w:t>
      </w:r>
      <w:r>
        <w:rPr>
          <w:spacing w:val="-81"/>
        </w:rPr>
      </w:r>
      <w:r>
        <w:rPr/>
        <w:t>目前，公司已在国内广州、北京、武汉、成都、西安、青岛、长沙等地设有分支机构，在日</w:t>
      </w:r>
      <w:r>
        <w:rPr>
          <w:spacing w:val="-83"/>
        </w:rPr>
        <w:t> </w:t>
      </w:r>
      <w:r>
        <w:rPr>
          <w:spacing w:val="-83"/>
        </w:rPr>
      </w:r>
      <w:r>
        <w:rPr/>
        <w:t>本、新加坡、美国设有子公司，已具备更强的能力参与更广泛的市场拓展，服务的企业数量</w:t>
      </w:r>
      <w:r>
        <w:rPr>
          <w:spacing w:val="-83"/>
        </w:rPr>
        <w:t> </w:t>
      </w:r>
      <w:r>
        <w:rPr>
          <w:spacing w:val="-83"/>
        </w:rPr>
      </w:r>
      <w:r>
        <w:rPr/>
        <w:t>和项目数量都居于行业前列，公司的综合能力及市场也在不断扩展及延伸。公司良好的品牌</w:t>
      </w:r>
      <w:r>
        <w:rPr>
          <w:spacing w:val="-83"/>
        </w:rPr>
        <w:t> </w:t>
      </w:r>
      <w:r>
        <w:rPr>
          <w:spacing w:val="-83"/>
        </w:rPr>
      </w:r>
      <w:r>
        <w:rPr/>
        <w:t>影响力和稳固的市场地位，能够助力整合诸多资源，服务企业客户，达到完善企业信息化建</w:t>
      </w:r>
      <w:r>
        <w:rPr>
          <w:spacing w:val="-83"/>
        </w:rPr>
        <w:t> </w:t>
      </w:r>
      <w:r>
        <w:rPr>
          <w:spacing w:val="-83"/>
        </w:rPr>
      </w:r>
      <w:r>
        <w:rPr/>
        <w:t>设和增加盈利的双赢。公司长期立足于企业信息化服务，多年来以辛勤的服务和优秀的专业</w:t>
      </w:r>
      <w:r>
        <w:rPr>
          <w:spacing w:val="-83"/>
        </w:rPr>
        <w:t> </w:t>
      </w:r>
      <w:r>
        <w:rPr>
          <w:spacing w:val="-83"/>
        </w:rPr>
      </w:r>
      <w:r>
        <w:rPr>
          <w:spacing w:val="-2"/>
        </w:rPr>
        <w:t>能力在众多客户处取得了很好的口碑，也获得了众多合作伙伴、政府和行业机构的一致认可。</w:t>
      </w:r>
      <w:r>
        <w:rPr/>
        <w:t> 公司已获得上海市高新技术企业、上海市软件企业、上海市软件和信息技术服务出口重点企</w:t>
      </w:r>
      <w:r>
        <w:rPr>
          <w:spacing w:val="-83"/>
        </w:rPr>
        <w:t> </w:t>
      </w:r>
      <w:r>
        <w:rPr>
          <w:spacing w:val="-83"/>
        </w:rPr>
      </w:r>
      <w:r>
        <w:rPr/>
        <w:t>业等一系列荣誉资质，并取得了SAP白金合作伙伴、Oracle白金合作伙伴、微软全球核心合作</w:t>
      </w:r>
      <w:r>
        <w:rPr/>
        <w:t> 伙伴等众多合作伙伴在中国地区的高级别合作认定。近几年公司获得的荣誉资质如下：</w:t>
      </w:r>
    </w:p>
    <w:tbl>
      <w:tblPr>
        <w:tblW w:w="0" w:type="auto"/>
        <w:jc w:val="left"/>
        <w:tblInd w:w="106" w:type="dxa"/>
        <w:tblLayout w:type="fixed"/>
        <w:tblCellMar>
          <w:top w:w="0" w:type="dxa"/>
          <w:left w:w="0" w:type="dxa"/>
          <w:bottom w:w="0" w:type="dxa"/>
          <w:right w:w="0" w:type="dxa"/>
        </w:tblCellMar>
        <w:tblLook w:val="01E0"/>
      </w:tblPr>
      <w:tblGrid>
        <w:gridCol w:w="647"/>
        <w:gridCol w:w="1498"/>
        <w:gridCol w:w="4327"/>
        <w:gridCol w:w="3326"/>
      </w:tblGrid>
      <w:tr>
        <w:trPr>
          <w:trHeight w:val="790" w:hRule="exact"/>
        </w:trPr>
        <w:tc>
          <w:tcPr>
            <w:tcW w:w="6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颁布年份</w:t>
            </w:r>
          </w:p>
        </w:tc>
        <w:tc>
          <w:tcPr>
            <w:tcW w:w="43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荣誉资质</w:t>
            </w:r>
          </w:p>
        </w:tc>
        <w:tc>
          <w:tcPr>
            <w:tcW w:w="33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颁布机构</w:t>
            </w:r>
          </w:p>
        </w:tc>
      </w:tr>
      <w:tr>
        <w:trPr>
          <w:trHeight w:val="487"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hAnsi="宋体" w:cs="宋体" w:eastAsia="宋体" w:hint="default"/>
                <w:sz w:val="18"/>
                <w:szCs w:val="18"/>
              </w:rPr>
              <w:t>信息系统集成及服务资质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级</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中国电子信息行业联合会</w:t>
            </w:r>
          </w:p>
        </w:tc>
      </w:tr>
      <w:tr>
        <w:trPr>
          <w:trHeight w:val="487"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hAnsi="宋体" w:cs="宋体" w:eastAsia="宋体" w:hint="default"/>
                <w:sz w:val="18"/>
                <w:szCs w:val="18"/>
              </w:rPr>
              <w:t>上海市级企业技术中心</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上海市经济和信息化委员会</w:t>
            </w:r>
          </w:p>
        </w:tc>
      </w:tr>
      <w:tr>
        <w:trPr>
          <w:trHeight w:val="487"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hAnsi="宋体" w:cs="宋体" w:eastAsia="宋体" w:hint="default"/>
                <w:sz w:val="18"/>
                <w:szCs w:val="18"/>
              </w:rPr>
              <w:t>青浦区服务业重点企业</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上海市青浦区经济委员会</w:t>
            </w:r>
          </w:p>
        </w:tc>
      </w:tr>
      <w:tr>
        <w:trPr>
          <w:trHeight w:val="79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7"/>
              <w:ind w:left="73" w:right="97"/>
              <w:jc w:val="left"/>
              <w:rPr>
                <w:rFonts w:ascii="宋体" w:hAnsi="宋体" w:cs="宋体" w:eastAsia="宋体" w:hint="default"/>
                <w:sz w:val="18"/>
                <w:szCs w:val="18"/>
              </w:rPr>
            </w:pPr>
            <w:r>
              <w:rPr>
                <w:rFonts w:ascii="宋体" w:hAnsi="宋体" w:cs="宋体" w:eastAsia="宋体" w:hint="default"/>
                <w:sz w:val="18"/>
                <w:szCs w:val="18"/>
              </w:rPr>
              <w:t>质量管理体系认证证书 GB/T19001-2008/ISO 9001： 2008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上海质量体系审核中心</w:t>
            </w:r>
          </w:p>
        </w:tc>
      </w:tr>
      <w:tr>
        <w:trPr>
          <w:trHeight w:val="70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信息安全管理体系认证证书 ISO/IEC 27001：2013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上海质量体系审核中心</w:t>
            </w:r>
          </w:p>
        </w:tc>
      </w:tr>
      <w:tr>
        <w:trPr>
          <w:trHeight w:val="488"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hAnsi="宋体" w:cs="宋体" w:eastAsia="宋体" w:hint="default"/>
                <w:sz w:val="18"/>
                <w:szCs w:val="18"/>
              </w:rPr>
              <w:t>青浦区认定企业技术中心</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青浦区经济委员会</w:t>
            </w:r>
          </w:p>
        </w:tc>
      </w:tr>
    </w:tbl>
    <w:p>
      <w:pPr>
        <w:pStyle w:val="Heading4"/>
        <w:spacing w:line="240" w:lineRule="auto"/>
        <w:ind w:left="674" w:right="92"/>
        <w:jc w:val="left"/>
      </w:pPr>
      <w:r>
        <w:rPr/>
        <w:t>（五）技术革新与管理实践创新意识</w:t>
      </w:r>
    </w:p>
    <w:p>
      <w:pPr>
        <w:spacing w:after="0" w:line="240" w:lineRule="auto"/>
        <w:jc w:val="left"/>
        <w:sectPr>
          <w:pgSz w:w="11910" w:h="16840"/>
          <w:pgMar w:header="747" w:footer="982" w:top="1060" w:bottom="1180" w:left="940" w:right="900"/>
        </w:sectPr>
      </w:pPr>
    </w:p>
    <w:p>
      <w:pPr>
        <w:spacing w:line="240" w:lineRule="auto" w:before="7"/>
        <w:rPr>
          <w:rFonts w:ascii="宋体" w:hAnsi="宋体" w:cs="宋体" w:eastAsia="宋体" w:hint="default"/>
          <w:sz w:val="29"/>
          <w:szCs w:val="29"/>
        </w:rPr>
      </w:pPr>
    </w:p>
    <w:p>
      <w:pPr>
        <w:pStyle w:val="Heading4"/>
        <w:spacing w:line="357" w:lineRule="auto" w:before="26"/>
        <w:ind w:right="148" w:firstLine="480"/>
        <w:jc w:val="both"/>
      </w:pPr>
      <w:r>
        <w:rPr/>
        <w:t>除在传统IT领域汉得不断精益求精，研发多个自主产品外，公司始终坚持创业思维，积</w:t>
      </w:r>
      <w:r>
        <w:rPr>
          <w:spacing w:val="1"/>
        </w:rPr>
        <w:t> </w:t>
      </w:r>
      <w:r>
        <w:rPr/>
        <w:t>极鼓励和支持技术革新和管理实践创新。公司充分与全球IT生态圈的合作伙伴们共同推动包</w:t>
      </w:r>
      <w:r>
        <w:rPr>
          <w:spacing w:val="-98"/>
        </w:rPr>
        <w:t> </w:t>
      </w:r>
      <w:r>
        <w:rPr>
          <w:spacing w:val="-98"/>
        </w:rPr>
      </w:r>
      <w:r>
        <w:rPr/>
        <w:t>括云、大数据、智能制造等新业务的开展，不断探索从传统制造向智能制造的数字化转型；</w:t>
      </w:r>
      <w:r>
        <w:rPr>
          <w:spacing w:val="-83"/>
        </w:rPr>
        <w:t> </w:t>
      </w:r>
      <w:r>
        <w:rPr>
          <w:spacing w:val="-83"/>
        </w:rPr>
      </w:r>
      <w:r>
        <w:rPr/>
        <w:t>从传统营销向以数字营销为手段的全渠道营销转型；从传统管理向以共享服务为代表的运营</w:t>
      </w:r>
      <w:r>
        <w:rPr>
          <w:spacing w:val="-83"/>
        </w:rPr>
        <w:t> </w:t>
      </w:r>
      <w:r>
        <w:rPr>
          <w:spacing w:val="-83"/>
        </w:rPr>
      </w:r>
      <w:r>
        <w:rPr/>
        <w:t>管理数字化转型；从传统IT向云计算物联网大数据为代表的 IT</w:t>
      </w:r>
      <w:r>
        <w:rPr>
          <w:spacing w:val="2"/>
        </w:rPr>
        <w:t> </w:t>
      </w:r>
      <w:r>
        <w:rPr/>
        <w:t>架构数字化转型。公司为创</w:t>
      </w:r>
      <w:r>
        <w:rPr/>
        <w:t> 新发展提供有力的资金、技术及销售渠道支持，构建面向业务的创新应用，不断迭代更新更</w:t>
      </w:r>
      <w:r>
        <w:rPr>
          <w:spacing w:val="-83"/>
        </w:rPr>
        <w:t> </w:t>
      </w:r>
      <w:r>
        <w:rPr>
          <w:spacing w:val="-83"/>
        </w:rPr>
      </w:r>
      <w:r>
        <w:rPr/>
        <w:t>适应市场需求的产品和解决方案，并适应IT行业发展趋势，推动服务产品化、产品云服务化</w:t>
      </w:r>
      <w:r>
        <w:rPr>
          <w:spacing w:val="-101"/>
        </w:rPr>
        <w:t> </w:t>
      </w:r>
      <w:r>
        <w:rPr>
          <w:spacing w:val="-101"/>
        </w:rPr>
      </w:r>
      <w:r>
        <w:rPr/>
        <w:t>等创新发展，进一步提高了公司的核心竞争力。</w:t>
      </w:r>
    </w:p>
    <w:p>
      <w:pPr>
        <w:spacing w:after="0" w:line="357"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left="633" w:right="0"/>
        <w:jc w:val="left"/>
      </w:pPr>
      <w:r>
        <w:rPr/>
        <w:t>（一）公司经营业绩： 报告期内，公司实现营业收入2,325,047,409.32元，同比增长35.95%；实现归属于上市</w:t>
      </w:r>
    </w:p>
    <w:p>
      <w:pPr>
        <w:pStyle w:val="Heading4"/>
        <w:spacing w:line="357" w:lineRule="auto"/>
        <w:ind w:right="150"/>
        <w:jc w:val="both"/>
      </w:pPr>
      <w:r>
        <w:rPr/>
        <w:t>公司普通股股东的净利润323,750,932.99元，同比增长34.12%；归属于上市公司普通股股东</w:t>
      </w:r>
      <w:r>
        <w:rPr>
          <w:spacing w:val="-110"/>
        </w:rPr>
        <w:t> </w:t>
      </w:r>
      <w:r>
        <w:rPr>
          <w:spacing w:val="-110"/>
        </w:rPr>
      </w:r>
      <w:r>
        <w:rPr/>
        <w:t>的扣除非经常性损益后的净利润249,676,699.46元，同比增长13.36%。报告期内总体经营业</w:t>
      </w:r>
      <w:r>
        <w:rPr>
          <w:spacing w:val="-107"/>
        </w:rPr>
        <w:t> </w:t>
      </w:r>
      <w:r>
        <w:rPr>
          <w:spacing w:val="-107"/>
        </w:rPr>
      </w:r>
      <w:r>
        <w:rPr/>
        <w:t>绩分析如下：</w:t>
      </w:r>
    </w:p>
    <w:p>
      <w:pPr>
        <w:pStyle w:val="Heading4"/>
        <w:spacing w:line="357" w:lineRule="auto"/>
        <w:ind w:right="148" w:firstLine="480"/>
        <w:jc w:val="both"/>
      </w:pPr>
      <w:r>
        <w:rPr/>
        <w:t>报告期内，公司积极贯彻年初制定的年度经营计划，致力于成为企业数字化转型综合服</w:t>
      </w:r>
      <w:r>
        <w:rPr>
          <w:spacing w:val="1"/>
        </w:rPr>
        <w:t> </w:t>
      </w:r>
      <w:r>
        <w:rPr/>
        <w:t>务商，搭建信息／数字技术和企业业务管理之间的桥梁，不断补充和完善覆盖全行业的信息</w:t>
      </w:r>
      <w:r>
        <w:rPr>
          <w:spacing w:val="-83"/>
        </w:rPr>
        <w:t> </w:t>
      </w:r>
      <w:r>
        <w:rPr>
          <w:spacing w:val="-83"/>
        </w:rPr>
      </w:r>
      <w:r>
        <w:rPr/>
        <w:t>化解决方案，加强人才团队的培养，持续提高服务交付能力，巩固公司在国内高端ERP／CRM</w:t>
      </w:r>
    </w:p>
    <w:p>
      <w:pPr>
        <w:pStyle w:val="Heading4"/>
        <w:spacing w:line="357" w:lineRule="auto"/>
        <w:ind w:right="148"/>
        <w:jc w:val="both"/>
      </w:pPr>
      <w:r>
        <w:rPr>
          <w:spacing w:val="-2"/>
        </w:rPr>
        <w:t>／HRMS／WMS等实施服务领域领先地位，致力于实现在企业信息化领域更加全面和完整的服务</w:t>
      </w:r>
      <w:r>
        <w:rPr>
          <w:spacing w:val="-114"/>
        </w:rPr>
        <w:t> </w:t>
      </w:r>
      <w:r>
        <w:rPr>
          <w:spacing w:val="-114"/>
        </w:rPr>
      </w:r>
      <w:r>
        <w:rPr/>
        <w:t>能力。同时公司密切关注信息技术的发展，积极探索引进新技术在企业信息化领域的应用实</w:t>
      </w:r>
      <w:r>
        <w:rPr>
          <w:spacing w:val="-83"/>
        </w:rPr>
        <w:t> </w:t>
      </w:r>
      <w:r>
        <w:rPr>
          <w:spacing w:val="-83"/>
        </w:rPr>
      </w:r>
      <w:r>
        <w:rPr/>
        <w:t>践，拓展智能制造、云计算和移动互联网等新兴信息化领域，开拓商旅费用管控、云供应链</w:t>
      </w:r>
      <w:r>
        <w:rPr>
          <w:spacing w:val="-83"/>
        </w:rPr>
        <w:t> </w:t>
      </w:r>
      <w:r>
        <w:rPr>
          <w:spacing w:val="-83"/>
        </w:rPr>
      </w:r>
      <w:r>
        <w:rPr/>
        <w:t>管理和供应链金融等创新业务。报告期内的业绩增长主要得益于以下几方面：</w:t>
      </w:r>
    </w:p>
    <w:p>
      <w:pPr>
        <w:pStyle w:val="Heading4"/>
        <w:spacing w:line="357" w:lineRule="auto"/>
        <w:ind w:right="148" w:firstLine="480"/>
        <w:jc w:val="both"/>
      </w:pPr>
      <w:r>
        <w:rPr/>
        <w:t>企业应用和信息化建设的范畴扩大。随着信息技术的发展，客户信息化需求增加且变得</w:t>
      </w:r>
      <w:r>
        <w:rPr>
          <w:spacing w:val="1"/>
        </w:rPr>
        <w:t> </w:t>
      </w:r>
      <w:r>
        <w:rPr/>
        <w:t>更加多样化、个性化，体现在信息化项目的广度和深度上都有所增加。在国内经济整体调整</w:t>
      </w:r>
      <w:r>
        <w:rPr>
          <w:spacing w:val="-83"/>
        </w:rPr>
        <w:t> </w:t>
      </w:r>
      <w:r>
        <w:rPr>
          <w:spacing w:val="-83"/>
        </w:rPr>
      </w:r>
      <w:r>
        <w:rPr/>
        <w:t>和改革的宏观形势下，部分企业也在积极寻找转型机会，包括在自身传统业务领域进行横向</w:t>
      </w:r>
      <w:r>
        <w:rPr>
          <w:spacing w:val="-83"/>
        </w:rPr>
        <w:t> </w:t>
      </w:r>
      <w:r>
        <w:rPr>
          <w:spacing w:val="-83"/>
        </w:rPr>
      </w:r>
      <w:r>
        <w:rPr/>
        <w:t>的业务延伸，在产业链上下游进行纵向的业务资源整合及并购，寻找新的利润增长点和商业</w:t>
      </w:r>
      <w:r>
        <w:rPr>
          <w:spacing w:val="-83"/>
        </w:rPr>
        <w:t> </w:t>
      </w:r>
      <w:r>
        <w:rPr>
          <w:spacing w:val="-83"/>
        </w:rPr>
      </w:r>
      <w:r>
        <w:rPr/>
        <w:t>模式；特别是信息时代来临的背景下，企业无论是业务转型，还是管理变革，都离不开信息</w:t>
      </w:r>
      <w:r>
        <w:rPr>
          <w:spacing w:val="-83"/>
        </w:rPr>
        <w:t> </w:t>
      </w:r>
      <w:r>
        <w:rPr>
          <w:spacing w:val="-83"/>
        </w:rPr>
      </w:r>
      <w:r>
        <w:rPr/>
        <w:t>技术的支持，因此信息化的市场需求在持续增长。在企业进入新兴的或相对其自身传统业务</w:t>
      </w:r>
      <w:r>
        <w:rPr>
          <w:spacing w:val="-83"/>
        </w:rPr>
        <w:t> </w:t>
      </w:r>
      <w:r>
        <w:rPr>
          <w:spacing w:val="-83"/>
        </w:rPr>
      </w:r>
      <w:r>
        <w:rPr/>
        <w:t>并不熟悉或擅长的业务领域时，其对于信息化手段及具备丰富行业经验和较强交付能力的信</w:t>
      </w:r>
      <w:r>
        <w:rPr>
          <w:spacing w:val="-83"/>
        </w:rPr>
        <w:t> </w:t>
      </w:r>
      <w:r>
        <w:rPr>
          <w:spacing w:val="-83"/>
        </w:rPr>
      </w:r>
      <w:r>
        <w:rPr/>
        <w:t>息服务提供商的依赖，则体现得更为明显。</w:t>
      </w:r>
    </w:p>
    <w:p>
      <w:pPr>
        <w:pStyle w:val="Heading4"/>
        <w:spacing w:line="357" w:lineRule="auto"/>
        <w:ind w:right="148" w:firstLine="480"/>
        <w:jc w:val="both"/>
      </w:pPr>
      <w:r>
        <w:rPr/>
        <w:t>公司自身竞争能力的增强。近几年，公司在企业信息化服务领域的经验积累显现出更强</w:t>
      </w:r>
      <w:r>
        <w:rPr>
          <w:spacing w:val="1"/>
        </w:rPr>
        <w:t> </w:t>
      </w:r>
      <w:r>
        <w:rPr/>
        <w:t>的比较优势，经过多年的发展公司已具备较为完善和全面的信息化解决方案能力，拥有充足</w:t>
      </w:r>
      <w:r>
        <w:rPr>
          <w:spacing w:val="-83"/>
        </w:rPr>
        <w:t> </w:t>
      </w:r>
      <w:r>
        <w:rPr>
          <w:spacing w:val="-83"/>
        </w:rPr>
      </w:r>
      <w:r>
        <w:rPr/>
        <w:t>的人才储备及优质的交付能力，能够为客户提供全行业、多领域的全面综合的信息化服务；</w:t>
      </w:r>
      <w:r>
        <w:rPr>
          <w:spacing w:val="-83"/>
        </w:rPr>
        <w:t> </w:t>
      </w:r>
      <w:r>
        <w:rPr>
          <w:spacing w:val="-83"/>
        </w:rPr>
      </w:r>
      <w:r>
        <w:rPr/>
        <w:t>企业级IT服务市场对公司服务能力和品牌认可度的提高，不但有助于公司的业务开拓，也促</w:t>
      </w:r>
      <w:r>
        <w:rPr>
          <w:spacing w:val="-101"/>
        </w:rPr>
        <w:t> </w:t>
      </w:r>
      <w:r>
        <w:rPr>
          <w:spacing w:val="-101"/>
        </w:rPr>
      </w:r>
      <w:r>
        <w:rPr/>
        <w:t>进了公司在某些优势领域竞争力的进一步提升，比如在精益制造、互联网企业服务等一些新</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兴的领域上，公司已逐渐形成一定的核心竞争力，所以能够获得比较好的市场回报；近年来</w:t>
      </w:r>
      <w:r>
        <w:rPr>
          <w:spacing w:val="-83"/>
        </w:rPr>
        <w:t> </w:t>
      </w:r>
      <w:r>
        <w:rPr>
          <w:spacing w:val="-83"/>
        </w:rPr>
      </w:r>
      <w:r>
        <w:rPr/>
        <w:t>部分国内企业在积极寻找“走出去”的机会或国际化的发展方向，公司伴随客户信息化需求</w:t>
      </w:r>
      <w:r>
        <w:rPr>
          <w:spacing w:val="-83"/>
        </w:rPr>
        <w:t> </w:t>
      </w:r>
      <w:r>
        <w:rPr>
          <w:spacing w:val="-83"/>
        </w:rPr>
      </w:r>
      <w:r>
        <w:rPr/>
        <w:t>的海外延伸，自2007年起陆续在日本、新加坡、美国设立全资子公司，努力在海外市场实现</w:t>
      </w:r>
      <w:r>
        <w:rPr>
          <w:spacing w:val="-102"/>
        </w:rPr>
        <w:t> </w:t>
      </w:r>
      <w:r>
        <w:rPr>
          <w:spacing w:val="-102"/>
        </w:rPr>
      </w:r>
      <w:r>
        <w:rPr/>
        <w:t>交付团队本地化，在满足客户海外信息化需求的背景下，公司也逐渐基本具备了在海外市场</w:t>
      </w:r>
      <w:r>
        <w:rPr>
          <w:spacing w:val="-83"/>
        </w:rPr>
        <w:t> </w:t>
      </w:r>
      <w:r>
        <w:rPr>
          <w:spacing w:val="-83"/>
        </w:rPr>
      </w:r>
      <w:r>
        <w:rPr/>
        <w:t>为客户提供本地化实施和运维的能力，从而也逐渐具备了在海外独立进行市场开拓的能力，</w:t>
      </w:r>
      <w:r>
        <w:rPr>
          <w:spacing w:val="-83"/>
        </w:rPr>
        <w:t> </w:t>
      </w:r>
      <w:r>
        <w:rPr>
          <w:spacing w:val="-83"/>
        </w:rPr>
      </w:r>
      <w:r>
        <w:rPr/>
        <w:t>进一步拓宽了公司的业务分布范围，也为公司盈利能力的稳定提升提供了一定的保障。</w:t>
      </w:r>
    </w:p>
    <w:p>
      <w:pPr>
        <w:pStyle w:val="Heading4"/>
        <w:spacing w:line="357" w:lineRule="auto"/>
        <w:ind w:right="93" w:firstLine="480"/>
        <w:jc w:val="left"/>
      </w:pPr>
      <w:r>
        <w:rPr/>
        <w:t>公司内部管控的规范合理。从内部经营的角度看，公司近年来一直在优化组织架构，加</w:t>
      </w:r>
      <w:r>
        <w:rPr>
          <w:spacing w:val="1"/>
        </w:rPr>
        <w:t> </w:t>
      </w:r>
      <w:r>
        <w:rPr/>
        <w:t>强利润中心即事业部的绩效管理和考核，报告期内公司进一步明确了对各个事业部经营管理</w:t>
      </w:r>
      <w:r>
        <w:rPr>
          <w:spacing w:val="-83"/>
        </w:rPr>
        <w:t> </w:t>
      </w:r>
      <w:r>
        <w:rPr>
          <w:spacing w:val="-83"/>
        </w:rPr>
      </w:r>
      <w:r>
        <w:rPr/>
        <w:t>水平的要求，强化毛利考核指标，提高风险监控意识，较好的改善了成本控制水平。同时，</w:t>
      </w:r>
      <w:r>
        <w:rPr>
          <w:spacing w:val="-83"/>
        </w:rPr>
        <w:t> </w:t>
      </w:r>
      <w:r>
        <w:rPr>
          <w:spacing w:val="-83"/>
        </w:rPr>
      </w:r>
      <w:r>
        <w:rPr>
          <w:spacing w:val="-2"/>
        </w:rPr>
        <w:t>公司通过区域集中共享交付与远程交付模式的逐渐应用，降低差旅成本，提升了人员利用率，</w:t>
      </w:r>
      <w:r>
        <w:rPr/>
        <w:t> 同时也有利于保障公司层面整体的交付质量与实施效率。</w:t>
      </w:r>
    </w:p>
    <w:p>
      <w:pPr>
        <w:pStyle w:val="Heading4"/>
        <w:spacing w:line="357" w:lineRule="auto"/>
        <w:ind w:right="228" w:firstLine="480"/>
        <w:jc w:val="both"/>
      </w:pPr>
      <w:r>
        <w:rPr/>
        <w:t>技术开发能力和自主创新能力的提升。公司秉承“技术驱动未来”理念，坚持持续的技</w:t>
      </w:r>
      <w:r>
        <w:rPr>
          <w:spacing w:val="1"/>
        </w:rPr>
        <w:t> </w:t>
      </w:r>
      <w:r>
        <w:rPr/>
        <w:t>术研发投入，坚持产品与服务创新，并根据信息技术发展趋势、市场变化及发展需求，及时</w:t>
      </w:r>
      <w:r>
        <w:rPr>
          <w:spacing w:val="-83"/>
        </w:rPr>
        <w:t> </w:t>
      </w:r>
      <w:r>
        <w:rPr>
          <w:spacing w:val="-83"/>
        </w:rPr>
      </w:r>
      <w:r>
        <w:rPr/>
        <w:t>调整技术研发方向及产品与服务规划格局，在现有技术优势的基础上，继续加大资金和人员</w:t>
      </w:r>
      <w:r>
        <w:rPr>
          <w:spacing w:val="-83"/>
        </w:rPr>
        <w:t> </w:t>
      </w:r>
      <w:r>
        <w:rPr>
          <w:spacing w:val="-83"/>
        </w:rPr>
      </w:r>
      <w:r>
        <w:rPr/>
        <w:t>投入。在信息技术、国家政策及市场的推动下，公司在云计算、大数据、工业互联网和智能</w:t>
      </w:r>
      <w:r>
        <w:rPr>
          <w:spacing w:val="-83"/>
        </w:rPr>
        <w:t> </w:t>
      </w:r>
      <w:r>
        <w:rPr>
          <w:spacing w:val="-83"/>
        </w:rPr>
      </w:r>
      <w:r>
        <w:rPr/>
        <w:t>制造等新兴技术上进行不断尝试，以提高服务能力、拓宽业务范围，新技术新应用的推广有</w:t>
      </w:r>
      <w:r>
        <w:rPr>
          <w:spacing w:val="-83"/>
        </w:rPr>
        <w:t> </w:t>
      </w:r>
      <w:r>
        <w:rPr>
          <w:spacing w:val="-83"/>
        </w:rPr>
      </w:r>
      <w:r>
        <w:rPr/>
        <w:t>利于吸引更广大的客户群。</w:t>
      </w:r>
    </w:p>
    <w:p>
      <w:pPr>
        <w:pStyle w:val="Heading4"/>
        <w:spacing w:line="357" w:lineRule="auto"/>
        <w:ind w:right="229" w:firstLine="480"/>
        <w:jc w:val="both"/>
      </w:pPr>
      <w:r>
        <w:rPr/>
        <w:t>正是基于公司多年积累的优质客户群体以及不断提升的交付能力、不断完善的行业解决</w:t>
      </w:r>
      <w:r>
        <w:rPr>
          <w:spacing w:val="1"/>
        </w:rPr>
        <w:t> </w:t>
      </w:r>
      <w:r>
        <w:rPr/>
        <w:t>方案，公司业务订单较为充足，主营业务收入较上年同期增长35.95%，保持了较高的增长水</w:t>
      </w:r>
      <w:r>
        <w:rPr>
          <w:spacing w:val="-96"/>
        </w:rPr>
        <w:t> </w:t>
      </w:r>
      <w:r>
        <w:rPr>
          <w:spacing w:val="-96"/>
        </w:rPr>
      </w:r>
      <w:r>
        <w:rPr/>
        <w:t>平。</w:t>
      </w:r>
    </w:p>
    <w:p>
      <w:pPr>
        <w:pStyle w:val="Heading4"/>
        <w:spacing w:line="357" w:lineRule="auto"/>
        <w:ind w:left="633" w:right="93"/>
        <w:jc w:val="left"/>
      </w:pPr>
      <w:r>
        <w:rPr/>
        <w:t>（二）报告期内主要经营情况及重大事项： 1、核心主业保持稳定增长，行业整体解决方案能力有较大提升，海外市场机会增加。 Oracle和SAP业务作为公司核心主业，报告期内，仍然保持了平稳较快的发展势头，对</w:t>
      </w:r>
    </w:p>
    <w:p>
      <w:pPr>
        <w:pStyle w:val="Heading4"/>
        <w:spacing w:line="357" w:lineRule="auto"/>
        <w:ind w:right="228"/>
        <w:jc w:val="both"/>
      </w:pPr>
      <w:r>
        <w:rPr/>
        <w:t>业绩增长做出了较大贡献，同时，解决方案能力和创新能力也得到了长足发展，并在报告期</w:t>
      </w:r>
      <w:r>
        <w:rPr>
          <w:spacing w:val="-83"/>
        </w:rPr>
        <w:t> </w:t>
      </w:r>
      <w:r>
        <w:rPr>
          <w:spacing w:val="-83"/>
        </w:rPr>
      </w:r>
      <w:r>
        <w:rPr/>
        <w:t>内支撑了很多创新业务的开拓。相比于去年Oracle大型项目增加明显，技术外包领域的拓展</w:t>
      </w:r>
      <w:r>
        <w:rPr>
          <w:spacing w:val="-103"/>
        </w:rPr>
        <w:t> </w:t>
      </w:r>
      <w:r>
        <w:rPr>
          <w:spacing w:val="-103"/>
        </w:rPr>
      </w:r>
      <w:r>
        <w:rPr/>
        <w:t>初见成效，Oracle</w:t>
      </w:r>
      <w:r>
        <w:rPr>
          <w:spacing w:val="21"/>
        </w:rPr>
        <w:t> </w:t>
      </w:r>
      <w:r>
        <w:rPr/>
        <w:t>Cloud产品实施项目数量快速增长，实施方面积极尝试集中交付和远程交</w:t>
      </w:r>
      <w:r>
        <w:rPr>
          <w:spacing w:val="-116"/>
        </w:rPr>
        <w:t> </w:t>
      </w:r>
      <w:r>
        <w:rPr>
          <w:spacing w:val="-116"/>
        </w:rPr>
      </w:r>
      <w:r>
        <w:rPr>
          <w:spacing w:val="-2"/>
        </w:rPr>
        <w:t>付模式，对毛利率的提升有正向效益；SAP新客户数量同比有较大增长，在大消费行业进步更</w:t>
      </w:r>
      <w:r>
        <w:rPr/>
        <w:t> 加明显，订单量持续增加。由于现在企业的业务和管理需求都愈发呈现出多样化、个性化的</w:t>
      </w:r>
      <w:r>
        <w:rPr>
          <w:spacing w:val="-83"/>
        </w:rPr>
        <w:t> </w:t>
      </w:r>
      <w:r>
        <w:rPr>
          <w:spacing w:val="-83"/>
        </w:rPr>
      </w:r>
      <w:r>
        <w:rPr/>
        <w:t>特点，比如对实现营销数字化转型，采购全生命周期协同管理，供应链流程管控，加强仓储</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93"/>
        <w:jc w:val="left"/>
      </w:pPr>
      <w:r>
        <w:rPr/>
        <w:t>运输管理，企业绩效管理等都有非常急迫的需求，单一的ERP已经很难满足企业全面信息化建 设的需求。因此近年来公司服务的软件平台从ERP为主进一步扩展到了企业信息化其他相关领 域，比如CRM客户关系管理、HRMS人力资源管理、EPM企业绩效管理系统、BI商务智能分析系 统等专业领域。公司在项目实施过程中通过积累和总结专业化产品的实施经验，并进行跨产</w:t>
      </w:r>
      <w:r>
        <w:rPr>
          <w:spacing w:val="-83"/>
        </w:rPr>
        <w:t> </w:t>
      </w:r>
      <w:r>
        <w:rPr>
          <w:spacing w:val="-83"/>
        </w:rPr>
      </w:r>
      <w:r>
        <w:rPr/>
        <w:t>品体系的业务和应用设计，逐渐形成了跨产品线的一体化解决方案。整体来看，2017年各专</w:t>
      </w:r>
      <w:r>
        <w:rPr>
          <w:spacing w:val="-96"/>
        </w:rPr>
        <w:t> </w:t>
      </w:r>
      <w:r>
        <w:rPr>
          <w:spacing w:val="-96"/>
        </w:rPr>
      </w:r>
      <w:r>
        <w:rPr>
          <w:spacing w:val="-2"/>
        </w:rPr>
        <w:t>业套装软件的市场需求持续增长，其咨询实施服务收入仍旧是公司业绩的生力军。报告期内，</w:t>
      </w:r>
      <w:r>
        <w:rPr/>
        <w:t> 公司积极推进实施方法的标准化和规范化，通过标准化和规范化使得公司在客户满意、时间</w:t>
      </w:r>
      <w:r>
        <w:rPr>
          <w:spacing w:val="-83"/>
        </w:rPr>
        <w:t> </w:t>
      </w:r>
      <w:r>
        <w:rPr>
          <w:spacing w:val="-83"/>
        </w:rPr>
      </w:r>
      <w:r>
        <w:rPr/>
        <w:t>可控、成本可控的前提下顺利交付项目，并有效提高了人员利用率，此外，公司对核心主业</w:t>
      </w:r>
      <w:r>
        <w:rPr>
          <w:spacing w:val="-83"/>
        </w:rPr>
        <w:t> </w:t>
      </w:r>
      <w:r>
        <w:rPr>
          <w:spacing w:val="-83"/>
        </w:rPr>
      </w:r>
      <w:r>
        <w:rPr/>
        <w:t>的组织架构和业务范围进行了进一步调整，根据业务范围、行业特性、需求共性等对行业做</w:t>
      </w:r>
      <w:r>
        <w:rPr>
          <w:spacing w:val="-83"/>
        </w:rPr>
        <w:t> </w:t>
      </w:r>
      <w:r>
        <w:rPr>
          <w:spacing w:val="-83"/>
        </w:rPr>
      </w:r>
      <w:r>
        <w:rPr/>
        <w:t>了整合，进一步提高整体解决方案能力和服务效率。</w:t>
      </w:r>
    </w:p>
    <w:p>
      <w:pPr>
        <w:pStyle w:val="Heading4"/>
        <w:spacing w:line="357" w:lineRule="auto"/>
        <w:ind w:right="93" w:firstLine="480"/>
        <w:jc w:val="left"/>
      </w:pPr>
      <w:r>
        <w:rPr/>
        <w:t>报告期内，公司以精益制造、互联网、电信、医药食品、零售、公用事业、流通贸易等</w:t>
      </w:r>
      <w:r>
        <w:rPr>
          <w:spacing w:val="1"/>
        </w:rPr>
        <w:t> </w:t>
      </w:r>
      <w:r>
        <w:rPr>
          <w:spacing w:val="-3"/>
        </w:rPr>
        <w:t>积累较为充分的行业作为试点，建立客户经营专业团队，主要进行售前咨询、方案规划设计、</w:t>
      </w:r>
      <w:r>
        <w:rPr>
          <w:spacing w:val="-81"/>
        </w:rPr>
        <w:t> </w:t>
      </w:r>
      <w:r>
        <w:rPr>
          <w:spacing w:val="-81"/>
        </w:rPr>
      </w:r>
      <w:r>
        <w:rPr/>
        <w:t>行业方案产品化研发、市场开拓和交付质量把控等工作，并配合支持各产品交付部门完成项</w:t>
      </w:r>
      <w:r>
        <w:rPr>
          <w:spacing w:val="-83"/>
        </w:rPr>
        <w:t> </w:t>
      </w:r>
      <w:r>
        <w:rPr>
          <w:spacing w:val="-83"/>
        </w:rPr>
      </w:r>
      <w:r>
        <w:rPr/>
        <w:t>目实施，由于成立了专属团队围绕行业进行能力的聚焦，一方面提高了垂直专业化的程度，</w:t>
      </w:r>
      <w:r>
        <w:rPr>
          <w:spacing w:val="-83"/>
        </w:rPr>
        <w:t> </w:t>
      </w:r>
      <w:r>
        <w:rPr>
          <w:spacing w:val="-83"/>
        </w:rPr>
      </w:r>
      <w:r>
        <w:rPr/>
        <w:t>进一步提高竞争壁垒，另一方面也打破了产品的界限，提高行业专业团队横向整合及提供更</w:t>
      </w:r>
      <w:r>
        <w:rPr>
          <w:spacing w:val="-83"/>
        </w:rPr>
        <w:t> </w:t>
      </w:r>
      <w:r>
        <w:rPr>
          <w:spacing w:val="-83"/>
        </w:rPr>
      </w:r>
      <w:r>
        <w:rPr/>
        <w:t>高层次解决方案的能力，因此在竞争力方面有了较为明显的提升；同时报告期内公司与不少</w:t>
      </w:r>
      <w:r>
        <w:rPr>
          <w:spacing w:val="-83"/>
        </w:rPr>
        <w:t> </w:t>
      </w:r>
      <w:r>
        <w:rPr>
          <w:spacing w:val="-83"/>
        </w:rPr>
      </w:r>
      <w:r>
        <w:rPr/>
        <w:t>合作伙伴形成了战略联盟关系，其中不乏有许多是从事行业专业服务的企业，有助于推动汉</w:t>
      </w:r>
      <w:r>
        <w:rPr>
          <w:spacing w:val="-83"/>
        </w:rPr>
        <w:t> </w:t>
      </w:r>
      <w:r>
        <w:rPr>
          <w:spacing w:val="-83"/>
        </w:rPr>
      </w:r>
      <w:r>
        <w:rPr/>
        <w:t>得行业垂直化服务能力的提升。</w:t>
      </w:r>
    </w:p>
    <w:p>
      <w:pPr>
        <w:pStyle w:val="Heading4"/>
        <w:spacing w:line="357" w:lineRule="auto"/>
        <w:ind w:right="228" w:firstLine="480"/>
        <w:jc w:val="both"/>
      </w:pPr>
      <w:r>
        <w:rPr/>
        <w:t>公司非常重视海外市场的开拓，在美国、日本、新加坡均设有子公司，并建立了专注于</w:t>
      </w:r>
      <w:r>
        <w:rPr>
          <w:spacing w:val="1"/>
        </w:rPr>
        <w:t> </w:t>
      </w:r>
      <w:r>
        <w:rPr/>
        <w:t>海外业务的专业团队，已经有十多年的海外推广实施经验，可以涵盖企业基本运营、并购当</w:t>
      </w:r>
      <w:r>
        <w:rPr>
          <w:spacing w:val="-83"/>
        </w:rPr>
        <w:t> </w:t>
      </w:r>
      <w:r>
        <w:rPr>
          <w:spacing w:val="-83"/>
        </w:rPr>
      </w:r>
      <w:r>
        <w:rPr/>
        <w:t>地企业后的IT整合及后期的全球IT运维等全方面的服务，为中国企业走向海外提供端到端的</w:t>
      </w:r>
      <w:r>
        <w:rPr>
          <w:spacing w:val="-96"/>
        </w:rPr>
        <w:t> </w:t>
      </w:r>
      <w:r>
        <w:rPr>
          <w:spacing w:val="-96"/>
        </w:rPr>
      </w:r>
      <w:r>
        <w:rPr/>
        <w:t>IT支持。截至2017年末，公司的足迹已覆盖了全球六大洲共65个国家或地区。报告期内，海</w:t>
      </w:r>
      <w:r>
        <w:rPr/>
        <w:t> 外市场运营顺利，尤其是美国与日本区域，得益于日本市场回暖和美国市场新的销售团队的</w:t>
      </w:r>
      <w:r>
        <w:rPr>
          <w:spacing w:val="-83"/>
        </w:rPr>
        <w:t> </w:t>
      </w:r>
      <w:r>
        <w:rPr>
          <w:spacing w:val="-83"/>
        </w:rPr>
      </w:r>
      <w:r>
        <w:rPr/>
        <w:t>积极推进，带来了更多新的项目机会。报告期内，海外市场云产品实施项目与中国企业海外</w:t>
      </w:r>
      <w:r>
        <w:rPr>
          <w:spacing w:val="-83"/>
        </w:rPr>
        <w:t> </w:t>
      </w:r>
      <w:r>
        <w:rPr>
          <w:spacing w:val="-83"/>
        </w:rPr>
      </w:r>
      <w:r>
        <w:rPr/>
        <w:t>项目增长明显，公司准确抓住了云产品市场机会，并在“中国企业走出去”上逐渐积累起竞</w:t>
      </w:r>
      <w:r>
        <w:rPr>
          <w:spacing w:val="-83"/>
        </w:rPr>
        <w:t> </w:t>
      </w:r>
      <w:r>
        <w:rPr>
          <w:spacing w:val="-83"/>
        </w:rPr>
      </w:r>
      <w:r>
        <w:rPr/>
        <w:t>争优势。</w:t>
      </w:r>
    </w:p>
    <w:p>
      <w:pPr>
        <w:pStyle w:val="Heading4"/>
        <w:spacing w:line="357" w:lineRule="auto"/>
        <w:ind w:left="633" w:right="93"/>
        <w:jc w:val="left"/>
      </w:pPr>
      <w:r>
        <w:rPr/>
        <w:t>2、智能制造等新兴领域发展较快。 国务院发布《中国制造2025》中，提出信息化与工业化的深度融合、推动工业向智能制</w:t>
      </w:r>
    </w:p>
    <w:p>
      <w:pPr>
        <w:pStyle w:val="Heading4"/>
        <w:spacing w:line="240" w:lineRule="auto"/>
        <w:ind w:right="93"/>
        <w:jc w:val="left"/>
      </w:pPr>
      <w:r>
        <w:rPr/>
        <w:t>造升级的战略目标，未来工业互联网、云计算和大数据在企业研发设计、采购供应、生产制</w:t>
      </w:r>
    </w:p>
    <w:p>
      <w:pPr>
        <w:spacing w:after="0" w:line="240"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造、销售服务等经营管理的全流程和全产业链的综合集成应用将形成新的产业形态、商业模</w:t>
      </w:r>
      <w:r>
        <w:rPr>
          <w:spacing w:val="-83"/>
        </w:rPr>
        <w:t> </w:t>
      </w:r>
      <w:r>
        <w:rPr>
          <w:spacing w:val="-83"/>
        </w:rPr>
      </w:r>
      <w:r>
        <w:rPr/>
        <w:t>式和经济增长点，其中信息化也将成为制造业转型升级、创新发展的先行军。在此背景下，</w:t>
      </w:r>
      <w:r>
        <w:rPr>
          <w:spacing w:val="-83"/>
        </w:rPr>
        <w:t> </w:t>
      </w:r>
      <w:r>
        <w:rPr>
          <w:spacing w:val="-83"/>
        </w:rPr>
      </w:r>
      <w:r>
        <w:rPr/>
        <w:t>作为传统制造业信息化领域的重要生力军，公司在制造业的信息化长期积累优势得到凸显。</w:t>
      </w:r>
      <w:r>
        <w:rPr>
          <w:spacing w:val="-83"/>
        </w:rPr>
        <w:t> </w:t>
      </w:r>
      <w:r>
        <w:rPr>
          <w:spacing w:val="-83"/>
        </w:rPr>
      </w:r>
      <w:r>
        <w:rPr/>
        <w:t>公司积极整合各专业领域的资源，以精细化生产制造为核心，构建面向智能制造转型的整体</w:t>
      </w:r>
      <w:r>
        <w:rPr>
          <w:spacing w:val="-83"/>
        </w:rPr>
        <w:t> </w:t>
      </w:r>
      <w:r>
        <w:rPr>
          <w:spacing w:val="-83"/>
        </w:rPr>
      </w:r>
      <w:r>
        <w:rPr/>
        <w:t>解决方案。公司已经推出在研发、供应链、仓储物流和设备互联等领域内具备竞争力的完整</w:t>
      </w:r>
      <w:r>
        <w:rPr>
          <w:spacing w:val="-83"/>
        </w:rPr>
        <w:t> </w:t>
      </w:r>
      <w:r>
        <w:rPr>
          <w:spacing w:val="-83"/>
        </w:rPr>
      </w:r>
      <w:r>
        <w:rPr>
          <w:spacing w:val="-2"/>
        </w:rPr>
        <w:t>行业解决方案，比如提供基于MES、PLM、CPQ等软件平台的智能制造解决方案，帮助制造业客</w:t>
      </w:r>
      <w:r>
        <w:rPr>
          <w:spacing w:val="-114"/>
        </w:rPr>
        <w:t> </w:t>
      </w:r>
      <w:r>
        <w:rPr>
          <w:spacing w:val="-114"/>
        </w:rPr>
      </w:r>
      <w:r>
        <w:rPr/>
        <w:t>户建立从个性化定制、协同供应链到智能制造的一整套落地方案，让“制造”从透明化／数</w:t>
      </w:r>
      <w:r>
        <w:rPr>
          <w:spacing w:val="-83"/>
        </w:rPr>
        <w:t> </w:t>
      </w:r>
      <w:r>
        <w:rPr>
          <w:spacing w:val="-83"/>
        </w:rPr>
      </w:r>
      <w:r>
        <w:rPr/>
        <w:t>字化向着“智造”方向转型，并赢得了较多的市场机会。</w:t>
      </w:r>
    </w:p>
    <w:p>
      <w:pPr>
        <w:pStyle w:val="Heading4"/>
        <w:spacing w:line="357" w:lineRule="auto"/>
        <w:ind w:right="93" w:firstLine="480"/>
        <w:jc w:val="left"/>
      </w:pPr>
      <w:r>
        <w:rPr/>
        <w:t>报告期内，智能制造市场机会同比大幅增长，公司智能制造团队快速扩充，行业经验积</w:t>
      </w:r>
      <w:r>
        <w:rPr>
          <w:spacing w:val="1"/>
        </w:rPr>
        <w:t> </w:t>
      </w:r>
      <w:r>
        <w:rPr/>
        <w:t>累逐渐完善，针对智能工厂的自有产品推出了新的版本，初步具备了规模化的实施能力。</w:t>
      </w:r>
    </w:p>
    <w:p>
      <w:pPr>
        <w:pStyle w:val="Heading4"/>
        <w:spacing w:line="357" w:lineRule="auto"/>
        <w:ind w:left="633" w:right="93"/>
        <w:jc w:val="left"/>
      </w:pPr>
      <w:r>
        <w:rPr/>
        <w:t>3、自主研发产品及服务竞争优势明显。 中国信息化建设个性化需求强烈，且由于互联网的发展成熟度高于国外，国外软件不能</w:t>
      </w:r>
    </w:p>
    <w:p>
      <w:pPr>
        <w:pStyle w:val="Heading4"/>
        <w:spacing w:line="357" w:lineRule="auto"/>
        <w:ind w:right="93"/>
        <w:jc w:val="left"/>
      </w:pPr>
      <w:r>
        <w:rPr/>
        <w:t>很好的适应国情满足国内企业需求，给中国自主产品带来了发展空间。多年来公司聚焦中国</w:t>
      </w:r>
      <w:r>
        <w:rPr>
          <w:spacing w:val="-83"/>
        </w:rPr>
        <w:t> </w:t>
      </w:r>
      <w:r>
        <w:rPr>
          <w:spacing w:val="-83"/>
        </w:rPr>
      </w:r>
      <w:r>
        <w:rPr/>
        <w:t>特色，通过对客户业务的深化应用，对方案经验的积累总结，对技术能力的储备提升，加大</w:t>
      </w:r>
      <w:r>
        <w:rPr>
          <w:spacing w:val="-83"/>
        </w:rPr>
        <w:t> </w:t>
      </w:r>
      <w:r>
        <w:rPr>
          <w:spacing w:val="-83"/>
        </w:rPr>
      </w:r>
      <w:r>
        <w:rPr/>
        <w:t>研发创新投入，自我积累了包括汉得费控及报账系统（HEC）、汉得融资租赁系统（HLS）、</w:t>
      </w:r>
      <w:r>
        <w:rPr/>
        <w:t> 汉得医果（HRP）等一大批优秀的自主研发产品，补充完善了部分细分领域的解决方案，提供 更优质的适应企业特性的实施服务，帮助客户提高业务效率、优化资源配置的同时更关注企</w:t>
      </w:r>
      <w:r>
        <w:rPr>
          <w:spacing w:val="-83"/>
        </w:rPr>
        <w:t> </w:t>
      </w:r>
      <w:r>
        <w:rPr>
          <w:spacing w:val="-83"/>
        </w:rPr>
      </w:r>
      <w:r>
        <w:rPr>
          <w:spacing w:val="-3"/>
        </w:rPr>
        <w:t>业的内部控制、风险管理等，提高了企业治理水平，使得公司自主产品逐渐建立起竞争壁垒，</w:t>
      </w:r>
      <w:r>
        <w:rPr>
          <w:spacing w:val="-81"/>
        </w:rPr>
        <w:t> </w:t>
      </w:r>
      <w:r>
        <w:rPr>
          <w:spacing w:val="-81"/>
        </w:rPr>
      </w:r>
      <w:r>
        <w:rPr/>
        <w:t>目前这些产品已在众多客户处取得了良好的应用效果，不仅为公司开辟了新的业务市场和利</w:t>
      </w:r>
      <w:r>
        <w:rPr>
          <w:spacing w:val="-83"/>
        </w:rPr>
        <w:t> </w:t>
      </w:r>
      <w:r>
        <w:rPr>
          <w:spacing w:val="-83"/>
        </w:rPr>
      </w:r>
      <w:r>
        <w:rPr/>
        <w:t>润增长点，更扩大了公司的综合实施服务能力。报告期内，公司着重加大已有自主产品的市</w:t>
      </w:r>
      <w:r>
        <w:rPr>
          <w:spacing w:val="-83"/>
        </w:rPr>
        <w:t> </w:t>
      </w:r>
      <w:r>
        <w:rPr>
          <w:spacing w:val="-83"/>
        </w:rPr>
      </w:r>
      <w:r>
        <w:rPr/>
        <w:t>场推广力度，加强产品之间的整合，为企业提供更完善的解决方案，并持续推进现有的产品</w:t>
      </w:r>
      <w:r>
        <w:rPr>
          <w:spacing w:val="-83"/>
        </w:rPr>
        <w:t> </w:t>
      </w:r>
      <w:r>
        <w:rPr>
          <w:spacing w:val="-83"/>
        </w:rPr>
      </w:r>
      <w:r>
        <w:rPr/>
        <w:t>进化迭代与向新技术框架的持续迁移及改进，自有产品体系已成为公司新的业绩驱动因素。</w:t>
      </w:r>
    </w:p>
    <w:p>
      <w:pPr>
        <w:pStyle w:val="Heading4"/>
        <w:spacing w:line="357" w:lineRule="auto"/>
        <w:ind w:left="633" w:right="93"/>
        <w:jc w:val="left"/>
      </w:pPr>
      <w:r>
        <w:rPr/>
        <w:t>4、云业务快速积累和发展。 报告期内，公司在云上的业务有了比较大的积累和发展。基于云计算、大数据、物联网</w:t>
      </w:r>
    </w:p>
    <w:p>
      <w:pPr>
        <w:pStyle w:val="Heading4"/>
        <w:spacing w:line="357" w:lineRule="auto"/>
        <w:ind w:right="93"/>
        <w:jc w:val="left"/>
      </w:pPr>
      <w:r>
        <w:rPr>
          <w:spacing w:val="-2"/>
        </w:rPr>
        <w:t>等先进技术的云产品给企业信息化建设带来了新的方向，相比于传统软件，云产品更加轻量，</w:t>
      </w:r>
      <w:r>
        <w:rPr/>
        <w:t> 更加灵活，云项目实施与传统实施相比，目标更明确、更加快速、现场与远程更连接、原厂</w:t>
      </w:r>
      <w:r>
        <w:rPr>
          <w:spacing w:val="-83"/>
        </w:rPr>
        <w:t> </w:t>
      </w:r>
      <w:r>
        <w:rPr>
          <w:spacing w:val="-83"/>
        </w:rPr>
      </w:r>
      <w:r>
        <w:rPr/>
        <w:t>更多地参与，快速灵活敏捷的PaaS以及先进技术接入手段，让行业优秀企业能够在数字化转</w:t>
      </w:r>
      <w:r>
        <w:rPr>
          <w:spacing w:val="-102"/>
        </w:rPr>
        <w:t> </w:t>
      </w:r>
      <w:r>
        <w:rPr>
          <w:spacing w:val="-102"/>
        </w:rPr>
      </w:r>
      <w:r>
        <w:rPr/>
        <w:t>型的道路上更低成本地形成自有产品，提升行业竞争力，甚至是形成可销售的产品。Oracle</w:t>
      </w:r>
      <w:r>
        <w:rPr>
          <w:spacing w:val="-98"/>
        </w:rPr>
        <w:t> </w:t>
      </w:r>
      <w:r>
        <w:rPr>
          <w:spacing w:val="-98"/>
        </w:rPr>
      </w:r>
      <w:r>
        <w:rPr/>
        <w:t>和SAP等各大厂商近几年都在积极推广各自云产品，同时国内企业客户对云的接受度已较高，</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93"/>
        <w:jc w:val="left"/>
      </w:pPr>
      <w:r>
        <w:rPr/>
        <w:t>上云已经成了众多企业目前的改革重点，而公司拥有大量企业客户、企业解决方案能力、行</w:t>
      </w:r>
      <w:r>
        <w:rPr>
          <w:spacing w:val="-83"/>
        </w:rPr>
        <w:t> </w:t>
      </w:r>
      <w:r>
        <w:rPr>
          <w:spacing w:val="-83"/>
        </w:rPr>
      </w:r>
      <w:r>
        <w:rPr/>
        <w:t>业方案能力及PaaS的发展潜力，能为企业量身定制产品以解决特定业务场景及需求，同时提</w:t>
      </w:r>
      <w:r>
        <w:rPr>
          <w:spacing w:val="-102"/>
        </w:rPr>
        <w:t> </w:t>
      </w:r>
      <w:r>
        <w:rPr>
          <w:spacing w:val="-102"/>
        </w:rPr>
      </w:r>
      <w:r>
        <w:rPr/>
        <w:t>供服务帮助企业让这些产品发挥出更大的价值。公司目前已与亚马逊、微软、阿里、华为、</w:t>
      </w:r>
      <w:r>
        <w:rPr>
          <w:spacing w:val="-83"/>
        </w:rPr>
        <w:t> </w:t>
      </w:r>
      <w:r>
        <w:rPr>
          <w:spacing w:val="-83"/>
        </w:rPr>
      </w:r>
      <w:r>
        <w:rPr>
          <w:spacing w:val="-5"/>
        </w:rPr>
        <w:t>腾讯等建立了云合作关系，从灵活、成熟、安全的云基础架构与云平台（IaaS/PaaS）到广泛、</w:t>
      </w:r>
      <w:r>
        <w:rPr>
          <w:spacing w:val="-95"/>
        </w:rPr>
        <w:t> </w:t>
      </w:r>
      <w:r>
        <w:rPr>
          <w:spacing w:val="-95"/>
        </w:rPr>
      </w:r>
      <w:r>
        <w:rPr/>
        <w:t>全面、智能的企业级云应用（SaaS），公司与众多合作伙伴一起，共同打造创新的、全面的</w:t>
      </w:r>
      <w:r>
        <w:rPr>
          <w:spacing w:val="-102"/>
        </w:rPr>
        <w:t> </w:t>
      </w:r>
      <w:r>
        <w:rPr>
          <w:spacing w:val="-102"/>
        </w:rPr>
      </w:r>
      <w:r>
        <w:rPr>
          <w:spacing w:val="-2"/>
        </w:rPr>
        <w:t>云解决方案，深度赋能全生态可持续发展与成就价值创新，帮助客户构建智能时代全新体验。</w:t>
      </w:r>
    </w:p>
    <w:p>
      <w:pPr>
        <w:pStyle w:val="Heading4"/>
        <w:spacing w:line="357" w:lineRule="auto"/>
        <w:ind w:right="111" w:firstLine="480"/>
        <w:jc w:val="left"/>
      </w:pPr>
      <w:r>
        <w:rPr/>
        <w:t>云应用潜在市场巨大，公司的两款主要SaaS产品汇联易和云SRM市场反应强烈，给公司业 务带来了新的利润增长点，公司自有的HAP</w:t>
      </w:r>
      <w:r>
        <w:rPr>
          <w:spacing w:val="-67"/>
        </w:rPr>
        <w:t> </w:t>
      </w:r>
      <w:r>
        <w:rPr/>
        <w:t>Cloud是面向微服务架构思想和分布式应用架构研</w:t>
      </w:r>
      <w:r>
        <w:rPr/>
        <w:t> 发的分布式应用开发平台，能够适应灵活多变的业务需求，独立部署提高开发运维效率，自</w:t>
      </w:r>
      <w:r>
        <w:rPr>
          <w:spacing w:val="-83"/>
        </w:rPr>
        <w:t> </w:t>
      </w:r>
      <w:r>
        <w:rPr>
          <w:spacing w:val="-83"/>
        </w:rPr>
      </w:r>
      <w:r>
        <w:rPr/>
        <w:t>有的HCMP云管理平台-汉得融合云治理平台，旨在提高企业跨云资源管理的效率，着力于为企</w:t>
      </w:r>
      <w:r>
        <w:rPr/>
        <w:t> </w:t>
      </w:r>
      <w:r>
        <w:rPr>
          <w:spacing w:val="-3"/>
        </w:rPr>
        <w:t>业解决多种云、混合云管理的复杂度、一致性等问题，打造物联网和云方向的综合解决方案，</w:t>
      </w:r>
      <w:r>
        <w:rPr>
          <w:spacing w:val="-81"/>
        </w:rPr>
        <w:t> </w:t>
      </w:r>
      <w:r>
        <w:rPr>
          <w:spacing w:val="-81"/>
        </w:rPr>
      </w:r>
      <w:r>
        <w:rPr/>
        <w:t>目前已有超百人专业的实施和技术团队，以及较为丰富的实施案例，具备基于云服务的架构</w:t>
      </w:r>
      <w:r>
        <w:rPr>
          <w:spacing w:val="-83"/>
        </w:rPr>
        <w:t> </w:t>
      </w:r>
      <w:r>
        <w:rPr>
          <w:spacing w:val="-83"/>
        </w:rPr>
      </w:r>
      <w:r>
        <w:rPr/>
        <w:t>规划设计、应用迁移和部署、应用开发和管理的能力。</w:t>
      </w:r>
    </w:p>
    <w:p>
      <w:pPr>
        <w:pStyle w:val="Heading4"/>
        <w:spacing w:line="357" w:lineRule="auto"/>
        <w:ind w:left="633" w:right="93"/>
        <w:jc w:val="left"/>
      </w:pPr>
      <w:r>
        <w:rPr/>
        <w:t>5、运维服务收入增长迅速，大力开展企业IT整体运维服务。 </w:t>
      </w:r>
      <w:r>
        <w:rPr>
          <w:spacing w:val="3"/>
        </w:rPr>
        <w:t>报告期内，公司积极开拓运维服务市场，提供包括远程运维服务、统一运维服务、ITO</w:t>
      </w:r>
    </w:p>
    <w:p>
      <w:pPr>
        <w:pStyle w:val="Heading4"/>
        <w:spacing w:line="357" w:lineRule="auto"/>
        <w:ind w:right="228"/>
        <w:jc w:val="both"/>
      </w:pPr>
      <w:r>
        <w:rPr/>
        <w:t>运维服务、资源外包服务、项目整包服务等，运维业务的收入同比大幅增长，利润同比增幅</w:t>
      </w:r>
      <w:r>
        <w:rPr>
          <w:spacing w:val="-83"/>
        </w:rPr>
        <w:t> </w:t>
      </w:r>
      <w:r>
        <w:rPr>
          <w:spacing w:val="-83"/>
        </w:rPr>
      </w:r>
      <w:r>
        <w:rPr/>
        <w:t>超过收入。运维业务业绩的增长，一方面得益于市场规模的扩大，随着企业信息化建设的持</w:t>
      </w:r>
      <w:r>
        <w:rPr>
          <w:spacing w:val="-83"/>
        </w:rPr>
        <w:t> </w:t>
      </w:r>
      <w:r>
        <w:rPr>
          <w:spacing w:val="-83"/>
        </w:rPr>
      </w:r>
      <w:r>
        <w:rPr/>
        <w:t>续投入，技术的飞速发展带动着业务模式及运营模式不断地发生变化，企业内部IT聚焦核心</w:t>
      </w:r>
      <w:r>
        <w:rPr>
          <w:spacing w:val="-82"/>
        </w:rPr>
        <w:t> </w:t>
      </w:r>
      <w:r>
        <w:rPr>
          <w:spacing w:val="-82"/>
        </w:rPr>
      </w:r>
      <w:r>
        <w:rPr/>
        <w:t>技术和业务的期望越来越强烈，信息化资产的高效运营越来越为企业所关注，因此专业化运</w:t>
      </w:r>
      <w:r>
        <w:rPr>
          <w:spacing w:val="-83"/>
        </w:rPr>
        <w:t> </w:t>
      </w:r>
      <w:r>
        <w:rPr>
          <w:spacing w:val="-83"/>
        </w:rPr>
      </w:r>
      <w:r>
        <w:rPr/>
        <w:t>维外包正在逐渐成为企业IT服务的趋势，由此带来运维服务市场的规模持续增长；另一方面</w:t>
      </w:r>
      <w:r>
        <w:rPr>
          <w:spacing w:val="-101"/>
        </w:rPr>
        <w:t> </w:t>
      </w:r>
      <w:r>
        <w:rPr>
          <w:spacing w:val="-101"/>
        </w:rPr>
      </w:r>
      <w:r>
        <w:rPr/>
        <w:t>得益于公司整体服务外包策略和能力，为进一步增强公司整体的服务价值，公司尝试为企业</w:t>
      </w:r>
      <w:r>
        <w:rPr>
          <w:spacing w:val="-83"/>
        </w:rPr>
        <w:t> </w:t>
      </w:r>
      <w:r>
        <w:rPr>
          <w:spacing w:val="-83"/>
        </w:rPr>
      </w:r>
      <w:r>
        <w:rPr>
          <w:spacing w:val="-2"/>
        </w:rPr>
        <w:t>信息化提供整体运维或整体服务外包，2017年，增加了Tableau、云运维等新兴业务，实现了</w:t>
      </w:r>
      <w:r>
        <w:rPr>
          <w:spacing w:val="-112"/>
        </w:rPr>
        <w:t> </w:t>
      </w:r>
      <w:r>
        <w:rPr>
          <w:spacing w:val="-112"/>
        </w:rPr>
      </w:r>
      <w:r>
        <w:rPr/>
        <w:t>业务面的较快拓展。未来，公司将继续扩大客户规模，深化区域化运维与大客户统一运维，</w:t>
      </w:r>
      <w:r>
        <w:rPr>
          <w:spacing w:val="-83"/>
        </w:rPr>
        <w:t> </w:t>
      </w:r>
      <w:r>
        <w:rPr>
          <w:spacing w:val="-83"/>
        </w:rPr>
      </w:r>
      <w:r>
        <w:rPr/>
        <w:t>加大新技术研发和产品化投入，并加强成本费用管控，进一步提高业绩和市场占有率。</w:t>
      </w:r>
    </w:p>
    <w:p>
      <w:pPr>
        <w:pStyle w:val="Heading4"/>
        <w:spacing w:line="357" w:lineRule="auto"/>
        <w:ind w:left="633" w:right="131"/>
        <w:jc w:val="left"/>
      </w:pPr>
      <w:r>
        <w:rPr/>
        <w:t>（三）报告期内公司创新业务经营情况： 1、供应链金融业务模式得到验证，并逐渐开始实现盈利。 自2015年5月，公司设立全资子公司即上海汉得商业保理有限公司（以下简称“保理”）</w:t>
      </w:r>
    </w:p>
    <w:p>
      <w:pPr>
        <w:pStyle w:val="Heading4"/>
        <w:spacing w:line="357" w:lineRule="auto"/>
        <w:ind w:right="215"/>
        <w:jc w:val="left"/>
      </w:pPr>
      <w:r>
        <w:rPr>
          <w:spacing w:val="-2"/>
        </w:rPr>
        <w:t>以来，依托传统ERP实施服务领域的核心客户资源，将公司自主研发的中小企业供应链金融云</w:t>
      </w:r>
      <w:r>
        <w:rPr>
          <w:spacing w:val="-118"/>
        </w:rPr>
        <w:t> </w:t>
      </w:r>
      <w:r>
        <w:rPr>
          <w:spacing w:val="-118"/>
        </w:rPr>
      </w:r>
      <w:r>
        <w:rPr>
          <w:spacing w:val="-3"/>
        </w:rPr>
        <w:t>平台，对接核心客户ERP系统的供应链模块，以获取交易、采购、发货、开票等真实数据，基</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left="154" w:right="191"/>
        <w:jc w:val="both"/>
      </w:pPr>
      <w:r>
        <w:rPr>
          <w:spacing w:val="-2"/>
        </w:rPr>
        <w:t>于这些ERP系统内真实的交易数据，以优质应收账款为依据，向核心企业客户的上游供应商提</w:t>
      </w:r>
      <w:r>
        <w:rPr>
          <w:spacing w:val="-118"/>
        </w:rPr>
        <w:t> </w:t>
      </w:r>
      <w:r>
        <w:rPr>
          <w:spacing w:val="-118"/>
        </w:rPr>
      </w:r>
      <w:r>
        <w:rPr>
          <w:spacing w:val="-2"/>
        </w:rPr>
        <w:t>供保理服务。截止报告期末，保理公司放款余额3亿多元，实现收入2800多万，在考虑自有资</w:t>
      </w:r>
      <w:r>
        <w:rPr>
          <w:spacing w:val="-118"/>
        </w:rPr>
        <w:t> </w:t>
      </w:r>
      <w:r>
        <w:rPr>
          <w:spacing w:val="-118"/>
        </w:rPr>
      </w:r>
      <w:r>
        <w:rPr/>
        <w:t>金成本的情况下，已经开始略有盈利。</w:t>
      </w:r>
    </w:p>
    <w:p>
      <w:pPr>
        <w:pStyle w:val="Heading4"/>
        <w:spacing w:line="357" w:lineRule="auto"/>
        <w:ind w:right="188" w:firstLine="480"/>
        <w:jc w:val="both"/>
      </w:pPr>
      <w:r>
        <w:rPr/>
        <w:t>报告期内，保理对资产结构进行了调整，提高优质核心企业的应收账款构成比例，来降</w:t>
      </w:r>
      <w:r>
        <w:rPr>
          <w:spacing w:val="1"/>
        </w:rPr>
        <w:t> </w:t>
      </w:r>
      <w:r>
        <w:rPr/>
        <w:t>低融资风险，通过数据实时贷后监控，提早预警风险保证融资业务的安全性；随着保理业务</w:t>
      </w:r>
      <w:r>
        <w:rPr>
          <w:spacing w:val="-83"/>
        </w:rPr>
        <w:t> </w:t>
      </w:r>
      <w:r>
        <w:rPr>
          <w:spacing w:val="-83"/>
        </w:rPr>
      </w:r>
      <w:r>
        <w:rPr/>
        <w:t>的开展，汉得供应链金融平台完成SaaS化改造并在流程平台、风控系统完成功能升级；报告</w:t>
      </w:r>
      <w:r>
        <w:rPr>
          <w:spacing w:val="-102"/>
        </w:rPr>
        <w:t> </w:t>
      </w:r>
      <w:r>
        <w:rPr>
          <w:spacing w:val="-102"/>
        </w:rPr>
      </w:r>
      <w:r>
        <w:rPr/>
        <w:t>期内，供应链金融平台研究并运用区块链技术、大数据等新技术加强平台的处理能力，进行</w:t>
      </w:r>
      <w:r>
        <w:rPr>
          <w:spacing w:val="-83"/>
        </w:rPr>
        <w:t> </w:t>
      </w:r>
      <w:r>
        <w:rPr>
          <w:spacing w:val="-83"/>
        </w:rPr>
      </w:r>
      <w:r>
        <w:rPr/>
        <w:t>应收资产的全生命周期管理；依托于汉得供应链金融平台，建立起融资主体和资金方的撮合</w:t>
      </w:r>
      <w:r>
        <w:rPr>
          <w:spacing w:val="-83"/>
        </w:rPr>
        <w:t> </w:t>
      </w:r>
      <w:r>
        <w:rPr>
          <w:spacing w:val="-83"/>
        </w:rPr>
      </w:r>
      <w:r>
        <w:rPr/>
        <w:t>业务，完善了供应链金融的生态圈。未来公司会进一步优化平台，增加核心企业的数量，引</w:t>
      </w:r>
      <w:r>
        <w:rPr>
          <w:spacing w:val="-83"/>
        </w:rPr>
        <w:t> </w:t>
      </w:r>
      <w:r>
        <w:rPr>
          <w:spacing w:val="-83"/>
        </w:rPr>
      </w:r>
      <w:r>
        <w:rPr/>
        <w:t>入银行、小额贷款公司等资金合作方，扩大供应链金融撮合交易量，实现传统保理向金融技</w:t>
      </w:r>
      <w:r>
        <w:rPr>
          <w:spacing w:val="-83"/>
        </w:rPr>
        <w:t> </w:t>
      </w:r>
      <w:r>
        <w:rPr>
          <w:spacing w:val="-83"/>
        </w:rPr>
      </w:r>
      <w:r>
        <w:rPr/>
        <w:t>术转变。</w:t>
      </w:r>
    </w:p>
    <w:p>
      <w:pPr>
        <w:pStyle w:val="Heading4"/>
        <w:spacing w:line="357" w:lineRule="auto"/>
        <w:ind w:left="633" w:right="91"/>
        <w:jc w:val="left"/>
      </w:pPr>
      <w:r>
        <w:rPr/>
        <w:t>2、汇联易业务迅速拓展。 基于对企业差旅和费用报销管理的深刻理解，公司内部孵化了一站式差旅及费用报销管</w:t>
      </w:r>
    </w:p>
    <w:p>
      <w:pPr>
        <w:pStyle w:val="Heading4"/>
        <w:spacing w:line="357" w:lineRule="auto"/>
        <w:ind w:right="188"/>
        <w:jc w:val="both"/>
      </w:pPr>
      <w:r>
        <w:rPr/>
        <w:t>理产品即汇联易，并基于该产品提供SaaS服务，帮助企业落地商旅，报销和费控流程，实现</w:t>
      </w:r>
      <w:r>
        <w:rPr>
          <w:spacing w:val="-102"/>
        </w:rPr>
        <w:t> </w:t>
      </w:r>
      <w:r>
        <w:rPr>
          <w:spacing w:val="-102"/>
        </w:rPr>
      </w:r>
      <w:r>
        <w:rPr/>
        <w:t>商旅消费、费用控制、员工报销、财务审核、信用支付、实物及电子发票管理的精细化和自</w:t>
      </w:r>
      <w:r>
        <w:rPr>
          <w:spacing w:val="-83"/>
        </w:rPr>
        <w:t> </w:t>
      </w:r>
      <w:r>
        <w:rPr>
          <w:spacing w:val="-83"/>
        </w:rPr>
      </w:r>
      <w:r>
        <w:rPr>
          <w:spacing w:val="-8"/>
        </w:rPr>
        <w:t>动化。自2016年8月，公司以汇联易软件著作权作价出资与上海汇宣企业管理咨询合伙企业（有</w:t>
      </w:r>
      <w:r>
        <w:rPr>
          <w:spacing w:val="-89"/>
        </w:rPr>
        <w:t> </w:t>
      </w:r>
      <w:r>
        <w:rPr>
          <w:spacing w:val="-89"/>
        </w:rPr>
      </w:r>
      <w:r>
        <w:rPr/>
        <w:t>限合伙）共同设立上海甄汇信息科技有限公司以来，汇联易的开发运营、市场开拓、团队建</w:t>
      </w:r>
      <w:r>
        <w:rPr>
          <w:spacing w:val="-83"/>
        </w:rPr>
        <w:t> </w:t>
      </w:r>
      <w:r>
        <w:rPr>
          <w:spacing w:val="-83"/>
        </w:rPr>
      </w:r>
      <w:r>
        <w:rPr/>
        <w:t>设得到了迅速发展，并逐渐成为国内领先的报销SaaS产品。</w:t>
      </w:r>
    </w:p>
    <w:p>
      <w:pPr>
        <w:pStyle w:val="Heading4"/>
        <w:spacing w:line="357" w:lineRule="auto"/>
        <w:ind w:right="91" w:firstLine="480"/>
        <w:jc w:val="left"/>
      </w:pPr>
      <w:r>
        <w:rPr/>
        <w:t>秉持“透明是最好的管理”理念，汇联易报告期内进一步完善了产品功能，继续扩大企</w:t>
      </w:r>
      <w:r>
        <w:rPr>
          <w:spacing w:val="1"/>
        </w:rPr>
        <w:t> </w:t>
      </w:r>
      <w:r>
        <w:rPr/>
        <w:t>业消费端接入范围，与多家在线商旅公司、酒店、航空公司达成战略合作，双方将发挥各自</w:t>
      </w:r>
      <w:r>
        <w:rPr>
          <w:spacing w:val="-83"/>
        </w:rPr>
        <w:t> </w:t>
      </w:r>
      <w:r>
        <w:rPr>
          <w:spacing w:val="-83"/>
        </w:rPr>
      </w:r>
      <w:r>
        <w:rPr/>
        <w:t>优势，将整合后的一体化方案推向市场。2017年，汇联易新增100余家客户，包括滴滴出行、</w:t>
      </w:r>
      <w:r>
        <w:rPr/>
        <w:t> 三一重工、玫琳凯等知名企业，完成合同金额3000多万元，员工人数同比大幅增长。2017年 </w:t>
      </w:r>
      <w:r>
        <w:rPr>
          <w:spacing w:val="3"/>
        </w:rPr>
        <w:t>12月，上海甄汇信息科技有限公司获得“软银中国”、“蓝湖资本”、“众麟资本”等的5</w:t>
      </w:r>
      <w:r>
        <w:rPr>
          <w:spacing w:val="-85"/>
        </w:rPr>
        <w:t> </w:t>
      </w:r>
      <w:r>
        <w:rPr>
          <w:spacing w:val="-85"/>
        </w:rPr>
      </w:r>
      <w:r>
        <w:rPr>
          <w:spacing w:val="-3"/>
        </w:rPr>
        <w:t>千万元B轮投资，有利于汇联易尽快拓展市场，吸纳优秀人才、提高市场占有率；也有利于汇</w:t>
      </w:r>
      <w:r>
        <w:rPr>
          <w:spacing w:val="-81"/>
        </w:rPr>
        <w:t> </w:t>
      </w:r>
      <w:r>
        <w:rPr>
          <w:spacing w:val="-81"/>
        </w:rPr>
      </w:r>
      <w:r>
        <w:rPr/>
        <w:t>联易投入充足的资金进行产品研发和迭代，在竞争中获得有利的先机。</w:t>
      </w:r>
    </w:p>
    <w:p>
      <w:pPr>
        <w:pStyle w:val="Heading4"/>
        <w:spacing w:line="357" w:lineRule="auto"/>
        <w:ind w:left="633" w:right="91"/>
        <w:jc w:val="left"/>
      </w:pPr>
      <w:r>
        <w:rPr/>
        <w:t>3、云SRM业务在竞争中脱颖而出，控股子公司甄云应运而生。 智能制造、工业互联网等的实现对打通供应链信息流有要求，且国内目前大多数企业还</w:t>
      </w:r>
    </w:p>
    <w:p>
      <w:pPr>
        <w:pStyle w:val="Heading4"/>
        <w:spacing w:line="357" w:lineRule="auto"/>
        <w:ind w:right="188"/>
        <w:jc w:val="both"/>
      </w:pPr>
      <w:r>
        <w:rPr>
          <w:spacing w:val="-2"/>
        </w:rPr>
        <w:t>没有实现数字化采购等业务，对通过SRM供应商关系管理系统实现采购效率提升、采购成本降</w:t>
      </w:r>
      <w:r>
        <w:rPr>
          <w:spacing w:val="-118"/>
        </w:rPr>
        <w:t> </w:t>
      </w:r>
      <w:r>
        <w:rPr>
          <w:spacing w:val="-118"/>
        </w:rPr>
      </w:r>
      <w:r>
        <w:rPr/>
        <w:t>低以及采购业务流程管控有比较急迫的需求，基于多年来对企业供应链管理的解决方案总结</w:t>
      </w:r>
    </w:p>
    <w:p>
      <w:pPr>
        <w:spacing w:after="0" w:line="357" w:lineRule="auto"/>
        <w:jc w:val="both"/>
        <w:sectPr>
          <w:pgSz w:w="11910" w:h="16840"/>
          <w:pgMar w:header="747" w:footer="982" w:top="1060" w:bottom="1180" w:left="980" w:right="940"/>
        </w:sectPr>
      </w:pPr>
    </w:p>
    <w:p>
      <w:pPr>
        <w:spacing w:line="240" w:lineRule="auto" w:before="7"/>
        <w:rPr>
          <w:rFonts w:ascii="宋体" w:hAnsi="宋体" w:cs="宋体" w:eastAsia="宋体" w:hint="default"/>
          <w:sz w:val="29"/>
          <w:szCs w:val="29"/>
        </w:rPr>
      </w:pPr>
    </w:p>
    <w:p>
      <w:pPr>
        <w:pStyle w:val="Heading4"/>
        <w:spacing w:line="357" w:lineRule="auto" w:before="26"/>
        <w:ind w:right="106"/>
        <w:jc w:val="left"/>
      </w:pPr>
      <w:r>
        <w:rPr/>
        <w:t>和经验积累，公司内部孵化了汉得供应商关系管理平台软件及汉得供应商关系管理云平台软</w:t>
      </w:r>
      <w:r>
        <w:rPr>
          <w:spacing w:val="-83"/>
        </w:rPr>
        <w:t> </w:t>
      </w:r>
      <w:r>
        <w:rPr>
          <w:spacing w:val="-83"/>
        </w:rPr>
      </w:r>
      <w:r>
        <w:rPr>
          <w:spacing w:val="-5"/>
        </w:rPr>
        <w:t>件，能为企业提供高效率、低成本的采购全生命周期协同管理服务，汉得SRM适用于多个行业，</w:t>
      </w:r>
      <w:r>
        <w:rPr>
          <w:spacing w:val="-109"/>
        </w:rPr>
        <w:t> </w:t>
      </w:r>
      <w:r>
        <w:rPr>
          <w:spacing w:val="-109"/>
        </w:rPr>
      </w:r>
      <w:r>
        <w:rPr/>
        <w:t>尤其是制造行业，为企业提供从询报价管理到订单管理，从库存管理到账务管理，从供应商</w:t>
      </w:r>
      <w:r>
        <w:rPr>
          <w:spacing w:val="-83"/>
        </w:rPr>
        <w:t> </w:t>
      </w:r>
      <w:r>
        <w:rPr>
          <w:spacing w:val="-83"/>
        </w:rPr>
      </w:r>
      <w:r>
        <w:rPr/>
        <w:t>档案管理到供应商考评管理，形成物流、信息流、单证流、商流和资金流五流合一的全面解</w:t>
      </w:r>
      <w:r>
        <w:rPr>
          <w:spacing w:val="-83"/>
        </w:rPr>
        <w:t> </w:t>
      </w:r>
      <w:r>
        <w:rPr>
          <w:spacing w:val="-83"/>
        </w:rPr>
      </w:r>
      <w:r>
        <w:rPr/>
        <w:t>决方案，让企业与供应商实现互联互通，合作共赢。</w:t>
      </w:r>
    </w:p>
    <w:p>
      <w:pPr>
        <w:pStyle w:val="Heading4"/>
        <w:spacing w:line="357" w:lineRule="auto"/>
        <w:ind w:right="215" w:firstLine="480"/>
        <w:jc w:val="left"/>
      </w:pPr>
      <w:r>
        <w:rPr/>
        <w:t>2017年5月5日，公司第三届董事会第十二次（临时）会议审议通过了《关于对外投资设</w:t>
      </w:r>
      <w:r>
        <w:rPr>
          <w:spacing w:val="1"/>
        </w:rPr>
        <w:t> </w:t>
      </w:r>
      <w:r>
        <w:rPr>
          <w:spacing w:val="-2"/>
        </w:rPr>
        <w:t>立合资公司的议案》，同意公司以SRM著作权作价出资与宁波得厚领峰企业管理咨询合伙企业</w:t>
      </w:r>
    </w:p>
    <w:p>
      <w:pPr>
        <w:pStyle w:val="Heading4"/>
        <w:spacing w:line="357" w:lineRule="auto"/>
        <w:ind w:right="228"/>
        <w:jc w:val="both"/>
      </w:pPr>
      <w:r>
        <w:rPr>
          <w:spacing w:val="-2"/>
        </w:rPr>
        <w:t>（有限合伙）合计投资200万人民币设立上海甄云信息科技有限公司，致力于为企事业单位提</w:t>
      </w:r>
      <w:r>
        <w:rPr>
          <w:spacing w:val="-118"/>
        </w:rPr>
        <w:t> </w:t>
      </w:r>
      <w:r>
        <w:rPr>
          <w:spacing w:val="-118"/>
        </w:rPr>
      </w:r>
      <w:r>
        <w:rPr>
          <w:spacing w:val="-3"/>
        </w:rPr>
        <w:t>供SRM系统的管理，从质量、成本、效率三个方向出发，积极打造敏捷、高效、高控的供应链</w:t>
      </w:r>
      <w:r>
        <w:rPr>
          <w:spacing w:val="-79"/>
        </w:rPr>
        <w:t> </w:t>
      </w:r>
      <w:r>
        <w:rPr>
          <w:spacing w:val="-79"/>
        </w:rPr>
      </w:r>
      <w:r>
        <w:rPr/>
        <w:t>体系。公司自主研发的SRM软件功能全面，可配置功能丰富，用户体验良好，在国内SRM产品 </w:t>
      </w:r>
      <w:r>
        <w:rPr>
          <w:spacing w:val="-2"/>
        </w:rPr>
        <w:t>中处于领先位置，报告期内，SRM业务发展迅速，已初步搭建组成方案专家、实施团队和管理</w:t>
      </w:r>
      <w:r>
        <w:rPr/>
        <w:t> 团队，产品与实施合同金额达到4500多万。</w:t>
      </w:r>
    </w:p>
    <w:p>
      <w:pPr>
        <w:spacing w:line="240" w:lineRule="auto" w:before="11"/>
        <w:rPr>
          <w:rFonts w:ascii="宋体" w:hAnsi="宋体" w:cs="宋体" w:eastAsia="宋体" w:hint="default"/>
          <w:sz w:val="19"/>
          <w:szCs w:val="19"/>
        </w:rPr>
      </w:pPr>
    </w:p>
    <w:p>
      <w:pPr>
        <w:pStyle w:val="Heading3"/>
        <w:spacing w:line="240" w:lineRule="auto"/>
        <w:ind w:left="153" w:right="93"/>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5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9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071"/>
        <w:jc w:val="left"/>
      </w:pPr>
      <w:r>
        <w:rPr/>
        <w:t>公司是否需要遵守光伏产业链相关业的披露要求 否</w:t>
      </w:r>
    </w:p>
    <w:p>
      <w:pPr>
        <w:pStyle w:val="BodyText"/>
        <w:spacing w:line="338" w:lineRule="auto" w:before="26"/>
        <w:ind w:right="49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67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235"/>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产业链相关业务》的披露要求： 否</w:t>
      </w:r>
    </w:p>
    <w:p>
      <w:pPr>
        <w:pStyle w:val="BodyText"/>
        <w:spacing w:line="338" w:lineRule="auto" w:before="40"/>
        <w:ind w:right="762"/>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right="93"/>
        <w:jc w:val="left"/>
      </w:pPr>
      <w:r>
        <w:rPr/>
        <w:t>营业收入整体情况</w:t>
      </w:r>
    </w:p>
    <w:p>
      <w:pPr>
        <w:pStyle w:val="BodyText"/>
        <w:spacing w:line="240" w:lineRule="auto" w:before="116"/>
        <w:ind w:left="0" w:right="22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3188"/>
        <w:gridCol w:w="3187"/>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2"/>
        <w:gridCol w:w="1601"/>
        <w:gridCol w:w="1586"/>
        <w:gridCol w:w="1599"/>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2,325,047,409.32</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1,710,218,028.51</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2,291,911,413.79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1,700,926,267.15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99.46%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28,297,093.05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5,848,962.91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4,838,902.48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3,442,798.45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153,258,248.20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125,953,091.25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6,703,452.89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10,576,579.96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1,552,469,236.16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66.77%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1,184,102,937.34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69.24%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173,913,258.76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142,598,466.85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387,682,554.86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214,284,526.16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17,884,662.92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23,410,665.59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28,297,093.05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5,848,962.91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4,838,902.48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3,442,798.45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2,153,770,122.87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1,612,938,955.29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94.31%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171,277,286.45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97,279,073.22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2,291,911,413.79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1,448,137,661.86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1,552,469,236.16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952,834,619.84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387,682,554.86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234,302,113.65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2,153,770,122.87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1,297,511,921.49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1,448,137,661.86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1,039,668,160.93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391,499.98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2,276,283.19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525.50%</w:t>
            </w:r>
          </w:p>
        </w:tc>
      </w:tr>
    </w:tbl>
    <w:p>
      <w:pPr>
        <w:pStyle w:val="BodyText"/>
        <w:spacing w:line="240" w:lineRule="auto" w:before="51"/>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128,101,563.22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101,326,020.00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5,260,034.71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9,896,890.56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952,834,619.84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688,331,647.25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116,325,873.81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82,855,188.00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234,302,113.65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137,765,552.49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11,313,456.63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19,492,862.63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391,499.98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2,276,283.19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525.50%</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4"/>
        <w:spacing w:line="240" w:lineRule="auto" w:before="130"/>
        <w:ind w:left="634" w:right="0"/>
        <w:jc w:val="left"/>
      </w:pPr>
      <w:r>
        <w:rPr/>
        <w:t>1、本年新增合并单位1家：</w:t>
      </w:r>
    </w:p>
    <w:p>
      <w:pPr>
        <w:pStyle w:val="Heading4"/>
        <w:spacing w:line="357" w:lineRule="auto" w:before="154"/>
        <w:ind w:right="148" w:firstLine="480"/>
        <w:jc w:val="both"/>
      </w:pPr>
      <w:r>
        <w:rPr>
          <w:spacing w:val="-3"/>
        </w:rPr>
        <w:t>（1）2017 </w:t>
      </w:r>
      <w:r>
        <w:rPr/>
        <w:t>年 5</w:t>
      </w:r>
      <w:r>
        <w:rPr>
          <w:spacing w:val="31"/>
        </w:rPr>
        <w:t> </w:t>
      </w:r>
      <w:r>
        <w:rPr>
          <w:spacing w:val="-3"/>
        </w:rPr>
        <w:t>月，公司与宁波得厚领峰企业管理咨询合伙企业（有限合伙）合计投资</w:t>
      </w:r>
      <w:r>
        <w:rPr/>
        <w:t> 200</w:t>
      </w:r>
      <w:r>
        <w:rPr>
          <w:spacing w:val="16"/>
        </w:rPr>
        <w:t> </w:t>
      </w:r>
      <w:r>
        <w:rPr/>
        <w:t>万人民币设立上海甄云信息科技有限公司。公司以汉得供应商关系管理云平台软件以及</w:t>
      </w:r>
      <w:r>
        <w:rPr>
          <w:spacing w:val="-117"/>
        </w:rPr>
        <w:t> </w:t>
      </w:r>
      <w:r>
        <w:rPr>
          <w:spacing w:val="-117"/>
        </w:rPr>
      </w:r>
      <w:r>
        <w:rPr/>
        <w:t>汉得供应商关系管理平台软件著作权作价出资 120 </w:t>
      </w:r>
      <w:r>
        <w:rPr>
          <w:spacing w:val="-4"/>
        </w:rPr>
        <w:t>万元，占合资公司注册资本的</w:t>
      </w:r>
      <w:r>
        <w:rPr>
          <w:spacing w:val="12"/>
        </w:rPr>
        <w:t> </w:t>
      </w:r>
      <w:r>
        <w:rPr>
          <w:spacing w:val="-7"/>
        </w:rPr>
        <w:t>60%；得厚</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left="154" w:right="136"/>
        <w:jc w:val="left"/>
      </w:pPr>
      <w:r>
        <w:rPr/>
        <w:t>领峰认缴出资80</w:t>
      </w:r>
      <w:r>
        <w:rPr>
          <w:spacing w:val="25"/>
        </w:rPr>
        <w:t> </w:t>
      </w:r>
      <w:r>
        <w:rPr>
          <w:spacing w:val="-3"/>
        </w:rPr>
        <w:t>万元，占合资公司注册资本的40%。2017年5月起，上海甄云信息科技有限公</w:t>
      </w:r>
      <w:r>
        <w:rPr/>
        <w:t> 司纳入合并范围。</w:t>
      </w:r>
    </w:p>
    <w:p>
      <w:pPr>
        <w:pStyle w:val="Heading4"/>
        <w:spacing w:line="240" w:lineRule="auto"/>
        <w:ind w:left="634" w:right="0"/>
        <w:jc w:val="left"/>
      </w:pPr>
      <w:r>
        <w:rPr/>
        <w:t>2、本年减少合并单位3家：</w:t>
      </w:r>
    </w:p>
    <w:p>
      <w:pPr>
        <w:pStyle w:val="Heading4"/>
        <w:spacing w:line="240" w:lineRule="auto" w:before="154"/>
        <w:ind w:left="754" w:right="0"/>
        <w:jc w:val="left"/>
      </w:pPr>
      <w:r>
        <w:rPr/>
        <w:t>（1）2017年11月HAND ENTERPRISE SOLUTIONS</w:t>
      </w:r>
      <w:r>
        <w:rPr>
          <w:spacing w:val="-84"/>
        </w:rPr>
        <w:t> </w:t>
      </w:r>
      <w:r>
        <w:rPr/>
        <w:t>USA.,LTD.注销，2017年12月起不纳入合</w:t>
      </w:r>
    </w:p>
    <w:p>
      <w:pPr>
        <w:pStyle w:val="Heading4"/>
        <w:spacing w:line="240" w:lineRule="auto" w:before="154"/>
        <w:ind w:left="154" w:right="0"/>
        <w:jc w:val="left"/>
      </w:pPr>
      <w:r>
        <w:rPr/>
        <w:t>并范围。</w:t>
      </w:r>
    </w:p>
    <w:p>
      <w:pPr>
        <w:pStyle w:val="Heading4"/>
        <w:spacing w:line="357" w:lineRule="auto" w:before="154"/>
        <w:ind w:left="154" w:right="134" w:firstLine="480"/>
        <w:jc w:val="left"/>
      </w:pPr>
      <w:r>
        <w:rPr>
          <w:spacing w:val="-2"/>
        </w:rPr>
        <w:t>（2）自2017年9月1日起，知云软件由公司的控股子公司变为公司的联营企业，公司对其</w:t>
      </w:r>
      <w:r>
        <w:rPr/>
        <w:t> 长期股权投资改按权益法核算。</w:t>
      </w:r>
    </w:p>
    <w:p>
      <w:pPr>
        <w:pStyle w:val="Heading4"/>
        <w:spacing w:line="357" w:lineRule="auto"/>
        <w:ind w:left="154" w:right="136" w:firstLine="480"/>
        <w:jc w:val="left"/>
      </w:pPr>
      <w:r>
        <w:rPr>
          <w:spacing w:val="-2"/>
        </w:rPr>
        <w:t>（3）自2017年12月31日起，甄汇科技由公司的控股子公司变为公司的联营企业，公司对</w:t>
      </w:r>
      <w:r>
        <w:rPr/>
        <w:t> 其长期股权投资改按权益法核算。</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166,908,397.68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45,249,739.62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35,173,544.16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33,651,178.95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28,698,248.17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24,135,686.78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166,908,397.68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w:t>
            </w:r>
          </w:p>
        </w:tc>
      </w:tr>
    </w:tbl>
    <w:p>
      <w:pPr>
        <w:pStyle w:val="BodyText"/>
        <w:spacing w:line="240" w:lineRule="auto" w:before="51"/>
        <w:ind w:right="0"/>
        <w:jc w:val="left"/>
      </w:pPr>
      <w:r>
        <w:rPr/>
        <w:t>主要客户其他情况说明</w:t>
      </w:r>
    </w:p>
    <w:p>
      <w:pPr>
        <w:pStyle w:val="BodyText"/>
        <w:spacing w:line="340"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200,938,310.89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37.89%</w:t>
            </w:r>
          </w:p>
        </w:tc>
      </w:tr>
      <w:tr>
        <w:trPr>
          <w:trHeight w:val="39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9.1pt;mso-position-horizontal-relative:char;mso-position-vertical-relative:line" coordorigin="0,0" coordsize="9587,382">
            <v:group style="position:absolute;left:26;top:14;width:2;height:353" coordorigin="26,14" coordsize="2,353">
              <v:shape style="position:absolute;left:26;top:14;width:2;height:353" coordorigin="26,14" coordsize="0,353" path="m26,14l26,367e" filled="false" stroked="true" strokeweight="1.140pt" strokecolor="#d3d3d3">
                <v:path arrowok="t"/>
              </v:shape>
            </v:group>
            <v:group style="position:absolute;left:4250;top:14;width:2;height:353" coordorigin="4250,14" coordsize="2,353">
              <v:shape style="position:absolute;left:4250;top:14;width:2;height:353" coordorigin="4250,14" coordsize="0,353" path="m4250,14l4250,367e" filled="false" stroked="true" strokeweight="1.140pt" strokecolor="#d3d3d3">
                <v:path arrowok="t"/>
              </v:shape>
            </v:group>
            <v:group style="position:absolute;left:37;top:14;width:4202;height:353" coordorigin="37,14" coordsize="4202,353">
              <v:shape style="position:absolute;left:37;top:14;width:4202;height:353" coordorigin="37,14" coordsize="4202,353" path="m37,367l4238,367,4238,14,37,14,37,36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4258;height:2" coordorigin="5,372" coordsize="4258,2">
              <v:shape style="position:absolute;left:5;top:372;width:4258;height:2" coordorigin="5,372" coordsize="4258,0" path="m5,372l4262,372e" filled="false" stroked="true" strokeweight=".48004pt" strokecolor="#000000">
                <v:path arrowok="t"/>
              </v:shape>
            </v:group>
            <v:group style="position:absolute;left:4267;top:14;width:2;height:363" coordorigin="4267,14" coordsize="2,363">
              <v:shape style="position:absolute;left:4267;top:14;width:2;height:363" coordorigin="4267,14" coordsize="0,363" path="m4267,14l4267,377e" filled="false" stroked="true" strokeweight=".48001pt" strokecolor="#000000">
                <v:path arrowok="t"/>
              </v:shape>
            </v:group>
            <v:group style="position:absolute;left:4272;top:372;width:5301;height:2" coordorigin="4272,372" coordsize="5301,2">
              <v:shape style="position:absolute;left:4272;top:372;width:5301;height:2" coordorigin="4272,372" coordsize="5301,0" path="m4272,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37;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113,133,639.35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34,569,986.00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22,044,027.00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17,666,760.54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13,523,898.00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200,938,310.89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37.89%</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7"/>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161,694,585.42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123,277,855.35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系业务规模扩大销售费用增长</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384,295,633.67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293,635,087.55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系业务规模扩大管理费用增长</w:t>
            </w:r>
          </w:p>
        </w:tc>
      </w:tr>
      <w:tr>
        <w:trPr>
          <w:trHeight w:val="316"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系同比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年基准数据中，由于日</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10" w:space="0" w:color="D3D3D3"/>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8,288,093.50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-34,690,499.98</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123.89%</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元升值带来的汇兑收益规模较大，而</w:t>
            </w:r>
          </w:p>
        </w:tc>
      </w:tr>
      <w:tr>
        <w:trPr>
          <w:trHeight w:val="316"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年财务费用增加所致</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357" w:lineRule="auto" w:before="132"/>
        <w:ind w:right="148" w:firstLine="480"/>
        <w:jc w:val="both"/>
      </w:pPr>
      <w:r>
        <w:rPr/>
        <w:t>报告期内，公司积极推进技术创新和结构优化，秉承“技术驱动未来”理念，坚持投入</w:t>
      </w:r>
      <w:r>
        <w:rPr>
          <w:spacing w:val="1"/>
        </w:rPr>
        <w:t> </w:t>
      </w:r>
      <w:r>
        <w:rPr/>
        <w:t>技术研发及产品与服务创新。根据市场变化及发展需求，及时调整技术研发方向及产品与服</w:t>
      </w:r>
      <w:r>
        <w:rPr>
          <w:spacing w:val="-83"/>
        </w:rPr>
        <w:t> </w:t>
      </w:r>
      <w:r>
        <w:rPr>
          <w:spacing w:val="-83"/>
        </w:rPr>
      </w:r>
      <w:r>
        <w:rPr/>
        <w:t>务规划格局，在现有技术优势的基础上，继续加大资金、人员投入。在国家政策及市场的推</w:t>
      </w:r>
      <w:r>
        <w:rPr>
          <w:spacing w:val="-83"/>
        </w:rPr>
        <w:t> </w:t>
      </w:r>
      <w:r>
        <w:rPr>
          <w:spacing w:val="-83"/>
        </w:rPr>
      </w:r>
      <w:r>
        <w:rPr/>
        <w:t>动下，公司在大数据、云技术、移动技术、物联网等新兴技术上取得了一定的成绩，如基于</w:t>
      </w:r>
      <w:r>
        <w:rPr>
          <w:spacing w:val="-83"/>
        </w:rPr>
        <w:t> </w:t>
      </w:r>
      <w:r>
        <w:rPr>
          <w:spacing w:val="-83"/>
        </w:rPr>
      </w:r>
      <w:r>
        <w:rPr>
          <w:spacing w:val="-3"/>
        </w:rPr>
        <w:t>Java开发技术、移动开发技术（包含微信平台）、大数据、物联网IOT、云计算等相关技术开</w:t>
      </w:r>
      <w:r>
        <w:rPr>
          <w:spacing w:val="-110"/>
        </w:rPr>
        <w:t> </w:t>
      </w:r>
      <w:r>
        <w:rPr>
          <w:spacing w:val="-110"/>
        </w:rPr>
      </w:r>
      <w:r>
        <w:rPr/>
        <w:t>发的产品已为较多的企业和项目提供了更为专业化和个性化的服务，并取得了不错的市场反</w:t>
      </w:r>
      <w:r>
        <w:rPr>
          <w:spacing w:val="-83"/>
        </w:rPr>
        <w:t> </w:t>
      </w:r>
      <w:r>
        <w:rPr>
          <w:spacing w:val="-83"/>
        </w:rPr>
      </w:r>
      <w:r>
        <w:rPr>
          <w:spacing w:val="-5"/>
        </w:rPr>
        <w:t>响。报告期内，公司研发投入为2.77亿元，占营业总收入的11.93%，研发投入再创新高。2017</w:t>
      </w:r>
      <w:r>
        <w:rPr>
          <w:spacing w:val="-85"/>
        </w:rPr>
        <w:t> </w:t>
      </w:r>
      <w:r>
        <w:rPr>
          <w:spacing w:val="-85"/>
        </w:rPr>
      </w:r>
      <w:r>
        <w:rPr/>
        <w:t>年公司研发了结算平台软件、融资租赁管理软件、海马汇移动应用等知识产权共计23项。截</w:t>
      </w:r>
      <w:r>
        <w:rPr>
          <w:spacing w:val="-82"/>
        </w:rPr>
        <w:t> </w:t>
      </w:r>
      <w:r>
        <w:rPr>
          <w:spacing w:val="-82"/>
        </w:rPr>
      </w:r>
      <w:r>
        <w:rPr/>
        <w:t>止报告期末，公司拥有及正在申请的计算机软件著作权、发明专利58项，全资子公司上海夏</w:t>
      </w:r>
      <w:r>
        <w:rPr>
          <w:spacing w:val="-82"/>
        </w:rPr>
        <w:t> </w:t>
      </w:r>
      <w:r>
        <w:rPr>
          <w:spacing w:val="-82"/>
        </w:rPr>
      </w:r>
      <w:r>
        <w:rPr/>
        <w:t>尔软件有限公司拥有的计算机软件著作权、发明专利27项，控股子公司随身科技（上海）有</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148"/>
        <w:jc w:val="both"/>
      </w:pPr>
      <w:r>
        <w:rPr/>
        <w:t>限公司拥有的计算机软件著作权、发明专利15项，全资子公司上海汉得融晶信息科技有限公</w:t>
      </w:r>
      <w:r>
        <w:rPr>
          <w:spacing w:val="-101"/>
        </w:rPr>
        <w:t> </w:t>
      </w:r>
      <w:r>
        <w:rPr>
          <w:spacing w:val="-101"/>
        </w:rPr>
      </w:r>
      <w:r>
        <w:rPr/>
        <w:t>司拥有的计算机软件著作权、发明专利24项，控股子公司上海甄云信息科技有限公司拥有的</w:t>
      </w:r>
      <w:r>
        <w:rPr>
          <w:spacing w:val="-101"/>
        </w:rPr>
        <w:t> </w:t>
      </w:r>
      <w:r>
        <w:rPr>
          <w:spacing w:val="-101"/>
        </w:rPr>
      </w:r>
      <w:r>
        <w:rPr/>
        <w:t>计算机软件著作权、发明专利2项 。</w:t>
      </w:r>
    </w:p>
    <w:p>
      <w:pPr>
        <w:pStyle w:val="BodyText"/>
        <w:spacing w:line="240" w:lineRule="auto" w:before="47"/>
        <w:ind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277,412,247.31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173,299,041.92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128,737,891.50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67,466,699.75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22,468,695.58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18,681,163.23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2,798,518,007.98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1,606,510,575.10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2,823,521,891.77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1,876,971,256.16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-25,003,883.79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-270,460,681.06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9,297,206.55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42,542,498.16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185,039,563.48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180,913,610.68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-175,742,356.93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-138,371,112.52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320,917,563.36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233,813,985.00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151,829,783.02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44,375,569.32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169,087,780.34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189,438,415.68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-43,464,687.99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-204,440,215.96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相关数据同比发生重大变动的主要影响因素说明</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357" w:lineRule="auto" w:before="132"/>
        <w:ind w:right="147" w:firstLine="480"/>
        <w:jc w:val="both"/>
      </w:pPr>
      <w:r>
        <w:rPr/>
        <w:t>本年经营活动现金流入和流出都相对增加达到74.20%和50.43%，主要系保理业务和实施 服务业务增长所致，其中保理业务放款和回款明显大幅增加；投资活动现金流入2017年相比</w:t>
      </w:r>
      <w:r>
        <w:rPr>
          <w:spacing w:val="-96"/>
        </w:rPr>
        <w:t> </w:t>
      </w:r>
      <w:r>
        <w:rPr>
          <w:spacing w:val="-96"/>
        </w:rPr>
      </w:r>
      <w:r>
        <w:rPr/>
        <w:t>2016年减少78.15%，主要系同比2016年基准数据中达美合并带来的投资活动现金流入较高，</w:t>
      </w:r>
      <w:r>
        <w:rPr>
          <w:spacing w:val="-96"/>
        </w:rPr>
        <w:t> </w:t>
      </w:r>
      <w:r>
        <w:rPr>
          <w:spacing w:val="-96"/>
        </w:rPr>
      </w:r>
      <w:r>
        <w:rPr>
          <w:spacing w:val="-2"/>
        </w:rPr>
        <w:t>而2017年没有类似投资流入所致；筹资活动现金流出2017年相比2016年增加242.15%，主要系</w:t>
      </w:r>
      <w:r>
        <w:rPr>
          <w:spacing w:val="-102"/>
        </w:rPr>
        <w:t> </w:t>
      </w:r>
      <w:r>
        <w:rPr>
          <w:spacing w:val="-102"/>
        </w:rPr>
      </w:r>
      <w:r>
        <w:rPr/>
        <w:t>2017年偿还短期银行借款，以及分配股利所致。</w:t>
      </w:r>
    </w:p>
    <w:p>
      <w:pPr>
        <w:pStyle w:val="BodyText"/>
        <w:spacing w:line="240" w:lineRule="auto" w:before="85"/>
        <w:ind w:left="514" w:right="0"/>
        <w:jc w:val="left"/>
      </w:pPr>
      <w:r>
        <w:rPr/>
        <w:t>报告期内公司经营活动产生的现金净流量与本年度净利润存在重大差异的原因说明</w:t>
      </w:r>
    </w:p>
    <w:p>
      <w:pPr>
        <w:spacing w:line="240" w:lineRule="auto" w:before="12"/>
        <w:rPr>
          <w:rFonts w:ascii="宋体" w:hAnsi="宋体" w:cs="宋体" w:eastAsia="宋体" w:hint="default"/>
          <w:sz w:val="14"/>
          <w:szCs w:val="14"/>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357" w:lineRule="auto" w:before="130"/>
        <w:ind w:right="148" w:firstLine="480"/>
        <w:jc w:val="both"/>
      </w:pPr>
      <w:r>
        <w:rPr/>
        <w:t>报告期内公司实现净利润3.05亿元，而经营活动净现金流出为2500万元，经营活动产生 的现金净流量与本年度净利润存在较大差异，除了营运规模扩大导致运营成本的增加外，主</w:t>
      </w:r>
      <w:r>
        <w:rPr>
          <w:spacing w:val="-83"/>
        </w:rPr>
        <w:t> </w:t>
      </w:r>
      <w:r>
        <w:rPr>
          <w:spacing w:val="-83"/>
        </w:rPr>
      </w:r>
      <w:r>
        <w:rPr/>
        <w:t>要是由于利润中有一块是处置知云和甄汇产生的投资收益所致。</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1"/>
        <w:gridCol w:w="1916"/>
        <w:gridCol w:w="1622"/>
        <w:gridCol w:w="2166"/>
        <w:gridCol w:w="2340"/>
      </w:tblGrid>
      <w:tr>
        <w:trPr>
          <w:trHeight w:val="402" w:hRule="exact"/>
        </w:trPr>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0" w:hRule="exact"/>
        </w:trPr>
        <w:tc>
          <w:tcPr>
            <w:tcW w:w="15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53,381,929.30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17.53%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主要系公司处置知云和甄 汇产生的投资收益所致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0" w:hRule="exact"/>
        </w:trPr>
        <w:tc>
          <w:tcPr>
            <w:tcW w:w="15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0" w:hRule="exact"/>
        </w:trPr>
        <w:tc>
          <w:tcPr>
            <w:tcW w:w="15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-212,317.82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-0.07%</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衍生金融工具产生的公允 价值变动</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0" w:hRule="exact"/>
        </w:trPr>
        <w:tc>
          <w:tcPr>
            <w:tcW w:w="15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6" w:hRule="exact"/>
        </w:trPr>
        <w:tc>
          <w:tcPr>
            <w:tcW w:w="15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89,327,485.42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29.34%</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按账龄分析法计提的应收 </w:t>
            </w:r>
            <w:r>
              <w:rPr>
                <w:rFonts w:ascii="宋体" w:hAnsi="宋体" w:cs="宋体" w:eastAsia="宋体" w:hint="default"/>
                <w:spacing w:val="-5"/>
                <w:sz w:val="18"/>
                <w:szCs w:val="18"/>
              </w:rPr>
              <w:t>账款、其他应收款坏账准备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以及存货跌价准备的减值</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6" w:hRule="exact"/>
        </w:trPr>
        <w:tc>
          <w:tcPr>
            <w:tcW w:w="15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30,698,523.19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5" w:right="0"/>
              <w:jc w:val="left"/>
              <w:rPr>
                <w:rFonts w:ascii="Times New Roman" w:hAnsi="Times New Roman" w:cs="Times New Roman" w:eastAsia="Times New Roman" w:hint="default"/>
                <w:sz w:val="18"/>
                <w:szCs w:val="18"/>
              </w:rPr>
            </w:pPr>
            <w:r>
              <w:rPr>
                <w:rFonts w:ascii="Times New Roman"/>
                <w:sz w:val="18"/>
              </w:rPr>
              <w:t>10.08%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0" w:hRule="exact"/>
        </w:trPr>
        <w:tc>
          <w:tcPr>
            <w:tcW w:w="15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200,409.97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2166" w:type="dxa"/>
            <w:vMerge w:val="restart"/>
            <w:tcBorders>
              <w:top w:val="single" w:sz="4" w:space="0" w:color="000000"/>
              <w:left w:val="single" w:sz="4" w:space="0" w:color="000000"/>
              <w:right w:val="single" w:sz="4" w:space="0" w:color="000000"/>
            </w:tcBorders>
          </w:tcPr>
          <w:p>
            <w:pPr>
              <w:pStyle w:val="TableParagraph"/>
              <w:spacing w:line="302"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主要为达美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年罚款支 出</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0" w:hRule="exact"/>
        </w:trPr>
        <w:tc>
          <w:tcPr>
            <w:tcW w:w="15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695,780,390.6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742,521,911.76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1,417,442,625.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1,092,028,590.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主要系咨询业务规模扩大所致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746,277.15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859,143.30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56,387,923.72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主要系由于甄汇按评估值在合并报 </w:t>
            </w:r>
            <w:r>
              <w:rPr>
                <w:rFonts w:ascii="宋体" w:hAnsi="宋体" w:cs="宋体" w:eastAsia="宋体" w:hint="default"/>
                <w:spacing w:val="-2"/>
                <w:sz w:val="18"/>
                <w:szCs w:val="18"/>
              </w:rPr>
              <w:t>表确认一块长期股权投资，以及知云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由于原少数股东增资，按所占份额的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差额调整的长期股权投资余额所致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318,955,670.3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323,411,857.22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主要系通过银行授信补充流动资金 所致</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126"/>
        <w:gridCol w:w="2766"/>
        <w:gridCol w:w="2766"/>
      </w:tblGrid>
      <w:tr>
        <w:trPr>
          <w:trHeight w:val="356" w:hRule="exact"/>
        </w:trPr>
        <w:tc>
          <w:tcPr>
            <w:tcW w:w="412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766"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履约保证金等</w:t>
            </w:r>
          </w:p>
        </w:tc>
        <w:tc>
          <w:tcPr>
            <w:tcW w:w="2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645" w:right="0"/>
              <w:jc w:val="left"/>
              <w:rPr>
                <w:rFonts w:ascii="Times New Roman" w:hAnsi="Times New Roman" w:cs="Times New Roman" w:eastAsia="Times New Roman" w:hint="default"/>
                <w:sz w:val="21"/>
                <w:szCs w:val="21"/>
              </w:rPr>
            </w:pPr>
            <w:r>
              <w:rPr>
                <w:rFonts w:ascii="Times New Roman"/>
                <w:sz w:val="21"/>
              </w:rPr>
              <w:t>4,426,359.64</w:t>
            </w:r>
          </w:p>
        </w:tc>
        <w:tc>
          <w:tcPr>
            <w:tcW w:w="27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left="1645" w:right="0"/>
              <w:jc w:val="left"/>
              <w:rPr>
                <w:rFonts w:ascii="Times New Roman" w:hAnsi="Times New Roman" w:cs="Times New Roman" w:eastAsia="Times New Roman" w:hint="default"/>
                <w:sz w:val="21"/>
                <w:szCs w:val="21"/>
              </w:rPr>
            </w:pPr>
            <w:r>
              <w:rPr>
                <w:rFonts w:ascii="Times New Roman"/>
                <w:sz w:val="21"/>
              </w:rPr>
              <w:t>7,703,192.75</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66,627,360.00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8" w:right="0"/>
              <w:jc w:val="left"/>
              <w:rPr>
                <w:rFonts w:ascii="Times New Roman" w:hAnsi="Times New Roman" w:cs="Times New Roman" w:eastAsia="Times New Roman" w:hint="default"/>
                <w:sz w:val="18"/>
                <w:szCs w:val="18"/>
              </w:rPr>
            </w:pPr>
            <w:r>
              <w:rPr>
                <w:rFonts w:ascii="Times New Roman"/>
                <w:sz w:val="18"/>
              </w:rPr>
              <w:t>119,677,049.99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both"/>
              <w:rPr>
                <w:rFonts w:ascii="宋体" w:hAnsi="宋体" w:cs="宋体" w:eastAsia="宋体" w:hint="default"/>
                <w:sz w:val="18"/>
                <w:szCs w:val="18"/>
              </w:rPr>
            </w:pPr>
            <w:r>
              <w:rPr>
                <w:rFonts w:ascii="宋体" w:hAnsi="宋体" w:cs="宋体" w:eastAsia="宋体" w:hint="default"/>
                <w:sz w:val="18"/>
                <w:szCs w:val="18"/>
              </w:rPr>
              <w:t>上海甄 云信息 科技有</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软件著 作权出 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3"/>
              <w:jc w:val="both"/>
              <w:rPr>
                <w:rFonts w:ascii="宋体" w:hAnsi="宋体" w:cs="宋体" w:eastAsia="宋体" w:hint="default"/>
                <w:sz w:val="18"/>
                <w:szCs w:val="18"/>
              </w:rPr>
            </w:pPr>
            <w:r>
              <w:rPr>
                <w:rFonts w:ascii="宋体" w:hAnsi="宋体" w:cs="宋体" w:eastAsia="宋体" w:hint="default"/>
                <w:sz w:val="18"/>
                <w:szCs w:val="18"/>
              </w:rPr>
              <w:t>宁波得 厚领峰 企业管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71"/>
              <w:ind w:left="24"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321" w:hRule="exact"/>
        </w:trPr>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1"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理咨询</w:t>
            </w:r>
          </w:p>
        </w:tc>
        <w:tc>
          <w:tcPr>
            <w:tcW w:w="65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nfo.com.</w:t>
            </w:r>
          </w:p>
        </w:tc>
      </w:tr>
      <w:tr>
        <w:trPr>
          <w:trHeight w:val="313"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1"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307"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1"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业（有</w:t>
            </w: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6"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1"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2017-05</w:t>
            </w:r>
          </w:p>
        </w:tc>
      </w:tr>
      <w:tr>
        <w:trPr>
          <w:trHeight w:val="353"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1"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65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上海显</w:t>
            </w: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钥建筑</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装饰合</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上海甄 实建筑 科技有 限公司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7" w:right="0"/>
              <w:jc w:val="center"/>
              <w:rPr>
                <w:rFonts w:ascii="Times New Roman" w:hAnsi="Times New Roman" w:cs="Times New Roman" w:eastAsia="Times New Roman" w:hint="default"/>
                <w:sz w:val="18"/>
                <w:szCs w:val="18"/>
              </w:rPr>
            </w:pPr>
            <w:r>
              <w:rPr>
                <w:rFonts w:ascii="Times New Roman"/>
                <w:sz w:val="18"/>
              </w:rPr>
              <w:t>3,900,0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（以下 简称 </w:t>
            </w:r>
            <w:r>
              <w:rPr>
                <w:rFonts w:ascii="Times New Roman" w:hAnsi="Times New Roman" w:cs="Times New Roman" w:eastAsia="Times New Roman" w:hint="default"/>
                <w:sz w:val="18"/>
                <w:szCs w:val="18"/>
              </w:rPr>
              <w:t>“</w:t>
            </w:r>
            <w:r>
              <w:rPr>
                <w:rFonts w:ascii="宋体" w:hAnsi="宋体" w:cs="宋体" w:eastAsia="宋体" w:hint="default"/>
                <w:sz w:val="18"/>
                <w:szCs w:val="18"/>
              </w:rPr>
              <w:t>显 </w:t>
            </w:r>
            <w:r>
              <w:rPr>
                <w:rFonts w:ascii="宋体" w:hAnsi="宋体" w:cs="宋体" w:eastAsia="宋体" w:hint="default"/>
                <w:spacing w:val="-23"/>
                <w:sz w:val="18"/>
                <w:szCs w:val="18"/>
              </w:rPr>
              <w:t>钥</w:t>
            </w:r>
            <w:r>
              <w:rPr>
                <w:rFonts w:ascii="Times New Roman" w:hAnsi="Times New Roman" w:cs="Times New Roman" w:eastAsia="Times New Roman" w:hint="default"/>
                <w:spacing w:val="-23"/>
                <w:sz w:val="18"/>
                <w:szCs w:val="18"/>
              </w:rPr>
              <w:t>”</w:t>
            </w:r>
            <w:r>
              <w:rPr>
                <w:rFonts w:ascii="宋体" w:hAnsi="宋体" w:cs="宋体" w:eastAsia="宋体" w:hint="default"/>
                <w:spacing w:val="-23"/>
                <w:sz w:val="18"/>
                <w:szCs w:val="18"/>
              </w:rPr>
              <w:t>）、</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宁波得 云平宏 建筑装 饰合伙 企业</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-206,110</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.94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38" w:lineRule="auto"/>
              <w:ind w:left="24"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07" w:lineRule="auto" w:before="23"/>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编号：</w:t>
            </w:r>
          </w:p>
          <w:p>
            <w:pPr>
              <w:pStyle w:val="TableParagraph"/>
              <w:spacing w:line="240" w:lineRule="auto" w:before="66"/>
              <w:ind w:left="24" w:right="0"/>
              <w:jc w:val="left"/>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简称</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得云</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平宏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共享装</w:t>
            </w: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备股份</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司、中</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铸云商</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网络科</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共享智</w:t>
            </w: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技（北</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1249"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能铸造 产业创 新中心 有限公</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19"/>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83"/>
              <w:jc w:val="left"/>
              <w:rPr>
                <w:rFonts w:ascii="宋体" w:hAnsi="宋体" w:cs="宋体" w:eastAsia="宋体" w:hint="default"/>
                <w:sz w:val="18"/>
                <w:szCs w:val="18"/>
              </w:rPr>
            </w:pPr>
            <w:r>
              <w:rPr>
                <w:rFonts w:ascii="宋体" w:hAnsi="宋体" w:cs="宋体" w:eastAsia="宋体" w:hint="default"/>
                <w:sz w:val="18"/>
                <w:szCs w:val="18"/>
              </w:rPr>
              <w:t>京）有 限公 司、新 兴铸管</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83"/>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338" w:lineRule="auto" w:before="40"/>
              <w:ind w:left="24" w:right="4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p>
            <w:pPr>
              <w:pStyle w:val="TableParagraph"/>
              <w:spacing w:line="217" w:lineRule="exact"/>
              <w:ind w:left="24" w:right="0"/>
              <w:jc w:val="both"/>
              <w:rPr>
                <w:rFonts w:ascii="宋体" w:hAnsi="宋体" w:cs="宋体" w:eastAsia="宋体" w:hint="default"/>
                <w:sz w:val="18"/>
                <w:szCs w:val="18"/>
              </w:rPr>
            </w:pPr>
            <w:r>
              <w:rPr>
                <w:rFonts w:ascii="宋体" w:hAnsi="宋体" w:cs="宋体" w:eastAsia="宋体" w:hint="default"/>
                <w:sz w:val="18"/>
                <w:szCs w:val="18"/>
              </w:rPr>
              <w:t>编号：</w:t>
            </w:r>
          </w:p>
        </w:tc>
      </w:tr>
      <w:tr>
        <w:trPr>
          <w:trHeight w:val="316"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Times New Roman"/>
                <w:sz w:val="18"/>
              </w:rPr>
              <w:t>2017-05</w:t>
            </w:r>
          </w:p>
        </w:tc>
      </w:tr>
      <w:tr>
        <w:trPr>
          <w:trHeight w:val="317"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司、宁</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夏顺亿</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资产管</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理有限</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034"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银川育 成投资 有限公 司、烟 台冰轮 重型机 件有限 公司、 机械工 业第六 设计研 究院有 限公 司、日 月重工 股份有 限公 司、深 圳领威 科技有 限公 司、天 津宝信 铸造股 份有限 公司、 天津万 立鑫晟 新材料 技术研 究院有 限公司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-222,832</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.90</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网下向询 价对象配 售与网上 向社会公 众投资者 定价发行 相结合的 方式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71,373.31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14,358.06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均存储在 本公司开 立的募集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71,373.31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14,358.06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日，公司本年度使用超募资金支出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143,580,568.43</w:t>
            </w: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厂房项目（一期）建设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2,983,500.00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56,096,352.28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企业互联网转型解决方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84,500,716.15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实施服务平台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12,138.8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17,964.13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、海外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软件外包 开发中心建设项目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10,927.16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、应用产品解决方案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3,088.6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3,279.46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运维服务中心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5,006.65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4,948.59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31,161.05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31,081.87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28,022.38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收购上海夏尔软件有 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6,187.33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出资设立上海汉得融 晶信息科技有限公司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设立合资公司并收购 上海欧俊信息技术有 限公司部分资产及业 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收购上海达美信息技 术有限公司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上海汉得信息技术股 份有限公司厂房项目</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（一期）建设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3,709.09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58.50%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收购上海汉得融晶信 息科技有限公司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智能制造解决方案产 品中心项目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企业互联网转型解决 方案产品中心项目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48,917.33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40,346.13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80,078.38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71,428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28,022.38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9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04" w:lineRule="auto" w:before="51"/>
              <w:ind w:left="16"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软件外包开发中心建设项目分三年进行投资建设，由于项目在规划设计阶段以及施工阶段 中出现若干设计规划合规性调整和其他不可预计因素，以及基于节能减排发展目标考虑，该项目工 程造价增加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3,392.53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万元。海外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软件外包开发中心建设项目建成后是为公司原有的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 外包服务提供全面平台支持，提升原有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软件外包服务能力。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年实现外包收入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元，实现税后利润总额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1,830.20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万元。目前公司海外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软件外包服务主要以日币计价，由于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3D3D3"/>
              <w:right w:val="single" w:sz="4" w:space="0" w:color="000000"/>
            </w:tcBorders>
          </w:tcPr>
          <w:p>
            <w:pPr/>
          </w:p>
        </w:tc>
      </w:tr>
      <w:tr>
        <w:trPr>
          <w:trHeight w:val="297"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62pt;width:479.1pt;height:689.7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年下半年以来日币贬值幅度巨大，</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年日币汇率虽有回升，但仍离项目投资时汇率有所差距，导 致当年度税后利润总额暂时未达到当初预计的年均税后利润。随着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软件外包服务能力的提升， </w:t>
                        </w:r>
                        <w:r>
                          <w:rPr>
                            <w:rFonts w:ascii="宋体" w:hAnsi="宋体" w:cs="宋体" w:eastAsia="宋体" w:hint="default"/>
                            <w:spacing w:val="-3"/>
                            <w:sz w:val="18"/>
                            <w:szCs w:val="18"/>
                          </w:rPr>
                          <w:t>本公司预计以后年度实现的效益会高于预计的年平均税后利润总额，最终本项目能达到预计的效益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07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71,373.31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万元，与预计募集资金相比，超募资金为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40,212.26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万元。本公司已 根据募集资金管理及使用制度与《募集资金三方监管协议》的相关约定对以上超募资金实行专户存 </w:t>
                        </w:r>
                        <w:r>
                          <w:rPr>
                            <w:rFonts w:ascii="宋体" w:hAnsi="宋体" w:cs="宋体" w:eastAsia="宋体" w:hint="default"/>
                            <w:spacing w:val="-5"/>
                            <w:sz w:val="18"/>
                            <w:szCs w:val="18"/>
                          </w:rPr>
                          <w:t>储与管理。根据《深圳证券交易所创业板股票上市规则》、《深圳证券交易所上市公司募集资金管理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办法》、《深圳证券交易所创业板上市公司规范运作指引》、《创业板信息披露业务备忘录第</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超募资金使用》等有关法律、法规、规范性文件的规定，结合公司发展战略及实际经营情况，经审 慎研究和初步论证，超募资金使用情况如下：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日，公司第一届董事会第二十九次</w:t>
                        </w:r>
                      </w:p>
                      <w:p>
                        <w:pPr>
                          <w:pStyle w:val="TableParagraph"/>
                          <w:spacing w:line="300" w:lineRule="auto" w:before="5"/>
                          <w:ind w:left="22" w:right="8"/>
                          <w:jc w:val="left"/>
                          <w:rPr>
                            <w:rFonts w:ascii="宋体" w:hAnsi="宋体" w:cs="宋体" w:eastAsia="宋体" w:hint="default"/>
                            <w:sz w:val="18"/>
                            <w:szCs w:val="18"/>
                          </w:rPr>
                        </w:pPr>
                        <w:r>
                          <w:rPr>
                            <w:rFonts w:ascii="宋体" w:hAnsi="宋体" w:cs="宋体" w:eastAsia="宋体" w:hint="default"/>
                            <w:sz w:val="18"/>
                            <w:szCs w:val="18"/>
                          </w:rPr>
                          <w:t>（临时）会议审议通过了《关于使用部分超募资金收购上海夏尔软件有限公司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股权的议案》，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使用部分超募资金收购上海夏尔软件有限公司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日，公司第一届董事会第三十四次（临时）会议及第一届监事会第二十一次（临时）会议审议通</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89"/>
                            <w:sz w:val="18"/>
                            <w:szCs w:val="18"/>
                          </w:rPr>
                          <w:t>了</w:t>
                        </w:r>
                        <w:r>
                          <w:rPr>
                            <w:rFonts w:ascii="宋体" w:hAnsi="宋体" w:cs="宋体" w:eastAsia="宋体" w:hint="default"/>
                            <w:sz w:val="18"/>
                            <w:szCs w:val="18"/>
                          </w:rPr>
                          <w:t>《关于公司以部分超募资金设立合资公司的议案</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以超募资金出资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与</w:t>
                        </w:r>
                        <w:r>
                          <w:rPr>
                            <w:rFonts w:ascii="宋体" w:hAnsi="宋体" w:cs="宋体" w:eastAsia="宋体" w:hint="default"/>
                            <w:sz w:val="18"/>
                            <w:szCs w:val="18"/>
                          </w:rPr>
                          <w:t>自然人孟辉</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张凌明、邱莉莉、王盛合资设立上海汉得融晶信息科技有限公司。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 届董事会第十九次（临时）会议审议通过了《关于以超募资金资金设立合资公司并收购上海欧俊信 </w:t>
                        </w:r>
                        <w:r>
                          <w:rPr>
                            <w:rFonts w:ascii="宋体" w:hAnsi="宋体" w:cs="宋体" w:eastAsia="宋体" w:hint="default"/>
                            <w:spacing w:val="-6"/>
                            <w:sz w:val="18"/>
                            <w:szCs w:val="18"/>
                          </w:rPr>
                          <w:t>息技术有限公司部分资产及业务的议案》，以超募资金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万元与鸿竺投资管理合伙企业（有限</w:t>
                        </w:r>
                        <w:r>
                          <w:rPr>
                            <w:rFonts w:ascii="宋体" w:hAnsi="宋体" w:cs="宋体" w:eastAsia="宋体" w:hint="default"/>
                            <w:sz w:val="18"/>
                            <w:szCs w:val="18"/>
                          </w:rPr>
                          <w:t> 合伙）合资设立一家有限公司，并通过合资公司收购上海欧俊信息技术有限公司产品生命周期管理 相关的资产和业务。截至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日，已累计使用超募资金支付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w:t>
                        </w:r>
                      </w:p>
                      <w:p>
                        <w:pPr>
                          <w:pStyle w:val="TableParagraph"/>
                          <w:spacing w:line="240" w:lineRule="auto" w:before="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日，公司第二届董事会第二十五次（临时）会议审议通过了《关于增加使用超募资金用于厂</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房项</w:t>
                        </w:r>
                        <w:r>
                          <w:rPr>
                            <w:rFonts w:ascii="宋体" w:hAnsi="宋体" w:cs="宋体" w:eastAsia="宋体" w:hint="default"/>
                            <w:spacing w:val="-8"/>
                            <w:sz w:val="18"/>
                            <w:szCs w:val="18"/>
                          </w:rPr>
                          <w:t>目</w:t>
                        </w:r>
                        <w:r>
                          <w:rPr>
                            <w:rFonts w:ascii="宋体" w:hAnsi="宋体" w:cs="宋体" w:eastAsia="宋体" w:hint="default"/>
                            <w:sz w:val="18"/>
                            <w:szCs w:val="18"/>
                          </w:rPr>
                          <w:t>（一期</w:t>
                        </w:r>
                        <w:r>
                          <w:rPr>
                            <w:rFonts w:ascii="宋体" w:hAnsi="宋体" w:cs="宋体" w:eastAsia="宋体" w:hint="default"/>
                            <w:spacing w:val="-8"/>
                            <w:sz w:val="18"/>
                            <w:szCs w:val="18"/>
                          </w:rPr>
                          <w:t>）</w:t>
                        </w:r>
                        <w:r>
                          <w:rPr>
                            <w:rFonts w:ascii="宋体" w:hAnsi="宋体" w:cs="宋体" w:eastAsia="宋体" w:hint="default"/>
                            <w:sz w:val="18"/>
                            <w:szCs w:val="18"/>
                          </w:rPr>
                          <w:t>建设的议案</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增加使用超募资金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万元用于厂房项</w:t>
                        </w:r>
                        <w:r>
                          <w:rPr>
                            <w:rFonts w:ascii="宋体" w:hAnsi="宋体" w:cs="宋体" w:eastAsia="宋体" w:hint="default"/>
                            <w:spacing w:val="-8"/>
                            <w:sz w:val="18"/>
                            <w:szCs w:val="18"/>
                          </w:rPr>
                          <w:t>目</w:t>
                        </w:r>
                        <w:r>
                          <w:rPr>
                            <w:rFonts w:ascii="宋体" w:hAnsi="宋体" w:cs="宋体" w:eastAsia="宋体" w:hint="default"/>
                            <w:sz w:val="18"/>
                            <w:szCs w:val="18"/>
                          </w:rPr>
                          <w:t>（一期</w:t>
                        </w:r>
                        <w:r>
                          <w:rPr>
                            <w:rFonts w:ascii="宋体" w:hAnsi="宋体" w:cs="宋体" w:eastAsia="宋体" w:hint="default"/>
                            <w:spacing w:val="-8"/>
                            <w:sz w:val="18"/>
                            <w:szCs w:val="18"/>
                          </w:rPr>
                          <w:t>）</w:t>
                        </w:r>
                        <w:r>
                          <w:rPr>
                            <w:rFonts w:ascii="宋体" w:hAnsi="宋体" w:cs="宋体" w:eastAsia="宋体" w:hint="default"/>
                            <w:sz w:val="18"/>
                            <w:szCs w:val="18"/>
                          </w:rPr>
                          <w:t>建设</w:t>
                        </w:r>
                        <w:r>
                          <w:rPr>
                            <w:rFonts w:ascii="宋体" w:hAnsi="宋体" w:cs="宋体" w:eastAsia="宋体" w:hint="default"/>
                            <w:spacing w:val="-8"/>
                            <w:sz w:val="18"/>
                            <w:szCs w:val="18"/>
                          </w:rPr>
                          <w:t>。</w:t>
                        </w:r>
                        <w:r>
                          <w:rPr>
                            <w:rFonts w:ascii="宋体" w:hAnsi="宋体" w:cs="宋体" w:eastAsia="宋体" w:hint="default"/>
                            <w:sz w:val="18"/>
                            <w:szCs w:val="18"/>
                          </w:rPr>
                          <w:t>本年使用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日，公司已累计使用超募资金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3,709.09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万元用于厂房</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项目（一期）建设。</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日，公司第二届董事会第三十一次（临时）会议及第二届监 事会第二十六次（临时）会议审议通过了《关于使用超募资金支付收购上海达美现金对价部分的议 </w:t>
                        </w:r>
                        <w:r>
                          <w:rPr>
                            <w:rFonts w:ascii="宋体" w:hAnsi="宋体" w:cs="宋体" w:eastAsia="宋体" w:hint="default"/>
                            <w:spacing w:val="-18"/>
                            <w:sz w:val="18"/>
                            <w:szCs w:val="18"/>
                          </w:rPr>
                          <w:t>案》，以超募资金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万元收购上海达美信息技术有限公司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55%</w:t>
                        </w:r>
                        <w:r>
                          <w:rPr>
                            <w:rFonts w:ascii="宋体" w:hAnsi="宋体" w:cs="宋体" w:eastAsia="宋体" w:hint="default"/>
                            <w:spacing w:val="-7"/>
                            <w:sz w:val="18"/>
                            <w:szCs w:val="18"/>
                          </w:rPr>
                          <w:t>股权。截至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公司已使用超募资金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7,400.00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万元支付全部对价。</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日，公司第二届董事会第四十 三次（临时）会议审议通过了《关于公司使用超募资金收购上海汉得融晶信息科技有限公司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 </w:t>
                        </w:r>
                        <w:r>
                          <w:rPr>
                            <w:rFonts w:ascii="宋体" w:hAnsi="宋体" w:cs="宋体" w:eastAsia="宋体" w:hint="default"/>
                            <w:spacing w:val="-9"/>
                            <w:sz w:val="18"/>
                            <w:szCs w:val="18"/>
                          </w:rPr>
                          <w:t>权的议案》，以超募资金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万元收购孟辉等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名自然人持有的上海汉得融晶信息科技有限公司</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股权。截至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万元支付了全部对价。</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日，公司召开第三届董事会第九次（临时）会议审议通过了《关于使用超募资金用于建设智 </w:t>
                        </w:r>
                        <w:r>
                          <w:rPr>
                            <w:rFonts w:ascii="宋体" w:hAnsi="宋体" w:cs="宋体" w:eastAsia="宋体" w:hint="default"/>
                            <w:spacing w:val="-3"/>
                            <w:sz w:val="18"/>
                            <w:szCs w:val="18"/>
                          </w:rPr>
                          <w:t>能制造解决方案产品中心及企业互联网转型解决方案产品中心的议案》，同意公司使用超募资金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日，已支付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5,609.64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实际已使用超募资金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40,346.13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万元。计划使用超募资金超过收到超募资金，超过部分使用募集资金</w:t>
                        </w:r>
                        <w:r>
                          <w:rPr>
                            <w:rFonts w:ascii="宋体" w:hAnsi="宋体" w:cs="宋体" w:eastAsia="宋体" w:hint="default"/>
                            <w:sz w:val="18"/>
                            <w:szCs w:val="18"/>
                          </w:rPr>
                          <w:t> 利息收入。</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159"/>
        <w:jc w:val="right"/>
      </w:pPr>
      <w:r>
        <w:rPr/>
        <w:pict>
          <v:shape style="position:absolute;margin-left:56.459999pt;margin-top:-98.946526pt;width:479.1pt;height:35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586"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年第一次临时股东大会审议通过《关于公司变更部分募投项目 </w:t>
                        </w:r>
                        <w:r>
                          <w:rPr>
                            <w:rFonts w:ascii="宋体" w:hAnsi="宋体" w:cs="宋体" w:eastAsia="宋体" w:hint="default"/>
                            <w:spacing w:val="-5"/>
                            <w:sz w:val="18"/>
                            <w:szCs w:val="18"/>
                          </w:rPr>
                          <w:t>实施方式并使用部分超募资金的议案》，本公司原计划通过购置办公场地并装修的方式满足项目建设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需要的办公场地投入的募投项目</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实施服务平台建设项目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海外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软件外包开发中心建设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。鉴于公司已成功获得沪青园工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号地块国有建设用地土地 使用权，基于提高募集资金使用效率及募投项目建设质量的考虑，将上述募投项目办公场地的实施 方式变更为自主建设。</w:t>
                        </w:r>
                        <w:r>
                          <w:rPr>
                            <w:rFonts w:ascii="宋体" w:hAnsi="宋体" w:cs="宋体" w:eastAsia="宋体" w:hint="default"/>
                            <w:spacing w:val="-28"/>
                            <w:sz w:val="18"/>
                            <w:szCs w:val="18"/>
                          </w:rPr>
                          <w:t> </w:t>
                        </w:r>
                        <w:r>
                          <w:rPr>
                            <w:rFonts w:ascii="宋体" w:hAnsi="宋体" w:cs="宋体" w:eastAsia="宋体" w:hint="default"/>
                            <w:sz w:val="18"/>
                            <w:szCs w:val="18"/>
                          </w:rPr>
                          <w:t>以上变更之后的建设项目总投入预计约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万元，资金来源分为三部分 一部分为募投项目中计划用于办公场地购置及装修的募集资金约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11,801.85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万元；一部分为超募资金</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5,224.15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万元；剩余部分员工宿舍建设资金约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万元为自有资金。</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尚未使用的募投项目资金均存储在本公司开立的募集资金专户。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60,267,059.0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45,448,587.1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40,733,785.6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7,872,717.64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7,886,974.76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121,105,111.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50,049,181.6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109,465,447.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3,108,533.52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6,077,981.46</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369,808,415.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99,292,797.2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28,297,093.0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1,944,633.31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1,158,742.22</w:t>
            </w:r>
          </w:p>
        </w:tc>
      </w:tr>
    </w:tbl>
    <w:p>
      <w:pPr>
        <w:pStyle w:val="BodyText"/>
        <w:spacing w:line="240" w:lineRule="auto" w:before="51"/>
        <w:ind w:right="0"/>
        <w:jc w:val="left"/>
      </w:pPr>
      <w:r>
        <w:rPr/>
        <w:t>报告期内取得和处置子公司的情况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上海甄汇信息科技有限公司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因其他投资方对甄汇科技增资而导致本 公司持股比例下降，从而丧失控制权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不再纳入合并范围，产生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4418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万的投资 收益</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因其他投资方对知云软件增资而导致本 公司持股比例下降，从而丧失控制权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不再纳入合并范围，产生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1147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万的投资 收益</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5"/>
              <w:jc w:val="left"/>
              <w:rPr>
                <w:rFonts w:ascii="Times New Roman" w:hAnsi="Times New Roman" w:cs="Times New Roman" w:eastAsia="Times New Roman" w:hint="default"/>
                <w:sz w:val="18"/>
                <w:szCs w:val="18"/>
              </w:rPr>
            </w:pPr>
            <w:r>
              <w:rPr>
                <w:rFonts w:ascii="Times New Roman"/>
                <w:sz w:val="18"/>
              </w:rPr>
              <w:t>HAND ENTERPRISE</w:t>
            </w:r>
            <w:r>
              <w:rPr>
                <w:rFonts w:ascii="Times New Roman"/>
                <w:spacing w:val="-16"/>
                <w:sz w:val="18"/>
              </w:rPr>
              <w:t> </w:t>
            </w:r>
            <w:r>
              <w:rPr>
                <w:rFonts w:ascii="Times New Roman"/>
                <w:sz w:val="18"/>
              </w:rPr>
              <w:t>SOLUTIONS</w:t>
            </w:r>
            <w:r>
              <w:rPr>
                <w:rFonts w:ascii="Times New Roman"/>
                <w:spacing w:val="-1"/>
                <w:sz w:val="18"/>
              </w:rPr>
              <w:t> </w:t>
            </w:r>
            <w:r>
              <w:rPr>
                <w:rFonts w:ascii="Times New Roman"/>
                <w:spacing w:val="-3"/>
                <w:sz w:val="18"/>
              </w:rPr>
              <w:t>USA.,LTD.</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月起不纳入合并范围，没有影</w:t>
            </w:r>
            <w:r>
              <w:rPr>
                <w:rFonts w:ascii="宋体" w:hAnsi="宋体" w:cs="宋体" w:eastAsia="宋体" w:hint="default"/>
                <w:sz w:val="18"/>
                <w:szCs w:val="18"/>
              </w:rPr>
              <w:t> 响</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九、公司未来发展的展望</w:t>
      </w:r>
      <w:r>
        <w:rPr>
          <w:b w:val="0"/>
          <w:bCs w:val="0"/>
        </w:rPr>
      </w:r>
    </w:p>
    <w:p>
      <w:pPr>
        <w:spacing w:line="240" w:lineRule="auto" w:before="10"/>
        <w:rPr>
          <w:rFonts w:ascii="宋体" w:hAnsi="宋体" w:cs="宋体" w:eastAsia="宋体" w:hint="default"/>
          <w:b/>
          <w:bCs/>
          <w:sz w:val="28"/>
          <w:szCs w:val="28"/>
        </w:rPr>
      </w:pPr>
    </w:p>
    <w:p>
      <w:pPr>
        <w:pStyle w:val="Heading4"/>
        <w:spacing w:line="357" w:lineRule="auto" w:before="0"/>
        <w:ind w:left="634" w:right="0"/>
        <w:jc w:val="left"/>
      </w:pPr>
      <w:r>
        <w:rPr/>
        <w:t>（一）公司现状及面临的风险 近年来随着IT技术的迅猛发展，以及中国在互联网领域超乎预料的快速推进，中国企业</w:t>
      </w:r>
    </w:p>
    <w:p>
      <w:pPr>
        <w:pStyle w:val="Heading4"/>
        <w:spacing w:line="357" w:lineRule="auto"/>
        <w:ind w:right="148"/>
        <w:jc w:val="both"/>
      </w:pPr>
      <w:r>
        <w:rPr/>
        <w:t>目前在信息化上的诉求，已经发生了很大的改变。很多企业尤其是各行业的领先企业，信息</w:t>
      </w:r>
      <w:r>
        <w:rPr>
          <w:spacing w:val="-83"/>
        </w:rPr>
        <w:t> </w:t>
      </w:r>
      <w:r>
        <w:rPr>
          <w:spacing w:val="-83"/>
        </w:rPr>
      </w:r>
      <w:r>
        <w:rPr/>
        <w:t>化建设已从“痛点驱动”升级为“愿景驱动”，而信息化是助推企业实现发展愿景的重要因</w:t>
      </w:r>
      <w:r>
        <w:rPr>
          <w:spacing w:val="-83"/>
        </w:rPr>
        <w:t> </w:t>
      </w:r>
      <w:r>
        <w:rPr>
          <w:spacing w:val="-83"/>
        </w:rPr>
      </w:r>
      <w:r>
        <w:rPr/>
        <w:t>素。同时，越来越多的企业希望能够借助互联网及新的IT技术，打造更强的竞争力，企业信</w:t>
      </w:r>
      <w:r>
        <w:rPr>
          <w:spacing w:val="-98"/>
        </w:rPr>
        <w:t> </w:t>
      </w:r>
      <w:r>
        <w:rPr>
          <w:spacing w:val="-98"/>
        </w:rPr>
      </w:r>
      <w:r>
        <w:rPr/>
        <w:t>息化呈现了非常多的中国特色。这是行业发展的必然趋势，给企业带来想象的同时也带来了</w:t>
      </w:r>
      <w:r>
        <w:rPr>
          <w:spacing w:val="-83"/>
        </w:rPr>
        <w:t> </w:t>
      </w:r>
      <w:r>
        <w:rPr>
          <w:spacing w:val="-83"/>
        </w:rPr>
      </w:r>
      <w:r>
        <w:rPr/>
        <w:t>很大的挑战，同时也对公司提出了更高的要求。</w:t>
      </w:r>
    </w:p>
    <w:p>
      <w:pPr>
        <w:pStyle w:val="Heading4"/>
        <w:spacing w:line="357" w:lineRule="auto"/>
        <w:ind w:right="148" w:firstLine="480"/>
        <w:jc w:val="both"/>
      </w:pPr>
      <w:r>
        <w:rPr>
          <w:spacing w:val="-3"/>
        </w:rPr>
        <w:t>报告期内，公司继续巩固了作为中国本土领先的ERP等高端企业信息化套装软件实施服务</w:t>
      </w:r>
      <w:r>
        <w:rPr/>
        <w:t> 商的市场地位，主营业务较同期实现了较大的增长，员工总人数也在持续增加，公司在组织</w:t>
      </w:r>
      <w:r>
        <w:rPr>
          <w:spacing w:val="-83"/>
        </w:rPr>
        <w:t> </w:t>
      </w:r>
      <w:r>
        <w:rPr>
          <w:spacing w:val="-83"/>
        </w:rPr>
      </w:r>
      <w:r>
        <w:rPr/>
        <w:t>架构、运营机制上进行了非常多的变革、优化和创新，在技术上，公司率先在前沿领域投入</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93"/>
        <w:jc w:val="left"/>
      </w:pPr>
      <w:r>
        <w:rPr/>
        <w:t>力量学习、研究和实践，保持在前沿领域对企业的引导能力。目前国内IT咨询服务行业整体</w:t>
      </w:r>
      <w:r>
        <w:rPr>
          <w:spacing w:val="-82"/>
        </w:rPr>
        <w:t> </w:t>
      </w:r>
      <w:r>
        <w:rPr>
          <w:spacing w:val="-82"/>
        </w:rPr>
      </w:r>
      <w:r>
        <w:rPr>
          <w:spacing w:val="-2"/>
        </w:rPr>
        <w:t>处于稳定增长中，这几年公司的竞争优势越来越明显，主要得益于公司丰富的实施服务经验，</w:t>
      </w:r>
      <w:r>
        <w:rPr/>
        <w:t> 全面的信息化服务能力，优质稳定的客户基础，优秀专业的人才团队，逐渐增强的品牌影响</w:t>
      </w:r>
      <w:r>
        <w:rPr>
          <w:spacing w:val="-83"/>
        </w:rPr>
        <w:t> </w:t>
      </w:r>
      <w:r>
        <w:rPr>
          <w:spacing w:val="-83"/>
        </w:rPr>
      </w:r>
      <w:r>
        <w:rPr/>
        <w:t>力，技术革新与管理实践创新意识，以及业界领先的合作伙伴生态圈。</w:t>
      </w:r>
    </w:p>
    <w:p>
      <w:pPr>
        <w:pStyle w:val="Heading4"/>
        <w:spacing w:line="357" w:lineRule="auto"/>
        <w:ind w:right="228" w:firstLine="480"/>
        <w:jc w:val="both"/>
      </w:pPr>
      <w:r>
        <w:rPr/>
        <w:t>近几年国家产业结构升级，对诸如物联网、云计算、大数据、人工智能、工业互联网等</w:t>
      </w:r>
      <w:r>
        <w:rPr>
          <w:spacing w:val="1"/>
        </w:rPr>
        <w:t> </w:t>
      </w:r>
      <w:r>
        <w:rPr/>
        <w:t>新兴技术的扶持，催生了企业业务模式、管理形态等的进一步变化，刺激着企业不断寻求新</w:t>
      </w:r>
      <w:r>
        <w:rPr>
          <w:spacing w:val="-83"/>
        </w:rPr>
        <w:t> </w:t>
      </w:r>
      <w:r>
        <w:rPr>
          <w:spacing w:val="-83"/>
        </w:rPr>
      </w:r>
      <w:r>
        <w:rPr/>
        <w:t>技术的转型和应用，市场对全面信息化建设、运营、维护、创新的需求不断增强，使得公司</w:t>
      </w:r>
      <w:r>
        <w:rPr>
          <w:spacing w:val="-83"/>
        </w:rPr>
        <w:t> </w:t>
      </w:r>
      <w:r>
        <w:rPr>
          <w:spacing w:val="-83"/>
        </w:rPr>
      </w:r>
      <w:r>
        <w:rPr/>
        <w:t>的业务范围和销售商机从原来产品的实施扩展到了行业和整体解决方案的实施，相应的也为</w:t>
      </w:r>
      <w:r>
        <w:rPr>
          <w:spacing w:val="-83"/>
        </w:rPr>
        <w:t> </w:t>
      </w:r>
      <w:r>
        <w:rPr>
          <w:spacing w:val="-83"/>
        </w:rPr>
      </w:r>
      <w:r>
        <w:rPr/>
        <w:t>公司的业绩带来了很多新的增长点。公司与大量合作伙伴形成的战略合作关系，有助于汉得</w:t>
      </w:r>
      <w:r>
        <w:rPr>
          <w:spacing w:val="-83"/>
        </w:rPr>
        <w:t> </w:t>
      </w:r>
      <w:r>
        <w:rPr>
          <w:spacing w:val="-83"/>
        </w:rPr>
      </w:r>
      <w:r>
        <w:rPr/>
        <w:t>迅速补平短板，快速形成聚焦于企业信息化建设的全面服务能力，而同时，公司自有技术体</w:t>
      </w:r>
      <w:r>
        <w:rPr>
          <w:spacing w:val="-83"/>
        </w:rPr>
        <w:t> </w:t>
      </w:r>
      <w:r>
        <w:rPr>
          <w:spacing w:val="-83"/>
        </w:rPr>
      </w:r>
      <w:r>
        <w:rPr/>
        <w:t>系的飞速发展，为自有产品和解决方案做深做精，形成差异化竞争优势，提供了强有力的支</w:t>
      </w:r>
      <w:r>
        <w:rPr>
          <w:spacing w:val="-83"/>
        </w:rPr>
        <w:t> </w:t>
      </w:r>
      <w:r>
        <w:rPr>
          <w:spacing w:val="-83"/>
        </w:rPr>
      </w:r>
      <w:r>
        <w:rPr/>
        <w:t>持。除了机遇，公司在经营过程中也充分意识到了可能对公司未来发展战略和经营目标的实</w:t>
      </w:r>
      <w:r>
        <w:rPr>
          <w:spacing w:val="-83"/>
        </w:rPr>
        <w:t> </w:t>
      </w:r>
      <w:r>
        <w:rPr>
          <w:spacing w:val="-83"/>
        </w:rPr>
      </w:r>
      <w:r>
        <w:rPr/>
        <w:t>现产生不利影响的风险因素：</w:t>
      </w:r>
    </w:p>
    <w:p>
      <w:pPr>
        <w:pStyle w:val="Heading4"/>
        <w:spacing w:line="357" w:lineRule="auto"/>
        <w:ind w:left="633" w:right="93"/>
        <w:jc w:val="left"/>
      </w:pPr>
      <w:r>
        <w:rPr/>
        <w:t>1、宏观经济波动的风险。 宏观经济的波动在一定程度上，可能会影响企业自身的经营状况和对未来的预期及其投</w:t>
      </w:r>
    </w:p>
    <w:p>
      <w:pPr>
        <w:pStyle w:val="Heading4"/>
        <w:spacing w:line="357" w:lineRule="auto"/>
        <w:ind w:right="93"/>
        <w:jc w:val="left"/>
      </w:pPr>
      <w:r>
        <w:rPr/>
        <w:t>资意愿，从而影响客户在IT建设方面的预算。公司的客户主要为具有较强实力的跨国公司和</w:t>
      </w:r>
      <w:r>
        <w:rPr>
          <w:spacing w:val="-101"/>
        </w:rPr>
        <w:t> </w:t>
      </w:r>
      <w:r>
        <w:rPr>
          <w:spacing w:val="-101"/>
        </w:rPr>
      </w:r>
      <w:r>
        <w:rPr/>
        <w:t>大中型企业，信息系统对于客户企业的运营和管理至关重要。在行业低潮期，一部分公司会</w:t>
      </w:r>
      <w:r>
        <w:rPr>
          <w:spacing w:val="-83"/>
        </w:rPr>
        <w:t> </w:t>
      </w:r>
      <w:r>
        <w:rPr>
          <w:spacing w:val="-83"/>
        </w:rPr>
      </w:r>
      <w:r>
        <w:rPr/>
        <w:t>推迟IT的投入，但也有一部分公司需要通过ERP、MES、费控等IT系统提升公司运营效率，降</w:t>
      </w:r>
      <w:r>
        <w:rPr/>
        <w:t> 低综合成本来对抗危机的负面影响，另一方面，由于公司的客户数量众多，行业分布广泛，</w:t>
      </w:r>
      <w:r>
        <w:rPr>
          <w:spacing w:val="-83"/>
        </w:rPr>
        <w:t> </w:t>
      </w:r>
      <w:r>
        <w:rPr>
          <w:spacing w:val="-83"/>
        </w:rPr>
      </w:r>
      <w:r>
        <w:rPr/>
        <w:t>单个行业的景气周期对于公司的影响较弱，但从长远来看，宏观及行业经济周期的变化仍与</w:t>
      </w:r>
      <w:r>
        <w:rPr>
          <w:spacing w:val="-83"/>
        </w:rPr>
        <w:t> </w:t>
      </w:r>
      <w:r>
        <w:rPr>
          <w:spacing w:val="-83"/>
        </w:rPr>
      </w:r>
      <w:r>
        <w:rPr>
          <w:spacing w:val="-2"/>
        </w:rPr>
        <w:t>公司所在行业的市场景气程度存在一定的关联性。因此，如果未来宏观经济景气度长期低迷，</w:t>
      </w:r>
      <w:r>
        <w:rPr/>
        <w:t> 有可能对IT咨询实施服务行业需求的持续或增长带来一定程度的不利影响。</w:t>
      </w:r>
    </w:p>
    <w:p>
      <w:pPr>
        <w:pStyle w:val="Heading4"/>
        <w:spacing w:line="357" w:lineRule="auto"/>
        <w:ind w:left="633" w:right="93"/>
        <w:jc w:val="left"/>
      </w:pPr>
      <w:r>
        <w:rPr/>
        <w:t>2、人力成本上升和人才流失风险。 咨询行业属于人才密集型行业，公司最主要的经营资源是人力，因此如果人力成本平均</w:t>
      </w:r>
    </w:p>
    <w:p>
      <w:pPr>
        <w:pStyle w:val="Heading4"/>
        <w:spacing w:line="357" w:lineRule="auto"/>
        <w:ind w:right="228"/>
        <w:jc w:val="both"/>
      </w:pPr>
      <w:r>
        <w:rPr/>
        <w:t>上升速度快于人均产值的增长速度，则公司的毛利率水平将会有下降的风险。为应对该项风</w:t>
      </w:r>
      <w:r>
        <w:rPr>
          <w:spacing w:val="-83"/>
        </w:rPr>
        <w:t> </w:t>
      </w:r>
      <w:r>
        <w:rPr>
          <w:spacing w:val="-83"/>
        </w:rPr>
      </w:r>
      <w:r>
        <w:rPr/>
        <w:t>险，公司一方面将通过进一步提高服务质量、服务效率和提升客户体验来推动实施顾问人均</w:t>
      </w:r>
      <w:r>
        <w:rPr>
          <w:spacing w:val="-83"/>
        </w:rPr>
        <w:t> </w:t>
      </w:r>
      <w:r>
        <w:rPr>
          <w:spacing w:val="-83"/>
        </w:rPr>
      </w:r>
      <w:r>
        <w:rPr/>
        <w:t>产值的持续增长，另一方面，公司凭借总结行业整体解决方案、立足于自主培养人才、加强</w:t>
      </w:r>
      <w:r>
        <w:rPr>
          <w:spacing w:val="-83"/>
        </w:rPr>
        <w:t> </w:t>
      </w:r>
      <w:r>
        <w:rPr>
          <w:spacing w:val="-83"/>
        </w:rPr>
      </w:r>
      <w:r>
        <w:rPr/>
        <w:t>区域集中共享、远程化支持技术等手段来加速实施顾问的成长，提高人员利用率，从而缓解</w:t>
      </w:r>
      <w:r>
        <w:rPr>
          <w:spacing w:val="-83"/>
        </w:rPr>
        <w:t> </w:t>
      </w:r>
      <w:r>
        <w:rPr>
          <w:spacing w:val="-83"/>
        </w:rPr>
      </w:r>
      <w:r>
        <w:rPr/>
        <w:t>人力成本上升的压力。虽然如此，但未来随着经济的发展、生活成本的上升、竞争对手对专</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111"/>
        <w:jc w:val="both"/>
      </w:pPr>
      <w:r>
        <w:rPr/>
        <w:t>业人才的争夺，以及政府部门对社会保障体系相关政策的调整，公司的人力成本仍可能存在</w:t>
      </w:r>
      <w:r>
        <w:rPr>
          <w:spacing w:val="-83"/>
        </w:rPr>
        <w:t> </w:t>
      </w:r>
      <w:r>
        <w:rPr>
          <w:spacing w:val="-83"/>
        </w:rPr>
      </w:r>
      <w:r>
        <w:rPr/>
        <w:t>增加的风险。一方面，近年来随着互联网企业的快速发展，IT人才的工资水平迅速提高，发</w:t>
      </w:r>
      <w:r>
        <w:rPr>
          <w:spacing w:val="-82"/>
        </w:rPr>
        <w:t> </w:t>
      </w:r>
      <w:r>
        <w:rPr>
          <w:spacing w:val="-82"/>
        </w:rPr>
      </w:r>
      <w:r>
        <w:rPr/>
        <w:t>展方向多样化，公司人才面临较多的市场机会，再加上行业特性，长期出差、强度高对人员</w:t>
      </w:r>
      <w:r>
        <w:rPr>
          <w:spacing w:val="-83"/>
        </w:rPr>
        <w:t> </w:t>
      </w:r>
      <w:r>
        <w:rPr>
          <w:spacing w:val="-83"/>
        </w:rPr>
      </w:r>
      <w:r>
        <w:rPr/>
        <w:t>稳定性造成了一定影响，另一方面公司的股权激励因为资本市场波动较大给激励效果带来了</w:t>
      </w:r>
      <w:r>
        <w:rPr>
          <w:spacing w:val="-83"/>
        </w:rPr>
        <w:t> </w:t>
      </w:r>
      <w:r>
        <w:rPr>
          <w:spacing w:val="-83"/>
        </w:rPr>
      </w:r>
      <w:r>
        <w:rPr/>
        <w:t>不确定性，也影响了员工的黏性，存在人才流失的风险，人才流失会直接影响到项目交付进</w:t>
      </w:r>
      <w:r>
        <w:rPr>
          <w:spacing w:val="-83"/>
        </w:rPr>
        <w:t> </w:t>
      </w:r>
      <w:r>
        <w:rPr>
          <w:spacing w:val="-83"/>
        </w:rPr>
      </w:r>
      <w:r>
        <w:rPr/>
        <w:t>度和交付质量，从而影响公司的市场口碑和品牌形象。针对此风险，公司将通过实行更为有</w:t>
      </w:r>
      <w:r>
        <w:rPr>
          <w:spacing w:val="-83"/>
        </w:rPr>
        <w:t> </w:t>
      </w:r>
      <w:r>
        <w:rPr>
          <w:spacing w:val="-83"/>
        </w:rPr>
      </w:r>
      <w:r>
        <w:rPr>
          <w:spacing w:val="-3"/>
        </w:rPr>
        <w:t>效的激励和约束机制，加强企业文化建设，员工关怀，来提高高级顾问和核心员工的稳定度。</w:t>
      </w:r>
    </w:p>
    <w:p>
      <w:pPr>
        <w:pStyle w:val="Heading4"/>
        <w:spacing w:line="357" w:lineRule="auto"/>
        <w:ind w:left="633" w:right="93"/>
        <w:jc w:val="left"/>
      </w:pPr>
      <w:r>
        <w:rPr/>
        <w:t>3、传统ERP业务增长速度减慢，咨询行业竞争加剧 企业内部ERP建设高峰已过，新的ERP建设需求增长速度减慢，IT咨询行业竞争越来越激</w:t>
      </w:r>
    </w:p>
    <w:p>
      <w:pPr>
        <w:pStyle w:val="Heading4"/>
        <w:spacing w:line="357" w:lineRule="auto"/>
        <w:ind w:right="93"/>
        <w:jc w:val="left"/>
      </w:pPr>
      <w:r>
        <w:rPr/>
        <w:t>烈，行业化解决方案越来越多，客户需求变化加快且愈发呈现个性化、多样化的特点，加之</w:t>
      </w:r>
      <w:r>
        <w:rPr>
          <w:spacing w:val="-83"/>
        </w:rPr>
        <w:t> </w:t>
      </w:r>
      <w:r>
        <w:rPr>
          <w:spacing w:val="-83"/>
        </w:rPr>
      </w:r>
      <w:r>
        <w:rPr/>
        <w:t>不少竞争者采用低价竞争的攻势，以及阿里、腾讯等向企业端业务的拓展进而成为公司新进</w:t>
      </w:r>
      <w:r>
        <w:rPr>
          <w:spacing w:val="-83"/>
        </w:rPr>
        <w:t> </w:t>
      </w:r>
      <w:r>
        <w:rPr>
          <w:spacing w:val="-83"/>
        </w:rPr>
      </w:r>
      <w:r>
        <w:rPr>
          <w:spacing w:val="-8"/>
        </w:rPr>
        <w:t>竞争者，使得公司维持营收增速和保持行业内领先地位困难度加大，此外，营业收入与Oracle、</w:t>
      </w:r>
      <w:r>
        <w:rPr>
          <w:spacing w:val="-81"/>
        </w:rPr>
        <w:t> </w:t>
      </w:r>
      <w:r>
        <w:rPr>
          <w:spacing w:val="-81"/>
        </w:rPr>
      </w:r>
      <w:r>
        <w:rPr/>
        <w:t>SAP、微软等原厂的销售策略有一定的关系，一旦原厂销售策略及市场环境变化，将会对营业</w:t>
      </w:r>
      <w:r>
        <w:rPr/>
        <w:t> 收入造成冲击，企业上云趋势和套装软件合作伙伴的产品云化趋势，一定程度上会降低传统</w:t>
      </w:r>
      <w:r>
        <w:rPr>
          <w:spacing w:val="-83"/>
        </w:rPr>
        <w:t> </w:t>
      </w:r>
      <w:r>
        <w:rPr>
          <w:spacing w:val="-83"/>
        </w:rPr>
      </w:r>
      <w:r>
        <w:rPr/>
        <w:t>咨询实施在信息化应用中的需求比例，因此公司需要寻求能力架构、服务模式上的改变，紧</w:t>
      </w:r>
      <w:r>
        <w:rPr>
          <w:spacing w:val="-83"/>
        </w:rPr>
        <w:t> </w:t>
      </w:r>
      <w:r>
        <w:rPr>
          <w:spacing w:val="-83"/>
        </w:rPr>
      </w:r>
      <w:r>
        <w:rPr/>
        <w:t>跟技术趋势和客户需求，并研发更多自有解决方案和自主产品，来获取商机，提高市场占有</w:t>
      </w:r>
      <w:r>
        <w:rPr>
          <w:spacing w:val="-83"/>
        </w:rPr>
        <w:t> </w:t>
      </w:r>
      <w:r>
        <w:rPr>
          <w:spacing w:val="-83"/>
        </w:rPr>
      </w:r>
      <w:r>
        <w:rPr/>
        <w:t>率。</w:t>
      </w:r>
    </w:p>
    <w:p>
      <w:pPr>
        <w:pStyle w:val="Heading4"/>
        <w:spacing w:line="357" w:lineRule="auto"/>
        <w:ind w:left="633" w:right="93"/>
        <w:jc w:val="left"/>
      </w:pPr>
      <w:r>
        <w:rPr/>
        <w:t>4、公司自身能力增长速度是否跟得上信息化发展速度的风险 企业客户在面临新技术冲击的同时，对公司信息咨询服务综合能力提出了更高的要求，</w:t>
      </w:r>
    </w:p>
    <w:p>
      <w:pPr>
        <w:pStyle w:val="Heading4"/>
        <w:spacing w:line="357" w:lineRule="auto"/>
        <w:ind w:right="228"/>
        <w:jc w:val="both"/>
      </w:pPr>
      <w:r>
        <w:rPr/>
        <w:t>公司技术储备、资源储备、内部管控等是否能跟上日益增长的完整信息化需求，是公司当前</w:t>
      </w:r>
      <w:r>
        <w:rPr>
          <w:spacing w:val="-83"/>
        </w:rPr>
        <w:t> </w:t>
      </w:r>
      <w:r>
        <w:rPr>
          <w:spacing w:val="-83"/>
        </w:rPr>
      </w:r>
      <w:r>
        <w:rPr/>
        <w:t>面临的主要挑战。企业客户要求以产品化的标准来建设内部系统，需要公司提供更多的更前</w:t>
      </w:r>
      <w:r>
        <w:rPr>
          <w:spacing w:val="-83"/>
        </w:rPr>
        <w:t> </w:t>
      </w:r>
      <w:r>
        <w:rPr>
          <w:spacing w:val="-83"/>
        </w:rPr>
      </w:r>
      <w:r>
        <w:rPr/>
        <w:t>沿的技术集成能力，并且需要和业务应用场景结合。能够提供符合标准的技术、成熟的业务</w:t>
      </w:r>
      <w:r>
        <w:rPr>
          <w:spacing w:val="-83"/>
        </w:rPr>
        <w:t> </w:t>
      </w:r>
      <w:r>
        <w:rPr>
          <w:spacing w:val="-83"/>
        </w:rPr>
      </w:r>
      <w:r>
        <w:rPr/>
        <w:t>场景规划能力和持续可靠的服务，将是服务客户的首要因素。公司规模扩大、业务快速发展</w:t>
      </w:r>
      <w:r>
        <w:rPr>
          <w:spacing w:val="-83"/>
        </w:rPr>
        <w:t> </w:t>
      </w:r>
      <w:r>
        <w:rPr>
          <w:spacing w:val="-83"/>
        </w:rPr>
      </w:r>
      <w:r>
        <w:rPr/>
        <w:t>的同时，也需要严格防范出现资源短缺、交付质量下降的情况。</w:t>
      </w:r>
    </w:p>
    <w:p>
      <w:pPr>
        <w:pStyle w:val="Heading4"/>
        <w:spacing w:line="357" w:lineRule="auto"/>
        <w:ind w:left="633" w:right="93"/>
        <w:jc w:val="left"/>
      </w:pPr>
      <w:r>
        <w:rPr/>
        <w:t>（二）公司未来发展战略 未来公司将进一步强化竞争优势，突出整体解决方案服务能力，横向加强推进自有技术</w:t>
      </w:r>
    </w:p>
    <w:p>
      <w:pPr>
        <w:pStyle w:val="Heading4"/>
        <w:spacing w:line="357" w:lineRule="auto"/>
        <w:ind w:right="95"/>
        <w:jc w:val="left"/>
      </w:pPr>
      <w:r>
        <w:rPr/>
        <w:t>和自有产品的研发，提高产品和业务创新服务能力，纵向加快市场及客户的开拓，提高公司</w:t>
      </w:r>
      <w:r>
        <w:rPr>
          <w:spacing w:val="-83"/>
        </w:rPr>
        <w:t> </w:t>
      </w:r>
      <w:r>
        <w:rPr>
          <w:spacing w:val="-83"/>
        </w:rPr>
      </w:r>
      <w:r>
        <w:rPr>
          <w:spacing w:val="-2"/>
        </w:rPr>
        <w:t>在信息化咨询领域的市场规模。公司会始终要求自己站在IT技术革新与管理实践创新的前沿，</w:t>
      </w:r>
      <w:r>
        <w:rPr>
          <w:spacing w:val="-118"/>
        </w:rPr>
        <w:t> </w:t>
      </w:r>
      <w:r>
        <w:rPr>
          <w:spacing w:val="-118"/>
        </w:rPr>
      </w:r>
      <w:r>
        <w:rPr/>
        <w:t>与全球IT生态圈的合作伙伴们共同推动包括云、大数据、智能制造等新业务的开展，与软硬</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件厂商、互联网服务商、行业服务商等形成更大的数字化生态合作圈，帮助企业更快融入数</w:t>
      </w:r>
      <w:r>
        <w:rPr>
          <w:spacing w:val="-83"/>
        </w:rPr>
        <w:t> </w:t>
      </w:r>
      <w:r>
        <w:rPr>
          <w:spacing w:val="-83"/>
        </w:rPr>
      </w:r>
      <w:r>
        <w:rPr/>
        <w:t>字化世界！</w:t>
      </w:r>
    </w:p>
    <w:p>
      <w:pPr>
        <w:pStyle w:val="Heading4"/>
        <w:spacing w:line="357" w:lineRule="auto"/>
        <w:ind w:left="633" w:right="93"/>
        <w:jc w:val="left"/>
      </w:pPr>
      <w:r>
        <w:rPr/>
        <w:t>（三）公司经营计划 2018年，公司将继续在传统业务上加强行业研究和方案整合，形成跨产品线的一体化解</w:t>
      </w:r>
    </w:p>
    <w:p>
      <w:pPr>
        <w:pStyle w:val="Heading4"/>
        <w:spacing w:line="357" w:lineRule="auto"/>
        <w:ind w:right="228"/>
        <w:jc w:val="both"/>
      </w:pPr>
      <w:r>
        <w:rPr/>
        <w:t>决方案，在智能制造、云产品等领域强化优势，并加强实施方法的标准化和规范化，鼓励交</w:t>
      </w:r>
      <w:r>
        <w:rPr>
          <w:spacing w:val="-83"/>
        </w:rPr>
        <w:t> </w:t>
      </w:r>
      <w:r>
        <w:rPr>
          <w:spacing w:val="-83"/>
        </w:rPr>
      </w:r>
      <w:r>
        <w:rPr/>
        <w:t>付模式和实施方法创新，以提高交付质量和实施效率；在公司的创新业务如供应链金融、云</w:t>
      </w:r>
      <w:r>
        <w:rPr>
          <w:spacing w:val="-83"/>
        </w:rPr>
        <w:t> </w:t>
      </w:r>
      <w:r>
        <w:rPr>
          <w:spacing w:val="-83"/>
        </w:rPr>
      </w:r>
      <w:r>
        <w:rPr>
          <w:spacing w:val="-2"/>
        </w:rPr>
        <w:t>SRM、共享服务上继续突破，创造新的收入和利润增长点；结合市场需求和发展趋势，积极关</w:t>
      </w:r>
      <w:r>
        <w:rPr/>
        <w:t> 注云计算、物联网、大数据等IT新技术带来的行业变革和产业机会，积极开拓相关企业服务</w:t>
      </w:r>
      <w:r>
        <w:rPr>
          <w:spacing w:val="-101"/>
        </w:rPr>
        <w:t> </w:t>
      </w:r>
      <w:r>
        <w:rPr>
          <w:spacing w:val="-101"/>
        </w:rPr>
      </w:r>
      <w:r>
        <w:rPr/>
        <w:t>市场，打造新的产品和业务创新平台；改革组织架构，形成跨产品线和服务线的客户统一对</w:t>
      </w:r>
      <w:r>
        <w:rPr>
          <w:spacing w:val="-83"/>
        </w:rPr>
        <w:t> </w:t>
      </w:r>
      <w:r>
        <w:rPr>
          <w:spacing w:val="-83"/>
        </w:rPr>
      </w:r>
      <w:r>
        <w:rPr/>
        <w:t>口团队，负责服务整合，以建成真正的“以客户为中心”的服务模式；同时，强化合作生态</w:t>
      </w:r>
      <w:r>
        <w:rPr>
          <w:spacing w:val="-83"/>
        </w:rPr>
        <w:t> </w:t>
      </w:r>
      <w:r>
        <w:rPr>
          <w:spacing w:val="-83"/>
        </w:rPr>
      </w:r>
      <w:r>
        <w:rPr/>
        <w:t>圈建设，加强应用场景集成，深化合作内容，在新技术应用方面努力做大做强，与众多合作</w:t>
      </w:r>
      <w:r>
        <w:rPr>
          <w:spacing w:val="-83"/>
        </w:rPr>
        <w:t> </w:t>
      </w:r>
      <w:r>
        <w:rPr>
          <w:spacing w:val="-83"/>
        </w:rPr>
      </w:r>
      <w:r>
        <w:rPr/>
        <w:t>伙伴一起携手数字化转型之旅。</w:t>
      </w:r>
    </w:p>
    <w:p>
      <w:pPr>
        <w:pStyle w:val="Heading4"/>
        <w:spacing w:line="357" w:lineRule="auto"/>
        <w:ind w:left="633" w:right="93"/>
        <w:jc w:val="left"/>
      </w:pPr>
      <w:r>
        <w:rPr/>
        <w:t>1、市场开拓计划 公司将抓住企业数字化转型和海外市场发展机遇，进一步完善营销体系，继续推动区域</w:t>
      </w:r>
    </w:p>
    <w:p>
      <w:pPr>
        <w:pStyle w:val="Heading4"/>
        <w:spacing w:line="357" w:lineRule="auto"/>
        <w:ind w:right="93"/>
        <w:jc w:val="left"/>
      </w:pPr>
      <w:r>
        <w:rPr>
          <w:spacing w:val="-3"/>
        </w:rPr>
        <w:t>化运作，强化区域营销管理，布局重点行业及市场拓展区域，保持对老客户的深耕细作力度，</w:t>
      </w:r>
      <w:r>
        <w:rPr>
          <w:spacing w:val="-81"/>
        </w:rPr>
        <w:t> </w:t>
      </w:r>
      <w:r>
        <w:rPr>
          <w:spacing w:val="-81"/>
        </w:rPr>
      </w:r>
      <w:r>
        <w:rPr/>
        <w:t>积极开拓新客户，争取更多有IT消费意愿和能力的客户群体，建成企业信息化的全面运营服</w:t>
      </w:r>
      <w:r>
        <w:rPr>
          <w:spacing w:val="-101"/>
        </w:rPr>
        <w:t> </w:t>
      </w:r>
      <w:r>
        <w:rPr>
          <w:spacing w:val="-101"/>
        </w:rPr>
      </w:r>
      <w:r>
        <w:rPr/>
        <w:t>务提供商，并加强与产品供应商之间在销售与市场方面的合作，提升售前、售后服务的综合</w:t>
      </w:r>
      <w:r>
        <w:rPr>
          <w:spacing w:val="-83"/>
        </w:rPr>
        <w:t> </w:t>
      </w:r>
      <w:r>
        <w:rPr>
          <w:spacing w:val="-83"/>
        </w:rPr>
      </w:r>
      <w:r>
        <w:rPr/>
        <w:t>水平和能力，为公司的快速增长、可持续性发展建立坚实基础。</w:t>
      </w:r>
    </w:p>
    <w:p>
      <w:pPr>
        <w:pStyle w:val="Heading4"/>
        <w:spacing w:line="357" w:lineRule="auto"/>
        <w:ind w:left="633" w:right="93"/>
        <w:jc w:val="left"/>
      </w:pPr>
      <w:r>
        <w:rPr/>
        <w:t>2、研发计划 公司将集中资金及业务、技术资源支持自有产品和自有解决方案的研发管理，努力开拓</w:t>
      </w:r>
    </w:p>
    <w:p>
      <w:pPr>
        <w:pStyle w:val="Heading4"/>
        <w:spacing w:line="357" w:lineRule="auto"/>
        <w:ind w:right="228"/>
        <w:jc w:val="both"/>
      </w:pPr>
      <w:r>
        <w:rPr/>
        <w:t>新的利润增长点，进一步加深大数据、云计算、移动应用、电商对接、即时通讯等技术的应</w:t>
      </w:r>
      <w:r>
        <w:rPr>
          <w:spacing w:val="-83"/>
        </w:rPr>
        <w:t> </w:t>
      </w:r>
      <w:r>
        <w:rPr>
          <w:spacing w:val="-83"/>
        </w:rPr>
      </w:r>
      <w:r>
        <w:rPr/>
        <w:t>用，优化迭代产品，提高产品性能和稳定性，力争高效研发，快速投产，提升服务效率，进</w:t>
      </w:r>
      <w:r>
        <w:rPr>
          <w:spacing w:val="-83"/>
        </w:rPr>
        <w:t> </w:t>
      </w:r>
      <w:r>
        <w:rPr>
          <w:spacing w:val="-83"/>
        </w:rPr>
      </w:r>
      <w:r>
        <w:rPr>
          <w:spacing w:val="-2"/>
        </w:rPr>
        <w:t>一步强化公司在传统ERP等高端企业信息化套装软件实施领域的优势地位，提高在新兴领域和</w:t>
      </w:r>
      <w:r>
        <w:rPr>
          <w:spacing w:val="-118"/>
        </w:rPr>
        <w:t> </w:t>
      </w:r>
      <w:r>
        <w:rPr>
          <w:spacing w:val="-118"/>
        </w:rPr>
      </w:r>
      <w:r>
        <w:rPr/>
        <w:t>新技术上的竞争力。</w:t>
      </w:r>
    </w:p>
    <w:p>
      <w:pPr>
        <w:pStyle w:val="Heading4"/>
        <w:spacing w:line="357" w:lineRule="auto"/>
        <w:ind w:left="633" w:right="93"/>
        <w:jc w:val="left"/>
      </w:pPr>
      <w:r>
        <w:rPr/>
        <w:t>3、人才计划 公司重视人才队伍建设，将员工的能力提升和薪酬激励增长及公司业绩增量进行匹配，</w:t>
      </w:r>
    </w:p>
    <w:p>
      <w:pPr>
        <w:pStyle w:val="Heading4"/>
        <w:spacing w:line="357" w:lineRule="auto"/>
        <w:ind w:right="228"/>
        <w:jc w:val="both"/>
      </w:pPr>
      <w:r>
        <w:rPr/>
        <w:t>来提升核心员工积极性；建立员工长期培训机制和专业化员工发展体系，提升个人能力和公</w:t>
      </w:r>
      <w:r>
        <w:rPr>
          <w:spacing w:val="-83"/>
        </w:rPr>
        <w:t> </w:t>
      </w:r>
      <w:r>
        <w:rPr>
          <w:spacing w:val="-83"/>
        </w:rPr>
      </w:r>
      <w:r>
        <w:rPr/>
        <w:t>司整体服务水平；加大招聘力度和人才储备以确保业务发展；公司将在实施股权激励计划和</w:t>
      </w:r>
      <w:r>
        <w:rPr>
          <w:spacing w:val="-83"/>
        </w:rPr>
        <w:t> </w:t>
      </w:r>
      <w:r>
        <w:rPr>
          <w:spacing w:val="-83"/>
        </w:rPr>
      </w:r>
      <w:r>
        <w:rPr/>
        <w:t>其他员工激励机制的基础上，进一步优化员工绩效考核体系；将更加注重员工文化建设，加</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left="634" w:right="5930" w:hanging="480"/>
        <w:jc w:val="left"/>
      </w:pPr>
      <w:r>
        <w:rPr/>
        <w:t>强凝聚力，提高工作中的幸福指数。 4、管理计划</w:t>
      </w:r>
    </w:p>
    <w:p>
      <w:pPr>
        <w:pStyle w:val="Heading4"/>
        <w:spacing w:line="357" w:lineRule="auto"/>
        <w:ind w:right="148" w:firstLine="480"/>
        <w:jc w:val="both"/>
      </w:pPr>
      <w:r>
        <w:rPr/>
        <w:t>公司将继续提升规范运营和治理水平，加强费用、收入、现金流等的管控，做好风险预</w:t>
      </w:r>
      <w:r>
        <w:rPr>
          <w:spacing w:val="1"/>
        </w:rPr>
        <w:t> </w:t>
      </w:r>
      <w:r>
        <w:rPr/>
        <w:t>警。按照上市公司要求，建立健全各项规章制度，积极推进内控建设、信息披露和三会运作</w:t>
      </w:r>
      <w:r>
        <w:rPr>
          <w:spacing w:val="-83"/>
        </w:rPr>
        <w:t> </w:t>
      </w:r>
      <w:r>
        <w:rPr>
          <w:spacing w:val="-83"/>
        </w:rPr>
      </w:r>
      <w:r>
        <w:rPr/>
        <w:t>等工作，完善公司治理，加强内部审计，提高成本费用控制，保障公司健康有序运行。增强</w:t>
      </w:r>
      <w:r>
        <w:rPr>
          <w:spacing w:val="-83"/>
        </w:rPr>
        <w:t> </w:t>
      </w:r>
      <w:r>
        <w:rPr>
          <w:spacing w:val="-83"/>
        </w:rPr>
      </w:r>
      <w:r>
        <w:rPr/>
        <w:t>公司运作透明度，保护中小投资者权益，进一步做好投资者关系管理工作，依法维护投资者</w:t>
      </w:r>
      <w:r>
        <w:rPr>
          <w:spacing w:val="-83"/>
        </w:rPr>
        <w:t> </w:t>
      </w:r>
      <w:r>
        <w:rPr>
          <w:spacing w:val="-83"/>
        </w:rPr>
      </w:r>
      <w:r>
        <w:rPr/>
        <w:t>权益。</w:t>
      </w:r>
    </w:p>
    <w:p>
      <w:pPr>
        <w:pStyle w:val="Heading4"/>
        <w:spacing w:line="357" w:lineRule="auto"/>
        <w:ind w:right="148" w:firstLine="480"/>
        <w:jc w:val="both"/>
      </w:pPr>
      <w:r>
        <w:rPr/>
        <w:t>2018年，公司将继续围绕年度工作总体部署与长期规划，开拓创新，扎实工作，继续立</w:t>
      </w:r>
      <w:r>
        <w:rPr>
          <w:spacing w:val="1"/>
        </w:rPr>
        <w:t> </w:t>
      </w:r>
      <w:r>
        <w:rPr/>
        <w:t>足客户，以咨询为先导，以产品为依托，以服务为根本，开创信息咨询与系统化建设的新局</w:t>
      </w:r>
      <w:r>
        <w:rPr>
          <w:spacing w:val="-83"/>
        </w:rPr>
        <w:t> </w:t>
      </w:r>
      <w:r>
        <w:rPr>
          <w:spacing w:val="-83"/>
        </w:rPr>
      </w:r>
      <w:r>
        <w:rPr/>
        <w:t>面。</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58"/>
        <w:jc w:val="right"/>
      </w:pPr>
      <w:r>
        <w:rPr/>
        <w:pict>
          <v:shape style="position:absolute;margin-left:56.459999pt;margin-top:-103.417953pt;width:479.2pt;height:288.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363"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w:t>
                        </w:r>
                      </w:p>
                    </w:tc>
                  </w:tr>
                  <w:tr>
                    <w:trPr>
                      <w:trHeight w:val="619"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0"/>
                          <w:jc w:val="left"/>
                          <w:rPr>
                            <w:rFonts w:ascii="宋体" w:hAnsi="宋体" w:cs="宋体" w:eastAsia="宋体" w:hint="default"/>
                            <w:sz w:val="18"/>
                            <w:szCs w:val="18"/>
                          </w:rPr>
                        </w:pPr>
                        <w:r>
                          <w:rPr>
                            <w:rFonts w:ascii="宋体" w:hAnsi="宋体" w:cs="宋体" w:eastAsia="宋体" w:hint="default"/>
                            <w:spacing w:val="-7"/>
                            <w:sz w:val="18"/>
                            <w:szCs w:val="18"/>
                          </w:rPr>
                          <w:t>录表》，披露日期：</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tc>
                  </w:tr>
                  <w:tr>
                    <w:trPr>
                      <w:trHeight w:val="356"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63"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w:t>
                        </w:r>
                      </w:p>
                    </w:tc>
                  </w:tr>
                  <w:tr>
                    <w:trPr>
                      <w:trHeight w:val="619"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13"/>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披露网站：巨潮资讯网</w:t>
                        </w:r>
                      </w:p>
                    </w:tc>
                  </w:tr>
                  <w:tr>
                    <w:trPr>
                      <w:trHeight w:val="356"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63"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tc>
                  </w:tr>
                  <w:tr>
                    <w:trPr>
                      <w:trHeight w:val="619"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13"/>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 披露网站：巨潮资讯网</w:t>
                        </w:r>
                      </w:p>
                    </w:tc>
                  </w:tr>
                  <w:tr>
                    <w:trPr>
                      <w:trHeight w:val="356"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63"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日投资者关系活动记</w:t>
                        </w:r>
                      </w:p>
                    </w:tc>
                  </w:tr>
                  <w:tr>
                    <w:trPr>
                      <w:trHeight w:val="619"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10"/>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tc>
                  </w:tr>
                  <w:tr>
                    <w:trPr>
                      <w:trHeight w:val="357"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57"/>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504"/>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both"/>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357" w:lineRule="auto" w:before="130"/>
        <w:ind w:right="93" w:firstLine="480"/>
        <w:jc w:val="left"/>
      </w:pPr>
      <w:r>
        <w:rPr>
          <w:spacing w:val="-3"/>
        </w:rPr>
        <w:t>报告期内，公司严格按照《公司章程》相关利润分配政策和审议程序实施利润分配方案，</w:t>
      </w:r>
      <w:r>
        <w:rPr/>
        <w:t> </w:t>
      </w:r>
      <w:r>
        <w:rPr>
          <w:spacing w:val="-2"/>
        </w:rPr>
        <w:t>分红标准和分红比例明确清晰，相关的决策程序和机制完备。公司利润分配方案经由董事会、</w:t>
      </w:r>
      <w:r>
        <w:rPr/>
        <w:t> 监事会审议过后提交股东大会审议，并由独立董事发表独立意见，审议通过后在规定时间内</w:t>
      </w:r>
      <w:r>
        <w:rPr>
          <w:spacing w:val="-83"/>
        </w:rPr>
        <w:t> </w:t>
      </w:r>
      <w:r>
        <w:rPr>
          <w:spacing w:val="-83"/>
        </w:rPr>
      </w:r>
      <w:r>
        <w:rPr/>
        <w:t>进行实施，切实保证了全体股东的利益。</w:t>
      </w:r>
    </w:p>
    <w:p>
      <w:pPr>
        <w:pStyle w:val="Heading4"/>
        <w:spacing w:line="240" w:lineRule="auto"/>
        <w:ind w:left="633" w:right="93"/>
        <w:jc w:val="left"/>
      </w:pPr>
      <w:r>
        <w:rPr>
          <w:spacing w:val="3"/>
        </w:rPr>
        <w:t>2017年5月18日，公司2016年度股东大会审议通过了《上海汉得信息技术股份有限公司</w:t>
      </w:r>
      <w:r>
        <w:rPr/>
      </w:r>
    </w:p>
    <w:p>
      <w:pPr>
        <w:pStyle w:val="Heading4"/>
        <w:spacing w:line="357" w:lineRule="auto" w:before="154"/>
        <w:ind w:right="148"/>
        <w:jc w:val="both"/>
      </w:pPr>
      <w:r>
        <w:rPr>
          <w:spacing w:val="-2"/>
        </w:rPr>
        <w:t>2016年度利润分配的预案》：公司以当时总股本857,887,869股为基数，向全体股东每10股派</w:t>
      </w:r>
      <w:r>
        <w:rPr>
          <w:spacing w:val="-106"/>
        </w:rPr>
        <w:t> </w:t>
      </w:r>
      <w:r>
        <w:rPr>
          <w:spacing w:val="-106"/>
        </w:rPr>
      </w:r>
      <w:r>
        <w:rPr>
          <w:spacing w:val="-2"/>
        </w:rPr>
        <w:t>发现金红利0.5元（含税），合计派发现金红利人民币42,894,393.45元。2017年6月12日，公</w:t>
      </w:r>
      <w:r>
        <w:rPr>
          <w:spacing w:val="-101"/>
        </w:rPr>
        <w:t> </w:t>
      </w:r>
      <w:r>
        <w:rPr>
          <w:spacing w:val="-101"/>
        </w:rPr>
      </w:r>
      <w:r>
        <w:rPr>
          <w:spacing w:val="7"/>
        </w:rPr>
        <w:t>司在中国证监会创业板指定信息披露媒体上披露了本次权益分派实施公告：股权登记日为</w:t>
      </w:r>
      <w:r>
        <w:rPr>
          <w:spacing w:val="7"/>
        </w:rPr>
        <w:t> </w:t>
      </w:r>
      <w:r>
        <w:rPr/>
        <w:t>2017年6月16日，除权除息日为2017年6月19日。本次分配方案已于2017年6月19日实施完毕。</w:t>
      </w:r>
    </w:p>
    <w:p>
      <w:pPr>
        <w:spacing w:line="240" w:lineRule="auto" w:before="7"/>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2"/>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93"/>
        <w:jc w:val="left"/>
      </w:pPr>
      <w:r>
        <w:rPr/>
        <w:t>公司报告期利润分配预案及资本公积金转增股本预案与公司章程和分红管理办法等的相关规定一致</w:t>
      </w:r>
    </w:p>
    <w:p>
      <w:pPr>
        <w:pStyle w:val="BodyText"/>
        <w:spacing w:line="348" w:lineRule="auto" w:before="117"/>
        <w:ind w:right="33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06"/>
        <w:gridCol w:w="5862"/>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872,994,589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2"/>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26,189,837.67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1,007,660,689.99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323,750,932.99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元，其中母公司实 现的净利润为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287,010,977.33 </w:t>
            </w:r>
            <w:r>
              <w:rPr>
                <w:rFonts w:ascii="宋体" w:hAnsi="宋体" w:cs="宋体" w:eastAsia="宋体" w:hint="default"/>
                <w:spacing w:val="-5"/>
                <w:sz w:val="18"/>
                <w:szCs w:val="18"/>
              </w:rPr>
              <w:t>元。根据公司章程的有关规定，按照母公司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28,701,097.73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日，母公司可供股东分配利润为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1,007,660,689.99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元，母公司年末资本公积金余额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609,281,139.</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5"/>
                <w:sz w:val="18"/>
                <w:szCs w:val="18"/>
              </w:rPr>
              <w:t>；</w:t>
            </w:r>
            <w:r>
              <w:rPr>
                <w:rFonts w:ascii="宋体" w:hAnsi="宋体" w:cs="宋体" w:eastAsia="宋体" w:hint="default"/>
                <w:sz w:val="18"/>
                <w:szCs w:val="18"/>
              </w:rPr>
              <w:t>现拟以目前总股本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872,994,589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w:t>
            </w:r>
            <w:r>
              <w:rPr>
                <w:rFonts w:ascii="宋体" w:hAnsi="宋体" w:cs="宋体" w:eastAsia="宋体" w:hint="default"/>
                <w:spacing w:val="-2"/>
                <w:sz w:val="18"/>
                <w:szCs w:val="18"/>
              </w:rPr>
              <w:t>基</w:t>
            </w:r>
            <w:r>
              <w:rPr>
                <w:rFonts w:ascii="宋体" w:hAnsi="宋体" w:cs="宋体" w:eastAsia="宋体" w:hint="default"/>
                <w:sz w:val="18"/>
                <w:szCs w:val="18"/>
              </w:rPr>
              <w:t>数</w:t>
            </w:r>
            <w:r>
              <w:rPr>
                <w:rFonts w:ascii="宋体" w:hAnsi="宋体" w:cs="宋体" w:eastAsia="宋体" w:hint="default"/>
                <w:spacing w:val="-5"/>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合计派</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发现金红利人民币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26,189,837.67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240" w:lineRule="auto" w:before="51"/>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Heading4"/>
        <w:spacing w:line="357" w:lineRule="auto" w:before="132"/>
        <w:ind w:left="634" w:right="0"/>
        <w:jc w:val="left"/>
      </w:pPr>
      <w:r>
        <w:rPr/>
        <w:t>（1）公司2015年利润分配方案 经立信会计师事务所（特殊普通合伙）审计，2015年实现归属于母公司股东的净利润为</w:t>
      </w:r>
    </w:p>
    <w:p>
      <w:pPr>
        <w:pStyle w:val="Heading4"/>
        <w:spacing w:line="357" w:lineRule="auto"/>
        <w:ind w:right="148"/>
        <w:jc w:val="both"/>
      </w:pPr>
      <w:r>
        <w:rPr/>
        <w:t>214,240,021.65元，其中母公司实现的净利润为209,285,440.80元。根据《公司章程》的有</w:t>
      </w:r>
      <w:r>
        <w:rPr>
          <w:spacing w:val="-93"/>
        </w:rPr>
        <w:t> </w:t>
      </w:r>
      <w:r>
        <w:rPr>
          <w:spacing w:val="-93"/>
        </w:rPr>
      </w:r>
      <w:r>
        <w:rPr/>
        <w:t>关规定，按照母公司2015年度实现净利润的10%计提法定盈余公积金20,928,544.08元，截至</w:t>
      </w:r>
      <w:r>
        <w:rPr>
          <w:spacing w:val="-110"/>
        </w:rPr>
        <w:t> </w:t>
      </w:r>
      <w:r>
        <w:rPr>
          <w:spacing w:val="-110"/>
        </w:rPr>
      </w:r>
      <w:r>
        <w:rPr/>
        <w:t>2015年12月31日，母公司可供股东分配利润为595,822,109.72元，母公司年末资本公积金余</w:t>
      </w:r>
      <w:r>
        <w:rPr>
          <w:spacing w:val="-93"/>
        </w:rPr>
        <w:t> </w:t>
      </w:r>
      <w:r>
        <w:rPr>
          <w:spacing w:val="-93"/>
        </w:rPr>
      </w:r>
      <w:r>
        <w:rPr>
          <w:spacing w:val="-2"/>
        </w:rPr>
        <w:t>额为396,895,442.73元；以公司当时总股本835,374,634股为基数，向全体股东每10股派发现</w:t>
      </w:r>
      <w:r>
        <w:rPr>
          <w:spacing w:val="-94"/>
        </w:rPr>
        <w:t> </w:t>
      </w:r>
      <w:r>
        <w:rPr>
          <w:spacing w:val="-94"/>
        </w:rPr>
      </w:r>
      <w:r>
        <w:rPr/>
        <w:t>金红利0.3元（含税），合计派发现金红利人民币25,061,239.02元。</w:t>
      </w:r>
    </w:p>
    <w:p>
      <w:pPr>
        <w:pStyle w:val="Heading4"/>
        <w:spacing w:line="357" w:lineRule="auto"/>
        <w:ind w:left="633" w:right="0"/>
        <w:jc w:val="left"/>
      </w:pPr>
      <w:r>
        <w:rPr/>
        <w:t>（2）公司2016年利润分配方案 经立信会计师事务所（特殊普通合伙）审计，2016年实现归属于母公司股东的净利润为</w:t>
      </w:r>
    </w:p>
    <w:p>
      <w:pPr>
        <w:pStyle w:val="Heading4"/>
        <w:spacing w:line="357" w:lineRule="auto"/>
        <w:ind w:right="148"/>
        <w:jc w:val="both"/>
      </w:pPr>
      <w:r>
        <w:rPr/>
        <w:t>241,382,013.60元，其中母公司实现的净利润为252,394,048.60元。根据《公司章程》的有</w:t>
      </w:r>
      <w:r>
        <w:rPr>
          <w:spacing w:val="-93"/>
        </w:rPr>
        <w:t> </w:t>
      </w:r>
      <w:r>
        <w:rPr>
          <w:spacing w:val="-93"/>
        </w:rPr>
      </w:r>
      <w:r>
        <w:rPr/>
        <w:t>关规定，按照母公司2016年度实现净利润的10%计提法定盈余公积金25,239,404.86元，截至</w:t>
      </w:r>
      <w:r>
        <w:rPr>
          <w:spacing w:val="-110"/>
        </w:rPr>
        <w:t> </w:t>
      </w:r>
      <w:r>
        <w:rPr>
          <w:spacing w:val="-110"/>
        </w:rPr>
      </w:r>
      <w:r>
        <w:rPr/>
        <w:t>2016年12月31日，母公司可供股东分配利润为798,050,545.38元，母公司年末资本公积金余</w:t>
      </w:r>
      <w:r>
        <w:rPr>
          <w:spacing w:val="-93"/>
        </w:rPr>
        <w:t> </w:t>
      </w:r>
      <w:r>
        <w:rPr>
          <w:spacing w:val="-93"/>
        </w:rPr>
      </w:r>
      <w:r>
        <w:rPr>
          <w:spacing w:val="-2"/>
        </w:rPr>
        <w:t>额为627,381,992.21元；以公司当时总股本857,887,869股为基数，向全体股东每10股派发现</w:t>
      </w:r>
      <w:r>
        <w:rPr>
          <w:spacing w:val="-94"/>
        </w:rPr>
        <w:t> </w:t>
      </w:r>
      <w:r>
        <w:rPr>
          <w:spacing w:val="-94"/>
        </w:rPr>
      </w:r>
      <w:r>
        <w:rPr/>
        <w:t>金红利0.5元（含税），合计派发现金红利人民币42,894,393.45元。</w:t>
      </w:r>
    </w:p>
    <w:p>
      <w:pPr>
        <w:pStyle w:val="Heading4"/>
        <w:spacing w:line="357" w:lineRule="auto"/>
        <w:ind w:left="633" w:right="0"/>
        <w:jc w:val="left"/>
      </w:pPr>
      <w:r>
        <w:rPr/>
        <w:t>（3）公司2017年利润分配预案 经立信会计师事务所（特殊普通合伙）审计，2017年实现归属于母公司股东的净利润为</w:t>
      </w:r>
    </w:p>
    <w:p>
      <w:pPr>
        <w:pStyle w:val="Heading4"/>
        <w:spacing w:line="357" w:lineRule="auto"/>
        <w:ind w:right="148"/>
        <w:jc w:val="both"/>
      </w:pPr>
      <w:r>
        <w:rPr/>
        <w:t>323,750,932.99元，其中母公司实现的净利润为287,010,977.33元。根据公司章程的有关规</w:t>
      </w:r>
      <w:r>
        <w:rPr>
          <w:spacing w:val="-93"/>
        </w:rPr>
        <w:t> </w:t>
      </w:r>
      <w:r>
        <w:rPr>
          <w:spacing w:val="-93"/>
        </w:rPr>
      </w:r>
      <w:r>
        <w:rPr/>
        <w:t>定，按照母公司2017年度实现净利润的10%计提法定盈余公积金28,701,097.73元，截至2017</w:t>
      </w:r>
      <w:r>
        <w:rPr>
          <w:spacing w:val="-111"/>
        </w:rPr>
        <w:t> </w:t>
      </w:r>
      <w:r>
        <w:rPr>
          <w:spacing w:val="-111"/>
        </w:rPr>
      </w:r>
      <w:r>
        <w:rPr/>
        <w:t>年12月31日，母公司可供股东分配利润为1,007,660,689.99元，母公司年末资本公积金余额</w:t>
      </w:r>
      <w:r>
        <w:rPr>
          <w:spacing w:val="-86"/>
        </w:rPr>
        <w:t> </w:t>
      </w:r>
      <w:r>
        <w:rPr>
          <w:spacing w:val="-86"/>
        </w:rPr>
      </w:r>
      <w:r>
        <w:rPr>
          <w:spacing w:val="-2"/>
        </w:rPr>
        <w:t>为609,281,139.11元；现拟以目前总股本872,994,589股为基数，向全体股东每10股派发现金</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r>
        <w:rPr/>
        <w:pict>
          <v:group style="position:absolute;margin-left:367.619995pt;margin-top:633pt;width:55.8pt;height:45.8pt;mso-position-horizontal-relative:page;mso-position-vertical-relative:page;z-index:-994984" coordorigin="7352,12660" coordsize="1116,916">
            <v:shape style="position:absolute;left:7352;top:12660;width:1116;height:916" coordorigin="7352,12660" coordsize="1116,916" path="m7352,13576l8468,13576,8468,12660,7352,12660,7352,13576xe" filled="true" fillcolor="#ffffff" stroked="false">
              <v:path arrowok="t"/>
              <v:fill type="solid"/>
            </v:shape>
            <w10:wrap type="none"/>
          </v:group>
        </w:pict>
      </w:r>
    </w:p>
    <w:p>
      <w:pPr>
        <w:pStyle w:val="Heading4"/>
        <w:spacing w:line="240" w:lineRule="auto" w:before="26"/>
        <w:ind w:left="154" w:right="0"/>
        <w:jc w:val="left"/>
      </w:pPr>
      <w:r>
        <w:rPr/>
        <w:t>红利0.3元（含税），合计派发现金红利人民币26,189,837.67元。</w:t>
      </w:r>
    </w:p>
    <w:p>
      <w:pPr>
        <w:spacing w:line="240" w:lineRule="auto" w:before="3"/>
        <w:rPr>
          <w:rFonts w:ascii="宋体" w:hAnsi="宋体" w:cs="宋体" w:eastAsia="宋体" w:hint="default"/>
          <w:sz w:val="9"/>
          <w:szCs w:val="9"/>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6"/>
        <w:gridCol w:w="1583"/>
        <w:gridCol w:w="1582"/>
        <w:gridCol w:w="1605"/>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中归属于上市公司</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于上市公司普通股</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r>
        <w:trPr>
          <w:trHeight w:val="197" w:hRule="exact"/>
        </w:trPr>
        <w:tc>
          <w:tcPr>
            <w:tcW w:w="15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6"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195"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税）</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普通股股东的净利</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股东的净利润的比</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润</w:t>
            </w: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26,189,837.67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323,750,932.99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8.09%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42,894,393.45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241,382,013.60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17.77%</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24,926,208.08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214,240,021.65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11.63%</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自本次定向发行结束之日起三十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六个月内</w:t>
            </w:r>
            <w:r>
              <w:rPr>
                <w:rFonts w:ascii="宋体" w:hAnsi="宋体" w:cs="宋体" w:eastAsia="宋体" w:hint="default"/>
                <w:spacing w:val="-87"/>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将不转让本人因汉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得信息本次定向发行而取得的汉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得信息股票</w:t>
            </w:r>
            <w:r>
              <w:rPr>
                <w:rFonts w:ascii="宋体" w:hAnsi="宋体" w:cs="宋体" w:eastAsia="宋体" w:hint="default"/>
                <w:spacing w:val="-87"/>
                <w:sz w:val="18"/>
                <w:szCs w:val="18"/>
              </w:rPr>
              <w:t>；</w:t>
            </w:r>
            <w:r>
              <w:rPr>
                <w:rFonts w:ascii="宋体" w:hAnsi="宋体" w:cs="宋体" w:eastAsia="宋体" w:hint="default"/>
                <w:spacing w:val="-2"/>
                <w:sz w:val="18"/>
                <w:szCs w:val="18"/>
              </w:rPr>
              <w:t>自</w:t>
            </w:r>
            <w:r>
              <w:rPr>
                <w:rFonts w:ascii="宋体" w:hAnsi="宋体" w:cs="宋体" w:eastAsia="宋体" w:hint="default"/>
                <w:sz w:val="18"/>
                <w:szCs w:val="18"/>
              </w:rPr>
              <w:t>本次定向发行结束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46" w:hRule="exact"/>
        </w:trPr>
        <w:tc>
          <w:tcPr>
            <w:tcW w:w="1276" w:type="dxa"/>
            <w:vMerge/>
            <w:tcBorders>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赵旭民、刘涛</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之日起，由于汉得信息送红股、转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增股本等原因使得本人增持的上 </w:t>
            </w:r>
            <w:r>
              <w:rPr>
                <w:rFonts w:ascii="宋体" w:hAnsi="宋体" w:cs="宋体" w:eastAsia="宋体" w:hint="default"/>
                <w:spacing w:val="-6"/>
                <w:sz w:val="18"/>
                <w:szCs w:val="18"/>
              </w:rPr>
              <w:t>市公司股份，本人承诺亦遵守上述</w:t>
            </w:r>
            <w:r>
              <w:rPr>
                <w:rFonts w:ascii="宋体" w:hAnsi="宋体" w:cs="宋体" w:eastAsia="宋体" w:hint="default"/>
                <w:sz w:val="18"/>
                <w:szCs w:val="18"/>
              </w:rPr>
              <w:t> </w:t>
            </w:r>
            <w:r>
              <w:rPr>
                <w:rFonts w:ascii="宋体" w:hAnsi="宋体" w:cs="宋体" w:eastAsia="宋体" w:hint="default"/>
                <w:spacing w:val="-6"/>
                <w:sz w:val="18"/>
                <w:szCs w:val="18"/>
              </w:rPr>
              <w:t>约定；本人因汉得信息本次定向发</w:t>
            </w:r>
            <w:r>
              <w:rPr>
                <w:rFonts w:ascii="宋体" w:hAnsi="宋体" w:cs="宋体" w:eastAsia="宋体" w:hint="default"/>
                <w:sz w:val="18"/>
                <w:szCs w:val="18"/>
              </w:rPr>
              <w:t> 行而取得的汉得信息的股票的锁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自本次定向 发行结束之 日起三十六 个月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本次定向发 行的股份上 市时间为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1" w:hRule="exact"/>
        </w:trPr>
        <w:tc>
          <w:tcPr>
            <w:tcW w:w="12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277" w:type="dxa"/>
            <w:tcBorders>
              <w:top w:val="nil" w:sz="6" w:space="0" w:color="auto"/>
              <w:left w:val="single" w:sz="13" w:space="0" w:color="D3D3D3"/>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限售期的规定与证券监管机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13" w:space="0" w:color="D3D3D3"/>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构的最新监管意见不相符</w:t>
            </w:r>
            <w:r>
              <w:rPr>
                <w:rFonts w:ascii="宋体" w:hAnsi="宋体" w:cs="宋体" w:eastAsia="宋体" w:hint="default"/>
                <w:spacing w:val="-87"/>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76" w:hRule="exact"/>
        </w:trPr>
        <w:tc>
          <w:tcPr>
            <w:tcW w:w="1276" w:type="dxa"/>
            <w:vMerge/>
            <w:tcBorders>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13" w:space="0" w:color="D3D3D3"/>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根据监管机构的监管意见进行相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276" w:type="dxa"/>
            <w:vMerge w:val="restart"/>
            <w:tcBorders>
              <w:top w:val="nil" w:sz="6" w:space="0" w:color="auto"/>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应调整。</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本公司在本次资产重组过</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程中提供的有关信息真实</w:t>
            </w:r>
            <w:r>
              <w:rPr>
                <w:rFonts w:ascii="宋体" w:hAnsi="宋体" w:cs="宋体" w:eastAsia="宋体" w:hint="default"/>
                <w:spacing w:val="-87"/>
                <w:sz w:val="18"/>
                <w:szCs w:val="18"/>
              </w:rPr>
              <w:t>、</w:t>
            </w:r>
            <w:r>
              <w:rPr>
                <w:rFonts w:ascii="宋体" w:hAnsi="宋体" w:cs="宋体" w:eastAsia="宋体" w:hint="default"/>
                <w:spacing w:val="-2"/>
                <w:sz w:val="18"/>
                <w:szCs w:val="18"/>
              </w:rPr>
              <w:t>准</w:t>
            </w:r>
            <w:r>
              <w:rPr>
                <w:rFonts w:ascii="宋体" w:hAnsi="宋体" w:cs="宋体" w:eastAsia="宋体" w:hint="default"/>
                <w:sz w:val="18"/>
                <w:szCs w:val="18"/>
              </w:rPr>
              <w:t>确和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BEYOND</w:t>
            </w:r>
          </w:p>
        </w:tc>
        <w:tc>
          <w:tcPr>
            <w:tcW w:w="991"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完整，保证不存在任何虚假记载 </w:t>
            </w:r>
            <w:r>
              <w:rPr>
                <w:rFonts w:ascii="宋体" w:hAnsi="宋体" w:cs="宋体" w:eastAsia="宋体" w:hint="default"/>
                <w:spacing w:val="-6"/>
                <w:sz w:val="18"/>
                <w:szCs w:val="18"/>
              </w:rPr>
              <w:t>误导性陈述或者重大遗漏，并对所</w:t>
            </w:r>
            <w:r>
              <w:rPr>
                <w:rFonts w:ascii="宋体" w:hAnsi="宋体" w:cs="宋体" w:eastAsia="宋体" w:hint="default"/>
                <w:sz w:val="18"/>
                <w:szCs w:val="18"/>
              </w:rPr>
              <w:t> </w:t>
            </w:r>
            <w:r>
              <w:rPr>
                <w:rFonts w:ascii="宋体" w:hAnsi="宋体" w:cs="宋体" w:eastAsia="宋体" w:hint="default"/>
                <w:spacing w:val="-6"/>
                <w:sz w:val="18"/>
                <w:szCs w:val="18"/>
              </w:rPr>
              <w:t>提供信息的真实性、准确性和完整</w:t>
            </w:r>
            <w:r>
              <w:rPr>
                <w:rFonts w:ascii="宋体" w:hAnsi="宋体" w:cs="宋体" w:eastAsia="宋体" w:hint="default"/>
                <w:sz w:val="18"/>
                <w:szCs w:val="18"/>
              </w:rPr>
              <w:t> </w:t>
            </w:r>
            <w:r>
              <w:rPr>
                <w:rFonts w:ascii="宋体" w:hAnsi="宋体" w:cs="宋体" w:eastAsia="宋体" w:hint="default"/>
                <w:spacing w:val="-6"/>
                <w:sz w:val="18"/>
                <w:szCs w:val="18"/>
              </w:rPr>
              <w:t>性承担个别和连带的法律责任；本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86"/>
              <w:jc w:val="both"/>
              <w:rPr>
                <w:rFonts w:ascii="宋体" w:hAnsi="宋体" w:cs="宋体" w:eastAsia="宋体" w:hint="default"/>
                <w:sz w:val="18"/>
                <w:szCs w:val="18"/>
              </w:rPr>
            </w:pPr>
            <w:r>
              <w:rPr>
                <w:rFonts w:ascii="宋体" w:hAnsi="宋体" w:cs="宋体" w:eastAsia="宋体" w:hint="default"/>
                <w:sz w:val="18"/>
                <w:szCs w:val="18"/>
              </w:rPr>
              <w:t>至本次资产 重组完成之 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本公司已向汉得信息及相关中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介机构提交本次资产重组所需全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5.320007pt;margin-top:72.480003pt;width:188.1pt;height:95.65pt;mso-position-horizontal-relative:page;mso-position-vertical-relative:page;z-index:-994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质版和电子版资料均真实、完整、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1082" w:right="0"/>
                    <w:jc w:val="left"/>
                  </w:pPr>
                  <w:r>
                    <w:rPr/>
                    <w:t>复印件与原件相符。</w:t>
                  </w:r>
                </w:p>
              </w:txbxContent>
            </v:textbox>
            <w10:wrap type="none"/>
          </v:shape>
        </w:pict>
      </w:r>
      <w:r>
        <w:rPr/>
        <w:pict>
          <v:group style="position:absolute;margin-left:367.619995pt;margin-top:558.299988pt;width:55.8pt;height:209.6pt;mso-position-horizontal-relative:page;mso-position-vertical-relative:page;z-index:-994912" coordorigin="7352,11166" coordsize="1116,4192">
            <v:shape style="position:absolute;left:7352;top:11166;width:1116;height:4192" coordorigin="7352,11166" coordsize="1116,4192" path="m7352,15358l8468,15358,8468,11166,7352,11166,7352,15358xe" filled="true" fillcolor="#ffffff" stroked="false">
              <v:path arrowok="t"/>
              <v:fill type="solid"/>
            </v:shape>
            <w10:wrap type="none"/>
          </v:group>
        </w:pict>
      </w:r>
      <w:r>
        <w:rPr/>
        <w:pict>
          <v:group style="position:absolute;margin-left:367.619995pt;margin-top:313.5pt;width:55.8pt;height:209.6pt;mso-position-horizontal-relative:page;mso-position-vertical-relative:page;z-index:-994888" coordorigin="7352,6270" coordsize="1116,4192">
            <v:shape style="position:absolute;left:7352;top:6270;width:1116;height:4192" coordorigin="7352,6270" coordsize="1116,4192" path="m7352,10462l8468,10462,8468,6270,7352,6270,7352,104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473"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部文件及资料</w:t>
            </w:r>
            <w:r>
              <w:rPr>
                <w:rFonts w:ascii="宋体" w:hAnsi="宋体" w:cs="宋体" w:eastAsia="宋体" w:hint="default"/>
                <w:spacing w:val="-88"/>
                <w:sz w:val="18"/>
                <w:szCs w:val="18"/>
              </w:rPr>
              <w:t>，</w:t>
            </w:r>
            <w:r>
              <w:rPr>
                <w:rFonts w:ascii="宋体" w:hAnsi="宋体" w:cs="宋体" w:eastAsia="宋体" w:hint="default"/>
                <w:sz w:val="18"/>
                <w:szCs w:val="18"/>
              </w:rPr>
              <w:t>同时承诺所提供纸</w:t>
            </w:r>
          </w:p>
        </w:tc>
        <w:tc>
          <w:tcPr>
            <w:tcW w:w="1126" w:type="dxa"/>
            <w:vMerge w:val="restart"/>
            <w:tcBorders>
              <w:top w:val="single" w:sz="4" w:space="0" w:color="000000"/>
              <w:left w:val="single" w:sz="4" w:space="0" w:color="000000"/>
              <w:right w:val="single" w:sz="4" w:space="0" w:color="000000"/>
            </w:tcBorders>
          </w:tcPr>
          <w:p>
            <w:pPr>
              <w:pStyle w:val="TableParagraph"/>
              <w:spacing w:line="19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55.8pt;height:95.65pt;mso-position-horizontal-relative:char;mso-position-vertical-relative:line" coordorigin="0,0" coordsize="1116,1913">
                  <v:group style="position:absolute;left:0;top:0;width:1116;height:1913" coordorigin="0,0" coordsize="1116,1913">
                    <v:shape style="position:absolute;left:0;top:0;width:1116;height:1913" coordorigin="0,0" coordsize="1116,1913" path="m0,1913l1116,1913,1116,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可靠</w:t>
            </w:r>
            <w:r>
              <w:rPr>
                <w:rFonts w:ascii="宋体" w:hAnsi="宋体" w:cs="宋体" w:eastAsia="宋体" w:hint="default"/>
                <w:spacing w:val="-87"/>
                <w:sz w:val="18"/>
                <w:szCs w:val="18"/>
              </w:rPr>
              <w:t>，</w:t>
            </w:r>
            <w:r>
              <w:rPr>
                <w:rFonts w:ascii="宋体" w:hAnsi="宋体" w:cs="宋体" w:eastAsia="宋体" w:hint="default"/>
                <w:sz w:val="18"/>
                <w:szCs w:val="18"/>
              </w:rPr>
              <w:t>有关副</w:t>
            </w:r>
            <w:r>
              <w:rPr>
                <w:rFonts w:ascii="宋体" w:hAnsi="宋体" w:cs="宋体" w:eastAsia="宋体" w:hint="default"/>
                <w:spacing w:val="-2"/>
                <w:sz w:val="18"/>
                <w:szCs w:val="18"/>
              </w:rPr>
              <w:t>本</w:t>
            </w:r>
            <w:r>
              <w:rPr>
                <w:rFonts w:ascii="宋体" w:hAnsi="宋体" w:cs="宋体" w:eastAsia="宋体" w:hint="default"/>
                <w:sz w:val="18"/>
                <w:szCs w:val="18"/>
              </w:rPr>
              <w:t>材料或者复印件与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原件一致</w:t>
            </w:r>
            <w:r>
              <w:rPr>
                <w:rFonts w:ascii="宋体" w:hAnsi="宋体" w:cs="宋体" w:eastAsia="宋体" w:hint="default"/>
                <w:spacing w:val="-87"/>
                <w:sz w:val="18"/>
                <w:szCs w:val="18"/>
              </w:rPr>
              <w:t>，</w:t>
            </w:r>
            <w:r>
              <w:rPr>
                <w:rFonts w:ascii="宋体" w:hAnsi="宋体" w:cs="宋体" w:eastAsia="宋体" w:hint="default"/>
                <w:sz w:val="18"/>
                <w:szCs w:val="18"/>
              </w:rPr>
              <w:t>文</w:t>
            </w:r>
            <w:r>
              <w:rPr>
                <w:rFonts w:ascii="宋体" w:hAnsi="宋体" w:cs="宋体" w:eastAsia="宋体" w:hint="default"/>
                <w:spacing w:val="-2"/>
                <w:sz w:val="18"/>
                <w:szCs w:val="18"/>
              </w:rPr>
              <w:t>件</w:t>
            </w:r>
            <w:r>
              <w:rPr>
                <w:rFonts w:ascii="宋体" w:hAnsi="宋体" w:cs="宋体" w:eastAsia="宋体" w:hint="default"/>
                <w:sz w:val="18"/>
                <w:szCs w:val="18"/>
              </w:rPr>
              <w:t>上所有签字与印章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皆真实</w:t>
            </w:r>
            <w:r>
              <w:rPr>
                <w:rFonts w:ascii="宋体" w:hAnsi="宋体" w:cs="宋体" w:eastAsia="宋体" w:hint="default"/>
                <w:spacing w:val="-89"/>
                <w:sz w:val="18"/>
                <w:szCs w:val="18"/>
              </w:rPr>
              <w:t>、</w:t>
            </w:r>
            <w:r>
              <w:rPr>
                <w:rFonts w:ascii="宋体" w:hAnsi="宋体" w:cs="宋体" w:eastAsia="宋体" w:hint="default"/>
                <w:sz w:val="18"/>
                <w:szCs w:val="18"/>
              </w:rPr>
              <w:t>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截至本承诺函出具日，本人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司、本公司的董事、监事、高级管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理人员及本公司的其他主要管理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BEYOND</w:t>
            </w:r>
          </w:p>
        </w:tc>
        <w:tc>
          <w:tcPr>
            <w:tcW w:w="991"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人员最近五年内均未受到过任何 </w:t>
            </w:r>
            <w:r>
              <w:rPr>
                <w:rFonts w:ascii="宋体" w:hAnsi="宋体" w:cs="宋体" w:eastAsia="宋体" w:hint="default"/>
                <w:spacing w:val="-6"/>
                <w:sz w:val="18"/>
                <w:szCs w:val="18"/>
              </w:rPr>
              <w:t>刑事处罚、行政处罚，未涉及与经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济纠纷有关的重大民事诉讼或者</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86"/>
              <w:jc w:val="both"/>
              <w:rPr>
                <w:rFonts w:ascii="宋体" w:hAnsi="宋体" w:cs="宋体" w:eastAsia="宋体" w:hint="default"/>
                <w:sz w:val="18"/>
                <w:szCs w:val="18"/>
              </w:rPr>
            </w:pPr>
            <w:r>
              <w:rPr>
                <w:rFonts w:ascii="宋体" w:hAnsi="宋体" w:cs="宋体" w:eastAsia="宋体" w:hint="default"/>
                <w:sz w:val="18"/>
                <w:szCs w:val="18"/>
              </w:rPr>
              <w:t>至本次资产 重组完成之 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仲裁案件</w:t>
            </w:r>
            <w:r>
              <w:rPr>
                <w:rFonts w:ascii="宋体" w:hAnsi="宋体" w:cs="宋体" w:eastAsia="宋体" w:hint="default"/>
                <w:spacing w:val="-87"/>
                <w:sz w:val="18"/>
                <w:szCs w:val="18"/>
              </w:rPr>
              <w:t>，</w:t>
            </w:r>
            <w:r>
              <w:rPr>
                <w:rFonts w:ascii="宋体" w:hAnsi="宋体" w:cs="宋体" w:eastAsia="宋体" w:hint="default"/>
                <w:sz w:val="18"/>
                <w:szCs w:val="18"/>
              </w:rPr>
              <w:t>亦</w:t>
            </w:r>
            <w:r>
              <w:rPr>
                <w:rFonts w:ascii="宋体" w:hAnsi="宋体" w:cs="宋体" w:eastAsia="宋体" w:hint="default"/>
                <w:spacing w:val="-2"/>
                <w:sz w:val="18"/>
                <w:szCs w:val="18"/>
              </w:rPr>
              <w:t>不</w:t>
            </w:r>
            <w:r>
              <w:rPr>
                <w:rFonts w:ascii="宋体" w:hAnsi="宋体" w:cs="宋体" w:eastAsia="宋体" w:hint="default"/>
                <w:sz w:val="18"/>
                <w:szCs w:val="18"/>
              </w:rPr>
              <w:t>存在任何尚未了结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的重大诉讼</w:t>
            </w:r>
            <w:r>
              <w:rPr>
                <w:rFonts w:ascii="宋体" w:hAnsi="宋体" w:cs="宋体" w:eastAsia="宋体" w:hint="default"/>
                <w:spacing w:val="-87"/>
                <w:sz w:val="18"/>
                <w:szCs w:val="18"/>
              </w:rPr>
              <w:t>、</w:t>
            </w:r>
            <w:r>
              <w:rPr>
                <w:rFonts w:ascii="宋体" w:hAnsi="宋体" w:cs="宋体" w:eastAsia="宋体" w:hint="default"/>
                <w:spacing w:val="-2"/>
                <w:sz w:val="18"/>
                <w:szCs w:val="18"/>
              </w:rPr>
              <w:t>仲</w:t>
            </w:r>
            <w:r>
              <w:rPr>
                <w:rFonts w:ascii="宋体" w:hAnsi="宋体" w:cs="宋体" w:eastAsia="宋体" w:hint="default"/>
                <w:sz w:val="18"/>
                <w:szCs w:val="18"/>
              </w:rPr>
              <w:t>裁及正在执行中的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截至本承诺函出具日，本人持有</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扬州达美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的股权（以下简称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标的股权</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标的资产</w:t>
            </w:r>
            <w:r>
              <w:rPr>
                <w:rFonts w:ascii="Times New Roman" w:hAnsi="Times New Roman" w:cs="Times New Roman" w:eastAsia="Times New Roman" w:hint="default"/>
                <w:spacing w:val="-1"/>
                <w:sz w:val="18"/>
                <w:szCs w:val="18"/>
              </w:rPr>
              <w:t>"</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本人保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证扬州达美是合法成立</w:t>
            </w:r>
            <w:r>
              <w:rPr>
                <w:rFonts w:ascii="宋体" w:hAnsi="宋体" w:cs="宋体" w:eastAsia="宋体" w:hint="default"/>
                <w:spacing w:val="-87"/>
                <w:sz w:val="18"/>
                <w:szCs w:val="18"/>
              </w:rPr>
              <w:t>、</w:t>
            </w:r>
            <w:r>
              <w:rPr>
                <w:rFonts w:ascii="宋体" w:hAnsi="宋体" w:cs="宋体" w:eastAsia="宋体" w:hint="default"/>
                <w:sz w:val="18"/>
                <w:szCs w:val="18"/>
              </w:rPr>
              <w:t>有</w:t>
            </w:r>
            <w:r>
              <w:rPr>
                <w:rFonts w:ascii="宋体" w:hAnsi="宋体" w:cs="宋体" w:eastAsia="宋体" w:hint="default"/>
                <w:spacing w:val="-2"/>
                <w:sz w:val="18"/>
                <w:szCs w:val="18"/>
              </w:rPr>
              <w:t>效</w:t>
            </w:r>
            <w:r>
              <w:rPr>
                <w:rFonts w:ascii="宋体" w:hAnsi="宋体" w:cs="宋体" w:eastAsia="宋体" w:hint="default"/>
                <w:sz w:val="18"/>
                <w:szCs w:val="18"/>
              </w:rPr>
              <w:t>存续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的有限责任公司</w:t>
            </w:r>
            <w:r>
              <w:rPr>
                <w:rFonts w:ascii="宋体" w:hAnsi="宋体" w:cs="宋体" w:eastAsia="宋体" w:hint="default"/>
                <w:spacing w:val="-87"/>
                <w:sz w:val="18"/>
                <w:szCs w:val="18"/>
              </w:rPr>
              <w:t>，</w:t>
            </w:r>
            <w:r>
              <w:rPr>
                <w:rFonts w:ascii="宋体" w:hAnsi="宋体" w:cs="宋体" w:eastAsia="宋体" w:hint="default"/>
                <w:sz w:val="18"/>
                <w:szCs w:val="18"/>
              </w:rPr>
              <w:t>扬州达美</w:t>
            </w:r>
            <w:r>
              <w:rPr>
                <w:rFonts w:ascii="宋体" w:hAnsi="宋体" w:cs="宋体" w:eastAsia="宋体" w:hint="default"/>
                <w:spacing w:val="-2"/>
                <w:sz w:val="18"/>
                <w:szCs w:val="18"/>
              </w:rPr>
              <w:t>不</w:t>
            </w:r>
            <w:r>
              <w:rPr>
                <w:rFonts w:ascii="宋体" w:hAnsi="宋体" w:cs="宋体" w:eastAsia="宋体" w:hint="default"/>
                <w:sz w:val="18"/>
                <w:szCs w:val="18"/>
              </w:rPr>
              <w:t>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影响其合法存续的情况</w:t>
            </w:r>
            <w:r>
              <w:rPr>
                <w:rFonts w:ascii="宋体" w:hAnsi="宋体" w:cs="宋体" w:eastAsia="宋体" w:hint="default"/>
                <w:spacing w:val="-87"/>
                <w:sz w:val="18"/>
                <w:szCs w:val="18"/>
              </w:rPr>
              <w:t>，</w:t>
            </w:r>
            <w:r>
              <w:rPr>
                <w:rFonts w:ascii="宋体" w:hAnsi="宋体" w:cs="宋体" w:eastAsia="宋体" w:hint="default"/>
                <w:sz w:val="18"/>
                <w:szCs w:val="18"/>
              </w:rPr>
              <w:t>不</w:t>
            </w:r>
            <w:r>
              <w:rPr>
                <w:rFonts w:ascii="宋体" w:hAnsi="宋体" w:cs="宋体" w:eastAsia="宋体" w:hint="default"/>
                <w:spacing w:val="-2"/>
                <w:sz w:val="18"/>
                <w:szCs w:val="18"/>
              </w:rPr>
              <w:t>存</w:t>
            </w:r>
            <w:r>
              <w:rPr>
                <w:rFonts w:ascii="宋体" w:hAnsi="宋体" w:cs="宋体" w:eastAsia="宋体" w:hint="default"/>
                <w:sz w:val="18"/>
                <w:szCs w:val="18"/>
              </w:rPr>
              <w:t>在权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利瑕疵和其他影响标的资产过户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宋体" w:hAnsi="宋体" w:cs="宋体" w:eastAsia="宋体" w:hint="default"/>
                <w:spacing w:val="-87"/>
                <w:sz w:val="18"/>
                <w:szCs w:val="18"/>
              </w:rPr>
              <w:t>，</w:t>
            </w:r>
            <w:r>
              <w:rPr>
                <w:rFonts w:ascii="宋体" w:hAnsi="宋体" w:cs="宋体" w:eastAsia="宋体" w:hint="default"/>
                <w:sz w:val="18"/>
                <w:szCs w:val="18"/>
              </w:rPr>
              <w:t>标的</w:t>
            </w:r>
            <w:r>
              <w:rPr>
                <w:rFonts w:ascii="宋体" w:hAnsi="宋体" w:cs="宋体" w:eastAsia="宋体" w:hint="default"/>
                <w:spacing w:val="-2"/>
                <w:sz w:val="18"/>
                <w:szCs w:val="18"/>
              </w:rPr>
              <w:t>资</w:t>
            </w:r>
            <w:r>
              <w:rPr>
                <w:rFonts w:ascii="宋体" w:hAnsi="宋体" w:cs="宋体" w:eastAsia="宋体" w:hint="default"/>
                <w:sz w:val="18"/>
                <w:szCs w:val="18"/>
              </w:rPr>
              <w:t>产的持有人由本人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过户到汉得信息不存在法律障碍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扬州达美不存在依据中国法律规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定及其章程需要终止的情形</w:t>
            </w:r>
            <w:r>
              <w:rPr>
                <w:rFonts w:ascii="宋体" w:hAnsi="宋体" w:cs="宋体" w:eastAsia="宋体" w:hint="default"/>
                <w:spacing w:val="-88"/>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保证本人合法持有标的股权且该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等股权不存在信托安排</w:t>
            </w:r>
            <w:r>
              <w:rPr>
                <w:rFonts w:ascii="宋体" w:hAnsi="宋体" w:cs="宋体" w:eastAsia="宋体" w:hint="default"/>
                <w:spacing w:val="-87"/>
                <w:sz w:val="18"/>
                <w:szCs w:val="18"/>
              </w:rPr>
              <w:t>、</w:t>
            </w:r>
            <w:r>
              <w:rPr>
                <w:rFonts w:ascii="宋体" w:hAnsi="宋体" w:cs="宋体" w:eastAsia="宋体" w:hint="default"/>
                <w:sz w:val="18"/>
                <w:szCs w:val="18"/>
              </w:rPr>
              <w:t>不</w:t>
            </w:r>
            <w:r>
              <w:rPr>
                <w:rFonts w:ascii="宋体" w:hAnsi="宋体" w:cs="宋体" w:eastAsia="宋体" w:hint="default"/>
                <w:spacing w:val="-2"/>
                <w:sz w:val="18"/>
                <w:szCs w:val="18"/>
              </w:rPr>
              <w:t>存</w:t>
            </w:r>
            <w:r>
              <w:rPr>
                <w:rFonts w:ascii="宋体" w:hAnsi="宋体" w:cs="宋体" w:eastAsia="宋体" w:hint="default"/>
                <w:sz w:val="18"/>
                <w:szCs w:val="18"/>
              </w:rPr>
              <w:t>在股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赵旭民、刘涛</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both"/>
              <w:rPr>
                <w:rFonts w:ascii="宋体" w:hAnsi="宋体" w:cs="宋体" w:eastAsia="宋体" w:hint="default"/>
                <w:sz w:val="18"/>
                <w:szCs w:val="18"/>
              </w:rPr>
            </w:pPr>
            <w:r>
              <w:rPr>
                <w:rFonts w:ascii="宋体" w:hAnsi="宋体" w:cs="宋体" w:eastAsia="宋体" w:hint="default"/>
                <w:spacing w:val="-6"/>
                <w:sz w:val="18"/>
                <w:szCs w:val="18"/>
              </w:rPr>
              <w:t>份代持、不代表其他方的利益，且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该等股权未设定其他他项权利，不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存在任何股权纠纷或潜在的股权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86"/>
              <w:jc w:val="both"/>
              <w:rPr>
                <w:rFonts w:ascii="宋体" w:hAnsi="宋体" w:cs="宋体" w:eastAsia="宋体" w:hint="default"/>
                <w:sz w:val="18"/>
                <w:szCs w:val="18"/>
              </w:rPr>
            </w:pPr>
            <w:r>
              <w:rPr>
                <w:rFonts w:ascii="宋体" w:hAnsi="宋体" w:cs="宋体" w:eastAsia="宋体" w:hint="default"/>
                <w:sz w:val="18"/>
                <w:szCs w:val="18"/>
              </w:rPr>
              <w:t>至本次资产 重组完成之 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纠纷，亦未被任何部门实施扣押</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查封</w:t>
            </w:r>
            <w:r>
              <w:rPr>
                <w:rFonts w:ascii="宋体" w:hAnsi="宋体" w:cs="宋体" w:eastAsia="宋体" w:hint="default"/>
                <w:spacing w:val="-87"/>
                <w:sz w:val="18"/>
                <w:szCs w:val="18"/>
              </w:rPr>
              <w:t>、</w:t>
            </w:r>
            <w:r>
              <w:rPr>
                <w:rFonts w:ascii="宋体" w:hAnsi="宋体" w:cs="宋体" w:eastAsia="宋体" w:hint="default"/>
                <w:sz w:val="18"/>
                <w:szCs w:val="18"/>
              </w:rPr>
              <w:t>冻结等</w:t>
            </w:r>
            <w:r>
              <w:rPr>
                <w:rFonts w:ascii="宋体" w:hAnsi="宋体" w:cs="宋体" w:eastAsia="宋体" w:hint="default"/>
                <w:spacing w:val="-2"/>
                <w:sz w:val="18"/>
                <w:szCs w:val="18"/>
              </w:rPr>
              <w:t>使</w:t>
            </w:r>
            <w:r>
              <w:rPr>
                <w:rFonts w:ascii="宋体" w:hAnsi="宋体" w:cs="宋体" w:eastAsia="宋体" w:hint="default"/>
                <w:sz w:val="18"/>
                <w:szCs w:val="18"/>
              </w:rPr>
              <w:t>其权利受到限制的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不利情形，不存在权益纠纷，不存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在涉及诉讼、仲裁、司法强制执行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等重大争议或者存在其他任何妨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碍权属转移的其他情形</w:t>
            </w:r>
            <w:r>
              <w:rPr>
                <w:rFonts w:ascii="宋体" w:hAnsi="宋体" w:cs="宋体" w:eastAsia="宋体" w:hint="default"/>
                <w:spacing w:val="-87"/>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标的资产的该状态持续至本次交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易完成之日；本人保证，在本次资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产重组实施完成前</w:t>
            </w:r>
            <w:r>
              <w:rPr>
                <w:rFonts w:ascii="宋体" w:hAnsi="宋体" w:cs="宋体" w:eastAsia="宋体" w:hint="default"/>
                <w:spacing w:val="-87"/>
                <w:sz w:val="18"/>
                <w:szCs w:val="18"/>
              </w:rPr>
              <w:t>，</w:t>
            </w:r>
            <w:r>
              <w:rPr>
                <w:rFonts w:ascii="宋体" w:hAnsi="宋体" w:cs="宋体" w:eastAsia="宋体" w:hint="default"/>
                <w:sz w:val="18"/>
                <w:szCs w:val="18"/>
              </w:rPr>
              <w:t>将确保</w:t>
            </w:r>
            <w:r>
              <w:rPr>
                <w:rFonts w:ascii="宋体" w:hAnsi="宋体" w:cs="宋体" w:eastAsia="宋体" w:hint="default"/>
                <w:spacing w:val="-2"/>
                <w:sz w:val="18"/>
                <w:szCs w:val="18"/>
              </w:rPr>
              <w:t>标</w:t>
            </w:r>
            <w:r>
              <w:rPr>
                <w:rFonts w:ascii="宋体" w:hAnsi="宋体" w:cs="宋体" w:eastAsia="宋体" w:hint="default"/>
                <w:sz w:val="18"/>
                <w:szCs w:val="18"/>
              </w:rPr>
              <w:t>的资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产产权清晰，扬州达美不发生抵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押、质押等权利限制的情形，不发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生涉及诉讼、仲裁、司法强制执行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等重大争议或者妨碍权属转移的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19995pt;margin-top:514.799988pt;width:55.8pt;height:248.6pt;mso-position-horizontal-relative:page;mso-position-vertical-relative:page;z-index:-994864" coordorigin="7352,10296" coordsize="1116,4972">
            <v:shape style="position:absolute;left:7352;top:10296;width:1116;height:4972" coordorigin="7352,10296" coordsize="1116,4972" path="m7352,15268l8468,15268,8468,10296,7352,10296,7352,15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其他情形；本人保证，自汉得信息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就本次资产重组召开的首次股东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大会决议公告之日起三十（</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内，扬州达美向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CAMELOT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pacing w:val="-3"/>
                <w:sz w:val="18"/>
              </w:rPr>
              <w:t>INFORMATION </w:t>
            </w:r>
            <w:r>
              <w:rPr>
                <w:rFonts w:ascii="Times New Roman"/>
                <w:sz w:val="18"/>
              </w:rPr>
              <w:t>SYSTEMS</w:t>
            </w:r>
            <w:r>
              <w:rPr>
                <w:rFonts w:ascii="Times New Roman"/>
                <w:spacing w:val="2"/>
                <w:sz w:val="18"/>
              </w:rPr>
              <w:t> </w:t>
            </w:r>
            <w:r>
              <w:rPr>
                <w:rFonts w:ascii="Times New Roman"/>
                <w:sz w:val="18"/>
              </w:rPr>
              <w:t>INC.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（以下简称</w:t>
            </w:r>
            <w:r>
              <w:rPr>
                <w:rFonts w:ascii="Times New Roman" w:hAnsi="Times New Roman" w:cs="Times New Roman" w:eastAsia="Times New Roman" w:hint="default"/>
                <w:spacing w:val="-2"/>
                <w:sz w:val="18"/>
                <w:szCs w:val="18"/>
              </w:rPr>
              <w:t>"CAMELOT"</w:t>
            </w:r>
            <w:r>
              <w:rPr>
                <w:rFonts w:ascii="宋体" w:hAnsi="宋体" w:cs="宋体" w:eastAsia="宋体" w:hint="default"/>
                <w:spacing w:val="-2"/>
                <w:sz w:val="18"/>
                <w:szCs w:val="18"/>
              </w:rPr>
              <w:t>）全额支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付其向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购买上海达美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股权的股权转让价款或取得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豁免其支付该等股权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转让价款的书面文件。</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截至本承诺函出具日，本公司持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有上海达美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标的股权</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标的资产</w:t>
            </w:r>
            <w:r>
              <w:rPr>
                <w:rFonts w:ascii="Times New Roman" w:hAnsi="Times New Roman" w:cs="Times New Roman" w:eastAsia="Times New Roman" w:hint="default"/>
                <w:spacing w:val="-1"/>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公司保证上海达美是合法成立</w:t>
            </w:r>
            <w:r>
              <w:rPr>
                <w:rFonts w:ascii="宋体" w:hAnsi="宋体" w:cs="宋体" w:eastAsia="宋体" w:hint="default"/>
                <w:spacing w:val="-87"/>
                <w:sz w:val="18"/>
                <w:szCs w:val="18"/>
              </w:rPr>
              <w:t>、</w:t>
            </w:r>
            <w:r>
              <w:rPr>
                <w:rFonts w:ascii="宋体" w:hAnsi="宋体" w:cs="宋体" w:eastAsia="宋体" w:hint="default"/>
                <w:sz w:val="18"/>
                <w:szCs w:val="18"/>
              </w:rPr>
              <w:t>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效存续的有限责任公司</w:t>
            </w:r>
            <w:r>
              <w:rPr>
                <w:rFonts w:ascii="宋体" w:hAnsi="宋体" w:cs="宋体" w:eastAsia="宋体" w:hint="default"/>
                <w:spacing w:val="-87"/>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达美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不存在影响其合法存续的情况</w:t>
            </w:r>
            <w:r>
              <w:rPr>
                <w:rFonts w:ascii="宋体" w:hAnsi="宋体" w:cs="宋体" w:eastAsia="宋体" w:hint="default"/>
                <w:spacing w:val="-87"/>
                <w:sz w:val="18"/>
                <w:szCs w:val="18"/>
              </w:rPr>
              <w:t>，</w:t>
            </w:r>
            <w:r>
              <w:rPr>
                <w:rFonts w:ascii="宋体" w:hAnsi="宋体" w:cs="宋体" w:eastAsia="宋体" w:hint="default"/>
                <w:sz w:val="18"/>
                <w:szCs w:val="18"/>
              </w:rPr>
              <w:t>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存在权利瑕疵和其他影响标的资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产过户的情况</w:t>
            </w:r>
            <w:r>
              <w:rPr>
                <w:rFonts w:ascii="宋体" w:hAnsi="宋体" w:cs="宋体" w:eastAsia="宋体" w:hint="default"/>
                <w:spacing w:val="-88"/>
                <w:sz w:val="18"/>
                <w:szCs w:val="18"/>
              </w:rPr>
              <w:t>，</w:t>
            </w:r>
            <w:r>
              <w:rPr>
                <w:rFonts w:ascii="宋体" w:hAnsi="宋体" w:cs="宋体" w:eastAsia="宋体" w:hint="default"/>
                <w:sz w:val="18"/>
                <w:szCs w:val="18"/>
              </w:rPr>
              <w:t>标的资产的持有人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由本公司过户到汉得信息不存在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法律障碍</w:t>
            </w:r>
            <w:r>
              <w:rPr>
                <w:rFonts w:ascii="宋体" w:hAnsi="宋体" w:cs="宋体" w:eastAsia="宋体" w:hint="default"/>
                <w:spacing w:val="-87"/>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达美不存在依据中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国法律规定及其章程需要终止的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宋体" w:hAnsi="宋体" w:cs="宋体" w:eastAsia="宋体" w:hint="default"/>
                <w:spacing w:val="-87"/>
                <w:sz w:val="18"/>
                <w:szCs w:val="18"/>
              </w:rPr>
              <w:t>；</w:t>
            </w:r>
            <w:r>
              <w:rPr>
                <w:rFonts w:ascii="宋体" w:hAnsi="宋体" w:cs="宋体" w:eastAsia="宋体" w:hint="default"/>
                <w:sz w:val="18"/>
                <w:szCs w:val="18"/>
              </w:rPr>
              <w:t>本公司</w:t>
            </w:r>
            <w:r>
              <w:rPr>
                <w:rFonts w:ascii="宋体" w:hAnsi="宋体" w:cs="宋体" w:eastAsia="宋体" w:hint="default"/>
                <w:spacing w:val="-2"/>
                <w:sz w:val="18"/>
                <w:szCs w:val="18"/>
              </w:rPr>
              <w:t>保</w:t>
            </w:r>
            <w:r>
              <w:rPr>
                <w:rFonts w:ascii="宋体" w:hAnsi="宋体" w:cs="宋体" w:eastAsia="宋体" w:hint="default"/>
                <w:sz w:val="18"/>
                <w:szCs w:val="18"/>
              </w:rPr>
              <w:t>证本公司合法持有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标的股权且该等股权不存在信托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安排、不存在股份代持、不代表其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他方的利益</w:t>
            </w:r>
            <w:r>
              <w:rPr>
                <w:rFonts w:ascii="宋体" w:hAnsi="宋体" w:cs="宋体" w:eastAsia="宋体" w:hint="default"/>
                <w:spacing w:val="-87"/>
                <w:sz w:val="18"/>
                <w:szCs w:val="18"/>
              </w:rPr>
              <w:t>，</w:t>
            </w:r>
            <w:r>
              <w:rPr>
                <w:rFonts w:ascii="宋体" w:hAnsi="宋体" w:cs="宋体" w:eastAsia="宋体" w:hint="default"/>
                <w:spacing w:val="-2"/>
                <w:sz w:val="18"/>
                <w:szCs w:val="18"/>
              </w:rPr>
              <w:t>且</w:t>
            </w:r>
            <w:r>
              <w:rPr>
                <w:rFonts w:ascii="宋体" w:hAnsi="宋体" w:cs="宋体" w:eastAsia="宋体" w:hint="default"/>
                <w:sz w:val="18"/>
                <w:szCs w:val="18"/>
              </w:rPr>
              <w:t>该等股权未设定其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BEYOND</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6"/>
                <w:sz w:val="18"/>
                <w:szCs w:val="18"/>
              </w:rPr>
              <w:t>他他项权利，不存在任何股权纠纷</w:t>
            </w:r>
            <w:r>
              <w:rPr>
                <w:rFonts w:ascii="宋体" w:hAnsi="宋体" w:cs="宋体" w:eastAsia="宋体" w:hint="default"/>
                <w:sz w:val="18"/>
                <w:szCs w:val="18"/>
              </w:rPr>
              <w:t> </w:t>
            </w:r>
            <w:r>
              <w:rPr>
                <w:rFonts w:ascii="宋体" w:hAnsi="宋体" w:cs="宋体" w:eastAsia="宋体" w:hint="default"/>
                <w:spacing w:val="-6"/>
                <w:sz w:val="18"/>
                <w:szCs w:val="18"/>
              </w:rPr>
              <w:t>或潜在的股权纠纷，亦未被任何部</w:t>
            </w:r>
            <w:r>
              <w:rPr>
                <w:rFonts w:ascii="宋体" w:hAnsi="宋体" w:cs="宋体" w:eastAsia="宋体" w:hint="default"/>
                <w:sz w:val="18"/>
                <w:szCs w:val="18"/>
              </w:rPr>
              <w:t> </w:t>
            </w:r>
            <w:r>
              <w:rPr>
                <w:rFonts w:ascii="宋体" w:hAnsi="宋体" w:cs="宋体" w:eastAsia="宋体" w:hint="default"/>
                <w:spacing w:val="-6"/>
                <w:sz w:val="18"/>
                <w:szCs w:val="18"/>
              </w:rPr>
              <w:t>门实施扣押、查封、冻结等使其权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利受到限制的不利情形，不存在权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86"/>
              <w:jc w:val="both"/>
              <w:rPr>
                <w:rFonts w:ascii="宋体" w:hAnsi="宋体" w:cs="宋体" w:eastAsia="宋体" w:hint="default"/>
                <w:sz w:val="18"/>
                <w:szCs w:val="18"/>
              </w:rPr>
            </w:pPr>
            <w:r>
              <w:rPr>
                <w:rFonts w:ascii="宋体" w:hAnsi="宋体" w:cs="宋体" w:eastAsia="宋体" w:hint="default"/>
                <w:sz w:val="18"/>
                <w:szCs w:val="18"/>
              </w:rPr>
              <w:t>至本次资产 重组完成之 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益纠纷，不存在涉及诉讼、仲裁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司法强制执行等重大争议或者存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在其他任何妨碍权属转移的其他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宋体" w:hAnsi="宋体" w:cs="宋体" w:eastAsia="宋体" w:hint="default"/>
                <w:spacing w:val="-87"/>
                <w:sz w:val="18"/>
                <w:szCs w:val="18"/>
              </w:rPr>
              <w:t>，</w:t>
            </w:r>
            <w:r>
              <w:rPr>
                <w:rFonts w:ascii="宋体" w:hAnsi="宋体" w:cs="宋体" w:eastAsia="宋体" w:hint="default"/>
                <w:sz w:val="18"/>
                <w:szCs w:val="18"/>
              </w:rPr>
              <w:t>本公司</w:t>
            </w:r>
            <w:r>
              <w:rPr>
                <w:rFonts w:ascii="宋体" w:hAnsi="宋体" w:cs="宋体" w:eastAsia="宋体" w:hint="default"/>
                <w:spacing w:val="-2"/>
                <w:sz w:val="18"/>
                <w:szCs w:val="18"/>
              </w:rPr>
              <w:t>保</w:t>
            </w:r>
            <w:r>
              <w:rPr>
                <w:rFonts w:ascii="宋体" w:hAnsi="宋体" w:cs="宋体" w:eastAsia="宋体" w:hint="default"/>
                <w:sz w:val="18"/>
                <w:szCs w:val="18"/>
              </w:rPr>
              <w:t>证标的资产的该状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态持续至本次交易完成之日</w:t>
            </w:r>
            <w:r>
              <w:rPr>
                <w:rFonts w:ascii="宋体" w:hAnsi="宋体" w:cs="宋体" w:eastAsia="宋体" w:hint="default"/>
                <w:spacing w:val="-88"/>
                <w:sz w:val="18"/>
                <w:szCs w:val="18"/>
              </w:rPr>
              <w:t>；</w:t>
            </w:r>
            <w:r>
              <w:rPr>
                <w:rFonts w:ascii="宋体" w:hAnsi="宋体" w:cs="宋体" w:eastAsia="宋体" w:hint="default"/>
                <w:sz w:val="18"/>
                <w:szCs w:val="18"/>
              </w:rPr>
              <w:t>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司保证</w:t>
            </w:r>
            <w:r>
              <w:rPr>
                <w:rFonts w:ascii="宋体" w:hAnsi="宋体" w:cs="宋体" w:eastAsia="宋体" w:hint="default"/>
                <w:spacing w:val="-87"/>
                <w:sz w:val="18"/>
                <w:szCs w:val="18"/>
              </w:rPr>
              <w:t>，</w:t>
            </w:r>
            <w:r>
              <w:rPr>
                <w:rFonts w:ascii="宋体" w:hAnsi="宋体" w:cs="宋体" w:eastAsia="宋体" w:hint="default"/>
                <w:sz w:val="18"/>
                <w:szCs w:val="18"/>
              </w:rPr>
              <w:t>在本</w:t>
            </w:r>
            <w:r>
              <w:rPr>
                <w:rFonts w:ascii="宋体" w:hAnsi="宋体" w:cs="宋体" w:eastAsia="宋体" w:hint="default"/>
                <w:spacing w:val="-2"/>
                <w:sz w:val="18"/>
                <w:szCs w:val="18"/>
              </w:rPr>
              <w:t>次</w:t>
            </w:r>
            <w:r>
              <w:rPr>
                <w:rFonts w:ascii="宋体" w:hAnsi="宋体" w:cs="宋体" w:eastAsia="宋体" w:hint="default"/>
                <w:sz w:val="18"/>
                <w:szCs w:val="18"/>
              </w:rPr>
              <w:t>资产重组实施完成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前，将确保标的资产产权清晰，上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海达美不发生抵押</w:t>
            </w:r>
            <w:r>
              <w:rPr>
                <w:rFonts w:ascii="宋体" w:hAnsi="宋体" w:cs="宋体" w:eastAsia="宋体" w:hint="default"/>
                <w:spacing w:val="-87"/>
                <w:sz w:val="18"/>
                <w:szCs w:val="18"/>
              </w:rPr>
              <w:t>、</w:t>
            </w:r>
            <w:r>
              <w:rPr>
                <w:rFonts w:ascii="宋体" w:hAnsi="宋体" w:cs="宋体" w:eastAsia="宋体" w:hint="default"/>
                <w:sz w:val="18"/>
                <w:szCs w:val="18"/>
              </w:rPr>
              <w:t>质押等</w:t>
            </w:r>
            <w:r>
              <w:rPr>
                <w:rFonts w:ascii="宋体" w:hAnsi="宋体" w:cs="宋体" w:eastAsia="宋体" w:hint="default"/>
                <w:spacing w:val="-2"/>
                <w:sz w:val="18"/>
                <w:szCs w:val="18"/>
              </w:rPr>
              <w:t>权</w:t>
            </w:r>
            <w:r>
              <w:rPr>
                <w:rFonts w:ascii="宋体" w:hAnsi="宋体" w:cs="宋体" w:eastAsia="宋体" w:hint="default"/>
                <w:sz w:val="18"/>
                <w:szCs w:val="18"/>
              </w:rPr>
              <w:t>利限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制的情形</w:t>
            </w:r>
            <w:r>
              <w:rPr>
                <w:rFonts w:ascii="宋体" w:hAnsi="宋体" w:cs="宋体" w:eastAsia="宋体" w:hint="default"/>
                <w:spacing w:val="-89"/>
                <w:sz w:val="18"/>
                <w:szCs w:val="18"/>
              </w:rPr>
              <w:t>，</w:t>
            </w:r>
            <w:r>
              <w:rPr>
                <w:rFonts w:ascii="宋体" w:hAnsi="宋体" w:cs="宋体" w:eastAsia="宋体" w:hint="default"/>
                <w:sz w:val="18"/>
                <w:szCs w:val="18"/>
              </w:rPr>
              <w:t>不发生涉及诉讼</w:t>
            </w:r>
            <w:r>
              <w:rPr>
                <w:rFonts w:ascii="宋体" w:hAnsi="宋体" w:cs="宋体" w:eastAsia="宋体" w:hint="default"/>
                <w:spacing w:val="-89"/>
                <w:sz w:val="18"/>
                <w:szCs w:val="18"/>
              </w:rPr>
              <w:t>、</w:t>
            </w:r>
            <w:r>
              <w:rPr>
                <w:rFonts w:ascii="宋体" w:hAnsi="宋体" w:cs="宋体" w:eastAsia="宋体" w:hint="default"/>
                <w:sz w:val="18"/>
                <w:szCs w:val="18"/>
              </w:rPr>
              <w:t>仲裁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司法强制执行等重大争议或者妨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碍权属转移的其他情形</w:t>
            </w:r>
            <w:r>
              <w:rPr>
                <w:rFonts w:ascii="宋体" w:hAnsi="宋体" w:cs="宋体" w:eastAsia="宋体" w:hint="default"/>
                <w:spacing w:val="-87"/>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公</w:t>
            </w:r>
            <w:r>
              <w:rPr>
                <w:rFonts w:ascii="宋体" w:hAnsi="宋体" w:cs="宋体" w:eastAsia="宋体" w:hint="default"/>
                <w:sz w:val="18"/>
                <w:szCs w:val="18"/>
              </w:rPr>
              <w:t>司保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87"/>
                <w:sz w:val="18"/>
                <w:szCs w:val="18"/>
              </w:rPr>
              <w:t>，</w:t>
            </w:r>
            <w:r>
              <w:rPr>
                <w:rFonts w:ascii="宋体" w:hAnsi="宋体" w:cs="宋体" w:eastAsia="宋体" w:hint="default"/>
                <w:sz w:val="18"/>
                <w:szCs w:val="18"/>
              </w:rPr>
              <w:t>自汉得信</w:t>
            </w:r>
            <w:r>
              <w:rPr>
                <w:rFonts w:ascii="宋体" w:hAnsi="宋体" w:cs="宋体" w:eastAsia="宋体" w:hint="default"/>
                <w:spacing w:val="-2"/>
                <w:sz w:val="18"/>
                <w:szCs w:val="18"/>
              </w:rPr>
              <w:t>息</w:t>
            </w:r>
            <w:r>
              <w:rPr>
                <w:rFonts w:ascii="宋体" w:hAnsi="宋体" w:cs="宋体" w:eastAsia="宋体" w:hint="default"/>
                <w:sz w:val="18"/>
                <w:szCs w:val="18"/>
              </w:rPr>
              <w:t>就本次资产重组召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开的首次股东大会决议公告之日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起三十（</w:t>
            </w:r>
            <w:r>
              <w:rPr>
                <w:rFonts w:ascii="Times New Roman" w:hAnsi="Times New Roman" w:cs="Times New Roman" w:eastAsia="Times New Roman" w:hint="default"/>
                <w:sz w:val="18"/>
                <w:szCs w:val="18"/>
              </w:rPr>
              <w:t>30</w:t>
            </w:r>
            <w:r>
              <w:rPr>
                <w:rFonts w:ascii="宋体" w:hAnsi="宋体" w:cs="宋体" w:eastAsia="宋体" w:hint="default"/>
                <w:sz w:val="18"/>
                <w:szCs w:val="18"/>
              </w:rPr>
              <w:t>）日内，本公司向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CAMELOT</w:t>
            </w:r>
            <w:r>
              <w:rPr>
                <w:rFonts w:ascii="Times New Roman"/>
                <w:spacing w:val="-6"/>
                <w:sz w:val="18"/>
              </w:rPr>
              <w:t> </w:t>
            </w:r>
            <w:r>
              <w:rPr>
                <w:rFonts w:ascii="Times New Roman"/>
                <w:spacing w:val="-3"/>
                <w:sz w:val="18"/>
              </w:rPr>
              <w:t>INFORMATION</w:t>
            </w:r>
            <w:r>
              <w:rPr>
                <w:rFonts w:ascii="Times New Roman"/>
                <w:sz w:val="18"/>
              </w:rPr>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192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"CAMELOT"</w:t>
            </w:r>
            <w:r>
              <w:rPr>
                <w:rFonts w:ascii="宋体" w:hAnsi="宋体" w:cs="宋体" w:eastAsia="宋体" w:hint="default"/>
                <w:sz w:val="18"/>
                <w:szCs w:val="18"/>
              </w:rPr>
              <w:t>）全额支付向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购买上海达美股权的 股权转让价款或取得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豁免本公司支付该等股权转让价 款的书面文件。</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上海达美外，本人及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及本公司董事</w:t>
            </w:r>
            <w:r>
              <w:rPr>
                <w:rFonts w:ascii="宋体" w:hAnsi="宋体" w:cs="宋体" w:eastAsia="宋体" w:hint="default"/>
                <w:spacing w:val="-88"/>
                <w:sz w:val="18"/>
                <w:szCs w:val="18"/>
              </w:rPr>
              <w:t>、</w:t>
            </w:r>
            <w:r>
              <w:rPr>
                <w:rFonts w:ascii="宋体" w:hAnsi="宋体" w:cs="宋体" w:eastAsia="宋体" w:hint="default"/>
                <w:sz w:val="18"/>
                <w:szCs w:val="18"/>
              </w:rPr>
              <w:t>监事和高级管理人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员将不在中国境内外直接或间接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拥有、管理、控制、投资、从事其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他任何与汉得信息及其分公司</w:t>
            </w:r>
            <w:r>
              <w:rPr>
                <w:rFonts w:ascii="宋体" w:hAnsi="宋体" w:cs="宋体" w:eastAsia="宋体" w:hint="default"/>
                <w:spacing w:val="-87"/>
                <w:sz w:val="18"/>
                <w:szCs w:val="18"/>
              </w:rPr>
              <w:t>、</w:t>
            </w:r>
            <w:r>
              <w:rPr>
                <w:rFonts w:ascii="宋体" w:hAnsi="宋体" w:cs="宋体" w:eastAsia="宋体" w:hint="default"/>
                <w:sz w:val="18"/>
                <w:szCs w:val="18"/>
              </w:rPr>
              <w:t>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公司相同或相近的业务或项目</w:t>
            </w:r>
            <w:r>
              <w:rPr>
                <w:rFonts w:ascii="宋体" w:hAnsi="宋体" w:cs="宋体" w:eastAsia="宋体" w:hint="default"/>
                <w:spacing w:val="-87"/>
                <w:sz w:val="18"/>
                <w:szCs w:val="18"/>
              </w:rPr>
              <w:t>，</w:t>
            </w:r>
            <w:r>
              <w:rPr>
                <w:rFonts w:ascii="宋体" w:hAnsi="宋体" w:cs="宋体" w:eastAsia="宋体" w:hint="default"/>
                <w:sz w:val="18"/>
                <w:szCs w:val="18"/>
              </w:rPr>
              <w:t>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不参与拥有、管理、控制、投资其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他任何与汉得信息及其分公司</w:t>
            </w:r>
            <w:r>
              <w:rPr>
                <w:rFonts w:ascii="宋体" w:hAnsi="宋体" w:cs="宋体" w:eastAsia="宋体" w:hint="default"/>
                <w:spacing w:val="-87"/>
                <w:sz w:val="18"/>
                <w:szCs w:val="18"/>
              </w:rPr>
              <w:t>、</w:t>
            </w:r>
            <w:r>
              <w:rPr>
                <w:rFonts w:ascii="宋体" w:hAnsi="宋体" w:cs="宋体" w:eastAsia="宋体" w:hint="default"/>
                <w:sz w:val="18"/>
                <w:szCs w:val="18"/>
              </w:rPr>
              <w:t>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公司相同或相近的业务或项目</w:t>
            </w:r>
            <w:r>
              <w:rPr>
                <w:rFonts w:ascii="宋体" w:hAnsi="宋体" w:cs="宋体" w:eastAsia="宋体" w:hint="default"/>
                <w:spacing w:val="-87"/>
                <w:sz w:val="18"/>
                <w:szCs w:val="18"/>
              </w:rPr>
              <w:t>，</w:t>
            </w:r>
            <w:r>
              <w:rPr>
                <w:rFonts w:ascii="宋体" w:hAnsi="宋体" w:cs="宋体" w:eastAsia="宋体" w:hint="default"/>
                <w:sz w:val="18"/>
                <w:szCs w:val="18"/>
              </w:rPr>
              <w:t>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不谋求通过与任何第三人合资</w:t>
            </w:r>
            <w:r>
              <w:rPr>
                <w:rFonts w:ascii="宋体" w:hAnsi="宋体" w:cs="宋体" w:eastAsia="宋体" w:hint="default"/>
                <w:spacing w:val="-87"/>
                <w:sz w:val="18"/>
                <w:szCs w:val="18"/>
              </w:rPr>
              <w:t>、</w:t>
            </w:r>
            <w:r>
              <w:rPr>
                <w:rFonts w:ascii="宋体" w:hAnsi="宋体" w:cs="宋体" w:eastAsia="宋体" w:hint="default"/>
                <w:sz w:val="18"/>
                <w:szCs w:val="18"/>
              </w:rPr>
              <w:t>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作、联营或采取租赁经营、承包经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87"/>
                <w:sz w:val="18"/>
                <w:szCs w:val="18"/>
              </w:rPr>
              <w:t>、</w:t>
            </w:r>
            <w:r>
              <w:rPr>
                <w:rFonts w:ascii="宋体" w:hAnsi="宋体" w:cs="宋体" w:eastAsia="宋体" w:hint="default"/>
                <w:sz w:val="18"/>
                <w:szCs w:val="18"/>
              </w:rPr>
              <w:t>委托管理</w:t>
            </w:r>
            <w:r>
              <w:rPr>
                <w:rFonts w:ascii="宋体" w:hAnsi="宋体" w:cs="宋体" w:eastAsia="宋体" w:hint="default"/>
                <w:spacing w:val="-2"/>
                <w:sz w:val="18"/>
                <w:szCs w:val="18"/>
              </w:rPr>
              <w:t>等</w:t>
            </w:r>
            <w:r>
              <w:rPr>
                <w:rFonts w:ascii="宋体" w:hAnsi="宋体" w:cs="宋体" w:eastAsia="宋体" w:hint="default"/>
                <w:sz w:val="18"/>
                <w:szCs w:val="18"/>
              </w:rPr>
              <w:t>任何方式直接或间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接从事与汉得信息及其分公司</w:t>
            </w:r>
            <w:r>
              <w:rPr>
                <w:rFonts w:ascii="宋体" w:hAnsi="宋体" w:cs="宋体" w:eastAsia="宋体" w:hint="default"/>
                <w:spacing w:val="-87"/>
                <w:sz w:val="18"/>
                <w:szCs w:val="18"/>
              </w:rPr>
              <w:t>、</w:t>
            </w:r>
            <w:r>
              <w:rPr>
                <w:rFonts w:ascii="宋体" w:hAnsi="宋体" w:cs="宋体" w:eastAsia="宋体" w:hint="default"/>
                <w:sz w:val="18"/>
                <w:szCs w:val="18"/>
              </w:rPr>
              <w:t>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BEYOND</w:t>
            </w:r>
          </w:p>
        </w:tc>
        <w:tc>
          <w:tcPr>
            <w:tcW w:w="991" w:type="dxa"/>
            <w:tcBorders>
              <w:top w:val="nil" w:sz="6" w:space="0" w:color="auto"/>
              <w:left w:val="single" w:sz="9" w:space="0" w:color="FFFFFF"/>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6"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公司构成竞争的业务；本人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w:t>
            </w:r>
            <w:r>
              <w:rPr>
                <w:rFonts w:ascii="宋体" w:hAnsi="宋体" w:cs="宋体" w:eastAsia="宋体" w:hint="default"/>
                <w:spacing w:val="-6"/>
                <w:sz w:val="18"/>
                <w:szCs w:val="18"/>
              </w:rPr>
              <w:t>司保证，将在汉得信息股东大会审</w:t>
            </w:r>
            <w:r>
              <w:rPr>
                <w:rFonts w:ascii="宋体" w:hAnsi="宋体" w:cs="宋体" w:eastAsia="宋体" w:hint="default"/>
                <w:sz w:val="18"/>
                <w:szCs w:val="18"/>
              </w:rPr>
              <w:t> 议批准本次交易后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日内召开北 </w:t>
            </w:r>
            <w:r>
              <w:rPr>
                <w:rFonts w:ascii="宋体" w:hAnsi="宋体" w:cs="宋体" w:eastAsia="宋体" w:hint="default"/>
                <w:spacing w:val="-6"/>
                <w:sz w:val="18"/>
                <w:szCs w:val="18"/>
              </w:rPr>
              <w:t>京龙象信益科技有限公司、上海和</w:t>
            </w:r>
            <w:r>
              <w:rPr>
                <w:rFonts w:ascii="宋体" w:hAnsi="宋体" w:cs="宋体" w:eastAsia="宋体" w:hint="default"/>
                <w:sz w:val="18"/>
                <w:szCs w:val="18"/>
              </w:rPr>
              <w:t> 美软件有限公司和扬州和美软件 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该三家关联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）股东会会议并通过决议同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意注销该三家关联公司</w:t>
            </w:r>
            <w:r>
              <w:rPr>
                <w:rFonts w:ascii="宋体" w:hAnsi="宋体" w:cs="宋体" w:eastAsia="宋体" w:hint="default"/>
                <w:spacing w:val="-87"/>
                <w:sz w:val="18"/>
                <w:szCs w:val="18"/>
              </w:rPr>
              <w:t>，</w:t>
            </w:r>
            <w:r>
              <w:rPr>
                <w:rFonts w:ascii="宋体" w:hAnsi="宋体" w:cs="宋体" w:eastAsia="宋体" w:hint="default"/>
                <w:sz w:val="18"/>
                <w:szCs w:val="18"/>
              </w:rPr>
              <w:t>并</w:t>
            </w:r>
            <w:r>
              <w:rPr>
                <w:rFonts w:ascii="宋体" w:hAnsi="宋体" w:cs="宋体" w:eastAsia="宋体" w:hint="default"/>
                <w:spacing w:val="-2"/>
                <w:sz w:val="18"/>
                <w:szCs w:val="18"/>
              </w:rPr>
              <w:t>履</w:t>
            </w:r>
            <w:r>
              <w:rPr>
                <w:rFonts w:ascii="宋体" w:hAnsi="宋体" w:cs="宋体" w:eastAsia="宋体" w:hint="default"/>
                <w:sz w:val="18"/>
                <w:szCs w:val="18"/>
              </w:rPr>
              <w:t>行相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应注销公告程序；本人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直接或间接持有汉得信息股份的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期间，或者，若本人在汉得信息或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上海达美及其分子公司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任职的</w:t>
            </w:r>
            <w:r>
              <w:rPr>
                <w:rFonts w:ascii="宋体" w:hAnsi="宋体" w:cs="宋体" w:eastAsia="宋体" w:hint="default"/>
                <w:spacing w:val="-87"/>
                <w:sz w:val="18"/>
                <w:szCs w:val="18"/>
              </w:rPr>
              <w:t>，</w:t>
            </w:r>
            <w:r>
              <w:rPr>
                <w:rFonts w:ascii="宋体" w:hAnsi="宋体" w:cs="宋体" w:eastAsia="宋体" w:hint="default"/>
                <w:sz w:val="18"/>
                <w:szCs w:val="18"/>
              </w:rPr>
              <w:t>则自</w:t>
            </w:r>
            <w:r>
              <w:rPr>
                <w:rFonts w:ascii="宋体" w:hAnsi="宋体" w:cs="宋体" w:eastAsia="宋体" w:hint="default"/>
                <w:spacing w:val="-2"/>
                <w:sz w:val="18"/>
                <w:szCs w:val="18"/>
              </w:rPr>
              <w:t>本</w:t>
            </w:r>
            <w:r>
              <w:rPr>
                <w:rFonts w:ascii="宋体" w:hAnsi="宋体" w:cs="宋体" w:eastAsia="宋体" w:hint="default"/>
                <w:sz w:val="18"/>
                <w:szCs w:val="18"/>
              </w:rPr>
              <w:t>人与汉得信息或扬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上海达美及其分子公司解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除劳动关系之日起的两年内</w:t>
            </w:r>
            <w:r>
              <w:rPr>
                <w:rFonts w:ascii="宋体" w:hAnsi="宋体" w:cs="宋体" w:eastAsia="宋体" w:hint="default"/>
                <w:spacing w:val="-88"/>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遵守上述承诺；本人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本公司若违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反上述承诺，本人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本公司将对由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此给汉得信息造成的损失作出全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面、及时和足额的赔偿；本承诺为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不可撤销的承诺。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9" w:space="0" w:color="FFFFFF"/>
            </w:tcBorders>
          </w:tcPr>
          <w:p>
            <w:pPr/>
          </w:p>
        </w:tc>
        <w:tc>
          <w:tcPr>
            <w:tcW w:w="991"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right="40"/>
              <w:jc w:val="center"/>
              <w:rPr>
                <w:rFonts w:ascii="宋体" w:hAnsi="宋体" w:cs="宋体" w:eastAsia="宋体" w:hint="default"/>
                <w:sz w:val="18"/>
                <w:szCs w:val="18"/>
              </w:rPr>
            </w:pPr>
            <w:r>
              <w:rPr>
                <w:rFonts w:ascii="宋体" w:hAnsi="宋体" w:cs="宋体" w:eastAsia="宋体" w:hint="default"/>
                <w:sz w:val="18"/>
                <w:szCs w:val="18"/>
              </w:rPr>
              <w:t>关于同业竞</w:t>
            </w: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本公司将按照《中华人民共</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报告期内，承</w:t>
            </w:r>
          </w:p>
        </w:tc>
      </w:tr>
      <w:tr>
        <w:trPr>
          <w:trHeight w:val="628"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31" w:lineRule="exact"/>
              <w:ind w:left="24" w:right="-24"/>
              <w:jc w:val="left"/>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sz w:val="18"/>
              </w:rPr>
              <w:t>BEYOND</w:t>
            </w:r>
          </w:p>
        </w:tc>
        <w:tc>
          <w:tcPr>
            <w:tcW w:w="991" w:type="dxa"/>
            <w:tcBorders>
              <w:top w:val="nil" w:sz="6" w:space="0" w:color="auto"/>
              <w:left w:val="single" w:sz="9" w:space="0" w:color="FFFFFF"/>
              <w:bottom w:val="nil" w:sz="6" w:space="0" w:color="auto"/>
              <w:right w:val="single" w:sz="4" w:space="0" w:color="000000"/>
            </w:tcBorders>
          </w:tcPr>
          <w:p>
            <w:pPr>
              <w:pStyle w:val="TableParagraph"/>
              <w:spacing w:line="316" w:lineRule="auto" w:before="14"/>
              <w:ind w:left="16" w:right="56"/>
              <w:jc w:val="left"/>
              <w:rPr>
                <w:rFonts w:ascii="宋体" w:hAnsi="宋体" w:cs="宋体" w:eastAsia="宋体" w:hint="default"/>
                <w:sz w:val="18"/>
                <w:szCs w:val="18"/>
              </w:rPr>
            </w:pPr>
            <w:r>
              <w:rPr>
                <w:rFonts w:ascii="宋体" w:hAnsi="宋体" w:cs="宋体" w:eastAsia="宋体" w:hint="default"/>
                <w:sz w:val="18"/>
                <w:szCs w:val="18"/>
              </w:rPr>
              <w:t>争、关联交 易、资金占</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3" w:right="22"/>
              <w:jc w:val="left"/>
              <w:rPr>
                <w:rFonts w:ascii="宋体" w:hAnsi="宋体" w:cs="宋体" w:eastAsia="宋体" w:hint="default"/>
                <w:sz w:val="18"/>
                <w:szCs w:val="18"/>
              </w:rPr>
            </w:pPr>
            <w:r>
              <w:rPr>
                <w:rFonts w:ascii="宋体" w:hAnsi="宋体" w:cs="宋体" w:eastAsia="宋体" w:hint="default"/>
                <w:spacing w:val="-6"/>
                <w:sz w:val="18"/>
                <w:szCs w:val="18"/>
              </w:rPr>
              <w:t>和国公司法》等法律法规以及汉得</w:t>
            </w:r>
            <w:r>
              <w:rPr>
                <w:rFonts w:ascii="宋体" w:hAnsi="宋体" w:cs="宋体" w:eastAsia="宋体" w:hint="default"/>
                <w:sz w:val="18"/>
                <w:szCs w:val="18"/>
              </w:rPr>
              <w:t> 信息公司章程的有关规定行使股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23"/>
              <w:jc w:val="left"/>
              <w:rPr>
                <w:rFonts w:ascii="宋体" w:hAnsi="宋体" w:cs="宋体" w:eastAsia="宋体" w:hint="default"/>
                <w:sz w:val="18"/>
                <w:szCs w:val="18"/>
              </w:rPr>
            </w:pPr>
            <w:r>
              <w:rPr>
                <w:rFonts w:ascii="宋体" w:hAnsi="宋体" w:cs="宋体" w:eastAsia="宋体" w:hint="default"/>
                <w:sz w:val="18"/>
                <w:szCs w:val="18"/>
              </w:rPr>
              <w:t>诺人遵守了 </w:t>
            </w:r>
            <w:r>
              <w:rPr>
                <w:rFonts w:ascii="宋体" w:hAnsi="宋体" w:cs="宋体" w:eastAsia="宋体" w:hint="default"/>
                <w:spacing w:val="-5"/>
                <w:sz w:val="18"/>
                <w:szCs w:val="18"/>
              </w:rPr>
              <w:t>此项承诺，未</w:t>
            </w: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9" w:space="0" w:color="FFFFFF"/>
            </w:tcBorders>
          </w:tcPr>
          <w:p>
            <w:pPr/>
          </w:p>
        </w:tc>
        <w:tc>
          <w:tcPr>
            <w:tcW w:w="991"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sz w:val="18"/>
                <w:szCs w:val="18"/>
              </w:rPr>
              <w:t>用方面的承</w:t>
            </w: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东权利；在股东大会对涉及本人</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有违反上述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5.320007pt;margin-top:72.480003pt;width:188.1pt;height:298.45pt;mso-position-horizontal-relative:page;mso-position-vertical-relative:page;z-index:-994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37"/>
                    <w:ind w:left="0" w:right="1061"/>
                    <w:jc w:val="left"/>
                  </w:pPr>
                  <w:r>
                    <w:rPr/>
                    <w:t>循市场公正、公平、公开的原则， 并依法签订协议，履行合法程序，</w:t>
                  </w:r>
                </w:p>
              </w:txbxContent>
            </v:textbox>
            <w10:wrap type="none"/>
          </v:shape>
        </w:pict>
      </w:r>
      <w:r>
        <w:rPr/>
        <w:pict>
          <v:group style="position:absolute;margin-left:367.619995pt;margin-top:72.480003pt;width:55.8pt;height:330.15pt;mso-position-horizontal-relative:page;mso-position-vertical-relative:page;z-index:-994816" coordorigin="7352,1450" coordsize="1116,6603">
            <v:group style="position:absolute;left:7352;top:1450;width:1116;height:5969" coordorigin="7352,1450" coordsize="1116,5969">
              <v:shape style="position:absolute;left:7352;top:1450;width:1116;height:5969" coordorigin="7352,1450" coordsize="1116,5969" path="m7352,7418l8468,7418,8468,1450,7352,1450,7352,7418xe" filled="true" fillcolor="#ffffff" stroked="false">
                <v:path arrowok="t"/>
                <v:fill type="solid"/>
              </v:shape>
            </v:group>
            <v:group style="position:absolute;left:7352;top:7428;width:1116;height:624" coordorigin="7352,7428" coordsize="1116,624">
              <v:shape style="position:absolute;left:7352;top:7428;width:1116;height:624" coordorigin="7352,7428" coordsize="1116,624" path="m7352,8052l8468,8052,8468,7428,7352,7428,7352,805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318"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本公司的关联交易进行表决时</w:t>
            </w:r>
            <w:r>
              <w:rPr>
                <w:rFonts w:ascii="宋体" w:hAnsi="宋体" w:cs="宋体" w:eastAsia="宋体" w:hint="default"/>
                <w:spacing w:val="-87"/>
                <w:sz w:val="18"/>
                <w:szCs w:val="18"/>
              </w:rPr>
              <w:t>，</w:t>
            </w:r>
            <w:r>
              <w:rPr>
                <w:rFonts w:ascii="宋体" w:hAnsi="宋体" w:cs="宋体" w:eastAsia="宋体" w:hint="default"/>
                <w:sz w:val="18"/>
                <w:szCs w:val="18"/>
              </w:rPr>
              <w:t>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照《中华人民共和国公司法》等法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律法规以及汉得信息公司章程的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有关规定履行回避表决的义务</w:t>
            </w:r>
            <w:r>
              <w:rPr>
                <w:rFonts w:ascii="宋体" w:hAnsi="宋体" w:cs="宋体" w:eastAsia="宋体" w:hint="default"/>
                <w:spacing w:val="-87"/>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本公司将杜绝一切非法占用汉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得信息及其子公司的资金</w:t>
            </w:r>
            <w:r>
              <w:rPr>
                <w:rFonts w:ascii="宋体" w:hAnsi="宋体" w:cs="宋体" w:eastAsia="宋体" w:hint="default"/>
                <w:spacing w:val="-87"/>
                <w:sz w:val="18"/>
                <w:szCs w:val="18"/>
              </w:rPr>
              <w:t>、</w:t>
            </w:r>
            <w:r>
              <w:rPr>
                <w:rFonts w:ascii="宋体" w:hAnsi="宋体" w:cs="宋体" w:eastAsia="宋体" w:hint="default"/>
                <w:spacing w:val="-2"/>
                <w:sz w:val="18"/>
                <w:szCs w:val="18"/>
              </w:rPr>
              <w:t>资</w:t>
            </w:r>
            <w:r>
              <w:rPr>
                <w:rFonts w:ascii="宋体" w:hAnsi="宋体" w:cs="宋体" w:eastAsia="宋体" w:hint="default"/>
                <w:sz w:val="18"/>
                <w:szCs w:val="18"/>
              </w:rPr>
              <w:t>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行为，在任何情况下，不要求汉得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信息及其子公司向本人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本公司投资或控制的其它企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业提供任何形式的担保；本人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公司将尽可能地避免和减少本人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本公司投资或控制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的其它企业与汉得信息及其子公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司的关联交易</w:t>
            </w:r>
            <w:r>
              <w:rPr>
                <w:rFonts w:ascii="宋体" w:hAnsi="宋体" w:cs="宋体" w:eastAsia="宋体" w:hint="default"/>
                <w:spacing w:val="-88"/>
                <w:sz w:val="18"/>
                <w:szCs w:val="18"/>
              </w:rPr>
              <w:t>；</w:t>
            </w:r>
            <w:r>
              <w:rPr>
                <w:rFonts w:ascii="宋体" w:hAnsi="宋体" w:cs="宋体" w:eastAsia="宋体" w:hint="default"/>
                <w:sz w:val="18"/>
                <w:szCs w:val="18"/>
              </w:rPr>
              <w:t>对无法避免或者有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合理原因而发生的关联交易</w:t>
            </w:r>
            <w:r>
              <w:rPr>
                <w:rFonts w:ascii="宋体" w:hAnsi="宋体" w:cs="宋体" w:eastAsia="宋体" w:hint="default"/>
                <w:spacing w:val="-88"/>
                <w:sz w:val="18"/>
                <w:szCs w:val="18"/>
              </w:rPr>
              <w:t>，</w:t>
            </w:r>
            <w:r>
              <w:rPr>
                <w:rFonts w:ascii="宋体" w:hAnsi="宋体" w:cs="宋体" w:eastAsia="宋体" w:hint="default"/>
                <w:sz w:val="18"/>
                <w:szCs w:val="18"/>
              </w:rPr>
              <w:t>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按照汉得信息公司章程</w:t>
            </w:r>
            <w:r>
              <w:rPr>
                <w:rFonts w:ascii="宋体" w:hAnsi="宋体" w:cs="宋体" w:eastAsia="宋体" w:hint="default"/>
                <w:spacing w:val="-87"/>
                <w:sz w:val="18"/>
                <w:szCs w:val="18"/>
              </w:rPr>
              <w:t>、</w:t>
            </w:r>
            <w:r>
              <w:rPr>
                <w:rFonts w:ascii="宋体" w:hAnsi="宋体" w:cs="宋体" w:eastAsia="宋体" w:hint="default"/>
                <w:sz w:val="18"/>
                <w:szCs w:val="18"/>
              </w:rPr>
              <w:t>有</w:t>
            </w:r>
            <w:r>
              <w:rPr>
                <w:rFonts w:ascii="宋体" w:hAnsi="宋体" w:cs="宋体" w:eastAsia="宋体" w:hint="default"/>
                <w:spacing w:val="-2"/>
                <w:sz w:val="18"/>
                <w:szCs w:val="18"/>
              </w:rPr>
              <w:t>关</w:t>
            </w:r>
            <w:r>
              <w:rPr>
                <w:rFonts w:ascii="宋体" w:hAnsi="宋体" w:cs="宋体" w:eastAsia="宋体" w:hint="default"/>
                <w:sz w:val="18"/>
                <w:szCs w:val="18"/>
              </w:rPr>
              <w:t>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法规履行信息披露义务。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本公司及董事会全体成员保证相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61"/>
              <w:jc w:val="left"/>
              <w:rPr>
                <w:rFonts w:ascii="宋体" w:hAnsi="宋体" w:cs="宋体" w:eastAsia="宋体" w:hint="default"/>
                <w:sz w:val="18"/>
                <w:szCs w:val="18"/>
              </w:rPr>
            </w:pPr>
            <w:r>
              <w:rPr>
                <w:rFonts w:ascii="宋体" w:hAnsi="宋体" w:cs="宋体" w:eastAsia="宋体" w:hint="default"/>
                <w:sz w:val="18"/>
                <w:szCs w:val="18"/>
              </w:rPr>
              <w:t>汉得信息及董 事会全体成员</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2"/>
                <w:sz w:val="18"/>
                <w:szCs w:val="18"/>
              </w:rPr>
              <w:t>关内容已经审阅，确认《申请文件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内容真实、准确、完整，无虚假记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载、误导性陈述或重大遗漏，并对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其真实性、准确性和完整性承担相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至本次资产 重组完成之 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应的法律责任。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或再融资时所</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承诺不为激励对象依本股权激励 计划获取有关限制性股票提供贷 </w:t>
            </w:r>
            <w:r>
              <w:rPr>
                <w:rFonts w:ascii="宋体" w:hAnsi="宋体" w:cs="宋体" w:eastAsia="宋体" w:hint="default"/>
                <w:spacing w:val="-6"/>
                <w:sz w:val="18"/>
                <w:szCs w:val="18"/>
              </w:rPr>
              <w:t>款以及其他形式的财务资助，包括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为其贷款提供担保。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至限制性股 票全部解锁 完毕止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公司切实履 行了该项承 诺</w:t>
            </w:r>
          </w:p>
        </w:tc>
      </w:tr>
      <w:tr>
        <w:trPr>
          <w:trHeight w:val="362"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、我们及我们直接或间接控制的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2183"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6"/>
                <w:sz w:val="18"/>
                <w:szCs w:val="18"/>
              </w:rPr>
              <w:t>陈迪清、范建震</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子公司、合作或联营企业和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 属企业目前没有直接或间接地从 事任何与汉得的主营业务及其它 业务相同或相似的业务（以下称</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竞争业务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、我们及我们直接</w:t>
            </w:r>
            <w:r>
              <w:rPr>
                <w:rFonts w:ascii="宋体" w:hAnsi="宋体" w:cs="宋体" w:eastAsia="宋体" w:hint="default"/>
                <w:spacing w:val="-85"/>
                <w:sz w:val="18"/>
                <w:szCs w:val="18"/>
              </w:rPr>
              <w:t> </w:t>
            </w:r>
            <w:r>
              <w:rPr>
                <w:rFonts w:ascii="宋体" w:hAnsi="宋体" w:cs="宋体" w:eastAsia="宋体" w:hint="default"/>
                <w:spacing w:val="-6"/>
                <w:sz w:val="18"/>
                <w:szCs w:val="18"/>
              </w:rPr>
              <w:t>或间接控制的子公司、合作或联营</w:t>
            </w:r>
            <w:r>
              <w:rPr>
                <w:rFonts w:ascii="宋体" w:hAnsi="宋体" w:cs="宋体" w:eastAsia="宋体" w:hint="default"/>
                <w:sz w:val="18"/>
                <w:szCs w:val="18"/>
              </w:rPr>
              <w:t> 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或下属企业，于我们作为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诺主体遵守 了此项承诺， 未有违反上 述承诺的情 况。</w:t>
            </w:r>
          </w:p>
        </w:tc>
      </w:tr>
      <w:tr>
        <w:trPr>
          <w:trHeight w:val="313"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间接拥有权益的主要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5.320007pt;margin-top:72.480003pt;width:188.1pt;height:298.45pt;mso-position-horizontal-relative:page;mso-position-vertical-relative:page;z-index:-99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0"/>
                    <w:jc w:val="left"/>
                  </w:pPr>
                  <w:r>
                    <w:rPr/>
                    <w:t>及本函项下之承诺为不可撤销的，</w:t>
                  </w:r>
                </w:p>
              </w:txbxContent>
            </v:textbox>
            <w10:wrap type="none"/>
          </v:shape>
        </w:pict>
      </w:r>
      <w:r>
        <w:rPr/>
        <w:pict>
          <v:group style="position:absolute;margin-left:367.619995pt;margin-top:551.5pt;width:55.8pt;height:62.4pt;mso-position-horizontal-relative:page;mso-position-vertical-relative:page;z-index:-994744" coordorigin="7352,11030" coordsize="1116,1248">
            <v:shape style="position:absolute;left:7352;top:11030;width:1116;height:1248" coordorigin="7352,11030" coordsize="1116,1248" path="m7352,12278l8468,12278,8468,11030,7352,11030,7352,12278xe" filled="true" fillcolor="#ffffff" stroked="false">
              <v:path arrowok="t"/>
              <v:fill type="solid"/>
            </v:shape>
            <w10:wrap type="none"/>
          </v:group>
        </w:pict>
      </w:r>
      <w:r>
        <w:rPr/>
        <w:pict>
          <v:group style="position:absolute;margin-left:367.619995pt;margin-top:703.200012pt;width:55.8pt;height:53.6pt;mso-position-horizontal-relative:page;mso-position-vertical-relative:page;z-index:-994720" coordorigin="7352,14064" coordsize="1116,1072">
            <v:shape style="position:absolute;left:7352;top:14064;width:1116;height:1072" coordorigin="7352,14064" coordsize="1116,1072" path="m7352,15136l8468,15136,8468,14064,7352,14064,7352,151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关联方期间，不会直接或间</w:t>
            </w:r>
          </w:p>
        </w:tc>
        <w:tc>
          <w:tcPr>
            <w:tcW w:w="1126" w:type="dxa"/>
            <w:vMerge w:val="restart"/>
            <w:tcBorders>
              <w:top w:val="single" w:sz="4" w:space="0" w:color="000000"/>
              <w:left w:val="single" w:sz="4" w:space="0" w:color="000000"/>
              <w:right w:val="single" w:sz="4" w:space="0" w:color="000000"/>
            </w:tcBorders>
          </w:tcPr>
          <w:p>
            <w:pPr>
              <w:pStyle w:val="TableParagraph"/>
              <w:spacing w:line="59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5.8pt;height:298.45pt;mso-position-horizontal-relative:char;mso-position-vertical-relative:line" coordorigin="0,0" coordsize="1116,5969">
                  <v:group style="position:absolute;left:0;top:0;width:1116;height:5969" coordorigin="0,0" coordsize="1116,5969">
                    <v:shape style="position:absolute;left:0;top:0;width:1116;height:5969" coordorigin="0,0" coordsize="1116,5969" path="m0,5969l1116,5969,1116,0,0,0,0,5969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接地以任何方式从事竞争业务或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可能构成竞争业务的业务；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们及我们直接或间接控制的子公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司、合作或联营企业和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87"/>
                <w:sz w:val="18"/>
                <w:szCs w:val="18"/>
              </w:rPr>
              <w:t>，</w:t>
            </w:r>
            <w:r>
              <w:rPr>
                <w:rFonts w:ascii="宋体" w:hAnsi="宋体" w:cs="宋体" w:eastAsia="宋体" w:hint="default"/>
                <w:sz w:val="18"/>
                <w:szCs w:val="18"/>
              </w:rPr>
              <w:t>将来面临</w:t>
            </w:r>
            <w:r>
              <w:rPr>
                <w:rFonts w:ascii="宋体" w:hAnsi="宋体" w:cs="宋体" w:eastAsia="宋体" w:hint="default"/>
                <w:spacing w:val="-2"/>
                <w:sz w:val="18"/>
                <w:szCs w:val="18"/>
              </w:rPr>
              <w:t>或</w:t>
            </w:r>
            <w:r>
              <w:rPr>
                <w:rFonts w:ascii="宋体" w:hAnsi="宋体" w:cs="宋体" w:eastAsia="宋体" w:hint="default"/>
                <w:sz w:val="18"/>
                <w:szCs w:val="18"/>
              </w:rPr>
              <w:t>可能取得任何与竞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争业务有关的投资机会或其它商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业机会</w:t>
            </w:r>
            <w:r>
              <w:rPr>
                <w:rFonts w:ascii="宋体" w:hAnsi="宋体" w:cs="宋体" w:eastAsia="宋体" w:hint="default"/>
                <w:spacing w:val="-87"/>
                <w:sz w:val="18"/>
                <w:szCs w:val="18"/>
              </w:rPr>
              <w:t>，</w:t>
            </w:r>
            <w:r>
              <w:rPr>
                <w:rFonts w:ascii="宋体" w:hAnsi="宋体" w:cs="宋体" w:eastAsia="宋体" w:hint="default"/>
                <w:sz w:val="18"/>
                <w:szCs w:val="18"/>
              </w:rPr>
              <w:t>在同</w:t>
            </w:r>
            <w:r>
              <w:rPr>
                <w:rFonts w:ascii="宋体" w:hAnsi="宋体" w:cs="宋体" w:eastAsia="宋体" w:hint="default"/>
                <w:spacing w:val="-2"/>
                <w:sz w:val="18"/>
                <w:szCs w:val="18"/>
              </w:rPr>
              <w:t>等</w:t>
            </w:r>
            <w:r>
              <w:rPr>
                <w:rFonts w:ascii="宋体" w:hAnsi="宋体" w:cs="宋体" w:eastAsia="宋体" w:hint="default"/>
                <w:sz w:val="18"/>
                <w:szCs w:val="18"/>
              </w:rPr>
              <w:t>条件下赋予汉得该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等投资机会或商业机会之优先选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择权；</w:t>
            </w:r>
            <w:r>
              <w:rPr>
                <w:rFonts w:ascii="Times New Roman" w:hAnsi="Times New Roman" w:cs="Times New Roman" w:eastAsia="Times New Roman" w:hint="default"/>
                <w:sz w:val="18"/>
                <w:szCs w:val="18"/>
              </w:rPr>
              <w:t>4</w:t>
            </w:r>
            <w:r>
              <w:rPr>
                <w:rFonts w:ascii="宋体" w:hAnsi="宋体" w:cs="宋体" w:eastAsia="宋体" w:hint="default"/>
                <w:sz w:val="18"/>
                <w:szCs w:val="18"/>
              </w:rPr>
              <w:t>、自本函出具日起，本函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且持续有效</w:t>
            </w:r>
            <w:r>
              <w:rPr>
                <w:rFonts w:ascii="宋体" w:hAnsi="宋体" w:cs="宋体" w:eastAsia="宋体" w:hint="default"/>
                <w:spacing w:val="-87"/>
                <w:sz w:val="18"/>
                <w:szCs w:val="18"/>
              </w:rPr>
              <w:t>，</w:t>
            </w:r>
            <w:r>
              <w:rPr>
                <w:rFonts w:ascii="宋体" w:hAnsi="宋体" w:cs="宋体" w:eastAsia="宋体" w:hint="default"/>
                <w:spacing w:val="-2"/>
                <w:sz w:val="18"/>
                <w:szCs w:val="18"/>
              </w:rPr>
              <w:t>直</w:t>
            </w:r>
            <w:r>
              <w:rPr>
                <w:rFonts w:ascii="宋体" w:hAnsi="宋体" w:cs="宋体" w:eastAsia="宋体" w:hint="default"/>
                <w:sz w:val="18"/>
                <w:szCs w:val="18"/>
              </w:rPr>
              <w:t>至我们不再成为对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间接拥有权益的主要股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、我们和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们直接或间接控制的子公司</w:t>
            </w:r>
            <w:r>
              <w:rPr>
                <w:rFonts w:ascii="宋体" w:hAnsi="宋体" w:cs="宋体" w:eastAsia="宋体" w:hint="default"/>
                <w:spacing w:val="-88"/>
                <w:sz w:val="18"/>
                <w:szCs w:val="18"/>
              </w:rPr>
              <w:t>、</w:t>
            </w:r>
            <w:r>
              <w:rPr>
                <w:rFonts w:ascii="宋体" w:hAnsi="宋体" w:cs="宋体" w:eastAsia="宋体" w:hint="default"/>
                <w:sz w:val="18"/>
                <w:szCs w:val="18"/>
              </w:rPr>
              <w:t>合作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或下属企业如违反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上述任何承诺</w:t>
            </w:r>
            <w:r>
              <w:rPr>
                <w:rFonts w:ascii="宋体" w:hAnsi="宋体" w:cs="宋体" w:eastAsia="宋体" w:hint="default"/>
                <w:spacing w:val="-88"/>
                <w:sz w:val="18"/>
                <w:szCs w:val="18"/>
              </w:rPr>
              <w:t>，</w:t>
            </w:r>
            <w:r>
              <w:rPr>
                <w:rFonts w:ascii="宋体" w:hAnsi="宋体" w:cs="宋体" w:eastAsia="宋体" w:hint="default"/>
                <w:sz w:val="18"/>
                <w:szCs w:val="18"/>
              </w:rPr>
              <w:t>我们将赔偿汉得及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汉得其他股东因此遭受的一切经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济损失，该等责任是连带责任。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报告期内，公</w:t>
            </w:r>
          </w:p>
        </w:tc>
      </w:tr>
      <w:tr>
        <w:trPr>
          <w:trHeight w:val="93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61"/>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6"/>
                <w:sz w:val="18"/>
                <w:szCs w:val="18"/>
              </w:rPr>
              <w:t>承诺不使用募集资金、银行信贷资</w:t>
            </w:r>
            <w:r>
              <w:rPr>
                <w:rFonts w:ascii="宋体" w:hAnsi="宋体" w:cs="宋体" w:eastAsia="宋体" w:hint="default"/>
                <w:sz w:val="18"/>
                <w:szCs w:val="18"/>
              </w:rPr>
              <w:t> 金直接或者间接进行银行理财产 品投资。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w:t>
            </w:r>
          </w:p>
        </w:tc>
      </w:tr>
      <w:tr>
        <w:trPr>
          <w:trHeight w:val="35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公司披露</w:t>
            </w:r>
            <w:r>
              <w:rPr>
                <w:rFonts w:ascii="宋体" w:hAnsi="宋体" w:cs="宋体" w:eastAsia="宋体" w:hint="default"/>
                <w:spacing w:val="-90"/>
                <w:sz w:val="18"/>
                <w:szCs w:val="18"/>
              </w:rPr>
              <w:t>了</w:t>
            </w:r>
            <w:r>
              <w:rPr>
                <w:rFonts w:ascii="宋体" w:hAnsi="宋体" w:cs="宋体" w:eastAsia="宋体" w:hint="default"/>
                <w:sz w:val="18"/>
                <w:szCs w:val="18"/>
              </w:rPr>
              <w:t>《上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海汉得信息技术股份有限公司关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于使用超募资金收购上海汉得融 晶信息科技有限公司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 </w:t>
            </w:r>
            <w:r>
              <w:rPr>
                <w:rFonts w:ascii="宋体" w:hAnsi="宋体" w:cs="宋体" w:eastAsia="宋体" w:hint="default"/>
                <w:spacing w:val="-6"/>
                <w:sz w:val="18"/>
                <w:szCs w:val="18"/>
              </w:rPr>
              <w:t>进展公告》，公司股东孟辉承诺所</w:t>
            </w:r>
            <w:r>
              <w:rPr>
                <w:rFonts w:ascii="宋体" w:hAnsi="宋体" w:cs="宋体" w:eastAsia="宋体" w:hint="default"/>
                <w:sz w:val="18"/>
                <w:szCs w:val="18"/>
              </w:rPr>
              <w:t> 持有的 </w:t>
            </w:r>
            <w:r>
              <w:rPr>
                <w:rFonts w:ascii="Times New Roman" w:hAnsi="Times New Roman" w:cs="Times New Roman" w:eastAsia="Times New Roman" w:hint="default"/>
                <w:sz w:val="18"/>
                <w:szCs w:val="18"/>
              </w:rPr>
              <w:t>873,100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股将自锁定手续 在中国证券登记结算有限公司深 圳分公司办理完毕之日起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公司披露</w:t>
            </w:r>
            <w:r>
              <w:rPr>
                <w:rFonts w:ascii="宋体" w:hAnsi="宋体" w:cs="宋体" w:eastAsia="宋体" w:hint="default"/>
                <w:spacing w:val="-90"/>
                <w:sz w:val="18"/>
                <w:szCs w:val="18"/>
              </w:rPr>
              <w:t>了</w:t>
            </w:r>
            <w:r>
              <w:rPr>
                <w:rFonts w:ascii="宋体" w:hAnsi="宋体" w:cs="宋体" w:eastAsia="宋体" w:hint="default"/>
                <w:sz w:val="18"/>
                <w:szCs w:val="18"/>
              </w:rPr>
              <w:t>《上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海汉得信息技术股份有限公司关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于使用超募资金收购上海汉得融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报告期内，承</w:t>
            </w:r>
          </w:p>
        </w:tc>
      </w:tr>
      <w:tr>
        <w:trPr>
          <w:trHeight w:val="94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张凌明</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3" w:right="24"/>
              <w:jc w:val="left"/>
              <w:rPr>
                <w:rFonts w:ascii="宋体" w:hAnsi="宋体" w:cs="宋体" w:eastAsia="宋体" w:hint="default"/>
                <w:sz w:val="18"/>
                <w:szCs w:val="18"/>
              </w:rPr>
            </w:pPr>
            <w:r>
              <w:rPr>
                <w:rFonts w:ascii="宋体" w:hAnsi="宋体" w:cs="宋体" w:eastAsia="宋体" w:hint="default"/>
                <w:sz w:val="18"/>
                <w:szCs w:val="18"/>
              </w:rPr>
              <w:t>晶信息科技有限公司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 </w:t>
            </w:r>
            <w:r>
              <w:rPr>
                <w:rFonts w:ascii="宋体" w:hAnsi="宋体" w:cs="宋体" w:eastAsia="宋体" w:hint="default"/>
                <w:spacing w:val="-6"/>
                <w:sz w:val="18"/>
                <w:szCs w:val="18"/>
              </w:rPr>
              <w:t>进展公告》，公司股东张凌明承诺</w:t>
            </w:r>
            <w:r>
              <w:rPr>
                <w:rFonts w:ascii="宋体" w:hAnsi="宋体" w:cs="宋体" w:eastAsia="宋体" w:hint="default"/>
                <w:sz w:val="18"/>
                <w:szCs w:val="18"/>
              </w:rPr>
              <w:t> 所持有的 </w:t>
            </w:r>
            <w:r>
              <w:rPr>
                <w:rFonts w:ascii="Times New Roman" w:hAnsi="Times New Roman" w:cs="Times New Roman" w:eastAsia="Times New Roman" w:hint="default"/>
                <w:sz w:val="18"/>
                <w:szCs w:val="18"/>
              </w:rPr>
              <w:t>148,082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股将自锁定手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w:t>
            </w:r>
          </w:p>
        </w:tc>
      </w:tr>
      <w:tr>
        <w:trPr>
          <w:trHeight w:val="31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续在中国证券登记结算有限公司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5"/>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深圳分公司办理完毕之日起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后、</w:t>
            </w:r>
            <w:r>
              <w:rPr>
                <w:rFonts w:ascii="Times New Roman" w:hAnsi="Times New Roman" w:cs="Times New Roman" w:eastAsia="Times New Roman" w:hint="default"/>
                <w:spacing w:val="-17"/>
                <w:sz w:val="18"/>
                <w:szCs w:val="18"/>
              </w:rPr>
              <w:t>2  </w:t>
            </w:r>
            <w:r>
              <w:rPr>
                <w:rFonts w:ascii="宋体" w:hAnsi="宋体" w:cs="宋体" w:eastAsia="宋体" w:hint="default"/>
                <w:spacing w:val="-13"/>
                <w:sz w:val="18"/>
                <w:szCs w:val="18"/>
              </w:rPr>
              <w:t>年后、</w:t>
            </w:r>
            <w:r>
              <w:rPr>
                <w:rFonts w:ascii="Times New Roman" w:hAnsi="Times New Roman" w:cs="Times New Roman" w:eastAsia="Times New Roman" w:hint="default"/>
                <w:spacing w:val="-13"/>
                <w:sz w:val="18"/>
                <w:szCs w:val="18"/>
              </w:rPr>
              <w:t>3 </w:t>
            </w:r>
            <w:r>
              <w:rPr>
                <w:rFonts w:ascii="宋体" w:hAnsi="宋体" w:cs="宋体" w:eastAsia="宋体" w:hint="default"/>
                <w:sz w:val="18"/>
                <w:szCs w:val="18"/>
              </w:rPr>
              <w:t>年后分别解锁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19995pt;margin-top:188.199997pt;width:55.8pt;height:62.4pt;mso-position-horizontal-relative:page;mso-position-vertical-relative:page;z-index:-994696" coordorigin="7352,3764" coordsize="1116,1248">
            <v:shape style="position:absolute;left:7352;top:3764;width:1116;height:1248" coordorigin="7352,3764" coordsize="1116,1248" path="m7352,5012l8468,5012,8468,3764,7352,3764,7352,5012xe" filled="true" fillcolor="#ffffff" stroked="false">
              <v:path arrowok="t"/>
              <v:fill type="solid"/>
            </v:shape>
            <w10:wrap type="none"/>
          </v:group>
        </w:pict>
      </w:r>
      <w:r>
        <w:rPr/>
        <w:pict>
          <v:group style="position:absolute;margin-left:367.619995pt;margin-top:348.700012pt;width:55.8pt;height:62.4pt;mso-position-horizontal-relative:page;mso-position-vertical-relative:page;z-index:-994672" coordorigin="7352,6974" coordsize="1116,1248">
            <v:shape style="position:absolute;left:7352;top:6974;width:1116;height:1248" coordorigin="7352,6974" coordsize="1116,1248" path="m7352,8222l8468,8222,8468,6974,7352,6974,7352,822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2670"/>
        <w:gridCol w:w="1126"/>
        <w:gridCol w:w="1121"/>
        <w:gridCol w:w="1108"/>
      </w:tblGrid>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公司披露</w:t>
            </w:r>
            <w:r>
              <w:rPr>
                <w:rFonts w:ascii="宋体" w:hAnsi="宋体" w:cs="宋体" w:eastAsia="宋体" w:hint="default"/>
                <w:spacing w:val="-90"/>
                <w:sz w:val="18"/>
                <w:szCs w:val="18"/>
              </w:rPr>
              <w:t>了</w:t>
            </w:r>
            <w:r>
              <w:rPr>
                <w:rFonts w:ascii="宋体" w:hAnsi="宋体" w:cs="宋体" w:eastAsia="宋体" w:hint="default"/>
                <w:sz w:val="18"/>
                <w:szCs w:val="18"/>
              </w:rPr>
              <w:t>《上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海汉得信息技术股份有限公司关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于使用超募资金收购上海汉得融 晶信息科技有限公司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 </w:t>
            </w:r>
            <w:r>
              <w:rPr>
                <w:rFonts w:ascii="宋体" w:hAnsi="宋体" w:cs="宋体" w:eastAsia="宋体" w:hint="default"/>
                <w:spacing w:val="-6"/>
                <w:sz w:val="18"/>
                <w:szCs w:val="18"/>
              </w:rPr>
              <w:t>进展公告》，公司股东王盛承诺所</w:t>
            </w:r>
            <w:r>
              <w:rPr>
                <w:rFonts w:ascii="宋体" w:hAnsi="宋体" w:cs="宋体" w:eastAsia="宋体" w:hint="default"/>
                <w:sz w:val="18"/>
                <w:szCs w:val="18"/>
              </w:rPr>
              <w:t> 持有的 </w:t>
            </w:r>
            <w:r>
              <w:rPr>
                <w:rFonts w:ascii="Times New Roman" w:hAnsi="Times New Roman" w:cs="Times New Roman" w:eastAsia="Times New Roman" w:hint="default"/>
                <w:sz w:val="18"/>
                <w:szCs w:val="18"/>
              </w:rPr>
              <w:t>142,400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股将自锁定手续 在中国证券登记结算有限公司深 圳分公司办理完毕之日起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公司披露</w:t>
            </w:r>
            <w:r>
              <w:rPr>
                <w:rFonts w:ascii="宋体" w:hAnsi="宋体" w:cs="宋体" w:eastAsia="宋体" w:hint="default"/>
                <w:spacing w:val="-90"/>
                <w:sz w:val="18"/>
                <w:szCs w:val="18"/>
              </w:rPr>
              <w:t>了</w:t>
            </w:r>
            <w:r>
              <w:rPr>
                <w:rFonts w:ascii="宋体" w:hAnsi="宋体" w:cs="宋体" w:eastAsia="宋体" w:hint="default"/>
                <w:sz w:val="18"/>
                <w:szCs w:val="18"/>
              </w:rPr>
              <w:t>《上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海汉得信息技术股份有限公司关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邱莉莉</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于使用超募资金收购上海汉得融 晶信息科技有限公司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 </w:t>
            </w:r>
            <w:r>
              <w:rPr>
                <w:rFonts w:ascii="宋体" w:hAnsi="宋体" w:cs="宋体" w:eastAsia="宋体" w:hint="default"/>
                <w:spacing w:val="-6"/>
                <w:sz w:val="18"/>
                <w:szCs w:val="18"/>
              </w:rPr>
              <w:t>进展公告》，公司股东邱莉莉承诺</w:t>
            </w:r>
            <w:r>
              <w:rPr>
                <w:rFonts w:ascii="宋体" w:hAnsi="宋体" w:cs="宋体" w:eastAsia="宋体" w:hint="default"/>
                <w:sz w:val="18"/>
                <w:szCs w:val="18"/>
              </w:rPr>
              <w:t> 所持有的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120,700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股将自锁定手续 在中国证券登记结算有限公司深 圳分公司办理完毕之日起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承诺变更部分募投项目实施方式</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报告期内，公</w:t>
            </w:r>
          </w:p>
        </w:tc>
      </w:tr>
      <w:tr>
        <w:trPr>
          <w:trHeight w:val="937"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61"/>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pacing w:val="-6"/>
                <w:sz w:val="18"/>
                <w:szCs w:val="18"/>
              </w:rPr>
              <w:t>及超募资金的使用，仅用于募投项</w:t>
            </w:r>
            <w:r>
              <w:rPr>
                <w:rFonts w:ascii="宋体" w:hAnsi="宋体" w:cs="宋体" w:eastAsia="宋体" w:hint="default"/>
                <w:sz w:val="18"/>
                <w:szCs w:val="18"/>
              </w:rPr>
              <w:t> </w:t>
            </w:r>
            <w:r>
              <w:rPr>
                <w:rFonts w:ascii="宋体" w:hAnsi="宋体" w:cs="宋体" w:eastAsia="宋体" w:hint="default"/>
                <w:spacing w:val="-6"/>
                <w:sz w:val="18"/>
                <w:szCs w:val="18"/>
              </w:rPr>
              <w:t>目建设、公司自身扩建或新建项目</w:t>
            </w:r>
            <w:r>
              <w:rPr>
                <w:rFonts w:ascii="宋体" w:hAnsi="宋体" w:cs="宋体" w:eastAsia="宋体" w:hint="default"/>
                <w:sz w:val="18"/>
                <w:szCs w:val="18"/>
              </w:rPr>
              <w:t> </w:t>
            </w:r>
            <w:r>
              <w:rPr>
                <w:rFonts w:ascii="宋体" w:hAnsi="宋体" w:cs="宋体" w:eastAsia="宋体" w:hint="default"/>
                <w:spacing w:val="-6"/>
                <w:sz w:val="18"/>
                <w:szCs w:val="18"/>
              </w:rPr>
              <w:t>使用，不出租、不转让也不进行商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至募集资金 使用完毕止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w:t>
            </w:r>
          </w:p>
        </w:tc>
      </w:tr>
      <w:tr>
        <w:trPr>
          <w:trHeight w:val="35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业开发。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报告期内，承</w:t>
            </w:r>
          </w:p>
        </w:tc>
      </w:tr>
      <w:tr>
        <w:trPr>
          <w:trHeight w:val="936" w:hRule="exact"/>
        </w:trPr>
        <w:tc>
          <w:tcPr>
            <w:tcW w:w="1276"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pacing w:val="-6"/>
                <w:sz w:val="18"/>
                <w:szCs w:val="18"/>
              </w:rPr>
              <w:t>陈迪清、范建震</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26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14"/>
              <w:jc w:val="left"/>
              <w:rPr>
                <w:rFonts w:ascii="宋体" w:hAnsi="宋体" w:cs="宋体" w:eastAsia="宋体" w:hint="default"/>
                <w:sz w:val="18"/>
                <w:szCs w:val="18"/>
              </w:rPr>
            </w:pPr>
            <w:r>
              <w:rPr>
                <w:rFonts w:ascii="宋体" w:hAnsi="宋体" w:cs="宋体" w:eastAsia="宋体" w:hint="default"/>
                <w:sz w:val="18"/>
                <w:szCs w:val="18"/>
              </w:rPr>
              <w:t>在增持期间及增持完成后十二个 月内不减持公司股份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w:t>
            </w: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7" w:type="dxa"/>
            <w:vMerge w:val="restart"/>
            <w:tcBorders>
              <w:top w:val="single" w:sz="4" w:space="0" w:color="000000"/>
              <w:left w:val="single" w:sz="13" w:space="0" w:color="D3D3D3"/>
              <w:right w:val="single" w:sz="9" w:space="0" w:color="D3D3D3"/>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2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276" w:type="dxa"/>
            <w:vMerge/>
            <w:tcBorders>
              <w:left w:val="single" w:sz="4" w:space="0" w:color="000000"/>
              <w:right w:val="single" w:sz="4" w:space="0" w:color="000000"/>
            </w:tcBorders>
            <w:shd w:val="clear" w:color="auto" w:fill="D3D3D3"/>
          </w:tcPr>
          <w:p>
            <w:pPr/>
          </w:p>
        </w:tc>
        <w:tc>
          <w:tcPr>
            <w:tcW w:w="1277" w:type="dxa"/>
            <w:vMerge/>
            <w:tcBorders>
              <w:left w:val="single" w:sz="13" w:space="0" w:color="D3D3D3"/>
              <w:right w:val="single" w:sz="9" w:space="0" w:color="D3D3D3"/>
            </w:tcBorders>
          </w:tcPr>
          <w:p>
            <w:pPr/>
          </w:p>
        </w:tc>
        <w:tc>
          <w:tcPr>
            <w:tcW w:w="991" w:type="dxa"/>
            <w:tcBorders>
              <w:top w:val="nil" w:sz="6" w:space="0" w:color="auto"/>
              <w:left w:val="single" w:sz="4" w:space="0" w:color="000000"/>
              <w:bottom w:val="nil" w:sz="6" w:space="0" w:color="auto"/>
              <w:right w:val="single" w:sz="4" w:space="0" w:color="000000"/>
            </w:tcBorders>
            <w:shd w:val="clear" w:color="auto" w:fill="D3D3D3"/>
          </w:tcPr>
          <w:p>
            <w:pPr/>
          </w:p>
        </w:tc>
        <w:tc>
          <w:tcPr>
            <w:tcW w:w="2670"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121" w:type="dxa"/>
            <w:tcBorders>
              <w:top w:val="nil" w:sz="6" w:space="0" w:color="auto"/>
              <w:left w:val="single" w:sz="4" w:space="0" w:color="000000"/>
              <w:bottom w:val="nil" w:sz="6" w:space="0" w:color="auto"/>
              <w:right w:val="single" w:sz="4" w:space="0" w:color="000000"/>
            </w:tcBorders>
            <w:shd w:val="clear" w:color="auto" w:fill="D3D3D3"/>
          </w:tcPr>
          <w:p>
            <w:pPr/>
          </w:p>
        </w:tc>
        <w:tc>
          <w:tcPr>
            <w:tcW w:w="110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13" w:space="0" w:color="D3D3D3"/>
              <w:bottom w:val="single" w:sz="4" w:space="0" w:color="000000"/>
              <w:right w:val="single" w:sz="9" w:space="0" w:color="D3D3D3"/>
            </w:tcBorders>
          </w:tcPr>
          <w:p>
            <w:pPr/>
          </w:p>
        </w:tc>
        <w:tc>
          <w:tcPr>
            <w:tcW w:w="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2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w:t>
            </w:r>
          </w:p>
        </w:tc>
        <w:tc>
          <w:tcPr>
            <w:tcW w:w="8292" w:type="dxa"/>
            <w:gridSpan w:val="6"/>
            <w:tcBorders>
              <w:top w:val="single" w:sz="4" w:space="0" w:color="000000"/>
              <w:left w:val="single" w:sz="13" w:space="0" w:color="D3D3D3"/>
              <w:bottom w:val="nil" w:sz="6" w:space="0" w:color="auto"/>
              <w:right w:val="single" w:sz="4" w:space="0" w:color="000000"/>
            </w:tcBorders>
          </w:tcPr>
          <w:p>
            <w:pPr/>
          </w:p>
        </w:tc>
      </w:tr>
      <w:tr>
        <w:trPr>
          <w:trHeight w:val="311"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履行完毕的，应</w:t>
            </w:r>
          </w:p>
        </w:tc>
        <w:tc>
          <w:tcPr>
            <w:tcW w:w="8292" w:type="dxa"/>
            <w:gridSpan w:val="6"/>
            <w:tcBorders>
              <w:top w:val="nil" w:sz="6" w:space="0" w:color="auto"/>
              <w:left w:val="single" w:sz="13" w:space="0" w:color="D3D3D3"/>
              <w:bottom w:val="nil" w:sz="6" w:space="0" w:color="auto"/>
              <w:right w:val="single" w:sz="4" w:space="0" w:color="000000"/>
            </w:tcBorders>
          </w:tcPr>
          <w:p>
            <w:pPr/>
          </w:p>
        </w:tc>
      </w:tr>
      <w:tr>
        <w:trPr>
          <w:trHeight w:val="624"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当详细说明未 完成履行的具</w:t>
            </w:r>
          </w:p>
        </w:tc>
        <w:tc>
          <w:tcPr>
            <w:tcW w:w="8292" w:type="dxa"/>
            <w:gridSpan w:val="6"/>
            <w:tcBorders>
              <w:top w:val="nil" w:sz="6" w:space="0" w:color="auto"/>
              <w:left w:val="single" w:sz="13" w:space="0" w:color="D3D3D3"/>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体原因及下一</w:t>
            </w:r>
          </w:p>
        </w:tc>
        <w:tc>
          <w:tcPr>
            <w:tcW w:w="8292" w:type="dxa"/>
            <w:gridSpan w:val="6"/>
            <w:tcBorders>
              <w:top w:val="nil" w:sz="6" w:space="0" w:color="auto"/>
              <w:left w:val="single" w:sz="13" w:space="0" w:color="D3D3D3"/>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步的工作计划</w:t>
            </w:r>
          </w:p>
        </w:tc>
        <w:tc>
          <w:tcPr>
            <w:tcW w:w="8292" w:type="dxa"/>
            <w:gridSpan w:val="6"/>
            <w:tcBorders>
              <w:top w:val="nil" w:sz="6" w:space="0" w:color="auto"/>
              <w:left w:val="single" w:sz="13" w:space="0" w:color="D3D3D3"/>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292"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5"/>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40" w:lineRule="auto" w:before="75"/>
        <w:ind w:left="925" w:right="0"/>
        <w:jc w:val="left"/>
      </w:pPr>
      <w:r>
        <w:rPr>
          <w:rFonts w:ascii="Times New Roman" w:hAnsi="Times New Roman" w:cs="Times New Roman" w:eastAsia="Times New Roman" w:hint="default"/>
        </w:rPr>
        <w:t>1</w:t>
      </w:r>
      <w:r>
        <w:rPr/>
        <w:t>、会计政策变更的性质、内容和原因。</w:t>
      </w:r>
    </w:p>
    <w:p>
      <w:pPr>
        <w:pStyle w:val="Heading4"/>
        <w:spacing w:line="357" w:lineRule="auto" w:before="76"/>
        <w:ind w:left="154" w:right="148" w:firstLine="480"/>
        <w:jc w:val="both"/>
      </w:pPr>
      <w:r>
        <w:rPr/>
        <w:t>执行《企业会计准则第42号——持有待售的非流动资产、处置组和终止经营》、《企业</w:t>
      </w:r>
      <w:r>
        <w:rPr>
          <w:spacing w:val="1"/>
        </w:rPr>
        <w:t> </w:t>
      </w:r>
      <w:r>
        <w:rPr/>
        <w:t>会计准则第16号——政府补助》和《财政部关于修订印发一般企业财务报表格式的通知》，</w:t>
      </w:r>
      <w:r>
        <w:rPr>
          <w:spacing w:val="-102"/>
        </w:rPr>
        <w:t> </w:t>
      </w:r>
      <w:r>
        <w:rPr>
          <w:spacing w:val="-102"/>
        </w:rPr>
      </w:r>
      <w:r>
        <w:rPr/>
        <w:t>根据该规定，本公司：</w:t>
      </w:r>
    </w:p>
    <w:p>
      <w:pPr>
        <w:pStyle w:val="Heading4"/>
        <w:spacing w:line="357" w:lineRule="auto"/>
        <w:ind w:left="154" w:right="151" w:firstLine="480"/>
        <w:jc w:val="both"/>
      </w:pPr>
      <w:r>
        <w:rPr>
          <w:spacing w:val="-3"/>
        </w:rPr>
        <w:t>（1）根据《财政部关于修订印发一般企业财务报表格式的通知》，对2017年度及以后期</w:t>
      </w:r>
      <w:r>
        <w:rPr/>
        <w:t> 间的财务报表格式进行了调整，比较数据相应调整。</w:t>
      </w:r>
    </w:p>
    <w:p>
      <w:pPr>
        <w:pStyle w:val="Heading4"/>
        <w:spacing w:line="357" w:lineRule="auto"/>
        <w:ind w:left="154" w:right="151" w:firstLine="480"/>
        <w:jc w:val="both"/>
      </w:pPr>
      <w:r>
        <w:rPr>
          <w:spacing w:val="-3"/>
        </w:rPr>
        <w:t>（2）根据《企业会计准则第16号——政府补助》，对于2017年度取得的政府补助，采用</w:t>
      </w:r>
      <w:r>
        <w:rPr/>
        <w:t> 未来适用法处理，比较报表数据不予调整。</w:t>
      </w:r>
    </w:p>
    <w:p>
      <w:pPr>
        <w:pStyle w:val="Heading4"/>
        <w:spacing w:line="357" w:lineRule="auto"/>
        <w:ind w:left="154" w:right="152" w:firstLine="480"/>
        <w:jc w:val="both"/>
      </w:pPr>
      <w:r>
        <w:rPr>
          <w:spacing w:val="-3"/>
        </w:rPr>
        <w:t>（3）根据《企业会计准则第42号——持有待售的非流动资产、处置组和终止经营》，对</w:t>
      </w:r>
      <w:r>
        <w:rPr/>
        <w:t> 2017年度发生的资产处置收益进行了调整，比较数据相应调整。</w:t>
      </w:r>
    </w:p>
    <w:p>
      <w:pPr>
        <w:pStyle w:val="Heading6"/>
        <w:spacing w:line="272" w:lineRule="exact" w:before="0"/>
        <w:ind w:left="925" w:right="0"/>
        <w:jc w:val="left"/>
      </w:pPr>
      <w:r>
        <w:rPr>
          <w:rFonts w:ascii="Times New Roman" w:hAnsi="Times New Roman" w:cs="Times New Roman" w:eastAsia="Times New Roman" w:hint="default"/>
        </w:rPr>
        <w:t>2</w:t>
      </w:r>
      <w:r>
        <w:rPr/>
        <w:t>、当期和各个列报前期财务报表中受影响的项目名称和调整金额。</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942"/>
        <w:gridCol w:w="1837"/>
        <w:gridCol w:w="151"/>
        <w:gridCol w:w="1550"/>
        <w:gridCol w:w="1472"/>
        <w:gridCol w:w="1340"/>
      </w:tblGrid>
      <w:tr>
        <w:trPr>
          <w:trHeight w:val="355" w:hRule="exact"/>
        </w:trPr>
        <w:tc>
          <w:tcPr>
            <w:tcW w:w="2942"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3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513" w:type="dxa"/>
            <w:gridSpan w:val="4"/>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1080" w:right="0"/>
              <w:jc w:val="left"/>
              <w:rPr>
                <w:rFonts w:ascii="宋体" w:hAnsi="宋体" w:cs="宋体" w:eastAsia="宋体" w:hint="default"/>
                <w:sz w:val="18"/>
                <w:szCs w:val="18"/>
              </w:rPr>
            </w:pPr>
            <w:r>
              <w:rPr>
                <w:rFonts w:ascii="宋体" w:hAnsi="宋体" w:cs="宋体" w:eastAsia="宋体" w:hint="default"/>
                <w:sz w:val="18"/>
                <w:szCs w:val="18"/>
              </w:rPr>
              <w:t>受影响的报表科目名称和金额</w:t>
            </w:r>
          </w:p>
        </w:tc>
      </w:tr>
      <w:tr>
        <w:trPr>
          <w:trHeight w:val="353" w:hRule="exact"/>
        </w:trPr>
        <w:tc>
          <w:tcPr>
            <w:tcW w:w="2942" w:type="dxa"/>
            <w:vMerge/>
            <w:tcBorders>
              <w:left w:val="single" w:sz="6" w:space="0" w:color="000000"/>
              <w:bottom w:val="single" w:sz="12" w:space="0" w:color="000000"/>
              <w:right w:val="single" w:sz="6" w:space="0" w:color="000000"/>
            </w:tcBorders>
          </w:tcPr>
          <w:p>
            <w:pPr/>
          </w:p>
        </w:tc>
        <w:tc>
          <w:tcPr>
            <w:tcW w:w="1837" w:type="dxa"/>
            <w:vMerge/>
            <w:tcBorders>
              <w:left w:val="single" w:sz="6" w:space="0" w:color="000000"/>
              <w:bottom w:val="single" w:sz="12" w:space="0" w:color="000000"/>
              <w:right w:val="single" w:sz="6" w:space="0" w:color="000000"/>
            </w:tcBorders>
          </w:tcPr>
          <w:p>
            <w:pPr/>
          </w:p>
        </w:tc>
        <w:tc>
          <w:tcPr>
            <w:tcW w:w="170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34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32" w:hRule="exact"/>
        </w:trPr>
        <w:tc>
          <w:tcPr>
            <w:tcW w:w="29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w:t>
            </w:r>
          </w:p>
        </w:tc>
        <w:tc>
          <w:tcPr>
            <w:tcW w:w="18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p>
        </w:tc>
        <w:tc>
          <w:tcPr>
            <w:tcW w:w="151" w:type="dxa"/>
            <w:tcBorders>
              <w:top w:val="single" w:sz="12" w:space="0" w:color="000000"/>
              <w:left w:val="single" w:sz="6" w:space="0" w:color="000000"/>
              <w:bottom w:val="nil" w:sz="6" w:space="0" w:color="auto"/>
              <w:right w:val="nil" w:sz="6" w:space="0" w:color="auto"/>
            </w:tcBorders>
          </w:tcPr>
          <w:p>
            <w:pPr/>
          </w:p>
        </w:tc>
        <w:tc>
          <w:tcPr>
            <w:tcW w:w="1550" w:type="dxa"/>
            <w:tcBorders>
              <w:top w:val="single" w:sz="12" w:space="0" w:color="000000"/>
              <w:left w:val="nil" w:sz="6" w:space="0" w:color="auto"/>
              <w:bottom w:val="nil" w:sz="6" w:space="0" w:color="auto"/>
              <w:right w:val="single" w:sz="6" w:space="0" w:color="000000"/>
            </w:tcBorders>
          </w:tcPr>
          <w:p>
            <w:pPr/>
          </w:p>
        </w:tc>
        <w:tc>
          <w:tcPr>
            <w:tcW w:w="1472" w:type="dxa"/>
            <w:tcBorders>
              <w:top w:val="single" w:sz="12" w:space="0" w:color="000000"/>
              <w:left w:val="single" w:sz="6" w:space="0" w:color="000000"/>
              <w:bottom w:val="nil" w:sz="6" w:space="0" w:color="auto"/>
              <w:right w:val="single" w:sz="6" w:space="0" w:color="000000"/>
            </w:tcBorders>
          </w:tcPr>
          <w:p>
            <w:pPr/>
          </w:p>
        </w:tc>
        <w:tc>
          <w:tcPr>
            <w:tcW w:w="1340" w:type="dxa"/>
            <w:tcBorders>
              <w:top w:val="single" w:sz="12" w:space="0" w:color="000000"/>
              <w:left w:val="single" w:sz="6" w:space="0" w:color="000000"/>
              <w:bottom w:val="nil" w:sz="6" w:space="0" w:color="auto"/>
              <w:right w:val="single" w:sz="4" w:space="0" w:color="000000"/>
            </w:tcBorders>
          </w:tcPr>
          <w:p>
            <w:pPr/>
          </w:p>
        </w:tc>
      </w:tr>
      <w:tr>
        <w:trPr>
          <w:trHeight w:val="312" w:hRule="exact"/>
        </w:trPr>
        <w:tc>
          <w:tcPr>
            <w:tcW w:w="294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终止经营净利润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。比较数</w:t>
            </w:r>
          </w:p>
        </w:tc>
        <w:tc>
          <w:tcPr>
            <w:tcW w:w="18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w:t>
            </w:r>
          </w:p>
        </w:tc>
        <w:tc>
          <w:tcPr>
            <w:tcW w:w="151" w:type="dxa"/>
            <w:tcBorders>
              <w:top w:val="nil" w:sz="6" w:space="0" w:color="auto"/>
              <w:left w:val="single" w:sz="6" w:space="0" w:color="000000"/>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single" w:sz="6" w:space="0" w:color="000000"/>
            </w:tcBorders>
          </w:tcPr>
          <w:p>
            <w:pPr>
              <w:pStyle w:val="TableParagraph"/>
              <w:spacing w:line="240" w:lineRule="auto" w:before="5"/>
              <w:ind w:left="70"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47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164"/>
              <w:jc w:val="right"/>
              <w:rPr>
                <w:rFonts w:ascii="Times New Roman" w:hAnsi="Times New Roman" w:cs="Times New Roman" w:eastAsia="Times New Roman" w:hint="default"/>
                <w:sz w:val="18"/>
                <w:szCs w:val="18"/>
              </w:rPr>
            </w:pPr>
            <w:r>
              <w:rPr>
                <w:rFonts w:ascii="Times New Roman"/>
                <w:spacing w:val="-1"/>
                <w:sz w:val="18"/>
              </w:rPr>
              <w:t>304,761,250.26</w:t>
            </w:r>
          </w:p>
        </w:tc>
        <w:tc>
          <w:tcPr>
            <w:tcW w:w="1340" w:type="dxa"/>
            <w:tcBorders>
              <w:top w:val="nil" w:sz="6" w:space="0" w:color="auto"/>
              <w:left w:val="single" w:sz="6" w:space="0" w:color="000000"/>
              <w:bottom w:val="nil" w:sz="6" w:space="0" w:color="auto"/>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231,883,123.17</w:t>
            </w:r>
          </w:p>
        </w:tc>
      </w:tr>
      <w:tr>
        <w:trPr>
          <w:trHeight w:val="332" w:hRule="exact"/>
        </w:trPr>
        <w:tc>
          <w:tcPr>
            <w:tcW w:w="29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据相应调整。</w:t>
            </w:r>
          </w:p>
        </w:tc>
        <w:tc>
          <w:tcPr>
            <w:tcW w:w="183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8"/>
                <w:sz w:val="18"/>
                <w:szCs w:val="18"/>
              </w:rPr>
              <w:t>产、处置组和终止经营</w:t>
            </w:r>
          </w:p>
        </w:tc>
        <w:tc>
          <w:tcPr>
            <w:tcW w:w="151" w:type="dxa"/>
            <w:tcBorders>
              <w:top w:val="nil" w:sz="6" w:space="0" w:color="auto"/>
              <w:left w:val="single" w:sz="6" w:space="0" w:color="000000"/>
              <w:bottom w:val="single" w:sz="12" w:space="0" w:color="000000"/>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550" w:type="dxa"/>
            <w:tcBorders>
              <w:top w:val="nil" w:sz="6" w:space="0" w:color="auto"/>
              <w:left w:val="nil" w:sz="6" w:space="0" w:color="auto"/>
              <w:bottom w:val="single" w:sz="12" w:space="0" w:color="000000"/>
              <w:right w:val="single" w:sz="6" w:space="0" w:color="000000"/>
            </w:tcBorders>
          </w:tcPr>
          <w:p>
            <w:pPr/>
          </w:p>
        </w:tc>
        <w:tc>
          <w:tcPr>
            <w:tcW w:w="1472" w:type="dxa"/>
            <w:tcBorders>
              <w:top w:val="nil" w:sz="6" w:space="0" w:color="auto"/>
              <w:left w:val="single" w:sz="6" w:space="0" w:color="000000"/>
              <w:bottom w:val="single" w:sz="12" w:space="0" w:color="000000"/>
              <w:right w:val="single" w:sz="6" w:space="0" w:color="000000"/>
            </w:tcBorders>
          </w:tcPr>
          <w:p>
            <w:pPr/>
          </w:p>
        </w:tc>
        <w:tc>
          <w:tcPr>
            <w:tcW w:w="1340" w:type="dxa"/>
            <w:tcBorders>
              <w:top w:val="nil" w:sz="6" w:space="0" w:color="auto"/>
              <w:left w:val="single" w:sz="6" w:space="0" w:color="000000"/>
              <w:bottom w:val="single" w:sz="12" w:space="0" w:color="000000"/>
              <w:right w:val="single" w:sz="4" w:space="0" w:color="000000"/>
            </w:tcBorders>
          </w:tcPr>
          <w:p>
            <w:pPr/>
          </w:p>
        </w:tc>
      </w:tr>
      <w:tr>
        <w:trPr>
          <w:trHeight w:val="352" w:hRule="exact"/>
        </w:trPr>
        <w:tc>
          <w:tcPr>
            <w:tcW w:w="29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）与本公司日常活动相关的政府补</w:t>
            </w:r>
          </w:p>
        </w:tc>
        <w:tc>
          <w:tcPr>
            <w:tcW w:w="18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p>
        </w:tc>
        <w:tc>
          <w:tcPr>
            <w:tcW w:w="170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55" w:right="0"/>
              <w:jc w:val="left"/>
              <w:rPr>
                <w:rFonts w:ascii="Times New Roman" w:hAnsi="Times New Roman" w:cs="Times New Roman" w:eastAsia="Times New Roman" w:hint="default"/>
                <w:sz w:val="18"/>
                <w:szCs w:val="18"/>
              </w:rPr>
            </w:pPr>
            <w:r>
              <w:rPr>
                <w:rFonts w:ascii="Times New Roman"/>
                <w:sz w:val="18"/>
              </w:rPr>
              <w:t>2,065,467.23</w:t>
            </w:r>
          </w:p>
        </w:tc>
        <w:tc>
          <w:tcPr>
            <w:tcW w:w="134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42" w:type="dxa"/>
            <w:tcBorders>
              <w:top w:val="nil" w:sz="6" w:space="0" w:color="auto"/>
              <w:left w:val="single" w:sz="6" w:space="0" w:color="000000"/>
              <w:bottom w:val="single" w:sz="12"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助，计入其他收益，不再计入营业外</w:t>
            </w:r>
          </w:p>
        </w:tc>
        <w:tc>
          <w:tcPr>
            <w:tcW w:w="1837" w:type="dxa"/>
            <w:tcBorders>
              <w:top w:val="nil" w:sz="6" w:space="0" w:color="auto"/>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170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pacing w:val="-1"/>
                <w:sz w:val="18"/>
              </w:rPr>
              <w:t>-2,065,467.23</w:t>
            </w:r>
          </w:p>
        </w:tc>
        <w:tc>
          <w:tcPr>
            <w:tcW w:w="1340" w:type="dxa"/>
            <w:tcBorders>
              <w:top w:val="single" w:sz="12" w:space="0" w:color="000000"/>
              <w:left w:val="single" w:sz="6" w:space="0" w:color="000000"/>
              <w:bottom w:val="single" w:sz="12"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2"/>
        <w:gridCol w:w="1837"/>
        <w:gridCol w:w="1700"/>
        <w:gridCol w:w="1472"/>
        <w:gridCol w:w="1340"/>
      </w:tblGrid>
      <w:tr>
        <w:trPr>
          <w:trHeight w:val="355" w:hRule="exact"/>
        </w:trPr>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收入。比较数据不调整。</w:t>
            </w:r>
          </w:p>
        </w:tc>
        <w:tc>
          <w:tcPr>
            <w:tcW w:w="1837"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
        </w:tc>
        <w:tc>
          <w:tcPr>
            <w:tcW w:w="1472" w:type="dxa"/>
            <w:tcBorders>
              <w:top w:val="single" w:sz="6" w:space="0" w:color="000000"/>
              <w:left w:val="single" w:sz="6" w:space="0" w:color="000000"/>
              <w:bottom w:val="single" w:sz="12" w:space="0" w:color="000000"/>
              <w:right w:val="single" w:sz="6" w:space="0" w:color="000000"/>
            </w:tcBorders>
          </w:tcPr>
          <w:p>
            <w:pPr/>
          </w:p>
        </w:tc>
        <w:tc>
          <w:tcPr>
            <w:tcW w:w="1340" w:type="dxa"/>
            <w:tcBorders>
              <w:top w:val="single" w:sz="6" w:space="0" w:color="000000"/>
              <w:left w:val="single" w:sz="6" w:space="0" w:color="000000"/>
              <w:bottom w:val="single" w:sz="12" w:space="0" w:color="000000"/>
              <w:right w:val="single" w:sz="4" w:space="0" w:color="000000"/>
            </w:tcBorders>
          </w:tcPr>
          <w:p>
            <w:pPr/>
          </w:p>
        </w:tc>
      </w:tr>
      <w:tr>
        <w:trPr>
          <w:trHeight w:val="353" w:hRule="exact"/>
        </w:trPr>
        <w:tc>
          <w:tcPr>
            <w:tcW w:w="29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p>
        </w:tc>
        <w:tc>
          <w:tcPr>
            <w:tcW w:w="18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《财政部关于修订印发</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-104,819.88</w:t>
            </w:r>
          </w:p>
        </w:tc>
        <w:tc>
          <w:tcPr>
            <w:tcW w:w="134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154,574.82</w:t>
            </w:r>
          </w:p>
        </w:tc>
      </w:tr>
      <w:tr>
        <w:trPr>
          <w:trHeight w:val="352" w:hRule="exact"/>
        </w:trPr>
        <w:tc>
          <w:tcPr>
            <w:tcW w:w="2942"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项目，将部分原列示为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1837"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2" w:right="0"/>
              <w:jc w:val="left"/>
              <w:rPr>
                <w:rFonts w:ascii="宋体" w:hAnsi="宋体" w:cs="宋体" w:eastAsia="宋体" w:hint="default"/>
                <w:sz w:val="18"/>
                <w:szCs w:val="18"/>
              </w:rPr>
            </w:pPr>
            <w:r>
              <w:rPr>
                <w:rFonts w:ascii="宋体" w:hAnsi="宋体" w:cs="宋体" w:eastAsia="宋体" w:hint="default"/>
                <w:sz w:val="18"/>
                <w:szCs w:val="18"/>
              </w:rPr>
              <w:t>一般企业财务报表格式</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-104,819.88</w:t>
            </w:r>
          </w:p>
        </w:tc>
        <w:tc>
          <w:tcPr>
            <w:tcW w:w="134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-39,226.23</w:t>
            </w:r>
          </w:p>
        </w:tc>
      </w:tr>
      <w:tr>
        <w:trPr>
          <w:trHeight w:val="252" w:hRule="exact"/>
        </w:trPr>
        <w:tc>
          <w:tcPr>
            <w:tcW w:w="2942"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宋体" w:hAnsi="宋体" w:cs="宋体" w:eastAsia="宋体" w:hint="default"/>
                <w:sz w:val="18"/>
                <w:szCs w:val="18"/>
              </w:rPr>
              <w:t>出</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w:t>
            </w:r>
          </w:p>
        </w:tc>
        <w:tc>
          <w:tcPr>
            <w:tcW w:w="1837" w:type="dxa"/>
            <w:tcBorders>
              <w:top w:val="nil" w:sz="6" w:space="0" w:color="auto"/>
              <w:left w:val="single" w:sz="6" w:space="0" w:color="000000"/>
              <w:bottom w:val="nil" w:sz="6" w:space="0" w:color="auto"/>
              <w:right w:val="single" w:sz="6" w:space="0" w:color="000000"/>
            </w:tcBorders>
          </w:tcPr>
          <w:p>
            <w:pPr>
              <w:pStyle w:val="TableParagraph"/>
              <w:spacing w:line="181" w:lineRule="exact"/>
              <w:ind w:left="2" w:right="0"/>
              <w:jc w:val="left"/>
              <w:rPr>
                <w:rFonts w:ascii="宋体" w:hAnsi="宋体" w:cs="宋体" w:eastAsia="宋体" w:hint="default"/>
                <w:sz w:val="18"/>
                <w:szCs w:val="18"/>
              </w:rPr>
            </w:pPr>
            <w:r>
              <w:rPr>
                <w:rFonts w:ascii="宋体" w:hAnsi="宋体" w:cs="宋体" w:eastAsia="宋体" w:hint="default"/>
                <w:sz w:val="18"/>
                <w:szCs w:val="18"/>
              </w:rPr>
              <w:t>的通知》</w:t>
            </w:r>
          </w:p>
        </w:tc>
        <w:tc>
          <w:tcPr>
            <w:tcW w:w="1700"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2" w:type="dxa"/>
            <w:vMerge w:val="restart"/>
            <w:tcBorders>
              <w:top w:val="single" w:sz="12" w:space="0" w:color="000000"/>
              <w:left w:val="single" w:sz="6" w:space="0" w:color="000000"/>
              <w:right w:val="single" w:sz="6" w:space="0" w:color="000000"/>
            </w:tcBorders>
          </w:tcPr>
          <w:p>
            <w:pPr/>
          </w:p>
        </w:tc>
        <w:tc>
          <w:tcPr>
            <w:tcW w:w="1340" w:type="dxa"/>
            <w:vMerge w:val="restart"/>
            <w:tcBorders>
              <w:top w:val="single" w:sz="12"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193,801.05</w:t>
            </w:r>
          </w:p>
        </w:tc>
      </w:tr>
      <w:tr>
        <w:trPr>
          <w:trHeight w:val="312" w:hRule="exact"/>
        </w:trPr>
        <w:tc>
          <w:tcPr>
            <w:tcW w:w="294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w:t>
            </w:r>
          </w:p>
        </w:tc>
        <w:tc>
          <w:tcPr>
            <w:tcW w:w="1837" w:type="dxa"/>
            <w:tcBorders>
              <w:top w:val="nil" w:sz="6" w:space="0" w:color="auto"/>
              <w:left w:val="single" w:sz="6" w:space="0" w:color="000000"/>
              <w:bottom w:val="nil" w:sz="6" w:space="0" w:color="auto"/>
              <w:right w:val="single" w:sz="6" w:space="0" w:color="000000"/>
            </w:tcBorders>
          </w:tcPr>
          <w:p>
            <w:pPr/>
          </w:p>
        </w:tc>
        <w:tc>
          <w:tcPr>
            <w:tcW w:w="1700" w:type="dxa"/>
            <w:vMerge/>
            <w:tcBorders>
              <w:left w:val="single" w:sz="6" w:space="0" w:color="000000"/>
              <w:right w:val="single" w:sz="6" w:space="0" w:color="000000"/>
            </w:tcBorders>
          </w:tcPr>
          <w:p>
            <w:pPr/>
          </w:p>
        </w:tc>
        <w:tc>
          <w:tcPr>
            <w:tcW w:w="1472" w:type="dxa"/>
            <w:vMerge/>
            <w:tcBorders>
              <w:left w:val="single" w:sz="6" w:space="0" w:color="000000"/>
              <w:right w:val="single" w:sz="6" w:space="0" w:color="000000"/>
            </w:tcBorders>
          </w:tcPr>
          <w:p>
            <w:pPr/>
          </w:p>
        </w:tc>
        <w:tc>
          <w:tcPr>
            <w:tcW w:w="1340" w:type="dxa"/>
            <w:vMerge/>
            <w:tcBorders>
              <w:left w:val="single" w:sz="6" w:space="0" w:color="000000"/>
              <w:right w:val="single" w:sz="4" w:space="0" w:color="000000"/>
            </w:tcBorders>
          </w:tcPr>
          <w:p>
            <w:pPr/>
          </w:p>
        </w:tc>
      </w:tr>
      <w:tr>
        <w:trPr>
          <w:trHeight w:val="332" w:hRule="exact"/>
        </w:trPr>
        <w:tc>
          <w:tcPr>
            <w:tcW w:w="29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数据相应调整。</w:t>
            </w:r>
          </w:p>
        </w:tc>
        <w:tc>
          <w:tcPr>
            <w:tcW w:w="1837" w:type="dxa"/>
            <w:tcBorders>
              <w:top w:val="nil" w:sz="6" w:space="0" w:color="auto"/>
              <w:left w:val="single" w:sz="6" w:space="0" w:color="000000"/>
              <w:bottom w:val="single" w:sz="12" w:space="0" w:color="000000"/>
              <w:right w:val="single" w:sz="6" w:space="0" w:color="000000"/>
            </w:tcBorders>
          </w:tcPr>
          <w:p>
            <w:pPr/>
          </w:p>
        </w:tc>
        <w:tc>
          <w:tcPr>
            <w:tcW w:w="1700" w:type="dxa"/>
            <w:vMerge/>
            <w:tcBorders>
              <w:left w:val="single" w:sz="6" w:space="0" w:color="000000"/>
              <w:bottom w:val="single" w:sz="12" w:space="0" w:color="000000"/>
              <w:right w:val="single" w:sz="6" w:space="0" w:color="000000"/>
            </w:tcBorders>
          </w:tcPr>
          <w:p>
            <w:pPr/>
          </w:p>
        </w:tc>
        <w:tc>
          <w:tcPr>
            <w:tcW w:w="1472" w:type="dxa"/>
            <w:vMerge/>
            <w:tcBorders>
              <w:left w:val="single" w:sz="6" w:space="0" w:color="000000"/>
              <w:bottom w:val="single" w:sz="12" w:space="0" w:color="000000"/>
              <w:right w:val="single" w:sz="6" w:space="0" w:color="000000"/>
            </w:tcBorders>
          </w:tcPr>
          <w:p>
            <w:pPr/>
          </w:p>
        </w:tc>
        <w:tc>
          <w:tcPr>
            <w:tcW w:w="1340" w:type="dxa"/>
            <w:vMerge/>
            <w:tcBorders>
              <w:left w:val="single" w:sz="6" w:space="0" w:color="000000"/>
              <w:bottom w:val="single" w:sz="12"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30"/>
        <w:ind w:left="634" w:right="0"/>
        <w:jc w:val="left"/>
      </w:pPr>
      <w:r>
        <w:rPr/>
        <w:t>1、本年新增合并单位1家：</w:t>
      </w:r>
    </w:p>
    <w:p>
      <w:pPr>
        <w:pStyle w:val="Heading4"/>
        <w:spacing w:line="357" w:lineRule="auto" w:before="154"/>
        <w:ind w:right="148" w:firstLine="480"/>
        <w:jc w:val="both"/>
      </w:pPr>
      <w:r>
        <w:rPr>
          <w:spacing w:val="-3"/>
        </w:rPr>
        <w:t>（1）2017 </w:t>
      </w:r>
      <w:r>
        <w:rPr/>
        <w:t>年 5</w:t>
      </w:r>
      <w:r>
        <w:rPr>
          <w:spacing w:val="31"/>
        </w:rPr>
        <w:t> </w:t>
      </w:r>
      <w:r>
        <w:rPr>
          <w:spacing w:val="-3"/>
        </w:rPr>
        <w:t>月，公司与宁波得厚领峰企业管理咨询合伙企业（有限合伙）合计投资</w:t>
      </w:r>
      <w:r>
        <w:rPr/>
        <w:t> 200</w:t>
      </w:r>
      <w:r>
        <w:rPr>
          <w:spacing w:val="16"/>
        </w:rPr>
        <w:t> </w:t>
      </w:r>
      <w:r>
        <w:rPr/>
        <w:t>万人民币设立上海甄云信息科技有限公司。公司以汉得供应商关系管理云平台软件以及</w:t>
      </w:r>
      <w:r>
        <w:rPr>
          <w:spacing w:val="-117"/>
        </w:rPr>
        <w:t> </w:t>
      </w:r>
      <w:r>
        <w:rPr>
          <w:spacing w:val="-117"/>
        </w:rPr>
      </w:r>
      <w:r>
        <w:rPr/>
        <w:t>汉得供应商关系管理平台软件著作权作价出资 120 </w:t>
      </w:r>
      <w:r>
        <w:rPr>
          <w:spacing w:val="-4"/>
        </w:rPr>
        <w:t>万元，占合资公司注册资本的</w:t>
      </w:r>
      <w:r>
        <w:rPr>
          <w:spacing w:val="11"/>
        </w:rPr>
        <w:t> </w:t>
      </w:r>
      <w:r>
        <w:rPr>
          <w:spacing w:val="-7"/>
        </w:rPr>
        <w:t>60%；得厚</w:t>
      </w:r>
      <w:r>
        <w:rPr/>
        <w:t> 领峰认缴出资80</w:t>
      </w:r>
      <w:r>
        <w:rPr>
          <w:spacing w:val="24"/>
        </w:rPr>
        <w:t> </w:t>
      </w:r>
      <w:r>
        <w:rPr>
          <w:spacing w:val="-3"/>
        </w:rPr>
        <w:t>万元，占合资公司注册资本的40%。2017年5月起，上海甄云信息科技有限公</w:t>
      </w:r>
      <w:r>
        <w:rPr>
          <w:spacing w:val="-118"/>
        </w:rPr>
        <w:t> </w:t>
      </w:r>
      <w:r>
        <w:rPr>
          <w:spacing w:val="-118"/>
        </w:rPr>
      </w:r>
      <w:r>
        <w:rPr/>
        <w:t>司纳入合并范围。</w:t>
      </w:r>
    </w:p>
    <w:p>
      <w:pPr>
        <w:pStyle w:val="Heading4"/>
        <w:spacing w:line="240" w:lineRule="auto"/>
        <w:ind w:left="633" w:right="0"/>
        <w:jc w:val="left"/>
      </w:pPr>
      <w:r>
        <w:rPr/>
        <w:t>2、本年减少合并单位3家：</w:t>
      </w:r>
    </w:p>
    <w:p>
      <w:pPr>
        <w:pStyle w:val="Heading4"/>
        <w:spacing w:line="240" w:lineRule="auto" w:before="154"/>
        <w:ind w:left="754" w:right="0"/>
        <w:jc w:val="left"/>
      </w:pPr>
      <w:r>
        <w:rPr/>
        <w:t>（1）2017年11月HAND ENTERPRISE SOLUTIONS</w:t>
      </w:r>
      <w:r>
        <w:rPr>
          <w:spacing w:val="-84"/>
        </w:rPr>
        <w:t> </w:t>
      </w:r>
      <w:r>
        <w:rPr/>
        <w:t>USA.,LTD.注销，2017年12月起不纳入合</w:t>
      </w:r>
    </w:p>
    <w:p>
      <w:pPr>
        <w:pStyle w:val="Heading4"/>
        <w:spacing w:line="240" w:lineRule="auto" w:before="154"/>
        <w:ind w:right="0"/>
        <w:jc w:val="left"/>
      </w:pPr>
      <w:r>
        <w:rPr/>
        <w:t>并范围。</w:t>
      </w:r>
    </w:p>
    <w:p>
      <w:pPr>
        <w:pStyle w:val="Heading4"/>
        <w:spacing w:line="357" w:lineRule="auto" w:before="154"/>
        <w:ind w:right="151" w:firstLine="480"/>
        <w:jc w:val="both"/>
      </w:pPr>
      <w:r>
        <w:rPr>
          <w:spacing w:val="-2"/>
        </w:rPr>
        <w:t>（2）自2017年9月1日起，知云软件由公司的控股子公司变为公司的联营企业，公司对其</w:t>
      </w:r>
      <w:r>
        <w:rPr/>
        <w:t> 长期股权投资改按权益法核算。</w:t>
      </w:r>
    </w:p>
    <w:p>
      <w:pPr>
        <w:pStyle w:val="Heading4"/>
        <w:spacing w:line="357" w:lineRule="auto"/>
        <w:ind w:right="151" w:firstLine="480"/>
        <w:jc w:val="both"/>
      </w:pPr>
      <w:r>
        <w:rPr>
          <w:spacing w:val="-2"/>
        </w:rPr>
        <w:t>（3）自2017年12月31日起，甄汇科技由公司的控股子公司变为公司的联营企业，公司对</w:t>
      </w:r>
      <w:r>
        <w:rPr/>
        <w:t> 其长期股权投资改按权益法核算。</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63"/>
        <w:gridCol w:w="480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陈竑、何剑</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陈竑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年；何剑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spacing w:after="0" w:line="3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32"/>
        <w:ind w:left="634" w:right="0"/>
        <w:jc w:val="left"/>
      </w:pPr>
      <w:r>
        <w:rPr/>
        <w:t>1、2017年4月21日，公司在中国证券登记结算有限责任公司深圳分公司完成了2011年、</w:t>
      </w:r>
    </w:p>
    <w:p>
      <w:pPr>
        <w:pStyle w:val="Heading4"/>
        <w:spacing w:line="240" w:lineRule="auto" w:before="154"/>
        <w:ind w:left="154" w:right="0"/>
        <w:jc w:val="left"/>
      </w:pPr>
      <w:r>
        <w:rPr/>
        <w:t>2012年、2013年、2014年、2015年股权激励计划部分限制性股票的回购注销手续，详情参见</w:t>
      </w:r>
    </w:p>
    <w:p>
      <w:pPr>
        <w:pStyle w:val="Heading4"/>
        <w:spacing w:line="240" w:lineRule="auto" w:before="154"/>
        <w:ind w:left="154" w:right="0"/>
        <w:jc w:val="left"/>
      </w:pPr>
      <w:r>
        <w:rPr/>
        <w:t>2017年4月21日披露于证监会指定创业板信息披露媒体之相关公告。</w:t>
      </w:r>
    </w:p>
    <w:p>
      <w:pPr>
        <w:pStyle w:val="Heading4"/>
        <w:spacing w:line="357" w:lineRule="auto" w:before="154"/>
        <w:ind w:left="154" w:right="147" w:firstLine="480"/>
        <w:jc w:val="both"/>
      </w:pPr>
      <w:r>
        <w:rPr>
          <w:spacing w:val="-2"/>
        </w:rPr>
        <w:t>2、2017年5月23日，公司2013年股权激励计划第三期5,905,168股限制性股票解锁手续办</w:t>
      </w:r>
      <w:r>
        <w:rPr/>
        <w:t> 理完毕，占公司当时股本总额的0.69%，实际上市流通数量为5,821,794股，占公司当时股本</w:t>
      </w:r>
      <w:r>
        <w:rPr>
          <w:spacing w:val="-82"/>
        </w:rPr>
        <w:t> </w:t>
      </w:r>
      <w:r>
        <w:rPr>
          <w:spacing w:val="-82"/>
        </w:rPr>
      </w:r>
      <w:r>
        <w:rPr>
          <w:spacing w:val="-2"/>
        </w:rPr>
        <w:t>总额的0.68%，本次申请解锁的激励对象人数为207名。详情参见2017年5月18日披露于证监会</w:t>
      </w:r>
      <w:r>
        <w:rPr>
          <w:spacing w:val="-106"/>
        </w:rPr>
        <w:t> </w:t>
      </w:r>
      <w:r>
        <w:rPr>
          <w:spacing w:val="-106"/>
        </w:rPr>
      </w:r>
      <w:r>
        <w:rPr/>
        <w:t>指定创业板信息披露媒体之相关公告。</w:t>
      </w:r>
    </w:p>
    <w:p>
      <w:pPr>
        <w:pStyle w:val="Heading4"/>
        <w:spacing w:line="357" w:lineRule="auto"/>
        <w:ind w:left="154" w:right="147" w:firstLine="480"/>
        <w:jc w:val="both"/>
      </w:pPr>
      <w:r>
        <w:rPr>
          <w:spacing w:val="-2"/>
        </w:rPr>
        <w:t>3、2017年8月16日，公司2016年股权激励计划第一期7,380,600股限制性股票解锁手续办</w:t>
      </w:r>
      <w:r>
        <w:rPr/>
        <w:t> 理完毕，占公司当时股本总额的0.86%，实际上市流通数量为7,380,600股，占公司当时股本</w:t>
      </w:r>
      <w:r>
        <w:rPr>
          <w:spacing w:val="-82"/>
        </w:rPr>
        <w:t> </w:t>
      </w:r>
      <w:r>
        <w:rPr>
          <w:spacing w:val="-82"/>
        </w:rPr>
      </w:r>
      <w:r>
        <w:rPr>
          <w:spacing w:val="-2"/>
        </w:rPr>
        <w:t>总额的0.86%，本次申请解锁的激励对象人数为932名。详情参见2017年8月10日披露于证监会</w:t>
      </w:r>
      <w:r>
        <w:rPr>
          <w:spacing w:val="-106"/>
        </w:rPr>
        <w:t> </w:t>
      </w:r>
      <w:r>
        <w:rPr>
          <w:spacing w:val="-106"/>
        </w:rPr>
      </w:r>
      <w:r>
        <w:rPr/>
        <w:t>指定创业板信息披露媒体之相关公告。</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148" w:firstLine="480"/>
        <w:jc w:val="both"/>
      </w:pPr>
      <w:r>
        <w:rPr/>
        <w:t>4、2017年10月25日，公司2015年股权激励计划第二期1,059,300股限制性股票解锁手续</w:t>
      </w:r>
      <w:r>
        <w:rPr>
          <w:spacing w:val="1"/>
        </w:rPr>
        <w:t> </w:t>
      </w:r>
      <w:r>
        <w:rPr/>
        <w:t>办理完毕，占公司当时股本总额的0.12%；实际可上市流通数量1,059,300股，占公司当时股</w:t>
      </w:r>
      <w:r>
        <w:rPr>
          <w:spacing w:val="-92"/>
        </w:rPr>
        <w:t> </w:t>
      </w:r>
      <w:r>
        <w:rPr>
          <w:spacing w:val="-92"/>
        </w:rPr>
      </w:r>
      <w:r>
        <w:rPr/>
        <w:t>本总额的0.12%，本次申请解锁的激励对象人数为179名。详情参见2017年10月19日披露于证</w:t>
      </w:r>
      <w:r>
        <w:rPr>
          <w:spacing w:val="-116"/>
        </w:rPr>
        <w:t> </w:t>
      </w:r>
      <w:r>
        <w:rPr>
          <w:spacing w:val="-116"/>
        </w:rPr>
      </w:r>
      <w:r>
        <w:rPr/>
        <w:t>监会指定创业板信息披露媒体之相关公告。</w:t>
      </w:r>
    </w:p>
    <w:p>
      <w:pPr>
        <w:pStyle w:val="Heading4"/>
        <w:spacing w:line="357" w:lineRule="auto"/>
        <w:ind w:left="154" w:right="148" w:firstLine="480"/>
        <w:jc w:val="both"/>
      </w:pPr>
      <w:r>
        <w:rPr/>
        <w:t>5、2017年11月23日，公司2014年股权激励计划第三期6,000,600股限制性股票解锁手续</w:t>
      </w:r>
      <w:r>
        <w:rPr>
          <w:spacing w:val="1"/>
        </w:rPr>
        <w:t> </w:t>
      </w:r>
      <w:r>
        <w:rPr/>
        <w:t>办理完毕，占公司当时股本总额的0.70%；实际可上市流通数量6,000,600股，占公司股本当</w:t>
      </w:r>
      <w:r>
        <w:rPr>
          <w:spacing w:val="-92"/>
        </w:rPr>
        <w:t> </w:t>
      </w:r>
      <w:r>
        <w:rPr>
          <w:spacing w:val="-92"/>
        </w:rPr>
      </w:r>
      <w:r>
        <w:rPr/>
        <w:t>时总额的0.70%，本次申请解锁的激励对象人数为423名。详情参见2017年11月17日披露于证</w:t>
      </w:r>
      <w:r>
        <w:rPr>
          <w:spacing w:val="-116"/>
        </w:rPr>
        <w:t> </w:t>
      </w:r>
      <w:r>
        <w:rPr>
          <w:spacing w:val="-116"/>
        </w:rPr>
      </w:r>
      <w:r>
        <w:rPr/>
        <w:t>监会指定创业板信息披露媒体之相关公告。</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1955" w:space="6784"/>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6,076.92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6,076.92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6,076.92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6,076.92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4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公司报告期不存在委托贷款。</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right="150" w:firstLine="480"/>
        <w:jc w:val="both"/>
      </w:pPr>
      <w:r>
        <w:rPr/>
        <w:t>公司的发展离不开社会的支持，回报社会是公司的责任和使命。公司在追求经济效益、</w:t>
      </w:r>
      <w:r>
        <w:rPr>
          <w:spacing w:val="1"/>
        </w:rPr>
        <w:t> </w:t>
      </w:r>
      <w:r>
        <w:rPr/>
        <w:t>不断为股东创造价值的同时，积极维护职工的合法权益，诚信对待客户。</w:t>
      </w:r>
    </w:p>
    <w:p>
      <w:pPr>
        <w:pStyle w:val="Heading4"/>
        <w:spacing w:line="357" w:lineRule="auto"/>
        <w:ind w:right="148" w:firstLine="480"/>
        <w:jc w:val="both"/>
      </w:pPr>
      <w:r>
        <w:rPr/>
        <w:t>公司严格按照《公司法》、《深圳证券交易所创业板股票上市规则》、《上市公司信息</w:t>
      </w:r>
      <w:r>
        <w:rPr>
          <w:spacing w:val="1"/>
        </w:rPr>
        <w:t> </w:t>
      </w:r>
      <w:r>
        <w:rPr/>
        <w:t>披露管理办法》等相关法律法规的要求，及时、准确、真实、完整地进行信息披露，秉承着</w:t>
      </w:r>
      <w:r>
        <w:rPr>
          <w:spacing w:val="-83"/>
        </w:rPr>
        <w:t> </w:t>
      </w:r>
      <w:r>
        <w:rPr>
          <w:spacing w:val="-83"/>
        </w:rPr>
      </w:r>
      <w:r>
        <w:rPr/>
        <w:t>公平、公正、公开的原则对待全体投资者，维护广大投资者的利益。通过投资者电话、电子</w:t>
      </w:r>
      <w:r>
        <w:rPr>
          <w:spacing w:val="-83"/>
        </w:rPr>
        <w:t> </w:t>
      </w:r>
      <w:r>
        <w:rPr>
          <w:spacing w:val="-83"/>
        </w:rPr>
      </w:r>
      <w:r>
        <w:rPr/>
        <w:t>邮箱、公司网站和投资者关系互动平台等多种方式与投资者进行沟通交流，提高了公司的透</w:t>
      </w:r>
      <w:r>
        <w:rPr>
          <w:spacing w:val="-83"/>
        </w:rPr>
        <w:t> </w:t>
      </w:r>
      <w:r>
        <w:rPr>
          <w:spacing w:val="-83"/>
        </w:rPr>
      </w:r>
      <w:r>
        <w:rPr/>
        <w:t>明度和诚信度。同时，公司严格按照《公司章程》的规定和要求，规范股东大会的召集、召</w:t>
      </w:r>
      <w:r>
        <w:rPr>
          <w:spacing w:val="-83"/>
        </w:rPr>
        <w:t> </w:t>
      </w:r>
      <w:r>
        <w:rPr>
          <w:spacing w:val="-83"/>
        </w:rPr>
      </w:r>
      <w:r>
        <w:rPr/>
        <w:t>开及表决程序，通过现场、网络等合法有效的方式，让更多的股东特别是中小股东能够参加</w:t>
      </w:r>
      <w:r>
        <w:rPr>
          <w:spacing w:val="-83"/>
        </w:rPr>
        <w:t> </w:t>
      </w:r>
      <w:r>
        <w:rPr>
          <w:spacing w:val="-83"/>
        </w:rPr>
      </w:r>
      <w:r>
        <w:rPr/>
        <w:t>股东大会，确保股东对公司重大事项的知情权、参与权和表决权。</w:t>
      </w:r>
    </w:p>
    <w:p>
      <w:pPr>
        <w:pStyle w:val="Heading4"/>
        <w:spacing w:line="357" w:lineRule="auto"/>
        <w:ind w:right="148" w:firstLine="480"/>
        <w:jc w:val="both"/>
      </w:pPr>
      <w:r>
        <w:rPr/>
        <w:t>公司严格遵守《劳动法》等相关法律法规，通过多种方式为员工提供发展机会，尊重和</w:t>
      </w:r>
      <w:r>
        <w:rPr>
          <w:spacing w:val="1"/>
        </w:rPr>
        <w:t> </w:t>
      </w:r>
      <w:r>
        <w:rPr/>
        <w:t>维护员工的个人权益，建立了较完善的绩效考核体系，公司通过为员工提供知识技能等方面</w:t>
      </w:r>
      <w:r>
        <w:rPr>
          <w:spacing w:val="-83"/>
        </w:rPr>
        <w:t> </w:t>
      </w:r>
      <w:r>
        <w:rPr>
          <w:spacing w:val="-83"/>
        </w:rPr>
      </w:r>
      <w:r>
        <w:rPr/>
        <w:t>的培训，提升员工的专业技能和综合素质，实现员工与企业的共同成长。2018年，公司将在</w:t>
      </w:r>
      <w:r>
        <w:rPr>
          <w:spacing w:val="-101"/>
        </w:rPr>
        <w:t> </w:t>
      </w:r>
      <w:r>
        <w:rPr>
          <w:spacing w:val="-101"/>
        </w:rPr>
      </w:r>
      <w:r>
        <w:rPr/>
        <w:t>为股东创造价值的同时，继续回馈社会，贡献价值，以实际行动践行企业社会责任。</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506" w:lineRule="auto" w:before="35"/>
        <w:ind w:right="7979" w:hanging="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）精准扶贫成效</w:t>
      </w:r>
      <w:r>
        <w:rPr>
          <w:spacing w:val="1"/>
          <w:w w:val="99"/>
        </w:rPr>
        <w:t> </w:t>
      </w:r>
      <w:r>
        <w:rPr>
          <w:rFonts w:ascii="宋体" w:hAnsi="宋体" w:cs="宋体" w:eastAsia="宋体" w:hint="default"/>
          <w:b w:val="0"/>
          <w:bCs w:val="0"/>
        </w:rPr>
        <w:t>无</w:t>
      </w:r>
    </w:p>
    <w:p>
      <w:pPr>
        <w:pStyle w:val="Heading5"/>
        <w:spacing w:line="240" w:lineRule="auto" w:before="105"/>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4731"/>
        <w:jc w:val="left"/>
      </w:pPr>
      <w:r>
        <w:rPr/>
        <w:t>上市公司及其子公司是否属于环境保护部门公布的重点排污单位 否</w:t>
      </w:r>
    </w:p>
    <w:p>
      <w:pPr>
        <w:pStyle w:val="BodyText"/>
        <w:spacing w:line="240" w:lineRule="auto" w:before="25"/>
        <w:ind w:left="153" w:right="0"/>
        <w:jc w:val="left"/>
      </w:pPr>
      <w:r>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3"/>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3"/>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3D3D3"/>
          </w:tcPr>
          <w:p>
            <w:pP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3D3D3"/>
          </w:tcPr>
          <w:p>
            <w:pP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vMerge/>
            <w:tcBorders>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646,396,8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77.40%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646,396,8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77.40%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862,470,1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857,887,8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93"/>
        <w:jc w:val="left"/>
      </w:pPr>
      <w:r>
        <w:rPr/>
        <w:t>股份变动的原因</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30"/>
        <w:ind w:left="634" w:right="93"/>
        <w:jc w:val="left"/>
      </w:pPr>
      <w:r>
        <w:rPr/>
        <w:t>1、2017年1月3日，王辛夷的高管锁定股减少35,250股，导致公司有限售条件的股份减少</w:t>
      </w:r>
    </w:p>
    <w:p>
      <w:pPr>
        <w:pStyle w:val="Heading4"/>
        <w:spacing w:line="240" w:lineRule="auto" w:before="154"/>
        <w:ind w:left="154" w:right="93"/>
        <w:jc w:val="left"/>
      </w:pPr>
      <w:r>
        <w:rPr/>
        <w:t>35,250股。</w:t>
      </w:r>
    </w:p>
    <w:p>
      <w:pPr>
        <w:pStyle w:val="Heading4"/>
        <w:spacing w:line="357" w:lineRule="auto" w:before="154"/>
        <w:ind w:right="105" w:firstLine="480"/>
        <w:jc w:val="left"/>
      </w:pPr>
      <w:r>
        <w:rPr>
          <w:spacing w:val="-6"/>
        </w:rPr>
        <w:t>2、报告期内，基于对未来持续稳定发展的信心，公司控股股东及实际控制人陈迪清先生、</w:t>
      </w:r>
      <w:r>
        <w:rPr/>
        <w:t> 范建震先生共计增持公司股票5,258,801股，按照董事、监事、高级管理人员股票锁定的相关 </w:t>
      </w:r>
      <w:r>
        <w:rPr>
          <w:spacing w:val="-2"/>
        </w:rPr>
        <w:t>规定，以上人员增持的股份按照75%予以锁定，导致公司有限售条件的股份增加3,944,101股。</w:t>
      </w:r>
    </w:p>
    <w:p>
      <w:pPr>
        <w:pStyle w:val="Heading4"/>
        <w:spacing w:line="357" w:lineRule="auto"/>
        <w:ind w:right="93" w:firstLine="480"/>
        <w:jc w:val="left"/>
      </w:pPr>
      <w:r>
        <w:rPr/>
        <w:t>3、2017年2月27日，公司原董事会秘书张伟锋先生股票锁定期满，导致公司有限售条件</w:t>
      </w:r>
      <w:r>
        <w:rPr>
          <w:spacing w:val="1"/>
        </w:rPr>
        <w:t> </w:t>
      </w:r>
      <w:r>
        <w:rPr/>
        <w:t>的股份减少871,459股。</w:t>
      </w:r>
    </w:p>
    <w:p>
      <w:pPr>
        <w:pStyle w:val="Heading4"/>
        <w:spacing w:line="240" w:lineRule="auto"/>
        <w:ind w:left="633" w:right="93"/>
        <w:jc w:val="left"/>
      </w:pPr>
      <w:r>
        <w:rPr/>
        <w:t>4、2017年4月21日，公司在中国证券登记结算有限责任公司深圳分公司完成了2011年、</w:t>
      </w:r>
    </w:p>
    <w:p>
      <w:pPr>
        <w:pStyle w:val="Heading4"/>
        <w:spacing w:line="357" w:lineRule="auto" w:before="154"/>
        <w:ind w:right="93"/>
        <w:jc w:val="left"/>
      </w:pPr>
      <w:r>
        <w:rPr/>
        <w:t>2012年、2013年、2014年、2015年股权激励计划部分限制性股票的回购注销手续，本次回购 注销完成后公司有限售条件的股份减少4,582,265股，公司总股本减至857,887,869股。</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left="154" w:right="230" w:firstLine="480"/>
        <w:jc w:val="right"/>
      </w:pPr>
      <w:r>
        <w:rPr>
          <w:spacing w:val="-2"/>
        </w:rPr>
        <w:t>5、2017年5月23日，公司2013年股权激励计划第三期5,905,168股解锁手续办理完毕，实</w:t>
      </w:r>
      <w:r>
        <w:rPr/>
        <w:t> 际上市流通数量5,821,794股，本次解锁完成后导致公司有限售条件股份减少5,821,794股。 6、2017年6月20日，公司财务总监王辛夷女士因个人原因辞职，其持有公司无限售流通</w:t>
      </w:r>
    </w:p>
    <w:p>
      <w:pPr>
        <w:pStyle w:val="Heading4"/>
        <w:spacing w:line="357" w:lineRule="auto"/>
        <w:ind w:left="154" w:right="130"/>
        <w:jc w:val="left"/>
      </w:pPr>
      <w:r>
        <w:rPr/>
        <w:t>股35,459股，高管锁定股106,377股，共计持有公司股份141,836 股。根据相关规定和承诺， 其离任后半年内不得转让所持公司股份，导致公司有限售条件的股份增加35,459股。</w:t>
      </w:r>
    </w:p>
    <w:p>
      <w:pPr>
        <w:pStyle w:val="Heading4"/>
        <w:spacing w:line="357" w:lineRule="auto"/>
        <w:ind w:left="154" w:right="102" w:firstLine="480"/>
        <w:jc w:val="left"/>
      </w:pPr>
      <w:r>
        <w:rPr>
          <w:spacing w:val="-2"/>
        </w:rPr>
        <w:t>7、2017年6月20日，沈雁冰先生被聘任为公司财务总监，其持有公司股份共计50,000股，</w:t>
      </w:r>
      <w:r>
        <w:rPr/>
        <w:t> 根据高管任职规定，任职期间每年可出售股份数不超过本人持股总数的25%，因此沈雁冰先生 持有公司股份中的37,500股计入高管锁定股，导致公司有限售条件的股份增加37,500股。</w:t>
      </w:r>
    </w:p>
    <w:p>
      <w:pPr>
        <w:pStyle w:val="Heading4"/>
        <w:spacing w:line="357" w:lineRule="auto"/>
        <w:ind w:left="154" w:right="223" w:firstLine="480"/>
        <w:jc w:val="both"/>
      </w:pPr>
      <w:r>
        <w:rPr>
          <w:spacing w:val="-2"/>
        </w:rPr>
        <w:t>8、2017年8月16日，公司2016年股权激励计划第一期7,380,600股限制性股票解锁手续办</w:t>
      </w:r>
      <w:r>
        <w:rPr/>
        <w:t> </w:t>
      </w:r>
      <w:r>
        <w:rPr>
          <w:spacing w:val="3"/>
        </w:rPr>
        <w:t>理完毕，实际上市流通数量为7,380,600股，本次解锁完成后导致公司有限售条件股份减少</w:t>
      </w:r>
      <w:r>
        <w:rPr>
          <w:spacing w:val="-118"/>
        </w:rPr>
        <w:t> </w:t>
      </w:r>
      <w:r>
        <w:rPr>
          <w:spacing w:val="-118"/>
        </w:rPr>
      </w:r>
      <w:r>
        <w:rPr/>
        <w:t>7,380,600股。</w:t>
      </w:r>
    </w:p>
    <w:p>
      <w:pPr>
        <w:pStyle w:val="Heading4"/>
        <w:spacing w:line="357" w:lineRule="auto"/>
        <w:ind w:left="154" w:right="231" w:firstLine="480"/>
        <w:jc w:val="both"/>
      </w:pPr>
      <w:r>
        <w:rPr>
          <w:spacing w:val="-2"/>
        </w:rPr>
        <w:t>9、2017年9月1日，孟辉等四名自然人持有的追加承诺限售股份第一期锁定期满，本次解</w:t>
      </w:r>
      <w:r>
        <w:rPr/>
        <w:t> 锁完成后导致公司有限售条件的股份减少385,285股。</w:t>
      </w:r>
    </w:p>
    <w:p>
      <w:pPr>
        <w:pStyle w:val="Heading4"/>
        <w:spacing w:line="357" w:lineRule="auto"/>
        <w:ind w:left="154" w:right="231" w:firstLine="480"/>
        <w:jc w:val="both"/>
      </w:pPr>
      <w:r>
        <w:rPr>
          <w:spacing w:val="-2"/>
        </w:rPr>
        <w:t>10、2017年10月25日，公司2015年股权激励计划第二期1,059,300股限制性股票解锁手续</w:t>
      </w:r>
      <w:r>
        <w:rPr/>
        <w:t> </w:t>
      </w:r>
      <w:r>
        <w:rPr>
          <w:spacing w:val="-2"/>
        </w:rPr>
        <w:t>办理完毕，实际可上市流通数量1,059,300股，本次解锁完成后导致公司有限售条件股份减少</w:t>
      </w:r>
      <w:r>
        <w:rPr>
          <w:spacing w:val="-112"/>
        </w:rPr>
        <w:t> </w:t>
      </w:r>
      <w:r>
        <w:rPr>
          <w:spacing w:val="-112"/>
        </w:rPr>
      </w:r>
      <w:r>
        <w:rPr/>
        <w:t>1,059,300股。</w:t>
      </w:r>
    </w:p>
    <w:p>
      <w:pPr>
        <w:pStyle w:val="Heading4"/>
        <w:spacing w:line="357" w:lineRule="auto"/>
        <w:ind w:left="154" w:right="231" w:firstLine="480"/>
        <w:jc w:val="both"/>
      </w:pPr>
      <w:r>
        <w:rPr>
          <w:spacing w:val="-2"/>
        </w:rPr>
        <w:t>11、2017年11月23日，公司2014年股权激励计划第三期6,000,600股限制性股票解锁手续</w:t>
      </w:r>
      <w:r>
        <w:rPr/>
        <w:t> </w:t>
      </w:r>
      <w:r>
        <w:rPr>
          <w:spacing w:val="-2"/>
        </w:rPr>
        <w:t>办理完毕，实际可上市流通数量6,000,600股，本次解锁完成后导致公司有限售条件股份减少</w:t>
      </w:r>
      <w:r>
        <w:rPr>
          <w:spacing w:val="-112"/>
        </w:rPr>
        <w:t> </w:t>
      </w:r>
      <w:r>
        <w:rPr>
          <w:spacing w:val="-112"/>
        </w:rPr>
      </w:r>
      <w:r>
        <w:rPr/>
        <w:t>6,000,600股。</w:t>
      </w:r>
    </w:p>
    <w:p>
      <w:pPr>
        <w:pStyle w:val="Heading4"/>
        <w:spacing w:line="357" w:lineRule="auto"/>
        <w:ind w:left="154" w:right="231" w:firstLine="480"/>
        <w:jc w:val="both"/>
      </w:pPr>
      <w:r>
        <w:rPr>
          <w:spacing w:val="-2"/>
        </w:rPr>
        <w:t>12、2017年12月20日，公司前财务总监王辛夷女士离职期满6个月，导致公司有限售条件</w:t>
      </w:r>
      <w:r>
        <w:rPr/>
        <w:t> 的股份减少35,459股。</w:t>
      </w:r>
    </w:p>
    <w:p>
      <w:pPr>
        <w:pStyle w:val="BodyText"/>
        <w:spacing w:line="240" w:lineRule="auto" w:before="47"/>
        <w:ind w:right="93"/>
        <w:jc w:val="left"/>
      </w:pPr>
      <w:r>
        <w:rPr/>
        <w:t>股份变动的批准情况</w:t>
      </w:r>
    </w:p>
    <w:p>
      <w:pPr>
        <w:pStyle w:val="BodyText"/>
        <w:spacing w:line="338" w:lineRule="auto" w:before="117"/>
        <w:ind w:right="8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00"/>
        </w:sectPr>
      </w:pPr>
    </w:p>
    <w:p>
      <w:pPr>
        <w:spacing w:line="240" w:lineRule="auto" w:before="13"/>
        <w:rPr>
          <w:rFonts w:ascii="宋体" w:hAnsi="宋体" w:cs="宋体" w:eastAsia="宋体" w:hint="default"/>
          <w:sz w:val="25"/>
          <w:szCs w:val="25"/>
        </w:rPr>
      </w:pPr>
      <w:r>
        <w:rPr/>
        <w:pict>
          <v:shape style="position:absolute;margin-left:56.459999pt;margin-top:89.600021pt;width:479.2pt;height:674.1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78,547,774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80,558,300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78,549,573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80,483,148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both"/>
                          <w:rPr>
                            <w:rFonts w:ascii="宋体" w:hAnsi="宋体" w:cs="宋体" w:eastAsia="宋体" w:hint="default"/>
                            <w:sz w:val="18"/>
                            <w:szCs w:val="18"/>
                          </w:rPr>
                        </w:pPr>
                        <w:r>
                          <w:rPr>
                            <w:rFonts w:ascii="宋体" w:hAnsi="宋体" w:cs="宋体" w:eastAsia="宋体" w:hint="default"/>
                            <w:sz w:val="18"/>
                            <w:szCs w:val="18"/>
                          </w:rPr>
                          <w:t>高管在任期届满 前离职的，在就 任时确定的任期 内和任期届满后 六个月内，每年 转让的股份不得 超过其所持有本 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离任高管股票锁 定期满</w:t>
                        </w:r>
                      </w:p>
                    </w:tc>
                  </w:tr>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261,930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611,170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年后</w:t>
                        </w:r>
                      </w:p>
                      <w:p>
                        <w:pPr>
                          <w:pStyle w:val="TableParagraph"/>
                          <w:spacing w:line="300" w:lineRule="auto"/>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宋体" w:hAnsi="宋体" w:cs="宋体" w:eastAsia="宋体" w:hint="default"/>
                            <w:spacing w:val="1"/>
                            <w:sz w:val="18"/>
                            <w:szCs w:val="18"/>
                          </w:rPr>
                          <w:t> </w:t>
                        </w:r>
                        <w:r>
                          <w:rPr>
                            <w:rFonts w:ascii="宋体" w:hAnsi="宋体" w:cs="宋体" w:eastAsia="宋体" w:hint="default"/>
                            <w:sz w:val="18"/>
                            <w:szCs w:val="18"/>
                          </w:rPr>
                          <w:t>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p>
                      <w:p>
                        <w:pPr>
                          <w:pStyle w:val="TableParagraph"/>
                          <w:spacing w:line="312" w:lineRule="auto" w:before="13"/>
                          <w:ind w:left="22" w:right="6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 登记结算有限公 司办理完毕了 </w:t>
                        </w: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 手续。</w:t>
                        </w:r>
                      </w:p>
                    </w:tc>
                  </w:tr>
                  <w:tr>
                    <w:trPr>
                      <w:trHeight w:val="285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张凌明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148,082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44,425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103,657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年后</w:t>
                        </w:r>
                      </w:p>
                      <w:p>
                        <w:pPr>
                          <w:pStyle w:val="TableParagraph"/>
                          <w:spacing w:line="300" w:lineRule="auto"/>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宋体" w:hAnsi="宋体" w:cs="宋体" w:eastAsia="宋体" w:hint="default"/>
                            <w:spacing w:val="1"/>
                            <w:sz w:val="18"/>
                            <w:szCs w:val="18"/>
                          </w:rPr>
                          <w:t> </w:t>
                        </w:r>
                        <w:r>
                          <w:rPr>
                            <w:rFonts w:ascii="宋体" w:hAnsi="宋体" w:cs="宋体" w:eastAsia="宋体" w:hint="default"/>
                            <w:sz w:val="18"/>
                            <w:szCs w:val="18"/>
                          </w:rPr>
                          <w:t>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p>
                      <w:p>
                        <w:pPr>
                          <w:pStyle w:val="TableParagraph"/>
                          <w:spacing w:line="300" w:lineRule="auto" w:before="13"/>
                          <w:ind w:left="22" w:right="6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w:t>
                        </w:r>
                      </w:p>
                    </w:tc>
                  </w:tr>
                </w:tbl>
                <w:p>
                  <w:pPr/>
                </w:p>
              </w:txbxContent>
            </v:textbox>
            <w10:wrap type="none"/>
          </v:shape>
        </w:pict>
      </w:r>
    </w:p>
    <w:p>
      <w:pPr>
        <w:pStyle w:val="BodyText"/>
        <w:spacing w:line="240" w:lineRule="auto" w:before="44"/>
        <w:ind w:left="0" w:right="15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left="0" w:right="158"/>
        <w:jc w:val="right"/>
      </w:pPr>
      <w:r>
        <w:rPr/>
        <w:pict>
          <v:shape style="position:absolute;margin-left:56.459999pt;margin-top:-112.508049pt;width:479.2pt;height:520.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317" w:hRule="exact"/>
                    </w:trPr>
                    <w:tc>
                      <w:tcPr>
                        <w:tcW w:w="1362"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登记结算有限公</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司办理完毕了</w:t>
                        </w:r>
                      </w:p>
                    </w:tc>
                  </w:tr>
                  <w:tr>
                    <w:trPr>
                      <w:trHeight w:val="31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w:t>
                        </w:r>
                      </w:p>
                    </w:tc>
                  </w:tr>
                  <w:tr>
                    <w:trPr>
                      <w:trHeight w:val="352" w:hRule="exact"/>
                    </w:trPr>
                    <w:tc>
                      <w:tcPr>
                        <w:tcW w:w="1362"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手续。</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自锁定手续在中</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国证券登记结算</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有限公司办理完</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年后</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36 </w:t>
                        </w:r>
                        <w:r>
                          <w:rPr>
                            <w:rFonts w:ascii="宋体" w:hAnsi="宋体" w:cs="宋体" w:eastAsia="宋体" w:hint="default"/>
                            <w:sz w:val="18"/>
                            <w:szCs w:val="18"/>
                          </w:rPr>
                          <w:t>年后</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142,400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42,720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99,680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司在在中国证券</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登记结算有限公</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司办理完毕了</w:t>
                        </w:r>
                      </w:p>
                    </w:tc>
                  </w:tr>
                  <w:tr>
                    <w:trPr>
                      <w:trHeight w:val="31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手续。</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自锁定手续在中</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国证券登记结算</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有限公司办理完</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年后</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36 </w:t>
                        </w:r>
                        <w:r>
                          <w:rPr>
                            <w:rFonts w:ascii="宋体" w:hAnsi="宋体" w:cs="宋体" w:eastAsia="宋体" w:hint="default"/>
                            <w:sz w:val="18"/>
                            <w:szCs w:val="18"/>
                          </w:rPr>
                          <w:t>年后</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邱莉莉</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120,700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36,210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84,490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司在在中国证券</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登记结算有限公</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司办理完毕了</w:t>
                        </w:r>
                      </w:p>
                    </w:tc>
                  </w:tr>
                  <w:tr>
                    <w:trPr>
                      <w:trHeight w:val="31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手续。</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47,550,513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24,927,933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22,622,580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206,861,854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26,219,927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184,706,902</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30"/>
        <w:ind w:left="634" w:right="0"/>
        <w:jc w:val="left"/>
      </w:pPr>
      <w:r>
        <w:rPr/>
        <w:t>2017年4月21日，公司在中国证券登记结算有限责任公司深圳分公司完成了2011年、2012</w:t>
      </w:r>
    </w:p>
    <w:p>
      <w:pPr>
        <w:spacing w:after="0" w:line="240" w:lineRule="auto"/>
        <w:jc w:val="left"/>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left="154" w:right="0"/>
        <w:jc w:val="left"/>
      </w:pPr>
      <w:r>
        <w:rPr/>
        <w:t>年、2013年、2014年、2015年股权激励计划部分限制性股票的回购注销手续，本次回购注销</w:t>
      </w:r>
      <w:r>
        <w:rPr>
          <w:spacing w:val="-97"/>
        </w:rPr>
        <w:t> </w:t>
      </w:r>
      <w:r>
        <w:rPr>
          <w:spacing w:val="-97"/>
        </w:rPr>
      </w:r>
      <w:r>
        <w:rPr/>
        <w:t>完成后公司有限售条件的股份减少4,582,265股，公司总股本减至857,887,869股。</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pict>
          <v:group style="position:absolute;margin-left:482.339996pt;margin-top:68.332047pt;width:52.45pt;height:31.2pt;mso-position-horizontal-relative:page;mso-position-vertical-relative:paragraph;z-index:-994600" coordorigin="9647,1367" coordsize="1049,624">
            <v:shape style="position:absolute;left:9647;top:1367;width:1049;height:624" coordorigin="9647,1367" coordsize="1049,624" path="m9647,1991l10696,1991,10696,1367,9647,1367,9647,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134"/>
        <w:gridCol w:w="673"/>
        <w:gridCol w:w="739"/>
        <w:gridCol w:w="744"/>
        <w:gridCol w:w="830"/>
        <w:gridCol w:w="344"/>
        <w:gridCol w:w="445"/>
        <w:gridCol w:w="824"/>
        <w:gridCol w:w="802"/>
        <w:gridCol w:w="322"/>
        <w:gridCol w:w="1027"/>
        <w:gridCol w:w="279"/>
        <w:gridCol w:w="1071"/>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3D3D3"/>
          </w:tcPr>
          <w:p>
            <w:pPr/>
          </w:p>
        </w:tc>
        <w:tc>
          <w:tcPr>
            <w:tcW w:w="807"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49,756</w:t>
            </w:r>
          </w:p>
        </w:tc>
        <w:tc>
          <w:tcPr>
            <w:tcW w:w="1483" w:type="dxa"/>
            <w:gridSpan w:val="2"/>
            <w:vMerge w:val="restart"/>
            <w:tcBorders>
              <w:top w:val="single" w:sz="4" w:space="0" w:color="000000"/>
              <w:left w:val="single" w:sz="4" w:space="0" w:color="000000"/>
              <w:right w:val="single" w:sz="4" w:space="0" w:color="000000"/>
            </w:tcBorders>
            <w:shd w:val="clear" w:color="auto" w:fill="D3D3D3"/>
          </w:tcPr>
          <w:p>
            <w:pPr/>
          </w:p>
        </w:tc>
        <w:tc>
          <w:tcPr>
            <w:tcW w:w="1174"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53,917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124" w:type="dxa"/>
            <w:gridSpan w:val="2"/>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1"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4"/>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6" w:hRule="exact"/>
        </w:trPr>
        <w:tc>
          <w:tcPr>
            <w:tcW w:w="1334" w:type="dxa"/>
            <w:vMerge/>
            <w:tcBorders>
              <w:left w:val="single" w:sz="4" w:space="0" w:color="000000"/>
              <w:right w:val="single" w:sz="4" w:space="0" w:color="000000"/>
            </w:tcBorders>
            <w:shd w:val="clear" w:color="auto" w:fill="D3D3D3"/>
          </w:tcPr>
          <w:p>
            <w:pPr/>
          </w:p>
        </w:tc>
        <w:tc>
          <w:tcPr>
            <w:tcW w:w="807" w:type="dxa"/>
            <w:gridSpan w:val="2"/>
            <w:vMerge/>
            <w:tcBorders>
              <w:left w:val="single" w:sz="9" w:space="0" w:color="D3D3D3"/>
              <w:right w:val="single" w:sz="9" w:space="0" w:color="D3D3D3"/>
            </w:tcBorders>
          </w:tcPr>
          <w:p>
            <w:pPr/>
          </w:p>
        </w:tc>
        <w:tc>
          <w:tcPr>
            <w:tcW w:w="1483" w:type="dxa"/>
            <w:gridSpan w:val="2"/>
            <w:vMerge/>
            <w:tcBorders>
              <w:left w:val="single" w:sz="4" w:space="0" w:color="000000"/>
              <w:bottom w:val="nil" w:sz="6" w:space="0" w:color="auto"/>
              <w:right w:val="single" w:sz="4" w:space="0" w:color="000000"/>
            </w:tcBorders>
            <w:shd w:val="clear" w:color="auto" w:fill="D3D3D3"/>
          </w:tcPr>
          <w:p>
            <w:pPr/>
          </w:p>
        </w:tc>
        <w:tc>
          <w:tcPr>
            <w:tcW w:w="1174" w:type="dxa"/>
            <w:gridSpan w:val="2"/>
            <w:vMerge/>
            <w:tcBorders>
              <w:left w:val="single" w:sz="9" w:space="0" w:color="D3D3D3"/>
              <w:right w:val="single" w:sz="9" w:space="0" w:color="D3D3D3"/>
            </w:tcBorders>
          </w:tcPr>
          <w:p>
            <w:pPr/>
          </w:p>
        </w:tc>
        <w:tc>
          <w:tcPr>
            <w:tcW w:w="126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3D3D3"/>
              <w:right w:val="single" w:sz="9"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1071" w:type="dxa"/>
            <w:vMerge/>
            <w:tcBorders>
              <w:left w:val="single" w:sz="13" w:space="0" w:color="D3D3D3"/>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3D3D3"/>
          </w:tcPr>
          <w:p>
            <w:pPr/>
          </w:p>
        </w:tc>
        <w:tc>
          <w:tcPr>
            <w:tcW w:w="807" w:type="dxa"/>
            <w:gridSpan w:val="2"/>
            <w:vMerge/>
            <w:tcBorders>
              <w:left w:val="single" w:sz="9" w:space="0" w:color="D3D3D3"/>
              <w:right w:val="single" w:sz="9" w:space="0" w:color="D3D3D3"/>
            </w:tcBorders>
          </w:tcPr>
          <w:p>
            <w:pPr/>
          </w:p>
        </w:tc>
        <w:tc>
          <w:tcPr>
            <w:tcW w:w="148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3D3D3"/>
              <w:right w:val="single" w:sz="9" w:space="0" w:color="D3D3D3"/>
            </w:tcBorders>
          </w:tcPr>
          <w:p>
            <w:pPr/>
          </w:p>
        </w:tc>
        <w:tc>
          <w:tcPr>
            <w:tcW w:w="1268" w:type="dxa"/>
            <w:gridSpan w:val="2"/>
            <w:vMerge/>
            <w:tcBorders>
              <w:left w:val="single" w:sz="4" w:space="0" w:color="000000"/>
              <w:right w:val="single" w:sz="4" w:space="0" w:color="000000"/>
            </w:tcBorders>
            <w:shd w:val="clear" w:color="auto" w:fill="D3D3D3"/>
          </w:tcPr>
          <w:p>
            <w:pPr/>
          </w:p>
        </w:tc>
        <w:tc>
          <w:tcPr>
            <w:tcW w:w="1124" w:type="dxa"/>
            <w:gridSpan w:val="2"/>
            <w:vMerge/>
            <w:tcBorders>
              <w:left w:val="single" w:sz="10" w:space="0" w:color="D3D3D3"/>
              <w:right w:val="single" w:sz="9"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1071" w:type="dxa"/>
            <w:vMerge/>
            <w:tcBorders>
              <w:left w:val="single" w:sz="13" w:space="0" w:color="D3D3D3"/>
              <w:right w:val="single" w:sz="4" w:space="0" w:color="000000"/>
            </w:tcBorders>
          </w:tcPr>
          <w:p>
            <w:pPr/>
          </w:p>
        </w:tc>
      </w:tr>
      <w:tr>
        <w:trPr>
          <w:trHeight w:val="704" w:hRule="exact"/>
        </w:trPr>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3D3D3"/>
              <w:right w:val="single" w:sz="9" w:space="0" w:color="D3D3D3"/>
            </w:tcBorders>
          </w:tcPr>
          <w:p>
            <w:pPr/>
          </w:p>
        </w:tc>
        <w:tc>
          <w:tcPr>
            <w:tcW w:w="1483" w:type="dxa"/>
            <w:gridSpan w:val="2"/>
            <w:vMerge/>
            <w:tcBorders>
              <w:left w:val="single" w:sz="4" w:space="0" w:color="000000"/>
              <w:right w:val="single" w:sz="4" w:space="0" w:color="000000"/>
            </w:tcBorders>
            <w:shd w:val="clear" w:color="auto" w:fill="D3D3D3"/>
          </w:tcPr>
          <w:p>
            <w:pPr/>
          </w:p>
        </w:tc>
        <w:tc>
          <w:tcPr>
            <w:tcW w:w="1174" w:type="dxa"/>
            <w:gridSpan w:val="2"/>
            <w:vMerge/>
            <w:tcBorders>
              <w:left w:val="single" w:sz="9" w:space="0" w:color="D3D3D3"/>
              <w:right w:val="single" w:sz="9" w:space="0" w:color="D3D3D3"/>
            </w:tcBorders>
          </w:tcPr>
          <w:p>
            <w:pPr/>
          </w:p>
        </w:tc>
        <w:tc>
          <w:tcPr>
            <w:tcW w:w="1268" w:type="dxa"/>
            <w:gridSpan w:val="2"/>
            <w:vMerge/>
            <w:tcBorders>
              <w:left w:val="single" w:sz="4" w:space="0" w:color="000000"/>
              <w:right w:val="single" w:sz="4" w:space="0" w:color="000000"/>
            </w:tcBorders>
            <w:shd w:val="clear" w:color="auto" w:fill="D3D3D3"/>
          </w:tcPr>
          <w:p>
            <w:pPr/>
          </w:p>
        </w:tc>
        <w:tc>
          <w:tcPr>
            <w:tcW w:w="1124" w:type="dxa"/>
            <w:gridSpan w:val="2"/>
            <w:vMerge/>
            <w:tcBorders>
              <w:left w:val="single" w:sz="10" w:space="0" w:color="D3D3D3"/>
              <w:right w:val="single" w:sz="9"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1071" w:type="dxa"/>
            <w:vMerge/>
            <w:tcBorders>
              <w:left w:val="single" w:sz="13" w:space="0" w:color="D3D3D3"/>
              <w:right w:val="single" w:sz="4" w:space="0" w:color="000000"/>
            </w:tcBorders>
          </w:tcPr>
          <w:p>
            <w:pP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3D3D3"/>
          </w:tcPr>
          <w:p>
            <w:pPr/>
          </w:p>
        </w:tc>
        <w:tc>
          <w:tcPr>
            <w:tcW w:w="807" w:type="dxa"/>
            <w:gridSpan w:val="2"/>
            <w:vMerge/>
            <w:tcBorders>
              <w:left w:val="single" w:sz="9" w:space="0" w:color="D3D3D3"/>
              <w:right w:val="single" w:sz="9" w:space="0" w:color="D3D3D3"/>
            </w:tcBorders>
          </w:tcPr>
          <w:p>
            <w:pPr/>
          </w:p>
        </w:tc>
        <w:tc>
          <w:tcPr>
            <w:tcW w:w="1483" w:type="dxa"/>
            <w:gridSpan w:val="2"/>
            <w:vMerge/>
            <w:tcBorders>
              <w:left w:val="single" w:sz="4" w:space="0" w:color="000000"/>
              <w:bottom w:val="nil" w:sz="6" w:space="0" w:color="auto"/>
              <w:right w:val="single" w:sz="4" w:space="0" w:color="000000"/>
            </w:tcBorders>
            <w:shd w:val="clear" w:color="auto" w:fill="D3D3D3"/>
          </w:tcPr>
          <w:p>
            <w:pPr/>
          </w:p>
        </w:tc>
        <w:tc>
          <w:tcPr>
            <w:tcW w:w="1174" w:type="dxa"/>
            <w:gridSpan w:val="2"/>
            <w:vMerge/>
            <w:tcBorders>
              <w:left w:val="single" w:sz="9" w:space="0" w:color="D3D3D3"/>
              <w:right w:val="single" w:sz="9" w:space="0" w:color="D3D3D3"/>
            </w:tcBorders>
          </w:tcPr>
          <w:p>
            <w:pPr/>
          </w:p>
        </w:tc>
        <w:tc>
          <w:tcPr>
            <w:tcW w:w="1268" w:type="dxa"/>
            <w:gridSpan w:val="2"/>
            <w:vMerge/>
            <w:tcBorders>
              <w:left w:val="single" w:sz="4" w:space="0" w:color="000000"/>
              <w:right w:val="single" w:sz="4" w:space="0" w:color="000000"/>
            </w:tcBorders>
            <w:shd w:val="clear" w:color="auto" w:fill="D3D3D3"/>
          </w:tcPr>
          <w:p>
            <w:pPr/>
          </w:p>
        </w:tc>
        <w:tc>
          <w:tcPr>
            <w:tcW w:w="1124" w:type="dxa"/>
            <w:gridSpan w:val="2"/>
            <w:vMerge/>
            <w:tcBorders>
              <w:left w:val="single" w:sz="10" w:space="0" w:color="D3D3D3"/>
              <w:right w:val="single" w:sz="9"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1071" w:type="dxa"/>
            <w:vMerge/>
            <w:tcBorders>
              <w:left w:val="single" w:sz="13" w:space="0" w:color="D3D3D3"/>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3D3D3"/>
          </w:tcPr>
          <w:p>
            <w:pPr/>
          </w:p>
        </w:tc>
        <w:tc>
          <w:tcPr>
            <w:tcW w:w="807" w:type="dxa"/>
            <w:gridSpan w:val="2"/>
            <w:vMerge/>
            <w:tcBorders>
              <w:left w:val="single" w:sz="9" w:space="0" w:color="D3D3D3"/>
              <w:right w:val="single" w:sz="9" w:space="0" w:color="D3D3D3"/>
            </w:tcBorders>
          </w:tcPr>
          <w:p>
            <w:pPr/>
          </w:p>
        </w:tc>
        <w:tc>
          <w:tcPr>
            <w:tcW w:w="1483" w:type="dxa"/>
            <w:gridSpan w:val="2"/>
            <w:vMerge w:val="restart"/>
            <w:tcBorders>
              <w:top w:val="nil" w:sz="6" w:space="0" w:color="auto"/>
              <w:left w:val="single" w:sz="4" w:space="0" w:color="000000"/>
              <w:right w:val="single" w:sz="4" w:space="0" w:color="000000"/>
            </w:tcBorders>
            <w:shd w:val="clear" w:color="auto" w:fill="D3D3D3"/>
          </w:tcPr>
          <w:p>
            <w:pPr/>
          </w:p>
        </w:tc>
        <w:tc>
          <w:tcPr>
            <w:tcW w:w="1174" w:type="dxa"/>
            <w:gridSpan w:val="2"/>
            <w:vMerge/>
            <w:tcBorders>
              <w:left w:val="single" w:sz="9" w:space="0" w:color="D3D3D3"/>
              <w:right w:val="single" w:sz="9" w:space="0" w:color="D3D3D3"/>
            </w:tcBorders>
          </w:tcPr>
          <w:p>
            <w:pPr/>
          </w:p>
        </w:tc>
        <w:tc>
          <w:tcPr>
            <w:tcW w:w="1268" w:type="dxa"/>
            <w:gridSpan w:val="2"/>
            <w:vMerge/>
            <w:tcBorders>
              <w:left w:val="single" w:sz="4" w:space="0" w:color="000000"/>
              <w:bottom w:val="nil" w:sz="6" w:space="0" w:color="auto"/>
              <w:right w:val="single" w:sz="4" w:space="0" w:color="000000"/>
            </w:tcBorders>
            <w:shd w:val="clear" w:color="auto" w:fill="D3D3D3"/>
          </w:tcPr>
          <w:p>
            <w:pPr/>
          </w:p>
        </w:tc>
        <w:tc>
          <w:tcPr>
            <w:tcW w:w="1124" w:type="dxa"/>
            <w:gridSpan w:val="2"/>
            <w:vMerge/>
            <w:tcBorders>
              <w:left w:val="single" w:sz="10" w:space="0" w:color="D3D3D3"/>
              <w:right w:val="single" w:sz="9"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1071" w:type="dxa"/>
            <w:vMerge/>
            <w:tcBorders>
              <w:left w:val="single" w:sz="13" w:space="0" w:color="D3D3D3"/>
              <w:right w:val="single" w:sz="4" w:space="0" w:color="000000"/>
            </w:tcBorders>
          </w:tcPr>
          <w:p>
            <w:pPr/>
          </w:p>
        </w:tc>
      </w:tr>
      <w:tr>
        <w:trPr>
          <w:trHeight w:val="161" w:hRule="exact"/>
        </w:trPr>
        <w:tc>
          <w:tcPr>
            <w:tcW w:w="1334" w:type="dxa"/>
            <w:vMerge/>
            <w:tcBorders>
              <w:left w:val="single" w:sz="4" w:space="0" w:color="000000"/>
              <w:bottom w:val="single" w:sz="4" w:space="0" w:color="000000"/>
              <w:right w:val="single" w:sz="4" w:space="0" w:color="000000"/>
            </w:tcBorders>
            <w:shd w:val="clear" w:color="auto" w:fill="D3D3D3"/>
          </w:tcPr>
          <w:p>
            <w:pPr/>
          </w:p>
        </w:tc>
        <w:tc>
          <w:tcPr>
            <w:tcW w:w="807" w:type="dxa"/>
            <w:gridSpan w:val="2"/>
            <w:vMerge/>
            <w:tcBorders>
              <w:left w:val="single" w:sz="9" w:space="0" w:color="D3D3D3"/>
              <w:bottom w:val="single" w:sz="4" w:space="0" w:color="000000"/>
              <w:right w:val="single" w:sz="9" w:space="0" w:color="D3D3D3"/>
            </w:tcBorders>
          </w:tcPr>
          <w:p>
            <w:pPr/>
          </w:p>
        </w:tc>
        <w:tc>
          <w:tcPr>
            <w:tcW w:w="1483" w:type="dxa"/>
            <w:gridSpan w:val="2"/>
            <w:vMerge/>
            <w:tcBorders>
              <w:left w:val="single" w:sz="4" w:space="0" w:color="000000"/>
              <w:bottom w:val="single" w:sz="4" w:space="0" w:color="000000"/>
              <w:right w:val="single" w:sz="4" w:space="0" w:color="000000"/>
            </w:tcBorders>
            <w:shd w:val="clear" w:color="auto" w:fill="D3D3D3"/>
          </w:tcPr>
          <w:p>
            <w:pPr/>
          </w:p>
        </w:tc>
        <w:tc>
          <w:tcPr>
            <w:tcW w:w="1174" w:type="dxa"/>
            <w:gridSpan w:val="2"/>
            <w:vMerge/>
            <w:tcBorders>
              <w:left w:val="single" w:sz="9" w:space="0" w:color="D3D3D3"/>
              <w:bottom w:val="single" w:sz="4" w:space="0" w:color="000000"/>
              <w:right w:val="single" w:sz="9" w:space="0" w:color="D3D3D3"/>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124" w:type="dxa"/>
            <w:gridSpan w:val="2"/>
            <w:vMerge/>
            <w:tcBorders>
              <w:left w:val="single" w:sz="10" w:space="0" w:color="D3D3D3"/>
              <w:bottom w:val="single" w:sz="4" w:space="0" w:color="000000"/>
              <w:right w:val="single" w:sz="9" w:space="0" w:color="D3D3D3"/>
            </w:tcBorders>
          </w:tcPr>
          <w:p>
            <w:pPr/>
          </w:p>
        </w:tc>
        <w:tc>
          <w:tcPr>
            <w:tcW w:w="1306" w:type="dxa"/>
            <w:gridSpan w:val="2"/>
            <w:vMerge/>
            <w:tcBorders>
              <w:left w:val="single" w:sz="4" w:space="0" w:color="000000"/>
              <w:bottom w:val="single" w:sz="4" w:space="0" w:color="000000"/>
              <w:right w:val="single" w:sz="4" w:space="0" w:color="000000"/>
            </w:tcBorders>
            <w:shd w:val="clear" w:color="auto" w:fill="D3D3D3"/>
          </w:tcPr>
          <w:p>
            <w:pPr/>
          </w:p>
        </w:tc>
        <w:tc>
          <w:tcPr>
            <w:tcW w:w="1071" w:type="dxa"/>
            <w:vMerge/>
            <w:tcBorders>
              <w:left w:val="single" w:sz="13" w:space="0" w:color="D3D3D3"/>
              <w:bottom w:val="single" w:sz="4" w:space="0" w:color="000000"/>
              <w:right w:val="single" w:sz="4" w:space="0" w:color="000000"/>
            </w:tcBorders>
          </w:tcPr>
          <w:p>
            <w:pP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
        </w:tc>
        <w:tc>
          <w:tcPr>
            <w:tcW w:w="744" w:type="dxa"/>
            <w:vMerge w:val="restart"/>
            <w:tcBorders>
              <w:top w:val="single" w:sz="4" w:space="0" w:color="000000"/>
              <w:left w:val="single" w:sz="4" w:space="0" w:color="000000"/>
              <w:right w:val="single" w:sz="4" w:space="0" w:color="000000"/>
            </w:tcBorders>
            <w:shd w:val="clear" w:color="auto" w:fill="D3D3D3"/>
          </w:tcPr>
          <w:p>
            <w:pPr/>
          </w:p>
        </w:tc>
        <w:tc>
          <w:tcPr>
            <w:tcW w:w="83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411" w:type="dxa"/>
            <w:gridSpan w:val="2"/>
            <w:vMerge/>
            <w:tcBorders>
              <w:left w:val="single" w:sz="4" w:space="0" w:color="000000"/>
              <w:bottom w:val="nil" w:sz="6" w:space="0" w:color="auto"/>
              <w:right w:val="single" w:sz="4" w:space="0" w:color="000000"/>
            </w:tcBorders>
            <w:shd w:val="clear" w:color="auto" w:fill="D3D3D3"/>
          </w:tcPr>
          <w:p>
            <w:pPr/>
          </w:p>
        </w:tc>
        <w:tc>
          <w:tcPr>
            <w:tcW w:w="744" w:type="dxa"/>
            <w:vMerge/>
            <w:tcBorders>
              <w:left w:val="single" w:sz="4" w:space="0" w:color="000000"/>
              <w:bottom w:val="nil" w:sz="6" w:space="0" w:color="auto"/>
              <w:right w:val="single" w:sz="4" w:space="0" w:color="000000"/>
            </w:tcBorders>
            <w:shd w:val="clear" w:color="auto" w:fill="D3D3D3"/>
          </w:tcPr>
          <w:p>
            <w:pPr/>
          </w:p>
        </w:tc>
        <w:tc>
          <w:tcPr>
            <w:tcW w:w="83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71"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3D3D3"/>
          </w:tcPr>
          <w:p>
            <w:pPr/>
          </w:p>
        </w:tc>
        <w:tc>
          <w:tcPr>
            <w:tcW w:w="824" w:type="dxa"/>
            <w:vMerge/>
            <w:tcBorders>
              <w:left w:val="single" w:sz="4" w:space="0" w:color="000000"/>
              <w:right w:val="single" w:sz="4" w:space="0" w:color="000000"/>
            </w:tcBorders>
            <w:shd w:val="clear" w:color="auto" w:fill="D3D3D3"/>
          </w:tcPr>
          <w:p>
            <w:pPr/>
          </w:p>
        </w:tc>
        <w:tc>
          <w:tcPr>
            <w:tcW w:w="802" w:type="dxa"/>
            <w:vMerge/>
            <w:tcBorders>
              <w:left w:val="single" w:sz="4" w:space="0" w:color="000000"/>
              <w:right w:val="single" w:sz="4" w:space="0" w:color="000000"/>
            </w:tcBorders>
            <w:shd w:val="clear" w:color="auto" w:fill="D3D3D3"/>
          </w:tcPr>
          <w:p>
            <w:pPr/>
          </w:p>
        </w:tc>
        <w:tc>
          <w:tcPr>
            <w:tcW w:w="2699" w:type="dxa"/>
            <w:gridSpan w:val="4"/>
            <w:vMerge/>
            <w:tcBorders>
              <w:left w:val="single" w:sz="4" w:space="0" w:color="000000"/>
              <w:right w:val="single" w:sz="4" w:space="0" w:color="000000"/>
            </w:tcBorders>
            <w:shd w:val="clear" w:color="auto" w:fill="D3D3D3"/>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824" w:type="dxa"/>
            <w:vMerge/>
            <w:tcBorders>
              <w:left w:val="single" w:sz="4" w:space="0" w:color="000000"/>
              <w:right w:val="single" w:sz="4" w:space="0" w:color="000000"/>
            </w:tcBorders>
            <w:shd w:val="clear" w:color="auto" w:fill="D3D3D3"/>
          </w:tcPr>
          <w:p>
            <w:pPr/>
          </w:p>
        </w:tc>
        <w:tc>
          <w:tcPr>
            <w:tcW w:w="802" w:type="dxa"/>
            <w:vMerge/>
            <w:tcBorders>
              <w:left w:val="single" w:sz="4" w:space="0" w:color="000000"/>
              <w:right w:val="single" w:sz="4" w:space="0" w:color="000000"/>
            </w:tcBorders>
            <w:shd w:val="clear" w:color="auto" w:fill="D3D3D3"/>
          </w:tcPr>
          <w:p>
            <w:pPr/>
          </w:p>
        </w:tc>
        <w:tc>
          <w:tcPr>
            <w:tcW w:w="2699" w:type="dxa"/>
            <w:gridSpan w:val="4"/>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411" w:type="dxa"/>
            <w:gridSpan w:val="2"/>
            <w:vMerge/>
            <w:tcBorders>
              <w:left w:val="single" w:sz="4" w:space="0" w:color="000000"/>
              <w:bottom w:val="nil" w:sz="6" w:space="0" w:color="auto"/>
              <w:right w:val="single" w:sz="4" w:space="0" w:color="000000"/>
            </w:tcBorders>
            <w:shd w:val="clear" w:color="auto" w:fill="D3D3D3"/>
          </w:tcPr>
          <w:p>
            <w:pPr/>
          </w:p>
        </w:tc>
        <w:tc>
          <w:tcPr>
            <w:tcW w:w="744" w:type="dxa"/>
            <w:vMerge/>
            <w:tcBorders>
              <w:left w:val="single" w:sz="4" w:space="0" w:color="000000"/>
              <w:bottom w:val="nil" w:sz="6" w:space="0" w:color="auto"/>
              <w:right w:val="single" w:sz="4" w:space="0" w:color="000000"/>
            </w:tcBorders>
            <w:shd w:val="clear" w:color="auto" w:fill="D3D3D3"/>
          </w:tcPr>
          <w:p>
            <w:pPr/>
          </w:p>
        </w:tc>
        <w:tc>
          <w:tcPr>
            <w:tcW w:w="830" w:type="dxa"/>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824" w:type="dxa"/>
            <w:vMerge/>
            <w:tcBorders>
              <w:left w:val="single" w:sz="4" w:space="0" w:color="000000"/>
              <w:right w:val="single" w:sz="4" w:space="0" w:color="000000"/>
            </w:tcBorders>
            <w:shd w:val="clear" w:color="auto" w:fill="D3D3D3"/>
          </w:tcPr>
          <w:p>
            <w:pPr/>
          </w:p>
        </w:tc>
        <w:tc>
          <w:tcPr>
            <w:tcW w:w="802" w:type="dxa"/>
            <w:vMerge/>
            <w:tcBorders>
              <w:left w:val="single" w:sz="4" w:space="0" w:color="000000"/>
              <w:right w:val="single" w:sz="4" w:space="0" w:color="000000"/>
            </w:tcBorders>
            <w:shd w:val="clear" w:color="auto" w:fill="D3D3D3"/>
          </w:tcPr>
          <w:p>
            <w:pPr/>
          </w:p>
        </w:tc>
        <w:tc>
          <w:tcPr>
            <w:tcW w:w="13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
        </w:tc>
        <w:tc>
          <w:tcPr>
            <w:tcW w:w="1411" w:type="dxa"/>
            <w:gridSpan w:val="2"/>
            <w:vMerge w:val="restart"/>
            <w:tcBorders>
              <w:top w:val="nil" w:sz="6" w:space="0" w:color="auto"/>
              <w:left w:val="single" w:sz="4" w:space="0" w:color="000000"/>
              <w:right w:val="single" w:sz="4" w:space="0" w:color="000000"/>
            </w:tcBorders>
            <w:shd w:val="clear" w:color="auto" w:fill="D3D3D3"/>
          </w:tcPr>
          <w:p>
            <w:pPr/>
          </w:p>
        </w:tc>
        <w:tc>
          <w:tcPr>
            <w:tcW w:w="744" w:type="dxa"/>
            <w:vMerge w:val="restart"/>
            <w:tcBorders>
              <w:top w:val="nil" w:sz="6" w:space="0" w:color="auto"/>
              <w:left w:val="single" w:sz="4" w:space="0" w:color="000000"/>
              <w:right w:val="single" w:sz="4" w:space="0" w:color="000000"/>
            </w:tcBorders>
            <w:shd w:val="clear" w:color="auto" w:fill="D3D3D3"/>
          </w:tcPr>
          <w:p>
            <w:pPr/>
          </w:p>
        </w:tc>
        <w:tc>
          <w:tcPr>
            <w:tcW w:w="830" w:type="dxa"/>
            <w:vMerge/>
            <w:tcBorders>
              <w:left w:val="single" w:sz="4" w:space="0" w:color="000000"/>
              <w:bottom w:val="nil" w:sz="6" w:space="0" w:color="auto"/>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824" w:type="dxa"/>
            <w:vMerge/>
            <w:tcBorders>
              <w:left w:val="single" w:sz="4" w:space="0" w:color="000000"/>
              <w:right w:val="single" w:sz="4" w:space="0" w:color="000000"/>
            </w:tcBorders>
            <w:shd w:val="clear" w:color="auto" w:fill="D3D3D3"/>
          </w:tcPr>
          <w:p>
            <w:pPr/>
          </w:p>
        </w:tc>
        <w:tc>
          <w:tcPr>
            <w:tcW w:w="802" w:type="dxa"/>
            <w:vMerge/>
            <w:tcBorders>
              <w:left w:val="single" w:sz="4" w:space="0" w:color="000000"/>
              <w:right w:val="single" w:sz="4" w:space="0" w:color="000000"/>
            </w:tcBorders>
            <w:shd w:val="clear" w:color="auto" w:fill="D3D3D3"/>
          </w:tcPr>
          <w:p>
            <w:pPr/>
          </w:p>
        </w:tc>
        <w:tc>
          <w:tcPr>
            <w:tcW w:w="1349" w:type="dxa"/>
            <w:gridSpan w:val="2"/>
            <w:vMerge/>
            <w:tcBorders>
              <w:left w:val="single" w:sz="4" w:space="0" w:color="000000"/>
              <w:right w:val="single" w:sz="4" w:space="0" w:color="000000"/>
            </w:tcBorders>
            <w:shd w:val="clear" w:color="auto" w:fill="D3D3D3"/>
          </w:tcPr>
          <w:p>
            <w:pPr/>
          </w:p>
        </w:tc>
        <w:tc>
          <w:tcPr>
            <w:tcW w:w="1350" w:type="dxa"/>
            <w:gridSpan w:val="2"/>
            <w:vMerge/>
            <w:tcBorders>
              <w:left w:val="single" w:sz="4" w:space="0" w:color="000000"/>
              <w:right w:val="single" w:sz="4" w:space="0" w:color="000000"/>
            </w:tcBorders>
            <w:shd w:val="clear" w:color="auto" w:fill="D3D3D3"/>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44" w:type="dxa"/>
            <w:vMerge/>
            <w:tcBorders>
              <w:left w:val="single" w:sz="4" w:space="0" w:color="000000"/>
              <w:bottom w:val="single" w:sz="4" w:space="0" w:color="000000"/>
              <w:right w:val="single" w:sz="4" w:space="0" w:color="000000"/>
            </w:tcBorders>
            <w:shd w:val="clear" w:color="auto" w:fill="D3D3D3"/>
          </w:tcPr>
          <w:p>
            <w:pPr/>
          </w:p>
        </w:tc>
        <w:tc>
          <w:tcPr>
            <w:tcW w:w="83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802" w:type="dxa"/>
            <w:vMerge/>
            <w:tcBorders>
              <w:left w:val="single" w:sz="4" w:space="0" w:color="000000"/>
              <w:bottom w:val="single" w:sz="4" w:space="0" w:color="000000"/>
              <w:right w:val="single" w:sz="4" w:space="0" w:color="000000"/>
            </w:tcBorders>
            <w:shd w:val="clear" w:color="auto" w:fill="D3D3D3"/>
          </w:tcPr>
          <w:p>
            <w:pPr/>
          </w:p>
        </w:tc>
        <w:tc>
          <w:tcPr>
            <w:tcW w:w="1349" w:type="dxa"/>
            <w:gridSpan w:val="2"/>
            <w:vMerge/>
            <w:tcBorders>
              <w:left w:val="single" w:sz="4" w:space="0" w:color="000000"/>
              <w:bottom w:val="single" w:sz="4" w:space="0" w:color="000000"/>
              <w:right w:val="single" w:sz="4" w:space="0" w:color="000000"/>
            </w:tcBorders>
            <w:shd w:val="clear" w:color="auto" w:fill="D3D3D3"/>
          </w:tcPr>
          <w:p>
            <w:pPr/>
          </w:p>
        </w:tc>
        <w:tc>
          <w:tcPr>
            <w:tcW w:w="1350" w:type="dxa"/>
            <w:gridSpan w:val="2"/>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2,580,701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80,558,30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26,752,76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82,600,000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2,578,100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80,483,14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76,870,000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75"/>
              <w:jc w:val="left"/>
              <w:rPr>
                <w:rFonts w:ascii="Times New Roman" w:hAnsi="Times New Roman" w:cs="Times New Roman" w:eastAsia="Times New Roman" w:hint="default"/>
                <w:sz w:val="18"/>
                <w:szCs w:val="18"/>
              </w:rPr>
            </w:pPr>
            <w:r>
              <w:rPr>
                <w:rFonts w:ascii="Times New Roman"/>
                <w:sz w:val="18"/>
              </w:rPr>
              <w:t>POWER </w:t>
            </w:r>
            <w:r>
              <w:rPr>
                <w:rFonts w:ascii="Times New Roman"/>
                <w:spacing w:val="-3"/>
                <w:sz w:val="18"/>
              </w:rPr>
              <w:t>CORPORATION</w:t>
            </w:r>
            <w:r>
              <w:rPr>
                <w:rFonts w:ascii="Times New Roman"/>
                <w:spacing w:val="-40"/>
                <w:sz w:val="18"/>
              </w:rPr>
              <w:t> </w:t>
            </w:r>
            <w:r>
              <w:rPr>
                <w:rFonts w:ascii="Times New Roman"/>
                <w:spacing w:val="-40"/>
                <w:sz w:val="18"/>
              </w:rPr>
            </w:r>
            <w:r>
              <w:rPr>
                <w:rFonts w:ascii="Times New Roman"/>
                <w:sz w:val="18"/>
              </w:rPr>
              <w:t>OF</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CANADA</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15,981,04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上海东方证券资 管－光大银行－ 东证资管汉得信 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号集合资产管 理计划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12,890,83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12,890,83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360,893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4,450,000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1,100,000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东方证券股份有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8,236,075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8,236,075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8,236,075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中国人寿保险股 份有限公司－分</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7,584,578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7,513,878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7,584,578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红－个人分红</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摩根士丹利投资 管理公司－摩根 士丹利中国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 w:right="0"/>
              <w:jc w:val="center"/>
              <w:rPr>
                <w:rFonts w:ascii="Times New Roman" w:hAnsi="Times New Roman" w:cs="Times New Roman" w:eastAsia="Times New Roman" w:hint="default"/>
                <w:sz w:val="18"/>
                <w:szCs w:val="18"/>
              </w:rPr>
            </w:pPr>
            <w:r>
              <w:rPr>
                <w:rFonts w:ascii="Times New Roman"/>
                <w:sz w:val="18"/>
              </w:rPr>
              <w:t>7,304,607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7,304,607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7,304,607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中国人寿保险（集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团）公司－传统－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普通保险产品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7,047,723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7,047,723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7,047,723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1"/>
                <w:sz w:val="18"/>
                <w:szCs w:val="18"/>
              </w:rPr>
              <w:t>上述股东中陈迪清、范建震二者为一致行动人及公司控股股东、实际控制人，公司未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知其他股东的关联关系或一致行动关系。</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3D3D3"/>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26,827,716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26,827,716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26,752,767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26,752,767</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36"/>
              <w:jc w:val="left"/>
              <w:rPr>
                <w:rFonts w:ascii="Times New Roman" w:hAnsi="Times New Roman" w:cs="Times New Roman" w:eastAsia="Times New Roman" w:hint="default"/>
                <w:sz w:val="18"/>
                <w:szCs w:val="18"/>
              </w:rPr>
            </w:pPr>
            <w:r>
              <w:rPr>
                <w:rFonts w:ascii="Times New Roman"/>
                <w:sz w:val="18"/>
              </w:rPr>
              <w:t>POWER </w:t>
            </w:r>
            <w:r>
              <w:rPr>
                <w:rFonts w:ascii="Times New Roman"/>
                <w:spacing w:val="-3"/>
                <w:sz w:val="18"/>
              </w:rPr>
              <w:t>CORPORATION</w:t>
            </w:r>
            <w:r>
              <w:rPr>
                <w:rFonts w:ascii="Times New Roman"/>
                <w:spacing w:val="-2"/>
                <w:sz w:val="18"/>
              </w:rPr>
              <w:t> </w:t>
            </w:r>
            <w:r>
              <w:rPr>
                <w:rFonts w:ascii="Times New Roman"/>
                <w:sz w:val="18"/>
              </w:rPr>
              <w:t>OF</w:t>
            </w:r>
            <w:r>
              <w:rPr>
                <w:rFonts w:ascii="Times New Roman"/>
                <w:spacing w:val="-1"/>
                <w:sz w:val="18"/>
              </w:rPr>
              <w:t> </w:t>
            </w:r>
            <w:r>
              <w:rPr>
                <w:rFonts w:ascii="Times New Roman"/>
                <w:sz w:val="18"/>
              </w:rPr>
              <w:t>CANADA</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15,981,042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15,981,042</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上海东方证券资管－光大银行－东 证资管汉得信息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12,890,839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12,890,839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8,236,075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7,584,578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7,584,578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摩根士丹利投资管理公司－摩根士 丹利中国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7,304,607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7,304,607</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中国人寿保险（集团）公司－传统－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普通保险产品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7,047,723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7,047,723</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 w:right="23"/>
              <w:jc w:val="left"/>
              <w:rPr>
                <w:rFonts w:ascii="宋体" w:hAnsi="宋体" w:cs="宋体" w:eastAsia="宋体" w:hint="default"/>
                <w:sz w:val="18"/>
                <w:szCs w:val="18"/>
              </w:rPr>
            </w:pPr>
            <w:r>
              <w:rPr>
                <w:rFonts w:ascii="宋体" w:hAnsi="宋体" w:cs="宋体" w:eastAsia="宋体" w:hint="default"/>
                <w:spacing w:val="-1"/>
                <w:sz w:val="18"/>
                <w:szCs w:val="18"/>
              </w:rPr>
              <w:t>上述股东中陈迪清、范建震二者为一致行动人及公司控股股东、实际控制人，公司未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知其他股东的关联关系或一致行动关系。</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z w:val="18"/>
                <w:szCs w:val="18"/>
              </w:rPr>
              <w:t>股东石胜利除通过普通证券账户持有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股外，还通过招商证券股份有限公司</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005"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79.35pt;height:50.3pt;mso-position-horizontal-relative:char;mso-position-vertical-relative:line" coordorigin="0,0" coordsize="9587,1006">
            <v:group style="position:absolute;left:14;top:14;width:2871;height:977" coordorigin="14,14" coordsize="2871,977">
              <v:shape style="position:absolute;left:14;top:14;width:2871;height:977" coordorigin="14,14" coordsize="2871,977" path="m14,991l2885,991,2885,14,14,14,14,991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996" coordorigin="10,5" coordsize="2,996">
              <v:shape style="position:absolute;left:10;top:5;width:2;height:996" coordorigin="10,5" coordsize="0,996" path="m10,5l10,1001e" filled="false" stroked="true" strokeweight=".48001pt" strokecolor="#000000">
                <v:path arrowok="t"/>
              </v:shape>
            </v:group>
            <v:group style="position:absolute;left:5;top:996;width:2880;height:2" coordorigin="5,996" coordsize="2880,2">
              <v:shape style="position:absolute;left:5;top:996;width:2880;height:2" coordorigin="5,996" coordsize="2880,0" path="m5,996l2885,996e" filled="false" stroked="true" strokeweight=".47998pt" strokecolor="#000000">
                <v:path arrowok="t"/>
              </v:shape>
            </v:group>
            <v:group style="position:absolute;left:2890;top:14;width:2;height:987" coordorigin="2890,14" coordsize="2,987">
              <v:shape style="position:absolute;left:2890;top:14;width:2;height:987" coordorigin="2890,14" coordsize="0,987" path="m2890,14l2890,1001e" filled="false" stroked="true" strokeweight=".48pt" strokecolor="#000000">
                <v:path arrowok="t"/>
              </v:shape>
            </v:group>
            <v:group style="position:absolute;left:2894;top:996;width:6678;height:2" coordorigin="2894,996" coordsize="6678,2">
              <v:shape style="position:absolute;left:2894;top:996;width:6678;height:2" coordorigin="2894,996" coordsize="6678,0" path="m2894,996l9572,996e" filled="false" stroked="true" strokeweight=".47998pt" strokecolor="#000000">
                <v:path arrowok="t"/>
              </v:shape>
            </v:group>
            <v:group style="position:absolute;left:9577;top:5;width:2;height:996" coordorigin="9577,5" coordsize="2,996">
              <v:shape style="position:absolute;left:9577;top:5;width:2;height:996" coordorigin="9577,5" coordsize="0,996" path="m9577,5l9577,1001e" filled="false" stroked="true" strokeweight=".47998pt" strokecolor="#000000">
                <v:path arrowok="t"/>
              </v:shape>
              <v:shape style="position:absolute;left:2890;top:10;width:6688;height:987"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股。股东邓辉除通过普通证券账户持有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股外，还通过兴业证券股份有限公</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股，实际合计持有无限售流通股</w:t>
                      </w:r>
                    </w:p>
                    <w:p>
                      <w:pPr>
                        <w:spacing w:before="64"/>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8,960,000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19"/>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1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陈迪清担任公司董事长，范建震担任公司董事</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陈迪清担任公司董事长，范建震担任公司董事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5325" w:lineRule="exact"/>
        <w:ind w:left="1356"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591783" cy="33813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91783" cy="3381375"/>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8"/>
        <w:rPr>
          <w:rFonts w:ascii="宋体" w:hAnsi="宋体" w:cs="宋体" w:eastAsia="宋体" w:hint="default"/>
          <w:sz w:val="21"/>
          <w:szCs w:val="21"/>
        </w:rPr>
      </w:pPr>
    </w:p>
    <w:p>
      <w:pPr>
        <w:pStyle w:val="Heading4"/>
        <w:spacing w:line="240" w:lineRule="auto" w:before="26"/>
        <w:ind w:left="154"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2"/>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陈迪清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104,730,3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2,680,701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范建震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104,732,7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2,578,100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107,310,8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64</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廖卫平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颜克益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赵  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黄益全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1,123,807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1,123,807</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李西平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书、副总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2,158,076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2,158,076</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沈雁冰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50,000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吴  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3"/>
              <w:jc w:val="right"/>
              <w:rPr>
                <w:rFonts w:ascii="宋体" w:hAnsi="宋体" w:cs="宋体" w:eastAsia="宋体" w:hint="default"/>
                <w:sz w:val="18"/>
                <w:szCs w:val="18"/>
              </w:rPr>
            </w:pPr>
            <w:r>
              <w:rPr>
                <w:rFonts w:ascii="宋体" w:hAnsi="宋体" w:cs="宋体" w:eastAsia="宋体" w:hint="default"/>
                <w:sz w:val="18"/>
                <w:szCs w:val="18"/>
              </w:rPr>
              <w:t>刘静波</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黄  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141,836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141,836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213,086,8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5,258,801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218,095,6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357" w:lineRule="auto" w:before="144"/>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1、现任董事</w:t>
      </w:r>
      <w:r>
        <w:rPr>
          <w:rFonts w:ascii="宋体" w:hAnsi="宋体" w:cs="宋体" w:eastAsia="宋体" w:hint="default"/>
          <w:b/>
          <w:bCs/>
          <w:spacing w:val="1"/>
          <w:w w:val="99"/>
          <w:sz w:val="24"/>
          <w:szCs w:val="24"/>
        </w:rPr>
        <w:t> </w:t>
      </w:r>
      <w:r>
        <w:rPr>
          <w:rFonts w:ascii="宋体" w:hAnsi="宋体" w:cs="宋体" w:eastAsia="宋体" w:hint="default"/>
          <w:b/>
          <w:bCs/>
          <w:sz w:val="24"/>
          <w:szCs w:val="24"/>
        </w:rPr>
        <w:t>陈迪清：</w:t>
      </w:r>
      <w:r>
        <w:rPr>
          <w:rFonts w:ascii="宋体" w:hAnsi="宋体" w:cs="宋体" w:eastAsia="宋体" w:hint="default"/>
          <w:sz w:val="24"/>
          <w:szCs w:val="24"/>
        </w:rPr>
        <w:t>中国国籍，1963年出生，拥有新加坡永久居留权。复旦大学电子工程系理学学</w:t>
      </w:r>
    </w:p>
    <w:p>
      <w:pPr>
        <w:pStyle w:val="Heading4"/>
        <w:spacing w:line="357" w:lineRule="auto"/>
        <w:ind w:right="148"/>
        <w:jc w:val="both"/>
      </w:pPr>
      <w:r>
        <w:rPr/>
        <w:t>士、美国Louisiana Tech University</w:t>
      </w:r>
      <w:r>
        <w:rPr>
          <w:spacing w:val="24"/>
        </w:rPr>
        <w:t> </w:t>
      </w:r>
      <w:r>
        <w:rPr/>
        <w:t>理学硕士学位。曾任中国惠普有限公司上海分公司地</w:t>
      </w:r>
      <w:r>
        <w:rPr/>
        <w:t> 区销售经理，美国Skywell</w:t>
      </w:r>
      <w:r>
        <w:rPr>
          <w:spacing w:val="-80"/>
        </w:rPr>
        <w:t> </w:t>
      </w:r>
      <w:r>
        <w:rPr/>
        <w:t>Technology公司工程师，西门子—利多富华东/华中区总经理，思</w:t>
      </w:r>
      <w:r>
        <w:rPr/>
        <w:t> </w:t>
      </w:r>
      <w:r>
        <w:rPr>
          <w:spacing w:val="-3"/>
        </w:rPr>
        <w:t>爱普（北京）软件技术有限公司（SAP中国）市场及销售总监，上海汉得信息技术有限公司总</w:t>
      </w:r>
      <w:r>
        <w:rPr>
          <w:spacing w:val="-79"/>
        </w:rPr>
        <w:t> </w:t>
      </w:r>
      <w:r>
        <w:rPr>
          <w:spacing w:val="-79"/>
        </w:rPr>
      </w:r>
      <w:r>
        <w:rPr>
          <w:spacing w:val="-2"/>
        </w:rPr>
        <w:t>裁。2010年2月至2016年1月担任公司总经理、董事，2016年1月至今担任公司董事长。兼任随</w:t>
      </w:r>
      <w:r>
        <w:rPr>
          <w:spacing w:val="-108"/>
        </w:rPr>
        <w:t> </w:t>
      </w:r>
      <w:r>
        <w:rPr>
          <w:spacing w:val="-108"/>
        </w:rPr>
      </w:r>
      <w:r>
        <w:rPr/>
        <w:t>身科技（上海）有限公司董事长、上海汉得微扬信息技术有限公司董事长、上海甄实建筑科</w:t>
      </w:r>
      <w:r>
        <w:rPr>
          <w:spacing w:val="-83"/>
        </w:rPr>
        <w:t> </w:t>
      </w:r>
      <w:r>
        <w:rPr>
          <w:spacing w:val="-83"/>
        </w:rPr>
      </w:r>
      <w:r>
        <w:rPr/>
        <w:t>技有限公司董事长。</w:t>
      </w:r>
    </w:p>
    <w:p>
      <w:pPr>
        <w:pStyle w:val="Heading4"/>
        <w:spacing w:line="357" w:lineRule="auto"/>
        <w:ind w:right="146" w:firstLine="482"/>
        <w:jc w:val="both"/>
      </w:pPr>
      <w:r>
        <w:rPr>
          <w:rFonts w:ascii="宋体" w:hAnsi="宋体" w:cs="宋体" w:eastAsia="宋体" w:hint="default"/>
          <w:b/>
          <w:bCs/>
        </w:rPr>
        <w:t>范建震：</w:t>
      </w:r>
      <w:r>
        <w:rPr/>
        <w:t>中国国籍，1964年出生，复旦大学电子工程系理学学士、中欧国际工商学院工</w:t>
      </w:r>
      <w:r>
        <w:rPr>
          <w:spacing w:val="1"/>
        </w:rPr>
        <w:t> </w:t>
      </w:r>
      <w:r>
        <w:rPr/>
        <w:t>商管理硕士。有近20年的ERP行业从业经验，于1996年创办中国第一家专业从事高端ERP产品</w:t>
      </w:r>
      <w:r>
        <w:rPr/>
        <w:t> 实施服务的咨询公司——上海汉得计算机服务有限公司，2002年起任上海汉得信息技术有限</w:t>
      </w:r>
      <w:r>
        <w:rPr>
          <w:spacing w:val="-97"/>
        </w:rPr>
        <w:t> </w:t>
      </w:r>
      <w:r>
        <w:rPr>
          <w:spacing w:val="-97"/>
        </w:rPr>
      </w:r>
      <w:r>
        <w:rPr>
          <w:spacing w:val="-2"/>
        </w:rPr>
        <w:t>公司首席执行官，2010年2月至2016年1月担任公司董事长，2016年1月至今担任公司董事。兼</w:t>
      </w:r>
      <w:r>
        <w:rPr>
          <w:spacing w:val="-108"/>
        </w:rPr>
        <w:t> </w:t>
      </w:r>
      <w:r>
        <w:rPr>
          <w:spacing w:val="-108"/>
        </w:rPr>
      </w:r>
      <w:r>
        <w:rPr/>
        <w:t>任上海夏尔软件有限公司执行董事、上海汉得融晶信息科技有限公司董事长、上海汉得商业</w:t>
      </w:r>
      <w:r>
        <w:rPr>
          <w:spacing w:val="-83"/>
        </w:rPr>
        <w:t> </w:t>
      </w:r>
      <w:r>
        <w:rPr>
          <w:spacing w:val="-83"/>
        </w:rPr>
      </w:r>
      <w:r>
        <w:rPr/>
        <w:t>保理有限公司董事长、上海甄汇信息科技有限公司董事长、上海观岩企业管理咨询合伙企业</w:t>
      </w:r>
    </w:p>
    <w:p>
      <w:pPr>
        <w:pStyle w:val="Heading4"/>
        <w:spacing w:line="357" w:lineRule="auto"/>
        <w:ind w:left="636" w:right="0" w:hanging="483"/>
        <w:jc w:val="left"/>
      </w:pPr>
      <w:r>
        <w:rPr/>
        <w:t>（有限合伙）执行事务合伙人。 </w:t>
      </w:r>
      <w:r>
        <w:rPr>
          <w:rFonts w:ascii="宋体" w:hAnsi="宋体" w:cs="宋体" w:eastAsia="宋体" w:hint="default"/>
          <w:b/>
          <w:bCs/>
        </w:rPr>
        <w:t>廖卫平：</w:t>
      </w:r>
      <w:r>
        <w:rPr/>
        <w:t>中国国籍，1968年出生，无永久境外居留权，复旦大学EMBA。曾任兴业证券投</w:t>
      </w:r>
    </w:p>
    <w:p>
      <w:pPr>
        <w:spacing w:after="0" w:line="357" w:lineRule="auto"/>
        <w:jc w:val="left"/>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资银行部内核部高级经理、国金证券投行部质控部总经理。现任国金证券股份有限公司总裁</w:t>
      </w:r>
      <w:r>
        <w:rPr>
          <w:spacing w:val="-83"/>
        </w:rPr>
        <w:t> </w:t>
      </w:r>
      <w:r>
        <w:rPr>
          <w:spacing w:val="-83"/>
        </w:rPr>
      </w:r>
      <w:r>
        <w:rPr/>
        <w:t>助理，内核部总经理。</w:t>
      </w:r>
    </w:p>
    <w:p>
      <w:pPr>
        <w:pStyle w:val="Heading4"/>
        <w:spacing w:line="357" w:lineRule="auto"/>
        <w:ind w:right="226" w:firstLine="482"/>
        <w:jc w:val="both"/>
      </w:pPr>
      <w:r>
        <w:rPr>
          <w:rFonts w:ascii="宋体" w:hAnsi="宋体" w:cs="宋体" w:eastAsia="宋体" w:hint="default"/>
          <w:b/>
          <w:bCs/>
        </w:rPr>
        <w:t>颜克益：</w:t>
      </w:r>
      <w:r>
        <w:rPr/>
        <w:t>中国国籍，1972年出生，无永久境外居留权，复旦大学产业经济学博士，中国</w:t>
      </w:r>
      <w:r>
        <w:rPr>
          <w:spacing w:val="1"/>
        </w:rPr>
        <w:t> </w:t>
      </w:r>
      <w:r>
        <w:rPr/>
        <w:t>注册会计师。曾任兴业证券股份有限公司研发中心分析师、兴业证券股份有限公司证券投资</w:t>
      </w:r>
      <w:r>
        <w:rPr>
          <w:spacing w:val="-83"/>
        </w:rPr>
        <w:t> </w:t>
      </w:r>
      <w:r>
        <w:rPr>
          <w:spacing w:val="-83"/>
        </w:rPr>
      </w:r>
      <w:r>
        <w:rPr/>
        <w:t>部投资经理、兴安证券有限公司证券投资部副总经理、兴业证券股份有限公司资产管理部总</w:t>
      </w:r>
      <w:r>
        <w:rPr>
          <w:spacing w:val="-83"/>
        </w:rPr>
        <w:t> </w:t>
      </w:r>
      <w:r>
        <w:rPr>
          <w:spacing w:val="-83"/>
        </w:rPr>
      </w:r>
      <w:r>
        <w:rPr/>
        <w:t>经理、兴业证券股份有限公司研究所所长。现任上海大朴资产管理有限公司总经理、宁波韵</w:t>
      </w:r>
      <w:r>
        <w:rPr>
          <w:spacing w:val="-83"/>
        </w:rPr>
        <w:t> </w:t>
      </w:r>
      <w:r>
        <w:rPr>
          <w:spacing w:val="-83"/>
        </w:rPr>
      </w:r>
      <w:r>
        <w:rPr/>
        <w:t>升股份有限公司独立董事。</w:t>
      </w:r>
    </w:p>
    <w:p>
      <w:pPr>
        <w:pStyle w:val="Heading4"/>
        <w:spacing w:line="357" w:lineRule="auto"/>
        <w:ind w:right="228" w:firstLine="482"/>
        <w:jc w:val="both"/>
      </w:pPr>
      <w:r>
        <w:rPr>
          <w:rFonts w:ascii="宋体" w:hAnsi="宋体" w:cs="宋体" w:eastAsia="宋体" w:hint="default"/>
          <w:b/>
          <w:bCs/>
        </w:rPr>
        <w:t>赵</w:t>
      </w:r>
      <w:r>
        <w:rPr>
          <w:rFonts w:ascii="宋体" w:hAnsi="宋体" w:cs="宋体" w:eastAsia="宋体" w:hint="default"/>
          <w:b/>
          <w:bCs/>
          <w:spacing w:val="27"/>
        </w:rPr>
        <w:t> </w:t>
      </w:r>
      <w:r>
        <w:rPr>
          <w:rFonts w:ascii="宋体" w:hAnsi="宋体" w:cs="宋体" w:eastAsia="宋体" w:hint="default"/>
          <w:b/>
          <w:bCs/>
          <w:spacing w:val="-4"/>
        </w:rPr>
        <w:t>勇：</w:t>
      </w:r>
      <w:r>
        <w:rPr>
          <w:spacing w:val="-4"/>
        </w:rPr>
        <w:t>中国国籍，1972年出生，无永久境外居留权，复旦大学法学硕士，长江商学院高</w:t>
      </w:r>
      <w:r>
        <w:rPr>
          <w:spacing w:val="-1"/>
        </w:rPr>
        <w:t> </w:t>
      </w:r>
      <w:r>
        <w:rPr/>
        <w:t>级工商管理研究生。曾任上海长宁区信息化委员会党组书记、主任；上海市人口计生委党委</w:t>
      </w:r>
      <w:r>
        <w:rPr>
          <w:spacing w:val="-83"/>
        </w:rPr>
        <w:t> </w:t>
      </w:r>
      <w:r>
        <w:rPr>
          <w:spacing w:val="-83"/>
        </w:rPr>
      </w:r>
      <w:r>
        <w:rPr/>
        <w:t>委员、副主任；上海市人口计生委党委委员、副主任、纪委书记；上海市卫生计生委党委委</w:t>
      </w:r>
      <w:r>
        <w:rPr>
          <w:spacing w:val="-83"/>
        </w:rPr>
        <w:t> </w:t>
      </w:r>
      <w:r>
        <w:rPr>
          <w:spacing w:val="-83"/>
        </w:rPr>
      </w:r>
      <w:r>
        <w:rPr/>
        <w:t>员、副主任。现任上海兰卫医学检验所股份有限公司副总裁。</w:t>
      </w:r>
    </w:p>
    <w:p>
      <w:pPr>
        <w:pStyle w:val="Heading3"/>
        <w:spacing w:line="240" w:lineRule="auto" w:before="36"/>
        <w:ind w:left="636" w:right="93"/>
        <w:jc w:val="left"/>
        <w:rPr>
          <w:b w:val="0"/>
          <w:bCs w:val="0"/>
        </w:rPr>
      </w:pPr>
      <w:r>
        <w:rPr/>
        <w:t>2、现任监事</w:t>
      </w:r>
      <w:r>
        <w:rPr>
          <w:b w:val="0"/>
          <w:bCs w:val="0"/>
        </w:rPr>
      </w:r>
    </w:p>
    <w:p>
      <w:pPr>
        <w:pStyle w:val="Heading4"/>
        <w:tabs>
          <w:tab w:pos="1121" w:val="left" w:leader="none"/>
        </w:tabs>
        <w:spacing w:line="357" w:lineRule="auto" w:before="154"/>
        <w:ind w:right="111" w:firstLine="482"/>
        <w:jc w:val="left"/>
      </w:pPr>
      <w:r>
        <w:rPr>
          <w:rFonts w:ascii="宋体" w:hAnsi="宋体" w:cs="宋体" w:eastAsia="宋体" w:hint="default"/>
          <w:b/>
          <w:bCs/>
          <w:w w:val="95"/>
        </w:rPr>
        <w:t>吴</w:t>
        <w:tab/>
      </w:r>
      <w:r>
        <w:rPr>
          <w:rFonts w:ascii="宋体" w:hAnsi="宋体" w:cs="宋体" w:eastAsia="宋体" w:hint="default"/>
          <w:b/>
          <w:bCs/>
        </w:rPr>
        <w:t>滨：</w:t>
      </w:r>
      <w:r>
        <w:rPr/>
        <w:t>中国国籍，1972年出生，无永久境外居留权，研究生学历。1993年毕业于华中 </w:t>
      </w:r>
      <w:r>
        <w:rPr>
          <w:spacing w:val="-2"/>
        </w:rPr>
        <w:t>理工大学固体电子学系，获工学学士学位；1996年毕业于复旦大学物理系，获理学硕士学位。</w:t>
      </w:r>
      <w:r>
        <w:rPr>
          <w:spacing w:val="-118"/>
        </w:rPr>
        <w:t> </w:t>
      </w:r>
      <w:r>
        <w:rPr>
          <w:spacing w:val="-118"/>
        </w:rPr>
      </w:r>
      <w:r>
        <w:rPr/>
        <w:t>曾任洛克机电系统工程有限公司程序员，1998年加入汉得信息，历任Oracle部门资深技术顾</w:t>
      </w:r>
      <w:r>
        <w:rPr>
          <w:spacing w:val="-116"/>
        </w:rPr>
        <w:t> </w:t>
      </w:r>
      <w:r>
        <w:rPr>
          <w:spacing w:val="-116"/>
        </w:rPr>
      </w:r>
      <w:r>
        <w:rPr/>
        <w:t>问，MAS产品部门技术总监，及Advanced Development</w:t>
      </w:r>
      <w:r>
        <w:rPr>
          <w:spacing w:val="-82"/>
        </w:rPr>
        <w:t> </w:t>
      </w:r>
      <w:r>
        <w:rPr/>
        <w:t>Center(ADC)总监，现任上海汉得信息</w:t>
      </w:r>
      <w:r>
        <w:rPr/>
        <w:t> 技术股份有限公司CTO，公司第三届监事会主席。</w:t>
      </w:r>
    </w:p>
    <w:p>
      <w:pPr>
        <w:pStyle w:val="Heading4"/>
        <w:spacing w:line="357" w:lineRule="auto"/>
        <w:ind w:right="228" w:firstLine="482"/>
        <w:jc w:val="both"/>
      </w:pPr>
      <w:r>
        <w:rPr>
          <w:rFonts w:ascii="宋体" w:hAnsi="宋体" w:cs="宋体" w:eastAsia="宋体" w:hint="default"/>
          <w:b/>
          <w:bCs/>
          <w:spacing w:val="-2"/>
        </w:rPr>
        <w:t>刘静波：</w:t>
      </w:r>
      <w:r>
        <w:rPr>
          <w:spacing w:val="-2"/>
        </w:rPr>
        <w:t>中国国籍，无永久境外居留权，1962年出生，研究生学历。1980-1988年毕业于</w:t>
      </w:r>
      <w:r>
        <w:rPr/>
        <w:t> </w:t>
      </w:r>
      <w:r>
        <w:rPr>
          <w:spacing w:val="-3"/>
        </w:rPr>
        <w:t>同济大学电气工程系，获工业自动化硕士学位；2004</w:t>
      </w:r>
      <w:r>
        <w:rPr>
          <w:spacing w:val="-9"/>
        </w:rPr>
        <w:t> </w:t>
      </w:r>
      <w:r>
        <w:rPr/>
        <w:t>年毕业于中欧国际工商管理学院，获工</w:t>
      </w:r>
      <w:r>
        <w:rPr/>
        <w:t> 商管理硕士学位。曾任中国纺织大学教师，上海华霆自动化设备公司总经理，现任上海东电</w:t>
      </w:r>
      <w:r>
        <w:rPr>
          <w:spacing w:val="-83"/>
        </w:rPr>
        <w:t> </w:t>
      </w:r>
      <w:r>
        <w:rPr>
          <w:spacing w:val="-83"/>
        </w:rPr>
      </w:r>
      <w:r>
        <w:rPr/>
        <w:t>自动控制有限公司董事长、总经理，公司监事。</w:t>
      </w:r>
    </w:p>
    <w:p>
      <w:pPr>
        <w:pStyle w:val="Heading4"/>
        <w:tabs>
          <w:tab w:pos="1121" w:val="left" w:leader="none"/>
        </w:tabs>
        <w:spacing w:line="357" w:lineRule="auto"/>
        <w:ind w:right="111" w:firstLine="482"/>
        <w:jc w:val="left"/>
      </w:pPr>
      <w:r>
        <w:rPr>
          <w:rFonts w:ascii="宋体" w:hAnsi="宋体" w:cs="宋体" w:eastAsia="宋体" w:hint="default"/>
          <w:b/>
          <w:bCs/>
          <w:w w:val="95"/>
        </w:rPr>
        <w:t>黄</w:t>
        <w:tab/>
      </w:r>
      <w:r>
        <w:rPr>
          <w:rFonts w:ascii="宋体" w:hAnsi="宋体" w:cs="宋体" w:eastAsia="宋体" w:hint="default"/>
          <w:b/>
          <w:bCs/>
        </w:rPr>
        <w:t>青：</w:t>
      </w:r>
      <w:r>
        <w:rPr/>
        <w:t>中国国籍，无永久境外居留权，1963年出生，研究生学历。1985年毕业于同济 </w:t>
      </w:r>
      <w:r>
        <w:rPr>
          <w:spacing w:val="-7"/>
        </w:rPr>
        <w:t>大学建筑材料系，获工程学学士学位；1993</w:t>
      </w:r>
      <w:r>
        <w:rPr>
          <w:spacing w:val="28"/>
        </w:rPr>
        <w:t> </w:t>
      </w:r>
      <w:r>
        <w:rPr>
          <w:spacing w:val="-4"/>
        </w:rPr>
        <w:t>年毕业于东京大学大学院，获合成化学硕士学位；</w:t>
      </w:r>
      <w:r>
        <w:rPr>
          <w:spacing w:val="-118"/>
        </w:rPr>
        <w:t> </w:t>
      </w:r>
      <w:r>
        <w:rPr>
          <w:spacing w:val="-118"/>
        </w:rPr>
      </w:r>
      <w:r>
        <w:rPr/>
        <w:t>2008 年至今任逸和农业科技有限公司董事长，现任公司监事。</w:t>
      </w:r>
    </w:p>
    <w:p>
      <w:pPr>
        <w:spacing w:line="357" w:lineRule="auto" w:before="36"/>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3、现任高管</w:t>
      </w:r>
      <w:r>
        <w:rPr>
          <w:rFonts w:ascii="宋体" w:hAnsi="宋体" w:cs="宋体" w:eastAsia="宋体" w:hint="default"/>
          <w:b/>
          <w:bCs/>
          <w:w w:val="99"/>
          <w:sz w:val="24"/>
          <w:szCs w:val="24"/>
        </w:rPr>
        <w:t> </w:t>
      </w:r>
      <w:r>
        <w:rPr>
          <w:rFonts w:ascii="宋体" w:hAnsi="宋体" w:cs="宋体" w:eastAsia="宋体" w:hint="default"/>
          <w:b/>
          <w:bCs/>
          <w:sz w:val="24"/>
          <w:szCs w:val="24"/>
        </w:rPr>
        <w:t>黄益全：</w:t>
      </w:r>
      <w:r>
        <w:rPr>
          <w:rFonts w:ascii="宋体" w:hAnsi="宋体" w:cs="宋体" w:eastAsia="宋体" w:hint="default"/>
          <w:sz w:val="24"/>
          <w:szCs w:val="24"/>
        </w:rPr>
        <w:t>中国国籍，1978年出生，无永久境外居留权。2000年毕业于复旦大学管理学院</w:t>
      </w:r>
    </w:p>
    <w:p>
      <w:pPr>
        <w:pStyle w:val="Heading4"/>
        <w:spacing w:line="357" w:lineRule="auto"/>
        <w:ind w:right="228"/>
        <w:jc w:val="both"/>
      </w:pPr>
      <w:r>
        <w:rPr>
          <w:spacing w:val="-7"/>
        </w:rPr>
        <w:t>管理信息系统专业，并于同年加入公司任职ERP咨询顾问，2006年担任公司北方区总经理，2007</w:t>
      </w:r>
      <w:r>
        <w:rPr>
          <w:spacing w:val="-112"/>
        </w:rPr>
        <w:t> </w:t>
      </w:r>
      <w:r>
        <w:rPr>
          <w:spacing w:val="-112"/>
        </w:rPr>
      </w:r>
      <w:r>
        <w:rPr/>
        <w:t>年至2014年担任公司华东区总经理，2015年至2016年1月担任公司运营总监，2016年1月至今</w:t>
      </w:r>
      <w:r>
        <w:rPr>
          <w:spacing w:val="-117"/>
        </w:rPr>
        <w:t> </w:t>
      </w:r>
      <w:r>
        <w:rPr>
          <w:spacing w:val="-117"/>
        </w:rPr>
      </w:r>
      <w:r>
        <w:rPr/>
        <w:t>担任公司总经理。兼任上海达美信息技术有限公司董事长，扬州达美投资管理有限公司执行</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r>
        <w:rPr/>
        <w:pict>
          <v:group style="position:absolute;margin-left:276.480011pt;margin-top:679.830017pt;width:51.55pt;height:36.4pt;mso-position-horizontal-relative:page;mso-position-vertical-relative:page;z-index:-994528" coordorigin="5530,13597" coordsize="1031,728">
            <v:group style="position:absolute;left:5541;top:13608;width:2;height:705" coordorigin="5541,13608" coordsize="2,705">
              <v:shape style="position:absolute;left:5541;top:13608;width:2;height:705" coordorigin="5541,13608" coordsize="0,705" path="m5541,13608l5541,14312e" filled="false" stroked="true" strokeweight="1.140pt" strokecolor="#ffffff">
                <v:path arrowok="t"/>
              </v:shape>
            </v:group>
            <v:group style="position:absolute;left:5552;top:13608;width:1008;height:352" coordorigin="5552,13608" coordsize="1008,352">
              <v:shape style="position:absolute;left:5552;top:13608;width:1008;height:352" coordorigin="5552,13608" coordsize="1008,352" path="m5552,13960l6560,13960,6560,13608,5552,13608,5552,13960xe" filled="true" fillcolor="#ffffff" stroked="false">
                <v:path arrowok="t"/>
                <v:fill type="solid"/>
              </v:shape>
            </v:group>
            <v:group style="position:absolute;left:5552;top:13960;width:1008;height:353" coordorigin="5552,13960" coordsize="1008,353">
              <v:shape style="position:absolute;left:5552;top:13960;width:1008;height:353" coordorigin="5552,13960" coordsize="1008,353" path="m5552,14312l6560,14312,6560,13960,5552,13960,5552,14312xe" filled="true" fillcolor="#ffffff" stroked="false">
                <v:path arrowok="t"/>
                <v:fill type="solid"/>
              </v:shape>
            </v:group>
            <w10:wrap type="none"/>
          </v:group>
        </w:pict>
      </w:r>
    </w:p>
    <w:p>
      <w:pPr>
        <w:pStyle w:val="Heading4"/>
        <w:spacing w:line="357" w:lineRule="auto" w:before="26"/>
        <w:ind w:right="93"/>
        <w:jc w:val="left"/>
      </w:pPr>
      <w:r>
        <w:rPr/>
        <w:t>董事，上海禹哲投资管理合伙企业（有限合伙）执行事务合伙人、上海汉得欧俊信息技术有</w:t>
      </w:r>
      <w:r>
        <w:rPr>
          <w:spacing w:val="-83"/>
        </w:rPr>
        <w:t> </w:t>
      </w:r>
      <w:r>
        <w:rPr>
          <w:spacing w:val="-83"/>
        </w:rPr>
      </w:r>
      <w:r>
        <w:rPr/>
        <w:t>限公司董事长、上海甄云信息科技有限公司董事长。</w:t>
      </w:r>
    </w:p>
    <w:p>
      <w:pPr>
        <w:pStyle w:val="Heading4"/>
        <w:spacing w:line="357" w:lineRule="auto"/>
        <w:ind w:right="226" w:firstLine="482"/>
        <w:jc w:val="both"/>
      </w:pPr>
      <w:r>
        <w:rPr>
          <w:rFonts w:ascii="宋体" w:hAnsi="宋体" w:cs="宋体" w:eastAsia="宋体" w:hint="default"/>
          <w:b/>
          <w:bCs/>
        </w:rPr>
        <w:t>李西平：</w:t>
      </w:r>
      <w:r>
        <w:rPr/>
        <w:t>中国国籍，1975年出生，无永久境外居留权。中国人民大学国际金融学士，曾</w:t>
      </w:r>
      <w:r>
        <w:rPr>
          <w:spacing w:val="1"/>
        </w:rPr>
        <w:t> </w:t>
      </w:r>
      <w:r>
        <w:rPr/>
        <w:t>任上海汉得信息技术股份有限公司Oracle部门总监，现任公司董事会秘书、兼任上海汉得商</w:t>
      </w:r>
      <w:r>
        <w:rPr>
          <w:spacing w:val="-98"/>
        </w:rPr>
        <w:t> </w:t>
      </w:r>
      <w:r>
        <w:rPr>
          <w:spacing w:val="-98"/>
        </w:rPr>
      </w:r>
      <w:r>
        <w:rPr/>
        <w:t>业保理有限公司总经理。</w:t>
      </w:r>
    </w:p>
    <w:p>
      <w:pPr>
        <w:pStyle w:val="Heading4"/>
        <w:spacing w:line="357" w:lineRule="auto"/>
        <w:ind w:right="93" w:firstLine="482"/>
        <w:jc w:val="left"/>
      </w:pPr>
      <w:r>
        <w:rPr>
          <w:rFonts w:ascii="宋体" w:hAnsi="宋体" w:cs="宋体" w:eastAsia="宋体" w:hint="default"/>
          <w:b/>
          <w:bCs/>
          <w:spacing w:val="-3"/>
        </w:rPr>
        <w:t>沈雁冰：</w:t>
      </w:r>
      <w:r>
        <w:rPr>
          <w:spacing w:val="-3"/>
        </w:rPr>
        <w:t>中国国籍，1978年出生。复旦大学经济学学士、英国威尔士大学工商管理硕士。</w:t>
      </w:r>
      <w:r>
        <w:rPr/>
        <w:t> 曾任公司SAP集团财务事业部总经理、公司SAP</w:t>
      </w:r>
      <w:r>
        <w:rPr>
          <w:spacing w:val="-68"/>
        </w:rPr>
        <w:t> </w:t>
      </w:r>
      <w:r>
        <w:rPr/>
        <w:t>Global事业部总经理，现任公司财务总监，兼</w:t>
      </w:r>
      <w:r>
        <w:rPr/>
        <w:t> 任上海夏尔软件有限公司总经理。</w:t>
      </w:r>
    </w:p>
    <w:p>
      <w:pPr>
        <w:pStyle w:val="BodyText"/>
        <w:spacing w:line="240" w:lineRule="auto" w:before="47"/>
        <w:ind w:right="93"/>
        <w:jc w:val="left"/>
      </w:pPr>
      <w:r>
        <w:rPr/>
        <w:t>在股东单位任职情况</w:t>
      </w:r>
    </w:p>
    <w:p>
      <w:pPr>
        <w:pStyle w:val="BodyText"/>
        <w:spacing w:line="338" w:lineRule="auto" w:before="117"/>
        <w:ind w:right="8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上海甄实建筑科技有限公司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上海甄汇信息科技有限公司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上海观岩企业管理咨询合伙企业（有限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总裁助理，内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核部总经理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上海大朴资产管理有限公司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宁波韵升股份有限公司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  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上海兰卫医学检验所股份有限公司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上海禹哲投资管理合伙企业（有限合伙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2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上海东电自动控制有限公司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  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逸和农业科技有限公司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Heading4"/>
        <w:spacing w:line="357" w:lineRule="auto" w:before="144"/>
        <w:ind w:left="634" w:right="0"/>
        <w:jc w:val="left"/>
      </w:pPr>
      <w:r>
        <w:rPr/>
        <w:t>董事、监事、高级管理人员报酬的决策程序： 公司董事、监事报酬由股东大会决定，高级管理人员报酬由董事会决定；在公司承担职</w:t>
      </w:r>
    </w:p>
    <w:p>
      <w:pPr>
        <w:pStyle w:val="Heading4"/>
        <w:spacing w:line="357" w:lineRule="auto"/>
        <w:ind w:right="0"/>
        <w:jc w:val="left"/>
      </w:pPr>
      <w:r>
        <w:rPr/>
        <w:t>务的监事、高级管理人员报酬由公司支付，监事不另外支付津贴。独立董事津贴依据股东大</w:t>
      </w:r>
      <w:r>
        <w:rPr>
          <w:spacing w:val="-83"/>
        </w:rPr>
        <w:t> </w:t>
      </w:r>
      <w:r>
        <w:rPr>
          <w:spacing w:val="-83"/>
        </w:rPr>
      </w:r>
      <w:r>
        <w:rPr/>
        <w:t>会决议支付。</w:t>
      </w:r>
    </w:p>
    <w:p>
      <w:pPr>
        <w:pStyle w:val="Heading4"/>
        <w:spacing w:line="357" w:lineRule="auto"/>
        <w:ind w:left="633" w:right="0"/>
        <w:jc w:val="left"/>
      </w:pPr>
      <w:r>
        <w:rPr/>
        <w:t>董事、监事、高级管理人员报酬确定依据： 依据董事、监事、高级管理人员的分工及履行情况确定。 董事、监事和高级管理人员报酬的实际支付情况： 公司现有董事、监事、高级管理人员共11人，2017年实际支付薪酬如下表，董事、监事</w:t>
      </w:r>
    </w:p>
    <w:p>
      <w:pPr>
        <w:pStyle w:val="Heading4"/>
        <w:spacing w:line="240" w:lineRule="auto"/>
        <w:ind w:right="0"/>
        <w:jc w:val="left"/>
      </w:pPr>
      <w:r>
        <w:rPr/>
        <w:t>和高级管理人员的薪酬均已按规定支付。</w:t>
      </w:r>
    </w:p>
    <w:p>
      <w:pPr>
        <w:spacing w:line="240" w:lineRule="auto" w:before="3"/>
        <w:rPr>
          <w:rFonts w:ascii="宋体" w:hAnsi="宋体" w:cs="宋体" w:eastAsia="宋体" w:hint="default"/>
          <w:sz w:val="9"/>
          <w:szCs w:val="9"/>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陈迪清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范建震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黄益全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李西平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8" w:right="47" w:hanging="36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吴滨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沈雁冰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王辛夷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刘静波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黄青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廖卫平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颜克益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282.19</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7,987</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7,987</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right="0" w:firstLine="480"/>
        <w:jc w:val="left"/>
      </w:pPr>
      <w:r>
        <w:rPr/>
        <w:t>公司在遵守国家相关法律法规的基础上，根据公司战略方向、经营目标和岗位情况，对</w:t>
      </w:r>
      <w:r>
        <w:rPr>
          <w:spacing w:val="1"/>
        </w:rPr>
        <w:t> </w:t>
      </w:r>
      <w:r>
        <w:rPr/>
        <w:t>比同行业公司、参考同地区公司、基于公平、公正和市场化原则，建立了具备市场竞争力的</w:t>
      </w:r>
    </w:p>
    <w:p>
      <w:pPr>
        <w:spacing w:after="0" w:line="357" w:lineRule="auto"/>
        <w:jc w:val="left"/>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148"/>
        <w:jc w:val="both"/>
      </w:pPr>
      <w:r>
        <w:rPr/>
        <w:t>薪酬体系:（1）责任原则：按工作岗位、工作成绩、贡献大小及责权利相结合等因素确定基</w:t>
      </w:r>
      <w:r>
        <w:rPr>
          <w:spacing w:val="-98"/>
        </w:rPr>
        <w:t> </w:t>
      </w:r>
      <w:r>
        <w:rPr>
          <w:spacing w:val="-98"/>
        </w:rPr>
      </w:r>
      <w:r>
        <w:rPr>
          <w:spacing w:val="-3"/>
        </w:rPr>
        <w:t>本工资薪酬标准。（2）绩效原则：薪酬方案与公司经营业绩及经营目标的完成情况挂钩。绩</w:t>
      </w:r>
      <w:r>
        <w:rPr>
          <w:spacing w:val="-82"/>
        </w:rPr>
        <w:t> </w:t>
      </w:r>
      <w:r>
        <w:rPr>
          <w:spacing w:val="-82"/>
        </w:rPr>
      </w:r>
      <w:r>
        <w:rPr/>
        <w:t>效薪酬与个人岗位职责目标完成情况挂钩，与公司经营业绩、工作创新、奖罚、年度绩效考</w:t>
      </w:r>
      <w:r>
        <w:rPr>
          <w:spacing w:val="-83"/>
        </w:rPr>
        <w:t> </w:t>
      </w:r>
      <w:r>
        <w:rPr>
          <w:spacing w:val="-83"/>
        </w:rPr>
      </w:r>
      <w:r>
        <w:rPr>
          <w:spacing w:val="-3"/>
        </w:rPr>
        <w:t>核结果等相结合。（3）竞争原则：注重收入市场化，制定合理的薪资结构比例，保持公司薪</w:t>
      </w:r>
      <w:r>
        <w:rPr>
          <w:spacing w:val="-116"/>
        </w:rPr>
        <w:t> </w:t>
      </w:r>
      <w:r>
        <w:rPr>
          <w:spacing w:val="-116"/>
        </w:rPr>
      </w:r>
      <w:r>
        <w:rPr/>
        <w:t>酬的吸引力以及在市场上的竞争力，有利于公司吸引人才。</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8"/>
          <w:szCs w:val="28"/>
        </w:rPr>
      </w:pPr>
    </w:p>
    <w:p>
      <w:pPr>
        <w:pStyle w:val="Heading4"/>
        <w:spacing w:line="357" w:lineRule="auto" w:before="0"/>
        <w:ind w:right="148" w:firstLine="480"/>
        <w:jc w:val="both"/>
      </w:pPr>
      <w:r>
        <w:rPr/>
        <w:t>公司非常注重员工的培训工作，积极寻求各种培训资源和渠道，建立了较为完善的培训</w:t>
      </w:r>
      <w:r>
        <w:rPr>
          <w:spacing w:val="1"/>
        </w:rPr>
        <w:t> </w:t>
      </w:r>
      <w:r>
        <w:rPr/>
        <w:t>体系。公司每年根据发展需求制定详细的培训计划，有针对性地开展如项目经理培训、新员</w:t>
      </w:r>
      <w:r>
        <w:rPr>
          <w:spacing w:val="-83"/>
        </w:rPr>
        <w:t> </w:t>
      </w:r>
      <w:r>
        <w:rPr>
          <w:spacing w:val="-83"/>
        </w:rPr>
      </w:r>
      <w:r>
        <w:rPr/>
        <w:t>工培训、高级管理人员培训、业务培训等。从而切实有效地加强企业文化建设和提高各类人</w:t>
      </w:r>
      <w:r>
        <w:rPr>
          <w:spacing w:val="-83"/>
        </w:rPr>
        <w:t> </w:t>
      </w:r>
      <w:r>
        <w:rPr>
          <w:spacing w:val="-83"/>
        </w:rPr>
      </w:r>
      <w:r>
        <w:rPr/>
        <w:t>员的专业水平。</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504"/>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10"/>
        <w:rPr>
          <w:rFonts w:ascii="宋体" w:hAnsi="宋体" w:cs="宋体" w:eastAsia="宋体" w:hint="default"/>
          <w:b/>
          <w:bCs/>
          <w:sz w:val="28"/>
          <w:szCs w:val="28"/>
        </w:rPr>
      </w:pPr>
    </w:p>
    <w:p>
      <w:pPr>
        <w:pStyle w:val="Heading4"/>
        <w:spacing w:line="357" w:lineRule="auto" w:before="0"/>
        <w:ind w:left="154" w:right="93" w:firstLine="480"/>
        <w:jc w:val="left"/>
      </w:pPr>
      <w:r>
        <w:rPr/>
        <w:t>报告期内，公司严格按照《公司法》、《证券法》、《深圳证券交易所创业板股票上市</w:t>
      </w:r>
      <w:r>
        <w:rPr>
          <w:spacing w:val="1"/>
        </w:rPr>
        <w:t> </w:t>
      </w:r>
      <w:r>
        <w:rPr>
          <w:spacing w:val="-3"/>
        </w:rPr>
        <w:t>规则》、《深圳证券交易所创业板上市公司规范运作指引》等法律法规及规范性文件的要求，</w:t>
      </w:r>
      <w:r>
        <w:rPr>
          <w:spacing w:val="-80"/>
        </w:rPr>
        <w:t> </w:t>
      </w:r>
      <w:r>
        <w:rPr>
          <w:spacing w:val="-80"/>
        </w:rPr>
      </w:r>
      <w:r>
        <w:rPr/>
        <w:t>不断完善公司法人治理结构，建立健全公司内部管理和控制制度，进一步规范公司运作，努</w:t>
      </w:r>
      <w:r>
        <w:rPr>
          <w:spacing w:val="-83"/>
        </w:rPr>
        <w:t> </w:t>
      </w:r>
      <w:r>
        <w:rPr>
          <w:spacing w:val="-83"/>
        </w:rPr>
      </w:r>
      <w:r>
        <w:rPr/>
        <w:t>力做好信息披露工作及投资者关系管理，持续提高公司治理水平。截止本报告期末，公司治</w:t>
      </w:r>
      <w:r>
        <w:rPr>
          <w:spacing w:val="-83"/>
        </w:rPr>
        <w:t> </w:t>
      </w:r>
      <w:r>
        <w:rPr>
          <w:spacing w:val="-83"/>
        </w:rPr>
      </w:r>
      <w:r>
        <w:rPr/>
        <w:t>理结构的实际情况符合中国证监会发布的有关上市公司治理的规范性文件的要求。</w:t>
      </w:r>
    </w:p>
    <w:p>
      <w:pPr>
        <w:pStyle w:val="Heading4"/>
        <w:spacing w:line="357" w:lineRule="auto"/>
        <w:ind w:left="634" w:right="93"/>
        <w:jc w:val="left"/>
      </w:pPr>
      <w:r>
        <w:rPr/>
        <w:t>（一）关于股东与股东大会 公司严格按照《深圳证券交易所创业板股票上市规则》、《深圳证券交易所创业板上市</w:t>
      </w:r>
    </w:p>
    <w:p>
      <w:pPr>
        <w:pStyle w:val="Heading4"/>
        <w:spacing w:line="357" w:lineRule="auto"/>
        <w:ind w:left="154" w:right="228"/>
        <w:jc w:val="both"/>
      </w:pPr>
      <w:r>
        <w:rPr/>
        <w:t>公司规范运作指引》、《股东大会议事规则》等法规制度的要求，规范地召集、召开股东大</w:t>
      </w:r>
      <w:r>
        <w:rPr>
          <w:spacing w:val="-83"/>
        </w:rPr>
        <w:t> </w:t>
      </w:r>
      <w:r>
        <w:rPr>
          <w:spacing w:val="-83"/>
        </w:rPr>
      </w:r>
      <w:r>
        <w:rPr/>
        <w:t>会，平等对待所有股东，尤其保证中小股东享有同等的地位，为广大股东参与股东大会提供</w:t>
      </w:r>
      <w:r>
        <w:rPr>
          <w:spacing w:val="-83"/>
        </w:rPr>
        <w:t> </w:t>
      </w:r>
      <w:r>
        <w:rPr>
          <w:spacing w:val="-83"/>
        </w:rPr>
      </w:r>
      <w:r>
        <w:rPr/>
        <w:t>便利，使其充分行使自己的权利。</w:t>
      </w:r>
    </w:p>
    <w:p>
      <w:pPr>
        <w:pStyle w:val="Heading4"/>
        <w:spacing w:line="357" w:lineRule="auto"/>
        <w:ind w:left="634" w:right="93"/>
        <w:jc w:val="left"/>
      </w:pPr>
      <w:r>
        <w:rPr/>
        <w:t>（二）关于公司与控股股东 公司控股股东严格按照《公司法》、《证券法》、《深圳证券交易所创业板股票上市规</w:t>
      </w:r>
    </w:p>
    <w:p>
      <w:pPr>
        <w:pStyle w:val="Heading4"/>
        <w:spacing w:line="357" w:lineRule="auto"/>
        <w:ind w:left="154" w:right="228"/>
        <w:jc w:val="both"/>
      </w:pPr>
      <w:r>
        <w:rPr/>
        <w:t>则》等法律法规及规范性文件的要求，履行出资人的权利和义务，未出现超越股东大会直接</w:t>
      </w:r>
      <w:r>
        <w:rPr>
          <w:spacing w:val="-83"/>
        </w:rPr>
        <w:t> </w:t>
      </w:r>
      <w:r>
        <w:rPr>
          <w:spacing w:val="-83"/>
        </w:rPr>
      </w:r>
      <w:r>
        <w:rPr/>
        <w:t>或间接干预公司的决策和经营活动的情况。公司拥有独立完整的业务、人员、资产、财务和</w:t>
      </w:r>
      <w:r>
        <w:rPr>
          <w:spacing w:val="-83"/>
        </w:rPr>
        <w:t> </w:t>
      </w:r>
      <w:r>
        <w:rPr>
          <w:spacing w:val="-83"/>
        </w:rPr>
      </w:r>
      <w:r>
        <w:rPr/>
        <w:t>机构，董事会、监事会和内部审计机构根据其议事规则和公司各项规章制度独立运作。</w:t>
      </w:r>
    </w:p>
    <w:p>
      <w:pPr>
        <w:pStyle w:val="Heading4"/>
        <w:spacing w:line="357" w:lineRule="auto"/>
        <w:ind w:left="634" w:right="93"/>
        <w:jc w:val="left"/>
      </w:pPr>
      <w:r>
        <w:rPr/>
        <w:t>（三）关于董事和董事会 公司严格按照《公司法》、《公司章程》规定的选聘程序选举董事，公司董事会人数和</w:t>
      </w:r>
    </w:p>
    <w:p>
      <w:pPr>
        <w:pStyle w:val="Heading4"/>
        <w:spacing w:line="357" w:lineRule="auto"/>
        <w:ind w:left="154" w:right="228"/>
        <w:jc w:val="both"/>
      </w:pPr>
      <w:r>
        <w:rPr/>
        <w:t>人员构成符合法律、法规的要求，各位董事能够以认真负责的态度出席董事会和股东大会，</w:t>
      </w:r>
      <w:r>
        <w:rPr>
          <w:spacing w:val="-83"/>
        </w:rPr>
        <w:t> </w:t>
      </w:r>
      <w:r>
        <w:rPr>
          <w:spacing w:val="-83"/>
        </w:rPr>
      </w:r>
      <w:r>
        <w:rPr/>
        <w:t>从公司和全体股东的利益出发，忠实履行职责，积极参加有关培训，学习有关法律法规，促</w:t>
      </w:r>
      <w:r>
        <w:rPr>
          <w:spacing w:val="-83"/>
        </w:rPr>
        <w:t> </w:t>
      </w:r>
      <w:r>
        <w:rPr>
          <w:spacing w:val="-83"/>
        </w:rPr>
      </w:r>
      <w:r>
        <w:rPr/>
        <w:t>进董事会规范运作和科学决策。董事会会议程序符合规定，会议记录完整、真实，会议相关</w:t>
      </w:r>
      <w:r>
        <w:rPr>
          <w:spacing w:val="-83"/>
        </w:rPr>
        <w:t> </w:t>
      </w:r>
      <w:r>
        <w:rPr>
          <w:spacing w:val="-83"/>
        </w:rPr>
      </w:r>
      <w:r>
        <w:rPr/>
        <w:t>信息披露及时、准确、充分。</w:t>
      </w:r>
    </w:p>
    <w:p>
      <w:pPr>
        <w:pStyle w:val="Heading4"/>
        <w:spacing w:line="357" w:lineRule="auto"/>
        <w:ind w:left="634" w:right="93"/>
        <w:jc w:val="left"/>
      </w:pPr>
      <w:r>
        <w:rPr/>
        <w:t>（四）关于监事和监事会 公司严格按照《公司法》、《公司章程》规定的选聘程序选举监事，公司监事会人数和</w:t>
      </w:r>
    </w:p>
    <w:p>
      <w:pPr>
        <w:pStyle w:val="Heading4"/>
        <w:spacing w:line="357" w:lineRule="auto"/>
        <w:ind w:left="154" w:right="228"/>
        <w:jc w:val="both"/>
      </w:pPr>
      <w:r>
        <w:rPr/>
        <w:t>人员构成符合法律、法规的要求。各位监事能够认真学习有关法律法规、积极参加相关业务</w:t>
      </w:r>
      <w:r>
        <w:rPr>
          <w:spacing w:val="-83"/>
        </w:rPr>
        <w:t> </w:t>
      </w:r>
      <w:r>
        <w:rPr>
          <w:spacing w:val="-83"/>
        </w:rPr>
      </w:r>
      <w:r>
        <w:rPr/>
        <w:t>培训、认真履行职责，本着对全体股东尤其是中小股东负责的精神，对公司重大事项、关联</w:t>
      </w:r>
    </w:p>
    <w:p>
      <w:pPr>
        <w:spacing w:after="0" w:line="357"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93"/>
        <w:jc w:val="left"/>
      </w:pPr>
      <w:r>
        <w:rPr/>
        <w:t>交易、财务状况以及董事和其他高级管理人员履行职责的合法、合规性进行监督并发表独立</w:t>
      </w:r>
      <w:r>
        <w:rPr>
          <w:spacing w:val="-83"/>
        </w:rPr>
        <w:t> </w:t>
      </w:r>
      <w:r>
        <w:rPr>
          <w:spacing w:val="-83"/>
        </w:rPr>
      </w:r>
      <w:r>
        <w:rPr/>
        <w:t>意见，维护公司及股东的合法权益。</w:t>
      </w:r>
    </w:p>
    <w:p>
      <w:pPr>
        <w:pStyle w:val="Heading4"/>
        <w:spacing w:line="357" w:lineRule="auto"/>
        <w:ind w:left="633" w:right="93"/>
        <w:jc w:val="left"/>
      </w:pPr>
      <w:r>
        <w:rPr/>
        <w:t>（五）关于绩效评价与激励约束机制： 公司建立并逐步完善公正、透明的董事、监事、高级管理人员的绩效评价标准与激励约</w:t>
      </w:r>
    </w:p>
    <w:p>
      <w:pPr>
        <w:pStyle w:val="Heading4"/>
        <w:spacing w:line="240" w:lineRule="auto"/>
        <w:ind w:right="0"/>
        <w:jc w:val="both"/>
      </w:pPr>
      <w:r>
        <w:rPr/>
        <w:t>束机制；高级管理人员的聘任公开、透明，符合相关法律、法规的规定。</w:t>
      </w:r>
    </w:p>
    <w:p>
      <w:pPr>
        <w:pStyle w:val="Heading4"/>
        <w:spacing w:line="357" w:lineRule="auto" w:before="154"/>
        <w:ind w:left="633" w:right="93"/>
        <w:jc w:val="left"/>
      </w:pPr>
      <w:r>
        <w:rPr/>
        <w:t>（六）关于信息披露与透明度： </w:t>
      </w:r>
      <w:r>
        <w:rPr>
          <w:spacing w:val="-3"/>
        </w:rPr>
        <w:t>公司严格按照有关法律法规以及《公司章程》、《深圳证券交易所创业板股票上市规则》</w:t>
      </w:r>
    </w:p>
    <w:p>
      <w:pPr>
        <w:pStyle w:val="Heading4"/>
        <w:spacing w:line="357" w:lineRule="auto"/>
        <w:ind w:right="222"/>
        <w:jc w:val="both"/>
      </w:pPr>
      <w:r>
        <w:rPr/>
        <w:t>等的要求，真实、准确、及时、公平、完整地披露有关信息，指定公司董事会秘书负责信息</w:t>
      </w:r>
      <w:r>
        <w:rPr>
          <w:spacing w:val="-83"/>
        </w:rPr>
        <w:t> </w:t>
      </w:r>
      <w:r>
        <w:rPr>
          <w:spacing w:val="-83"/>
        </w:rPr>
      </w:r>
      <w:r>
        <w:rPr/>
        <w:t>披露工作，协调公司与投资者的关系，接待股东来访，回答投资者咨询，向投资者提供公司</w:t>
      </w:r>
      <w:r>
        <w:rPr>
          <w:spacing w:val="-83"/>
        </w:rPr>
        <w:t> </w:t>
      </w:r>
      <w:r>
        <w:rPr>
          <w:spacing w:val="-83"/>
        </w:rPr>
      </w:r>
      <w:r>
        <w:rPr>
          <w:spacing w:val="7"/>
        </w:rPr>
        <w:t>已披露的资料，并指定《证券时报》、《中国证券报》、《上海证券报》、和巨潮资讯网</w:t>
      </w:r>
      <w:r>
        <w:rPr/>
      </w:r>
    </w:p>
    <w:p>
      <w:pPr>
        <w:pStyle w:val="Heading4"/>
        <w:spacing w:line="357" w:lineRule="auto"/>
        <w:ind w:right="229"/>
        <w:jc w:val="left"/>
      </w:pPr>
      <w:hyperlink r:id="rId12">
        <w:r>
          <w:rPr>
            <w:spacing w:val="-2"/>
          </w:rPr>
          <w:t>（www.cninfo.com.cn</w:t>
        </w:r>
      </w:hyperlink>
      <w:r>
        <w:rPr>
          <w:spacing w:val="-2"/>
        </w:rPr>
        <w:t>）为公司信息披露的指定报纸和网站，确保公司所有股东能够以平等的</w:t>
      </w:r>
      <w:r>
        <w:rPr>
          <w:spacing w:val="-104"/>
        </w:rPr>
        <w:t> </w:t>
      </w:r>
      <w:r>
        <w:rPr>
          <w:spacing w:val="-104"/>
        </w:rPr>
      </w:r>
      <w:r>
        <w:rPr/>
        <w:t>机会获得信息。</w:t>
      </w:r>
    </w:p>
    <w:p>
      <w:pPr>
        <w:pStyle w:val="Heading4"/>
        <w:spacing w:line="357" w:lineRule="auto"/>
        <w:ind w:left="633" w:right="93"/>
        <w:jc w:val="left"/>
      </w:pPr>
      <w:r>
        <w:rPr/>
        <w:t>（七）关于相关利益者 公司充分尊重和维护相关利益者的合法权益，积极与相关利益者合作，加强与各方的沟</w:t>
      </w:r>
    </w:p>
    <w:p>
      <w:pPr>
        <w:pStyle w:val="Heading4"/>
        <w:spacing w:line="240" w:lineRule="auto"/>
        <w:ind w:right="0"/>
        <w:jc w:val="both"/>
      </w:pPr>
      <w:r>
        <w:rPr>
          <w:spacing w:val="-3"/>
        </w:rPr>
        <w:t>通和交流，实现股东、员工、社会等各方利益的协调平衡，共同推动公司持续、健康的发展。</w:t>
      </w:r>
    </w:p>
    <w:p>
      <w:pPr>
        <w:spacing w:line="240" w:lineRule="auto" w:before="0"/>
        <w:rPr>
          <w:rFonts w:ascii="宋体" w:hAnsi="宋体" w:cs="宋体" w:eastAsia="宋体" w:hint="default"/>
          <w:sz w:val="24"/>
          <w:szCs w:val="24"/>
        </w:rPr>
      </w:pPr>
    </w:p>
    <w:p>
      <w:pPr>
        <w:pStyle w:val="BodyText"/>
        <w:spacing w:line="240" w:lineRule="auto" w:before="163"/>
        <w:ind w:right="0"/>
        <w:jc w:val="both"/>
      </w:pPr>
      <w:r>
        <w:rPr/>
        <w:t>公司治理的实际状况与中国证监会发布的有关上市公司治理的规范性文件是否存在重大差异</w:t>
      </w:r>
    </w:p>
    <w:p>
      <w:pPr>
        <w:pStyle w:val="BodyText"/>
        <w:spacing w:line="338" w:lineRule="auto" w:before="117"/>
        <w:ind w:right="2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right="228" w:firstLine="480"/>
        <w:jc w:val="both"/>
      </w:pPr>
      <w:r>
        <w:rPr/>
        <w:t>公司严格按照《公司法》、《证券法》等有关法律、法规和《公司章程》的要求规范运</w:t>
      </w:r>
      <w:r>
        <w:rPr>
          <w:spacing w:val="1"/>
        </w:rPr>
        <w:t> </w:t>
      </w:r>
      <w:r>
        <w:rPr/>
        <w:t>作，与控股股东在业务、人员、资产、机构、财务等方面完全独立，具有独立完整的业务及</w:t>
      </w:r>
      <w:r>
        <w:rPr>
          <w:spacing w:val="-83"/>
        </w:rPr>
        <w:t> </w:t>
      </w:r>
      <w:r>
        <w:rPr>
          <w:spacing w:val="-83"/>
        </w:rPr>
      </w:r>
      <w:r>
        <w:rPr/>
        <w:t>自主经营能力。</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82" w:top="1060" w:bottom="1180" w:left="980" w:right="90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2017-017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2017-046</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2017-056</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3" w:right="7071"/>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right="58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Heading4"/>
        <w:spacing w:line="240" w:lineRule="auto" w:before="71"/>
        <w:ind w:left="634" w:right="93"/>
        <w:jc w:val="left"/>
      </w:pPr>
      <w:r>
        <w:rPr/>
        <w:t>报告期内，公司独立董事严格按照《关于在上市公司建立独立董事制度的指导意见》、</w:t>
      </w:r>
    </w:p>
    <w:p>
      <w:pPr>
        <w:pStyle w:val="Heading4"/>
        <w:spacing w:line="240" w:lineRule="auto" w:before="154"/>
        <w:ind w:right="0"/>
        <w:jc w:val="both"/>
      </w:pPr>
      <w:r>
        <w:rPr/>
        <w:t>《深圳证券交易所创业板上市公司规范运作指引》及其他有关法律、法规和《公司章程》、</w:t>
      </w:r>
    </w:p>
    <w:p>
      <w:pPr>
        <w:pStyle w:val="Heading4"/>
        <w:spacing w:line="357" w:lineRule="auto" w:before="154"/>
        <w:ind w:right="228"/>
        <w:jc w:val="both"/>
      </w:pPr>
      <w:r>
        <w:rPr/>
        <w:t>《独立董事制度》的规定和要求，忠实履行独立董事的职责，充分发挥独立董事的独立性和</w:t>
      </w:r>
      <w:r>
        <w:rPr>
          <w:spacing w:val="-83"/>
        </w:rPr>
        <w:t> </w:t>
      </w:r>
      <w:r>
        <w:rPr>
          <w:spacing w:val="-83"/>
        </w:rPr>
      </w:r>
      <w:r>
        <w:rPr/>
        <w:t>专业性作用，全面关注公司的发展状况，及时了解公司的生产经营信息，切实维护公司和全</w:t>
      </w:r>
      <w:r>
        <w:rPr>
          <w:spacing w:val="-83"/>
        </w:rPr>
        <w:t> </w:t>
      </w:r>
      <w:r>
        <w:rPr>
          <w:spacing w:val="-83"/>
        </w:rPr>
      </w:r>
      <w:r>
        <w:rPr/>
        <w:t>体股东尤其中小股东的合法权益。</w:t>
      </w:r>
    </w:p>
    <w:p>
      <w:pPr>
        <w:pStyle w:val="Heading4"/>
        <w:spacing w:line="357" w:lineRule="auto"/>
        <w:ind w:right="93" w:firstLine="480"/>
        <w:jc w:val="left"/>
      </w:pPr>
      <w:r>
        <w:rPr/>
        <w:t>公司独立董事本着勤勉尽责的原则，对提交董事会的议案和相关材料均认真审议，按照</w:t>
      </w:r>
      <w:r>
        <w:rPr>
          <w:spacing w:val="1"/>
        </w:rPr>
        <w:t> </w:t>
      </w:r>
      <w:r>
        <w:rPr/>
        <w:t>相关要求发表独立意见，同时深入了解公司的经营、管理和内部控制等制度的完善及执行情</w:t>
      </w:r>
      <w:r>
        <w:rPr>
          <w:spacing w:val="-83"/>
        </w:rPr>
        <w:t> </w:t>
      </w:r>
      <w:r>
        <w:rPr>
          <w:spacing w:val="-83"/>
        </w:rPr>
      </w:r>
      <w:r>
        <w:rPr>
          <w:spacing w:val="-3"/>
        </w:rPr>
        <w:t>况、董事会决议执行情况、财务管理、业务发展等相关事项，阅有关资料，与相关人员沟通，</w:t>
      </w:r>
      <w:r>
        <w:rPr>
          <w:spacing w:val="-82"/>
        </w:rPr>
        <w:t> </w:t>
      </w:r>
      <w:r>
        <w:rPr>
          <w:spacing w:val="-82"/>
        </w:rPr>
      </w:r>
      <w:r>
        <w:rPr/>
        <w:t>关注公司的经营、治理情况，为董事会和股东大会的科学决策发挥了积极的作用。</w:t>
      </w:r>
    </w:p>
    <w:p>
      <w:pPr>
        <w:spacing w:line="690" w:lineRule="atLeast" w:before="195"/>
        <w:ind w:left="633" w:right="93" w:hanging="480"/>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为进一步完善公司法人治理结构，促进公司董事会科学、高效决策以及建立对公司管理</w:t>
      </w:r>
    </w:p>
    <w:p>
      <w:pPr>
        <w:pStyle w:val="Heading4"/>
        <w:spacing w:line="357" w:lineRule="auto" w:before="154"/>
        <w:ind w:right="93"/>
        <w:jc w:val="left"/>
      </w:pPr>
      <w:r>
        <w:rPr/>
        <w:t>层绩效评价机制和激励机制，参照《上市公司治理准则》及《公司章程》等有关规定，公司</w:t>
      </w:r>
      <w:r>
        <w:rPr>
          <w:spacing w:val="-83"/>
        </w:rPr>
        <w:t> </w:t>
      </w:r>
      <w:r>
        <w:rPr>
          <w:spacing w:val="-83"/>
        </w:rPr>
      </w:r>
      <w:r>
        <w:rPr>
          <w:spacing w:val="-3"/>
        </w:rPr>
        <w:t>董事会设立审计委员会、薪酬与考核委员会、提名委员会、战略发展委员会四个专门委员会，</w:t>
      </w:r>
      <w:r>
        <w:rPr>
          <w:spacing w:val="-81"/>
        </w:rPr>
        <w:t> </w:t>
      </w:r>
      <w:r>
        <w:rPr>
          <w:spacing w:val="-81"/>
        </w:rPr>
      </w:r>
      <w:r>
        <w:rPr/>
        <w:t>报告期内，各委员会履职情况如下：</w:t>
      </w:r>
    </w:p>
    <w:p>
      <w:pPr>
        <w:pStyle w:val="Heading4"/>
        <w:spacing w:line="357" w:lineRule="auto"/>
        <w:ind w:left="633" w:right="93"/>
        <w:jc w:val="left"/>
      </w:pPr>
      <w:r>
        <w:rPr/>
        <w:t>（一）审计委员会履职情况 报告期内，审计委员会按照《独立董事工作制度》、《董事会审计委员会议事规则》等</w:t>
      </w:r>
    </w:p>
    <w:p>
      <w:pPr>
        <w:pStyle w:val="Heading4"/>
        <w:spacing w:line="357" w:lineRule="auto"/>
        <w:ind w:right="111"/>
        <w:jc w:val="both"/>
      </w:pPr>
      <w:r>
        <w:rPr/>
        <w:t>相关制度的规定，对公司定期报告、内部审计工作报告等进行审议，对内部控制制度的健全</w:t>
      </w:r>
      <w:r>
        <w:rPr>
          <w:spacing w:val="-83"/>
        </w:rPr>
        <w:t> </w:t>
      </w:r>
      <w:r>
        <w:rPr>
          <w:spacing w:val="-83"/>
        </w:rPr>
      </w:r>
      <w:r>
        <w:rPr/>
        <w:t>和执行情况进行监督；在公司定期报告的编制和披露过程中，仔细审阅相关资料，积极了解</w:t>
      </w:r>
      <w:r>
        <w:rPr>
          <w:spacing w:val="-83"/>
        </w:rPr>
        <w:t> </w:t>
      </w:r>
      <w:r>
        <w:rPr>
          <w:spacing w:val="-83"/>
        </w:rPr>
      </w:r>
      <w:r>
        <w:rPr>
          <w:spacing w:val="-2"/>
        </w:rPr>
        <w:t>公司财务情况，认真审阅审计机构出具的审计意见，发挥审计委员会的专业职能和监督作用。</w:t>
      </w:r>
    </w:p>
    <w:p>
      <w:pPr>
        <w:pStyle w:val="Heading4"/>
        <w:spacing w:line="357" w:lineRule="auto"/>
        <w:ind w:left="633" w:right="93"/>
        <w:jc w:val="left"/>
      </w:pPr>
      <w:r>
        <w:rPr/>
        <w:t>（二）薪酬与考核委员会履职情况 报告期内，薪酬与考核委员会对公司薪酬及绩效考核情况进行监督，审查董事、监事及</w:t>
      </w:r>
    </w:p>
    <w:p>
      <w:pPr>
        <w:pStyle w:val="Heading4"/>
        <w:spacing w:line="357" w:lineRule="auto"/>
        <w:ind w:right="229"/>
        <w:jc w:val="both"/>
      </w:pPr>
      <w:r>
        <w:rPr/>
        <w:t>高级管理人员的薪酬情况，对考核和评价标准提出建议，并对公司《2013年激励计划》第三</w:t>
      </w:r>
      <w:r>
        <w:rPr>
          <w:spacing w:val="-96"/>
        </w:rPr>
        <w:t> </w:t>
      </w:r>
      <w:r>
        <w:rPr>
          <w:spacing w:val="-96"/>
        </w:rPr>
      </w:r>
      <w:r>
        <w:rPr/>
        <w:t>期解锁、《2016年激励计划》第一期解锁、《2015年激励计划》第二期解锁和《2014年激励</w:t>
      </w:r>
      <w:r>
        <w:rPr>
          <w:spacing w:val="-116"/>
        </w:rPr>
        <w:t> </w:t>
      </w:r>
      <w:r>
        <w:rPr>
          <w:spacing w:val="-116"/>
        </w:rPr>
      </w:r>
      <w:r>
        <w:rPr/>
        <w:t>计划》第三期解锁条件是否达成情况及激励对象名单进行了核查。</w:t>
      </w:r>
    </w:p>
    <w:p>
      <w:pPr>
        <w:pStyle w:val="Heading4"/>
        <w:spacing w:line="357" w:lineRule="auto"/>
        <w:ind w:left="633" w:right="93"/>
        <w:jc w:val="left"/>
      </w:pPr>
      <w:r>
        <w:rPr/>
        <w:t>（三）提名委员会履职情况 报告期内，公司提名委员会严格按照《董事会提名委员会议事规则》的相关要求，勤勉</w:t>
      </w:r>
    </w:p>
    <w:p>
      <w:pPr>
        <w:spacing w:after="0" w:line="357"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4"/>
        <w:spacing w:line="357" w:lineRule="auto" w:before="26"/>
        <w:ind w:right="228"/>
        <w:jc w:val="both"/>
      </w:pPr>
      <w:r>
        <w:rPr/>
        <w:t>尽责地履行职责，持续研究与关注高级管理人员选拔制度，对公司董事、高管候选人的教育</w:t>
      </w:r>
      <w:r>
        <w:rPr>
          <w:spacing w:val="-83"/>
        </w:rPr>
        <w:t> </w:t>
      </w:r>
      <w:r>
        <w:rPr>
          <w:spacing w:val="-83"/>
        </w:rPr>
      </w:r>
      <w:r>
        <w:rPr/>
        <w:t>背景、职业经历和专业素养等综合情况，进行了充分的调查和了解，对聘任财务总监等相关</w:t>
      </w:r>
      <w:r>
        <w:rPr>
          <w:spacing w:val="-83"/>
        </w:rPr>
        <w:t> </w:t>
      </w:r>
      <w:r>
        <w:rPr>
          <w:spacing w:val="-83"/>
        </w:rPr>
      </w:r>
      <w:r>
        <w:rPr/>
        <w:t>事宜发表了相关审查意见。</w:t>
      </w:r>
    </w:p>
    <w:p>
      <w:pPr>
        <w:pStyle w:val="Heading4"/>
        <w:spacing w:line="357" w:lineRule="auto"/>
        <w:ind w:left="633" w:right="93"/>
        <w:jc w:val="left"/>
      </w:pPr>
      <w:r>
        <w:rPr/>
        <w:t>（四）战略发展委员会履职情况 报告期内，战略发展委员会主要对公司长期发展战略及对外投资情况进行审议，日常工</w:t>
      </w:r>
    </w:p>
    <w:p>
      <w:pPr>
        <w:pStyle w:val="Heading4"/>
        <w:spacing w:line="357" w:lineRule="auto"/>
        <w:ind w:right="228"/>
        <w:jc w:val="both"/>
      </w:pPr>
      <w:r>
        <w:rPr/>
        <w:t>作中，董事会战略发展委员会委员对公司重大投资决策及其他影响公司发展的重大事项进行</w:t>
      </w:r>
      <w:r>
        <w:rPr>
          <w:spacing w:val="-83"/>
        </w:rPr>
        <w:t> </w:t>
      </w:r>
      <w:r>
        <w:rPr>
          <w:spacing w:val="-83"/>
        </w:rPr>
      </w:r>
      <w:r>
        <w:rPr/>
        <w:t>研究，提出相关建议，并与公司管理层保持密切沟通，对促进公司持续、健康发展，提高公</w:t>
      </w:r>
      <w:r>
        <w:rPr>
          <w:spacing w:val="-83"/>
        </w:rPr>
        <w:t> </w:t>
      </w:r>
      <w:r>
        <w:rPr>
          <w:spacing w:val="-83"/>
        </w:rPr>
      </w:r>
      <w:r>
        <w:rPr/>
        <w:t>司战略决策的合理性和科学性起到积极良好的作用。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64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left="154" w:right="92" w:firstLine="480"/>
        <w:jc w:val="left"/>
      </w:pPr>
      <w:r>
        <w:rPr/>
        <w:t>公司建立了高级管理人员的选择、考评、激励与约束机制，最大限度地调动公司高级管</w:t>
      </w:r>
      <w:r>
        <w:rPr>
          <w:spacing w:val="1"/>
        </w:rPr>
        <w:t> </w:t>
      </w:r>
      <w:r>
        <w:rPr>
          <w:spacing w:val="-2"/>
        </w:rPr>
        <w:t>理人员的积极性及创造性。董事会下设的薪酬与考核委员会负责对高级管理人员的工作能力、</w:t>
      </w:r>
      <w:r>
        <w:rPr/>
        <w:t> 履职情况进行年终考评，制定薪酬方案并报董事会审批。报告期内，高级管理人员能够严格</w:t>
      </w:r>
      <w:r>
        <w:rPr>
          <w:spacing w:val="-83"/>
        </w:rPr>
        <w:t> </w:t>
      </w:r>
      <w:r>
        <w:rPr>
          <w:spacing w:val="-83"/>
        </w:rPr>
      </w:r>
      <w:r>
        <w:rPr/>
        <w:t>按照《公司法》、《公司章程》及国家有关法律法规认真履行职责，积极落实公司股东大会</w:t>
      </w:r>
      <w:r>
        <w:rPr>
          <w:spacing w:val="-83"/>
        </w:rPr>
        <w:t> </w:t>
      </w:r>
      <w:r>
        <w:rPr>
          <w:spacing w:val="-83"/>
        </w:rPr>
      </w:r>
      <w:r>
        <w:rPr/>
        <w:t>和董事会相关决议，有效的提升了公司治理水平确保公司各项业务的顺利开展，促进了公司</w:t>
      </w:r>
      <w:r>
        <w:rPr>
          <w:spacing w:val="-83"/>
        </w:rPr>
        <w:t> </w:t>
      </w:r>
      <w:r>
        <w:rPr>
          <w:spacing w:val="-83"/>
        </w:rPr>
      </w:r>
      <w:r>
        <w:rPr/>
        <w:t>业绩稳定持续发展。</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00"/>
        </w:sectPr>
      </w:pPr>
    </w:p>
    <w:p>
      <w:pPr>
        <w:spacing w:line="240" w:lineRule="auto" w:before="0"/>
        <w:rPr>
          <w:rFonts w:ascii="宋体" w:hAnsi="宋体" w:cs="宋体" w:eastAsia="宋体" w:hint="default"/>
          <w:b/>
          <w:bCs/>
          <w:sz w:val="20"/>
          <w:szCs w:val="20"/>
        </w:rPr>
      </w:pPr>
      <w:r>
        <w:rPr/>
        <w:pict>
          <v:shape style="position:absolute;margin-left:56.459999pt;margin-top:71.999962pt;width:479.1pt;height:638.3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37"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2" w:right="2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4"/>
                            <w:sz w:val="18"/>
                            <w:szCs w:val="18"/>
                          </w:rPr>
                          <w:t>定性标准如下：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）重大缺陷的评价标准①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董事、监事和高级管理人员在经营管理活 动中舞弊；②对已经公告的财务报表进行 重大差错更正；③外部审计机构发现当期 财务报表存在重大错报，而内部控制在运 </w:t>
                        </w:r>
                        <w:r>
                          <w:rPr>
                            <w:rFonts w:ascii="宋体" w:hAnsi="宋体" w:cs="宋体" w:eastAsia="宋体" w:hint="default"/>
                            <w:spacing w:val="-4"/>
                            <w:sz w:val="18"/>
                            <w:szCs w:val="18"/>
                          </w:rPr>
                          <w:t>行过程中未能发现该错报。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评价标准①未依照公认的会计准则选择和 应用会计政策；②未建立经营管理活动相 关的反舞弊程序和控制措施；③对于非常 规或特殊交易的账务处理没有建立相应的 控制机制或没有实施且没有相应的补偿性 </w:t>
                        </w:r>
                        <w:r>
                          <w:rPr>
                            <w:rFonts w:ascii="宋体" w:hAnsi="宋体" w:cs="宋体" w:eastAsia="宋体" w:hint="default"/>
                            <w:spacing w:val="-4"/>
                            <w:sz w:val="18"/>
                            <w:szCs w:val="18"/>
                          </w:rPr>
                          <w:t>机制。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）一般缺陷的评价标准不构成重大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缺陷和重要缺陷的内部控制缺陷，认定为 一般缺陷。</w:t>
                        </w:r>
                      </w:p>
                    </w:tc>
                    <w:tc>
                      <w:tcPr>
                        <w:tcW w:w="3050"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 </w:t>
                        </w:r>
                        <w:r>
                          <w:rPr>
                            <w:rFonts w:ascii="宋体" w:hAnsi="宋体" w:cs="宋体" w:eastAsia="宋体" w:hint="default"/>
                            <w:spacing w:val="-4"/>
                            <w:sz w:val="18"/>
                            <w:szCs w:val="18"/>
                          </w:rPr>
                          <w:t>评价标准①公司重要业务事项、环节和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高风险领域缺乏制度控制或制度体系 </w:t>
                        </w:r>
                        <w:r>
                          <w:rPr>
                            <w:rFonts w:ascii="宋体" w:hAnsi="宋体" w:cs="宋体" w:eastAsia="宋体" w:hint="default"/>
                            <w:spacing w:val="-4"/>
                            <w:sz w:val="18"/>
                            <w:szCs w:val="18"/>
                          </w:rPr>
                          <w:t>失效，对公司经营造成重大影响；②公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司经营活动严重违反国家法律法规；③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媒体出现负面新闻，涉及面广且负面影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响一直未能消除；④公司核心管理人员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和高级技术人员流失严重，造成经营活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）重要缺陷的评价 </w:t>
                        </w:r>
                        <w:r>
                          <w:rPr>
                            <w:rFonts w:ascii="宋体" w:hAnsi="宋体" w:cs="宋体" w:eastAsia="宋体" w:hint="default"/>
                            <w:spacing w:val="-4"/>
                            <w:sz w:val="18"/>
                            <w:szCs w:val="18"/>
                          </w:rPr>
                          <w:t>标准①公司重要业务事项、环节和高风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险领域相关的制度控制或系统存在缺 </w:t>
                        </w:r>
                        <w:r>
                          <w:rPr>
                            <w:rFonts w:ascii="宋体" w:hAnsi="宋体" w:cs="宋体" w:eastAsia="宋体" w:hint="default"/>
                            <w:spacing w:val="-4"/>
                            <w:sz w:val="18"/>
                            <w:szCs w:val="18"/>
                          </w:rPr>
                          <w:t>陷，对公司经营造成重要影响；②公司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重大决策、重大事项、重要人事任免事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项及大额资金支付业务决策程序不完 善或不规范，导致公司出现重要损失</w:t>
                        </w:r>
                      </w:p>
                      <w:p>
                        <w:pPr>
                          <w:pStyle w:val="TableParagraph"/>
                          <w:spacing w:line="314" w:lineRule="auto" w:before="20"/>
                          <w:ind w:left="22" w:right="20"/>
                          <w:jc w:val="left"/>
                          <w:rPr>
                            <w:rFonts w:ascii="宋体" w:hAnsi="宋体" w:cs="宋体" w:eastAsia="宋体" w:hint="default"/>
                            <w:sz w:val="18"/>
                            <w:szCs w:val="18"/>
                          </w:rPr>
                        </w:pPr>
                        <w:r>
                          <w:rPr>
                            <w:rFonts w:ascii="宋体" w:hAnsi="宋体" w:cs="宋体" w:eastAsia="宋体" w:hint="default"/>
                            <w:spacing w:val="-4"/>
                            <w:sz w:val="18"/>
                            <w:szCs w:val="18"/>
                          </w:rPr>
                          <w:t>③公司违犯国家法律、法规或规范性文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件，受到除责令停产停业、暂扣或吊销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许可证及执照以外的行政处罚；④公司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缺陷的评价标准不构成重大缺陷和重 </w:t>
                        </w:r>
                        <w:r>
                          <w:rPr>
                            <w:rFonts w:ascii="宋体" w:hAnsi="宋体" w:cs="宋体" w:eastAsia="宋体" w:hint="default"/>
                            <w:spacing w:val="-4"/>
                            <w:sz w:val="18"/>
                            <w:szCs w:val="18"/>
                          </w:rPr>
                          <w:t>要缺陷的内部控制缺陷，认定为一般缺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3D3D3"/>
                          <w:right w:val="single" w:sz="4" w:space="0" w:color="000000"/>
                        </w:tcBorders>
                      </w:tcPr>
                      <w:p>
                        <w:pPr/>
                      </w:p>
                    </w:tc>
                    <w:tc>
                      <w:tcPr>
                        <w:tcW w:w="3050" w:type="dxa"/>
                        <w:vMerge/>
                        <w:tcBorders>
                          <w:left w:val="single" w:sz="4" w:space="0" w:color="000000"/>
                          <w:right w:val="single" w:sz="4" w:space="0" w:color="000000"/>
                        </w:tcBorders>
                      </w:tcPr>
                      <w:p>
                        <w:pPr/>
                      </w:p>
                    </w:tc>
                  </w:tr>
                  <w:tr>
                    <w:trPr>
                      <w:trHeight w:val="3437"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9" w:space="0" w:color="D3D3D3"/>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629"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9" w:space="0" w:color="D3D3D3"/>
                          <w:right w:val="single" w:sz="9" w:space="0" w:color="FFFFFF"/>
                        </w:tcBorders>
                      </w:tcPr>
                      <w:p>
                        <w:pPr>
                          <w:pStyle w:val="TableParagraph"/>
                          <w:spacing w:line="309"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以本年度财务报表数据为基准，确定公司 财务报表错报（包括漏报）重要程度的定 </w:t>
                        </w:r>
                        <w:r>
                          <w:rPr>
                            <w:rFonts w:ascii="宋体" w:hAnsi="宋体" w:cs="宋体" w:eastAsia="宋体" w:hint="default"/>
                            <w:spacing w:val="-11"/>
                            <w:sz w:val="18"/>
                            <w:szCs w:val="18"/>
                          </w:rPr>
                          <w:t>量标准：重大缺陷：错报</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营业利润的</w:t>
                        </w:r>
                        <w:r>
                          <w:rPr>
                            <w:rFonts w:ascii="宋体" w:hAnsi="宋体" w:cs="宋体" w:eastAsia="宋体" w:hint="default"/>
                            <w:spacing w:val="-47"/>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重要缺陷：营业利润的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营业利</w:t>
                        </w:r>
                        <w:r>
                          <w:rPr>
                            <w:rFonts w:ascii="宋体" w:hAnsi="宋体" w:cs="宋体" w:eastAsia="宋体" w:hint="default"/>
                            <w:spacing w:val="-86"/>
                            <w:sz w:val="18"/>
                            <w:szCs w:val="18"/>
                          </w:rPr>
                          <w:t> </w:t>
                        </w:r>
                        <w:r>
                          <w:rPr>
                            <w:rFonts w:ascii="宋体" w:hAnsi="宋体" w:cs="宋体" w:eastAsia="宋体" w:hint="default"/>
                            <w:sz w:val="18"/>
                            <w:szCs w:val="18"/>
                          </w:rPr>
                          <w:t>润的</w:t>
                        </w:r>
                        <w:r>
                          <w:rPr>
                            <w:rFonts w:ascii="宋体" w:hAnsi="宋体" w:cs="宋体" w:eastAsia="宋体" w:hint="default"/>
                            <w:spacing w:val="-47"/>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；一般缺陷：错报</w:t>
                        </w:r>
                        <w:r>
                          <w:rPr>
                            <w:rFonts w:ascii="Times New Roman" w:hAnsi="Times New Roman" w:cs="Times New Roman" w:eastAsia="Times New Roman" w:hint="default"/>
                            <w:spacing w:val="-12"/>
                            <w:sz w:val="18"/>
                            <w:szCs w:val="18"/>
                          </w:rPr>
                          <w:t>&lt;</w:t>
                        </w:r>
                        <w:r>
                          <w:rPr>
                            <w:rFonts w:ascii="宋体" w:hAnsi="宋体" w:cs="宋体" w:eastAsia="宋体" w:hint="default"/>
                            <w:spacing w:val="-12"/>
                            <w:sz w:val="18"/>
                            <w:szCs w:val="18"/>
                          </w:rPr>
                          <w:t>营业利润的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305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6" w:right="79"/>
                          <w:jc w:val="both"/>
                          <w:rPr>
                            <w:rFonts w:ascii="宋体" w:hAnsi="宋体" w:cs="宋体" w:eastAsia="宋体" w:hint="default"/>
                            <w:sz w:val="18"/>
                            <w:szCs w:val="18"/>
                          </w:rPr>
                        </w:pPr>
                        <w:r>
                          <w:rPr>
                            <w:rFonts w:ascii="宋体" w:hAnsi="宋体" w:cs="宋体" w:eastAsia="宋体" w:hint="default"/>
                            <w:sz w:val="18"/>
                            <w:szCs w:val="18"/>
                          </w:rPr>
                          <w:t>重大缺陷：损失金额达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万或以上 的；重要缺陷：</w:t>
                        </w:r>
                        <w:r>
                          <w:rPr>
                            <w:rFonts w:ascii="Times New Roman" w:hAnsi="Times New Roman" w:cs="Times New Roman" w:eastAsia="Times New Roman" w:hint="default"/>
                            <w:sz w:val="18"/>
                            <w:szCs w:val="18"/>
                          </w:rPr>
                          <w:t>5 </w:t>
                        </w:r>
                        <w:r>
                          <w:rPr>
                            <w:rFonts w:ascii="宋体" w:hAnsi="宋体" w:cs="宋体" w:eastAsia="宋体" w:hint="default"/>
                            <w:sz w:val="18"/>
                            <w:szCs w:val="18"/>
                          </w:rPr>
                          <w:t>万≦损失金额</w:t>
                        </w:r>
                        <w:r>
                          <w:rPr>
                            <w:rFonts w:ascii="Times New Roman" w:hAnsi="Times New Roman" w:cs="Times New Roman" w:eastAsia="Times New Roman" w:hint="default"/>
                            <w:sz w:val="18"/>
                            <w:szCs w:val="18"/>
                          </w:rPr>
                          <w:t>&lt;100 </w:t>
                        </w:r>
                        <w:r>
                          <w:rPr>
                            <w:rFonts w:ascii="宋体" w:hAnsi="宋体" w:cs="宋体" w:eastAsia="宋体" w:hint="default"/>
                            <w:sz w:val="18"/>
                            <w:szCs w:val="18"/>
                          </w:rPr>
                          <w:t>万的；一般缺陷：损失金额</w:t>
                        </w:r>
                        <w:r>
                          <w:rPr>
                            <w:rFonts w:ascii="Times New Roman" w:hAnsi="Times New Roman" w:cs="Times New Roman" w:eastAsia="Times New Roman" w:hint="default"/>
                            <w:sz w:val="18"/>
                            <w:szCs w:val="18"/>
                          </w:rPr>
                          <w:t>&lt;5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w:t>
                        </w:r>
                      </w:p>
                      <w:p>
                        <w:pPr>
                          <w:pStyle w:val="TableParagraph"/>
                          <w:spacing w:line="240" w:lineRule="auto" w:before="13"/>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3D3D3"/>
                          <w:right w:val="single" w:sz="9" w:space="0" w:color="FFFFFF"/>
                        </w:tcBorders>
                      </w:tcPr>
                      <w:p>
                        <w:pPr/>
                      </w:p>
                    </w:tc>
                    <w:tc>
                      <w:tcPr>
                        <w:tcW w:w="3050" w:type="dxa"/>
                        <w:vMerge/>
                        <w:tcBorders>
                          <w:left w:val="single" w:sz="9" w:space="0" w:color="FFFFFF"/>
                          <w:right w:val="single" w:sz="4" w:space="0" w:color="000000"/>
                        </w:tcBorders>
                      </w:tcPr>
                      <w:p>
                        <w:pPr/>
                      </w:p>
                    </w:tc>
                  </w:tr>
                  <w:tr>
                    <w:trPr>
                      <w:trHeight w:val="629"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9" w:space="0" w:color="D3D3D3"/>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8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12" w:lineRule="exact"/>
        <w:ind w:left="669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5,312,299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26"/>
          <w:szCs w:val="26"/>
        </w:rPr>
      </w:pPr>
    </w:p>
    <w:p>
      <w:pPr>
        <w:spacing w:line="312" w:lineRule="exact"/>
        <w:ind w:left="667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2.050pt;height:15.6pt;mso-position-horizontal-relative:char;mso-position-vertical-relative:line" coordorigin="0,0" coordsize="3041,312">
            <v:group style="position:absolute;left:0;top:0;width:3041;height:312" coordorigin="0,0" coordsize="3041,312">
              <v:shape style="position:absolute;left:0;top:0;width:3041;height:312" coordorigin="0,0" coordsize="3041,312" path="m0,312l3041,312,304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ZA12748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陈竑（项目合伙人</w:t>
            </w:r>
            <w:r>
              <w:rPr>
                <w:rFonts w:ascii="宋体" w:hAnsi="宋体" w:cs="宋体" w:eastAsia="宋体" w:hint="default"/>
                <w:spacing w:val="-90"/>
                <w:sz w:val="18"/>
                <w:szCs w:val="18"/>
              </w:rPr>
              <w:t>）</w:t>
            </w:r>
            <w:r>
              <w:rPr>
                <w:rFonts w:ascii="宋体" w:hAnsi="宋体" w:cs="宋体" w:eastAsia="宋体" w:hint="default"/>
                <w:sz w:val="18"/>
                <w:szCs w:val="18"/>
              </w:rPr>
              <w:t>、何剑</w:t>
            </w:r>
          </w:p>
        </w:tc>
      </w:tr>
    </w:tbl>
    <w:p>
      <w:pPr>
        <w:pStyle w:val="BodyText"/>
        <w:spacing w:line="240" w:lineRule="auto" w:before="51"/>
        <w:ind w:left="2422" w:right="2420"/>
        <w:jc w:val="center"/>
      </w:pPr>
      <w:r>
        <w:rPr/>
        <w:t>审计报告正文</w:t>
      </w:r>
    </w:p>
    <w:p>
      <w:pPr>
        <w:spacing w:before="125"/>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7" w:footer="982" w:top="1060" w:bottom="1180" w:left="980" w:right="980"/>
        </w:sectPr>
      </w:pPr>
    </w:p>
    <w:p>
      <w:pPr>
        <w:spacing w:line="240" w:lineRule="auto" w:before="2"/>
        <w:rPr>
          <w:rFonts w:ascii="宋体" w:hAnsi="宋体" w:cs="宋体" w:eastAsia="宋体" w:hint="default"/>
          <w:b/>
          <w:bCs/>
          <w:sz w:val="34"/>
          <w:szCs w:val="34"/>
        </w:rPr>
      </w:pPr>
    </w:p>
    <w:p>
      <w:pPr>
        <w:pStyle w:val="Heading2"/>
        <w:spacing w:line="240" w:lineRule="auto"/>
        <w:ind w:right="0"/>
        <w:jc w:val="left"/>
        <w:rPr>
          <w:b w:val="0"/>
          <w:bCs w:val="0"/>
        </w:rPr>
      </w:pPr>
      <w:r>
        <w:rPr>
          <w:w w:val="95"/>
        </w:rPr>
        <w:t>上海汉得信息技术股份有限公司全体股东：</w:t>
      </w:r>
      <w:r>
        <w:rPr>
          <w:b w:val="0"/>
          <w:bCs w:val="0"/>
        </w:rPr>
      </w:r>
    </w:p>
    <w:p>
      <w:pPr>
        <w:pStyle w:val="Heading6"/>
        <w:spacing w:line="240" w:lineRule="auto"/>
        <w:ind w:left="153" w:right="0"/>
        <w:jc w:val="left"/>
      </w:pPr>
      <w:r>
        <w:rPr/>
        <w:br w:type="column"/>
      </w: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ZA12748</w:t>
      </w:r>
      <w:r>
        <w:rPr/>
        <w:t>号</w:t>
      </w:r>
    </w:p>
    <w:p>
      <w:pPr>
        <w:spacing w:after="0" w:line="240" w:lineRule="auto"/>
        <w:jc w:val="left"/>
        <w:sectPr>
          <w:type w:val="continuous"/>
          <w:pgSz w:w="11910" w:h="16840"/>
          <w:pgMar w:top="1060" w:bottom="1180" w:left="980" w:right="980"/>
          <w:cols w:num="2" w:equalWidth="0">
            <w:col w:w="5495" w:space="1308"/>
            <w:col w:w="314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right="0"/>
        <w:jc w:val="both"/>
        <w:rPr>
          <w:b w:val="0"/>
          <w:bCs w:val="0"/>
        </w:rPr>
      </w:pPr>
      <w:r>
        <w:rPr/>
        <w:t>一、对财务报表出具的审计报告</w:t>
      </w:r>
      <w:r>
        <w:rPr>
          <w:b w:val="0"/>
          <w:bCs w:val="0"/>
        </w:rPr>
      </w:r>
    </w:p>
    <w:p>
      <w:pPr>
        <w:pStyle w:val="Heading4"/>
        <w:spacing w:line="357" w:lineRule="auto" w:before="154"/>
        <w:ind w:left="721" w:right="0" w:hanging="148"/>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spacing w:val="1"/>
          <w:w w:val="99"/>
        </w:rPr>
        <w:t> </w:t>
      </w:r>
      <w:r>
        <w:rPr>
          <w:spacing w:val="-2"/>
        </w:rPr>
        <w:t>我们审计了上海汉得信息技术股份有限公司（以下简称汉得信息）财务报表，包括</w:t>
      </w:r>
      <w:r>
        <w:rPr>
          <w:rFonts w:ascii="Times New Roman" w:hAnsi="Times New Roman" w:cs="Times New Roman" w:eastAsia="Times New Roman" w:hint="default"/>
          <w:spacing w:val="-2"/>
        </w:rPr>
        <w:t>2017</w:t>
      </w:r>
    </w:p>
    <w:p>
      <w:pPr>
        <w:pStyle w:val="Heading4"/>
        <w:spacing w:line="338" w:lineRule="auto" w:before="5"/>
        <w:ind w:left="154" w:right="188"/>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年度的合并及母公司利润表、合并及母公司现 金流量表、合并及母公司股东权益变动表以及相关财务报表附注。</w:t>
      </w:r>
    </w:p>
    <w:p>
      <w:pPr>
        <w:pStyle w:val="Heading4"/>
        <w:spacing w:line="348" w:lineRule="auto" w:before="55"/>
        <w:ind w:left="154" w:right="148" w:firstLine="567"/>
        <w:jc w:val="both"/>
      </w:pPr>
      <w:r>
        <w:rPr>
          <w:spacing w:val="-2"/>
        </w:rPr>
        <w:t>我们认为，后附的财务报表在所有重大方面按照企业会计准则的规定编制，公允反映了</w:t>
      </w:r>
      <w:r>
        <w:rPr/>
        <w:t> 汉得信息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 现金流量。</w:t>
      </w:r>
    </w:p>
    <w:p>
      <w:pPr>
        <w:spacing w:line="357" w:lineRule="auto" w:before="46"/>
        <w:ind w:left="721" w:right="216" w:hanging="148"/>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spacing w:val="1"/>
          <w:w w:val="99"/>
          <w:sz w:val="24"/>
          <w:szCs w:val="24"/>
        </w:rPr>
        <w:t> </w:t>
      </w:r>
      <w:r>
        <w:rPr>
          <w:rFonts w:ascii="宋体" w:hAnsi="宋体" w:cs="宋体" w:eastAsia="宋体" w:hint="default"/>
          <w:sz w:val="24"/>
          <w:szCs w:val="24"/>
        </w:rPr>
        <w:t>我们按照中国注册会计师审计准则的规定执行了审计工作。审计报告的</w:t>
      </w:r>
      <w:r>
        <w:rPr>
          <w:rFonts w:ascii="Times New Roman" w:hAnsi="Times New Roman" w:cs="Times New Roman" w:eastAsia="Times New Roman" w:hint="default"/>
          <w:sz w:val="24"/>
          <w:szCs w:val="24"/>
        </w:rPr>
        <w:t>“</w:t>
      </w:r>
      <w:r>
        <w:rPr>
          <w:rFonts w:ascii="宋体" w:hAnsi="宋体" w:cs="宋体" w:eastAsia="宋体" w:hint="default"/>
          <w:sz w:val="24"/>
          <w:szCs w:val="24"/>
        </w:rPr>
        <w:t>注册会计师对</w:t>
      </w:r>
    </w:p>
    <w:p>
      <w:pPr>
        <w:pStyle w:val="Heading4"/>
        <w:spacing w:line="348" w:lineRule="auto" w:before="5"/>
        <w:ind w:right="151"/>
        <w:jc w:val="both"/>
      </w:pPr>
      <w:r>
        <w:rPr>
          <w:spacing w:val="-2"/>
        </w:rPr>
        <w:t>财务报表审计的责任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w:t>
      </w:r>
      <w:r>
        <w:rPr>
          <w:spacing w:val="-107"/>
        </w:rPr>
        <w:t> </w:t>
      </w:r>
      <w:r>
        <w:rPr>
          <w:spacing w:val="-107"/>
        </w:rPr>
      </w:r>
      <w:r>
        <w:rPr/>
        <w:t>道德守则，我们独立于汉得信息，并履行了职业道德方面的其他责任。我们相信，我们获取 的审计证据是充分、适当的，为发表审计意见提供了基础。</w:t>
      </w:r>
    </w:p>
    <w:p>
      <w:pPr>
        <w:spacing w:after="0" w:line="348" w:lineRule="auto"/>
        <w:jc w:val="both"/>
        <w:sectPr>
          <w:type w:val="continuous"/>
          <w:pgSz w:w="11910" w:h="16840"/>
          <w:pgMar w:top="1060" w:bottom="1180" w:left="980" w:right="980"/>
        </w:sectPr>
      </w:pPr>
    </w:p>
    <w:p>
      <w:pPr>
        <w:spacing w:line="240" w:lineRule="auto" w:before="7"/>
        <w:rPr>
          <w:rFonts w:ascii="宋体" w:hAnsi="宋体" w:cs="宋体" w:eastAsia="宋体" w:hint="default"/>
          <w:sz w:val="29"/>
          <w:szCs w:val="29"/>
        </w:rPr>
      </w:pPr>
    </w:p>
    <w:p>
      <w:pPr>
        <w:spacing w:line="357" w:lineRule="auto" w:before="26"/>
        <w:ind w:left="721" w:right="91" w:hanging="160"/>
        <w:jc w:val="left"/>
        <w:rPr>
          <w:rFonts w:ascii="宋体" w:hAnsi="宋体" w:cs="宋体" w:eastAsia="宋体" w:hint="default"/>
          <w:sz w:val="24"/>
          <w:szCs w:val="24"/>
        </w:rPr>
      </w:pPr>
      <w:r>
        <w:rPr>
          <w:rFonts w:ascii="宋体" w:hAnsi="宋体" w:cs="宋体" w:eastAsia="宋体" w:hint="default"/>
          <w:b/>
          <w:bCs/>
          <w:sz w:val="24"/>
          <w:szCs w:val="24"/>
        </w:rPr>
        <w:t>（三）关键审计事项</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关键审计事项是我们根据职业判断，认为对本期财务报表审计最为重要的事项。这些事</w:t>
      </w:r>
    </w:p>
    <w:p>
      <w:pPr>
        <w:pStyle w:val="Heading4"/>
        <w:spacing w:line="357" w:lineRule="auto"/>
        <w:ind w:right="191"/>
        <w:jc w:val="left"/>
      </w:pPr>
      <w:r>
        <w:rPr/>
        <w:t>项的应对以对财务报表整体进行审计并形成审计意见为背景，我们不对这些事项单独发表意 见。我们确定下列事项是需要在审计报告中沟通的关键审计事项。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6"/>
        <w:spacing w:line="240" w:lineRule="auto"/>
        <w:ind w:right="99"/>
        <w:jc w:val="right"/>
      </w:pPr>
      <w:r>
        <w:rPr/>
        <w:pict>
          <v:shape style="position:absolute;margin-left:55.860001pt;margin-top:-501.028992pt;width:484pt;height:594.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9"/>
                    <w:gridCol w:w="4778"/>
                  </w:tblGrid>
                  <w:tr>
                    <w:trPr>
                      <w:trHeight w:val="503" w:hRule="exact"/>
                    </w:trPr>
                    <w:tc>
                      <w:tcPr>
                        <w:tcW w:w="4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1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503"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b/>
                            <w:bCs/>
                            <w:sz w:val="21"/>
                            <w:szCs w:val="21"/>
                          </w:rPr>
                          <w:t>（一）营业收入的确认</w:t>
                        </w:r>
                        <w:r>
                          <w:rPr>
                            <w:rFonts w:ascii="宋体" w:hAnsi="宋体" w:cs="宋体" w:eastAsia="宋体" w:hint="default"/>
                            <w:sz w:val="21"/>
                            <w:szCs w:val="21"/>
                          </w:rPr>
                        </w:r>
                      </w:p>
                    </w:tc>
                  </w:tr>
                  <w:tr>
                    <w:trPr>
                      <w:trHeight w:val="485" w:hRule="exact"/>
                    </w:trPr>
                    <w:tc>
                      <w:tcPr>
                        <w:tcW w:w="48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根据汉得信息财务报表附注五（三十四）和附注十六</w:t>
                        </w:r>
                      </w:p>
                    </w:tc>
                    <w:tc>
                      <w:tcPr>
                        <w:tcW w:w="47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pacing w:val="-4"/>
                            <w:sz w:val="21"/>
                            <w:szCs w:val="21"/>
                          </w:rPr>
                          <w:t>针对贵公司软件实施收入的确认，我们实施的审计程</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（四）所示，汉得信息</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年度主营业务收入</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序主要包括：</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232,135.29</w:t>
                        </w:r>
                        <w:r>
                          <w:rPr>
                            <w:rFonts w:ascii="宋体" w:hAnsi="宋体" w:cs="宋体" w:eastAsia="宋体" w:hint="default"/>
                            <w:spacing w:val="-3"/>
                            <w:sz w:val="21"/>
                            <w:szCs w:val="21"/>
                          </w:rPr>
                          <w:t>万元，包括软硬件销售、软件实施、客户支</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）了解和评价与收入确认相关的关键内部控制的</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持和软件外包等收入，相关收入确认时点详见</w:t>
                        </w:r>
                        <w:r>
                          <w:rPr>
                            <w:rFonts w:ascii="Times New Roman" w:hAnsi="Times New Roman" w:cs="Times New Roman" w:eastAsia="Times New Roman" w:hint="default"/>
                            <w:sz w:val="21"/>
                            <w:szCs w:val="21"/>
                          </w:rPr>
                          <w:t>“</w:t>
                        </w:r>
                        <w:r>
                          <w:rPr>
                            <w:rFonts w:ascii="宋体" w:hAnsi="宋体" w:cs="宋体" w:eastAsia="宋体" w:hint="default"/>
                            <w:sz w:val="21"/>
                            <w:szCs w:val="21"/>
                          </w:rPr>
                          <w:t>附注</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4"/>
                            <w:sz w:val="21"/>
                            <w:szCs w:val="21"/>
                          </w:rPr>
                          <w:t>设计和运行有效性，评价管理层选用完工百分比确认</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3"/>
                            <w:sz w:val="21"/>
                            <w:szCs w:val="21"/>
                          </w:rPr>
                          <w:t>三、（二十二）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。其中软件实施收入按完工百分比确</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收入的恰当性以及是否符合企业会计准则的相关规</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认，占主营业务收入的比重为</w:t>
                        </w:r>
                        <w:r>
                          <w:rPr>
                            <w:rFonts w:ascii="Times New Roman" w:hAnsi="Times New Roman" w:cs="Times New Roman" w:eastAsia="Times New Roman" w:hint="default"/>
                            <w:sz w:val="21"/>
                            <w:szCs w:val="21"/>
                          </w:rPr>
                          <w:t>66.88%</w:t>
                        </w:r>
                        <w:r>
                          <w:rPr>
                            <w:rFonts w:ascii="宋体" w:hAnsi="宋体" w:cs="宋体" w:eastAsia="宋体" w:hint="default"/>
                            <w:sz w:val="21"/>
                            <w:szCs w:val="21"/>
                          </w:rPr>
                          <w:t>，软件实施收入</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定；</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的确认是否适当对经营成果存在很大影响，需要管理</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）对销售收入及毛利率波动执行分析性程序，结</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层做出判断，因此我们将收入的确认作为关键审计事</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合不同业务大类收入占比及不同销售项目收入的确</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项。</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认分析毛利率变动的合理性；</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）选取销售样本，复核销售合同金额、项目分阶</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4"/>
                            <w:sz w:val="21"/>
                            <w:szCs w:val="21"/>
                          </w:rPr>
                          <w:t>段预算工时、实际工时记录、项目各阶段的进度验收</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pacing w:val="-4"/>
                            <w:sz w:val="21"/>
                            <w:szCs w:val="21"/>
                          </w:rPr>
                          <w:t>单等相关资料，并重新测算完工百分比，复核收入确</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认准确性；</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）结合应收账款函证程序，判断客户对已完工作</w:t>
                        </w:r>
                      </w:p>
                    </w:tc>
                  </w:tr>
                  <w:tr>
                    <w:trPr>
                      <w:trHeight w:val="480" w:hRule="exact"/>
                    </w:trPr>
                    <w:tc>
                      <w:tcPr>
                        <w:tcW w:w="4879" w:type="dxa"/>
                        <w:tcBorders>
                          <w:top w:val="nil" w:sz="6" w:space="0" w:color="auto"/>
                          <w:left w:val="single" w:sz="6" w:space="0" w:color="000000"/>
                          <w:bottom w:val="single" w:sz="6" w:space="0" w:color="000000"/>
                          <w:right w:val="single" w:sz="6" w:space="0" w:color="000000"/>
                        </w:tcBorders>
                      </w:tcPr>
                      <w:p>
                        <w:pPr/>
                      </w:p>
                    </w:tc>
                    <w:tc>
                      <w:tcPr>
                        <w:tcW w:w="47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的认可情况。</w:t>
                        </w:r>
                      </w:p>
                    </w:tc>
                  </w:tr>
                  <w:tr>
                    <w:trPr>
                      <w:trHeight w:val="504"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b/>
                            <w:bCs/>
                            <w:sz w:val="21"/>
                            <w:szCs w:val="21"/>
                          </w:rPr>
                          <w:t>（二）应收账款坏账准备的计提</w:t>
                        </w:r>
                        <w:r>
                          <w:rPr>
                            <w:rFonts w:ascii="宋体" w:hAnsi="宋体" w:cs="宋体" w:eastAsia="宋体" w:hint="default"/>
                            <w:sz w:val="21"/>
                            <w:szCs w:val="21"/>
                          </w:rPr>
                        </w:r>
                      </w:p>
                    </w:tc>
                  </w:tr>
                  <w:tr>
                    <w:trPr>
                      <w:trHeight w:val="484" w:hRule="exact"/>
                    </w:trPr>
                    <w:tc>
                      <w:tcPr>
                        <w:tcW w:w="48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请参阅财务报表附注三、（十）和附注五、（三）相</w:t>
                        </w:r>
                      </w:p>
                    </w:tc>
                    <w:tc>
                      <w:tcPr>
                        <w:tcW w:w="47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pacing w:val="-4"/>
                            <w:sz w:val="21"/>
                            <w:szCs w:val="21"/>
                          </w:rPr>
                          <w:t>针对汉得信息应收账款坏账准备的确认，我们实施的</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关披露，截至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日汉得信息应收账款期末</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审计程序主要包括：</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3"/>
                            <w:sz w:val="21"/>
                            <w:szCs w:val="21"/>
                          </w:rPr>
                          <w:t>余额</w:t>
                        </w:r>
                        <w:r>
                          <w:rPr>
                            <w:rFonts w:ascii="Times New Roman" w:hAnsi="Times New Roman" w:cs="Times New Roman" w:eastAsia="Times New Roman" w:hint="default"/>
                            <w:spacing w:val="-3"/>
                            <w:sz w:val="21"/>
                            <w:szCs w:val="21"/>
                          </w:rPr>
                          <w:t>170,002.01</w:t>
                        </w:r>
                        <w:r>
                          <w:rPr>
                            <w:rFonts w:ascii="宋体" w:hAnsi="宋体" w:cs="宋体" w:eastAsia="宋体" w:hint="default"/>
                            <w:spacing w:val="-3"/>
                            <w:sz w:val="21"/>
                            <w:szCs w:val="21"/>
                          </w:rPr>
                          <w:t>万元，其中按账龄计提坏账准备的应收</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）了解与应收账款管理的相关内部控制流程，包</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3"/>
                            <w:sz w:val="21"/>
                            <w:szCs w:val="21"/>
                          </w:rPr>
                          <w:t>款项余额</w:t>
                        </w:r>
                        <w:r>
                          <w:rPr>
                            <w:rFonts w:ascii="Times New Roman" w:hAnsi="Times New Roman" w:cs="Times New Roman" w:eastAsia="Times New Roman" w:hint="default"/>
                            <w:spacing w:val="-3"/>
                            <w:sz w:val="21"/>
                            <w:szCs w:val="21"/>
                          </w:rPr>
                          <w:t>140,270.02</w:t>
                        </w:r>
                        <w:r>
                          <w:rPr>
                            <w:rFonts w:ascii="宋体" w:hAnsi="宋体" w:cs="宋体" w:eastAsia="宋体" w:hint="default"/>
                            <w:spacing w:val="-3"/>
                            <w:sz w:val="21"/>
                            <w:szCs w:val="21"/>
                          </w:rPr>
                          <w:t>万元，计提了</w:t>
                        </w:r>
                        <w:r>
                          <w:rPr>
                            <w:rFonts w:ascii="Times New Roman" w:hAnsi="Times New Roman" w:cs="Times New Roman" w:eastAsia="Times New Roman" w:hint="default"/>
                            <w:spacing w:val="-3"/>
                            <w:sz w:val="21"/>
                            <w:szCs w:val="21"/>
                          </w:rPr>
                          <w:t>28,095.66</w:t>
                        </w:r>
                        <w:r>
                          <w:rPr>
                            <w:rFonts w:ascii="宋体" w:hAnsi="宋体" w:cs="宋体" w:eastAsia="宋体" w:hint="default"/>
                            <w:spacing w:val="-3"/>
                            <w:sz w:val="21"/>
                            <w:szCs w:val="21"/>
                          </w:rPr>
                          <w:t>万元坏账准</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括公司制定的有关商业保理风险管理内部控制制度</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备；按账龄计提坏账准备的应收保理款余额为</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4"/>
                            <w:sz w:val="21"/>
                            <w:szCs w:val="21"/>
                          </w:rPr>
                          <w:t>评估并测试其设计和运行的有效性，包括关注了保理</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29,731.99</w:t>
                        </w:r>
                        <w:r>
                          <w:rPr>
                            <w:rFonts w:ascii="宋体" w:hAnsi="宋体" w:cs="宋体" w:eastAsia="宋体" w:hint="default"/>
                            <w:sz w:val="21"/>
                            <w:szCs w:val="21"/>
                          </w:rPr>
                          <w:t>万元，计提了</w:t>
                        </w:r>
                        <w:r>
                          <w:rPr>
                            <w:rFonts w:ascii="Times New Roman" w:hAnsi="Times New Roman" w:cs="Times New Roman" w:eastAsia="Times New Roman" w:hint="default"/>
                            <w:sz w:val="21"/>
                            <w:szCs w:val="21"/>
                          </w:rPr>
                          <w:t>162.09</w:t>
                        </w:r>
                        <w:r>
                          <w:rPr>
                            <w:rFonts w:ascii="宋体" w:hAnsi="宋体" w:cs="宋体" w:eastAsia="宋体" w:hint="default"/>
                            <w:sz w:val="21"/>
                            <w:szCs w:val="21"/>
                          </w:rPr>
                          <w:t>万元坏账准备。应收账</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pacing w:val="-4"/>
                            <w:sz w:val="21"/>
                            <w:szCs w:val="21"/>
                          </w:rPr>
                          <w:t>业务执行过程中的立项审批、风险审核、贷后管理等</w:t>
                        </w:r>
                      </w:p>
                    </w:tc>
                  </w:tr>
                  <w:tr>
                    <w:trPr>
                      <w:trHeight w:val="481" w:hRule="exact"/>
                    </w:trPr>
                    <w:tc>
                      <w:tcPr>
                        <w:tcW w:w="48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款坏账准备计提涉及公司管理层运用重大会计估计和</w:t>
                        </w:r>
                      </w:p>
                    </w:tc>
                    <w:tc>
                      <w:tcPr>
                        <w:tcW w:w="47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关键制度的设计及运行情况；</w:t>
                        </w:r>
                      </w:p>
                    </w:tc>
                  </w:tr>
                </w:tbl>
                <w:p>
                  <w:pPr/>
                </w:p>
              </w:txbxContent>
            </v:textbox>
            <w10:wrap type="none"/>
          </v:shape>
        </w:pict>
      </w:r>
      <w:r>
        <w:rPr/>
        <w:t>；</w:t>
      </w:r>
    </w:p>
    <w:p>
      <w:pPr>
        <w:spacing w:after="0" w:line="240" w:lineRule="auto"/>
        <w:jc w:val="right"/>
        <w:sectPr>
          <w:pgSz w:w="11910" w:h="16840"/>
          <w:pgMar w:header="747"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6"/>
        <w:spacing w:line="240" w:lineRule="auto" w:before="0"/>
        <w:ind w:right="139"/>
        <w:jc w:val="right"/>
      </w:pPr>
      <w:r>
        <w:rPr/>
        <w:pict>
          <v:shape style="position:absolute;margin-left:55.860001pt;margin-top:-121.41861pt;width:484pt;height:283.3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9"/>
                    <w:gridCol w:w="4778"/>
                  </w:tblGrid>
                  <w:tr>
                    <w:trPr>
                      <w:trHeight w:val="491" w:hRule="exact"/>
                    </w:trPr>
                    <w:tc>
                      <w:tcPr>
                        <w:tcW w:w="48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判断，且应收账款的可收回性对于财务报表具有较高</w:t>
                        </w:r>
                      </w:p>
                    </w:tc>
                    <w:tc>
                      <w:tcPr>
                        <w:tcW w:w="47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）分析应收账款坏账准备会计估计的合理性，评</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重要性，因此我们确定应收账款坏账准备的计提为关</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价管理层对于应收账款收回的可能性的判断是否恰</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键审计事项。</w:t>
                        </w: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当；</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）获取管理层编制的按账龄计提坏账准备的应收</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pacing w:val="-4"/>
                            <w:sz w:val="21"/>
                            <w:szCs w:val="21"/>
                          </w:rPr>
                          <w:t>账款坏账准备计提表，检查是否按照坏账准备计提政</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策一贯执行，重新计算坏账准备计提金额是否准确</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）获取管理层编制的应收保理款坏账准备计提表</w:t>
                        </w:r>
                      </w:p>
                    </w:tc>
                  </w:tr>
                  <w:tr>
                    <w:trPr>
                      <w:trHeight w:val="462"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结合保理款相关的合同、放款记录及款项收回情况</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pacing w:val="-4"/>
                            <w:sz w:val="21"/>
                            <w:szCs w:val="21"/>
                          </w:rPr>
                          <w:t>检查期末账龄划分是否准确，重新计算坏账准备计提</w:t>
                        </w:r>
                      </w:p>
                    </w:tc>
                  </w:tr>
                  <w:tr>
                    <w:trPr>
                      <w:trHeight w:val="468"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金额是否准确；</w:t>
                        </w:r>
                      </w:p>
                    </w:tc>
                  </w:tr>
                  <w:tr>
                    <w:trPr>
                      <w:trHeight w:val="474" w:hRule="exact"/>
                    </w:trPr>
                    <w:tc>
                      <w:tcPr>
                        <w:tcW w:w="4879" w:type="dxa"/>
                        <w:tcBorders>
                          <w:top w:val="nil" w:sz="6" w:space="0" w:color="auto"/>
                          <w:left w:val="single" w:sz="6" w:space="0" w:color="000000"/>
                          <w:bottom w:val="nil" w:sz="6" w:space="0" w:color="auto"/>
                          <w:right w:val="single" w:sz="6" w:space="0" w:color="000000"/>
                        </w:tcBorders>
                      </w:tcPr>
                      <w:p>
                        <w:pPr/>
                      </w:p>
                    </w:tc>
                    <w:tc>
                      <w:tcPr>
                        <w:tcW w:w="4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）对重要的应收账款，包括应收保理款，执行了</w:t>
                        </w:r>
                      </w:p>
                    </w:tc>
                  </w:tr>
                  <w:tr>
                    <w:trPr>
                      <w:trHeight w:val="481" w:hRule="exact"/>
                    </w:trPr>
                    <w:tc>
                      <w:tcPr>
                        <w:tcW w:w="4879" w:type="dxa"/>
                        <w:tcBorders>
                          <w:top w:val="nil" w:sz="6" w:space="0" w:color="auto"/>
                          <w:left w:val="single" w:sz="6" w:space="0" w:color="000000"/>
                          <w:bottom w:val="single" w:sz="6" w:space="0" w:color="000000"/>
                          <w:right w:val="single" w:sz="6" w:space="0" w:color="000000"/>
                        </w:tcBorders>
                      </w:tcPr>
                      <w:p>
                        <w:pPr/>
                      </w:p>
                    </w:tc>
                    <w:tc>
                      <w:tcPr>
                        <w:tcW w:w="47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函证程序及对期后回款查验。</w:t>
                        </w:r>
                      </w:p>
                    </w:tc>
                  </w:tr>
                </w:tbl>
                <w:p>
                  <w:pPr/>
                </w:p>
              </w:txbxContent>
            </v:textbox>
            <w10:wrap type="none"/>
          </v:shape>
        </w:pict>
      </w:r>
      <w:r>
        <w:rPr/>
        <w:t>；</w:t>
      </w:r>
    </w:p>
    <w:p>
      <w:pPr>
        <w:spacing w:line="240" w:lineRule="auto" w:before="1"/>
        <w:rPr>
          <w:rFonts w:ascii="宋体" w:hAnsi="宋体" w:cs="宋体" w:eastAsia="宋体" w:hint="default"/>
          <w:sz w:val="12"/>
          <w:szCs w:val="12"/>
        </w:rPr>
      </w:pPr>
    </w:p>
    <w:p>
      <w:pPr>
        <w:pStyle w:val="Heading6"/>
        <w:spacing w:line="240" w:lineRule="auto"/>
        <w:ind w:right="105"/>
        <w:jc w:val="right"/>
      </w:pPr>
      <w:r>
        <w:rPr/>
        <w:t>，</w:t>
      </w:r>
    </w:p>
    <w:p>
      <w:pPr>
        <w:spacing w:line="240" w:lineRule="auto" w:before="1"/>
        <w:rPr>
          <w:rFonts w:ascii="宋体" w:hAnsi="宋体" w:cs="宋体" w:eastAsia="宋体" w:hint="default"/>
          <w:sz w:val="12"/>
          <w:szCs w:val="12"/>
        </w:rPr>
      </w:pPr>
    </w:p>
    <w:p>
      <w:pPr>
        <w:pStyle w:val="Heading6"/>
        <w:spacing w:line="240" w:lineRule="auto"/>
        <w:ind w:right="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357" w:lineRule="auto" w:before="26"/>
        <w:ind w:left="721" w:right="0" w:hanging="86"/>
        <w:jc w:val="left"/>
      </w:pPr>
      <w:r>
        <w:rPr>
          <w:rFonts w:ascii="宋体" w:hAnsi="宋体" w:cs="宋体" w:eastAsia="宋体" w:hint="default"/>
          <w:b/>
          <w:bCs/>
        </w:rPr>
        <w:t>（四）其他信息</w:t>
      </w:r>
      <w:r>
        <w:rPr>
          <w:rFonts w:ascii="宋体" w:hAnsi="宋体" w:cs="宋体" w:eastAsia="宋体" w:hint="default"/>
          <w:b/>
          <w:bCs/>
          <w:spacing w:val="1"/>
          <w:w w:val="99"/>
        </w:rPr>
        <w:t> </w:t>
      </w:r>
      <w:r>
        <w:rPr>
          <w:spacing w:val="-2"/>
        </w:rPr>
        <w:t>汉得信息管理层（以下简称管理层）对其他信息负责。其他信息包括汉得信息</w:t>
      </w:r>
      <w:r>
        <w:rPr>
          <w:rFonts w:ascii="Times New Roman" w:hAnsi="Times New Roman" w:cs="Times New Roman" w:eastAsia="Times New Roman" w:hint="default"/>
          <w:spacing w:val="-2"/>
        </w:rPr>
        <w:t>2017</w:t>
      </w:r>
      <w:r>
        <w:rPr>
          <w:spacing w:val="-2"/>
        </w:rPr>
        <w:t>年年</w:t>
      </w:r>
    </w:p>
    <w:p>
      <w:pPr>
        <w:pStyle w:val="Heading4"/>
        <w:spacing w:line="357" w:lineRule="auto" w:before="5"/>
        <w:ind w:left="721" w:right="0" w:hanging="568"/>
        <w:jc w:val="left"/>
      </w:pPr>
      <w:r>
        <w:rPr/>
        <w:t>度报告中涵盖的信息，但不包括财务报表和我们的审计报告。 </w:t>
      </w:r>
      <w:r>
        <w:rPr>
          <w:spacing w:val="-2"/>
        </w:rPr>
        <w:t>我们对财务报表发表的审计意见不涵盖其他信息，我们也不对其他信息发表任何形式的</w:t>
      </w:r>
    </w:p>
    <w:p>
      <w:pPr>
        <w:pStyle w:val="Heading4"/>
        <w:spacing w:line="240" w:lineRule="auto"/>
        <w:ind w:left="154" w:right="0"/>
        <w:jc w:val="left"/>
      </w:pPr>
      <w:r>
        <w:rPr/>
        <w:t>鉴证结论。</w:t>
      </w:r>
    </w:p>
    <w:p>
      <w:pPr>
        <w:pStyle w:val="Heading4"/>
        <w:spacing w:line="357" w:lineRule="auto" w:before="154"/>
        <w:ind w:left="154" w:right="160" w:firstLine="567"/>
        <w:jc w:val="right"/>
      </w:pPr>
      <w:r>
        <w:rPr>
          <w:spacing w:val="-2"/>
        </w:rPr>
        <w:t>结合我们对财务报表的审计，我们的责任是阅读其他信息，在此过程中，考虑其他信息</w:t>
      </w:r>
      <w:r>
        <w:rPr/>
        <w:t> 是否与财务报表或我们在审计过程中了解到的情况存在重大不一致或者似乎存在重大错报。 基于我们已执行的工作，如果我们确定其他信息存在重大错报，我们应当报告该事实。</w:t>
      </w:r>
    </w:p>
    <w:p>
      <w:pPr>
        <w:pStyle w:val="Heading4"/>
        <w:spacing w:line="240" w:lineRule="auto"/>
        <w:ind w:left="154" w:right="0"/>
        <w:jc w:val="left"/>
      </w:pPr>
      <w:r>
        <w:rPr/>
        <w:t>在这方面，我们无任何事项需要报告。</w:t>
      </w:r>
    </w:p>
    <w:p>
      <w:pPr>
        <w:spacing w:line="357" w:lineRule="auto" w:before="154"/>
        <w:ind w:left="721" w:right="0" w:hanging="148"/>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管理层负责按照企业会计准则的规定编制财务报表，使其实现公允反映，并设计、执行</w:t>
      </w:r>
    </w:p>
    <w:p>
      <w:pPr>
        <w:pStyle w:val="Heading4"/>
        <w:spacing w:line="357" w:lineRule="auto"/>
        <w:ind w:left="721" w:right="0" w:hanging="568"/>
        <w:jc w:val="left"/>
      </w:pPr>
      <w:r>
        <w:rPr/>
        <w:t>和维护必要的内部控制，以使财务报表不存在由于舞弊或错误导致的重大错报。 </w:t>
      </w:r>
      <w:r>
        <w:rPr>
          <w:spacing w:val="-2"/>
        </w:rPr>
        <w:t>在编制财务报表时，管理层负责评估汉得信息的持续经营能力，披露与持续经营相关的</w:t>
      </w:r>
    </w:p>
    <w:p>
      <w:pPr>
        <w:pStyle w:val="Heading4"/>
        <w:spacing w:line="357" w:lineRule="auto"/>
        <w:ind w:left="154" w:right="230"/>
        <w:jc w:val="left"/>
      </w:pPr>
      <w:r>
        <w:rPr/>
        <w:t>事项（如适用），并运用持续经营假设，除非计划进行清算、终止运营或别无其他现实的选 择。</w:t>
      </w:r>
    </w:p>
    <w:p>
      <w:pPr>
        <w:pStyle w:val="Heading4"/>
        <w:spacing w:line="240" w:lineRule="auto"/>
        <w:ind w:left="721" w:right="0"/>
        <w:jc w:val="left"/>
      </w:pPr>
      <w:r>
        <w:rPr/>
        <w:t>治理层负责监督汉得信息的财务报告过程。</w:t>
      </w:r>
    </w:p>
    <w:p>
      <w:pPr>
        <w:spacing w:after="0" w:line="240" w:lineRule="auto"/>
        <w:jc w:val="left"/>
        <w:sectPr>
          <w:pgSz w:w="11910" w:h="16840"/>
          <w:pgMar w:header="747" w:footer="982" w:top="1060" w:bottom="1180" w:left="980" w:right="920"/>
        </w:sectPr>
      </w:pPr>
    </w:p>
    <w:p>
      <w:pPr>
        <w:spacing w:line="240" w:lineRule="auto" w:before="7"/>
        <w:rPr>
          <w:rFonts w:ascii="宋体" w:hAnsi="宋体" w:cs="宋体" w:eastAsia="宋体" w:hint="default"/>
          <w:sz w:val="29"/>
          <w:szCs w:val="29"/>
        </w:rPr>
      </w:pPr>
    </w:p>
    <w:p>
      <w:pPr>
        <w:spacing w:line="357" w:lineRule="auto" w:before="26"/>
        <w:ind w:left="721" w:right="323" w:hanging="26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我们的目标是对财务报表整体是否不存在由于舞弊或错误导致的重大错报获取合理保</w:t>
      </w:r>
    </w:p>
    <w:p>
      <w:pPr>
        <w:pStyle w:val="Heading4"/>
        <w:spacing w:line="357" w:lineRule="auto"/>
        <w:ind w:right="188"/>
        <w:jc w:val="both"/>
      </w:pPr>
      <w:r>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4"/>
        <w:spacing w:line="357" w:lineRule="auto"/>
        <w:ind w:right="100" w:firstLine="567"/>
        <w:jc w:val="both"/>
      </w:pPr>
      <w:r>
        <w:rPr/>
        <w:t>在按照审计准则执行审计工作的过程中，我们运用职业判断，并保持职业怀疑。同时， 我们也执行以下工作：</w:t>
      </w:r>
    </w:p>
    <w:p>
      <w:pPr>
        <w:pStyle w:val="Heading4"/>
        <w:spacing w:line="350" w:lineRule="auto"/>
        <w:ind w:right="188" w:firstLine="567"/>
        <w:jc w:val="both"/>
      </w:pPr>
      <w:r>
        <w:rPr/>
        <w:t>（</w:t>
      </w:r>
      <w:r>
        <w:rPr>
          <w:rFonts w:ascii="Times New Roman" w:hAnsi="Times New Roman" w:cs="Times New Roman" w:eastAsia="Times New Roman" w:hint="default"/>
        </w:rPr>
        <w:t>1</w:t>
      </w:r>
      <w:r>
        <w:rPr/>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Heading4"/>
        <w:spacing w:line="338" w:lineRule="auto" w:before="43"/>
        <w:ind w:right="220" w:firstLine="567"/>
        <w:jc w:val="both"/>
      </w:pPr>
      <w:r>
        <w:rPr/>
        <w:t>（</w:t>
      </w:r>
      <w:r>
        <w:rPr>
          <w:rFonts w:ascii="Times New Roman" w:hAnsi="Times New Roman" w:cs="Times New Roman" w:eastAsia="Times New Roman" w:hint="default"/>
        </w:rPr>
        <w:t>2</w:t>
      </w:r>
      <w:r>
        <w:rPr/>
        <w:t>）了解与审计相关的内部控制，以设计恰当的审计程序，但目的并非对内部控制的 有效性发表意见。</w:t>
      </w:r>
    </w:p>
    <w:p>
      <w:pPr>
        <w:pStyle w:val="Heading4"/>
        <w:spacing w:line="240" w:lineRule="auto" w:before="55"/>
        <w:ind w:left="72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352" w:lineRule="auto" w:before="135"/>
        <w:ind w:right="188" w:firstLine="567"/>
        <w:jc w:val="both"/>
      </w:pPr>
      <w:r>
        <w:rPr/>
        <w:t>（</w:t>
      </w:r>
      <w:r>
        <w:rPr>
          <w:rFonts w:ascii="Times New Roman" w:hAnsi="Times New Roman" w:cs="Times New Roman" w:eastAsia="Times New Roman" w:hint="default"/>
        </w:rPr>
        <w:t>4</w:t>
      </w:r>
      <w:r>
        <w:rPr/>
        <w:t>）对管理层使用持续经营假设的恰当性得出结论。同时，根据获取的审计证据，就 可能导致对汉得信息持续经营能力产生重大疑虑的事项或情况是否存在重大不确定性得出结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论基于截至审计报告日可获得的信息。然而，未来的事项或情况可能导致汉得信息不能持续 经营。</w:t>
      </w:r>
    </w:p>
    <w:p>
      <w:pPr>
        <w:pStyle w:val="Heading4"/>
        <w:spacing w:line="338" w:lineRule="auto" w:before="41"/>
        <w:ind w:right="220" w:firstLine="567"/>
        <w:jc w:val="both"/>
      </w:pPr>
      <w:r>
        <w:rPr/>
        <w:t>（</w:t>
      </w:r>
      <w:r>
        <w:rPr>
          <w:rFonts w:ascii="Times New Roman" w:hAnsi="Times New Roman" w:cs="Times New Roman" w:eastAsia="Times New Roman" w:hint="default"/>
        </w:rPr>
        <w:t>5</w:t>
      </w:r>
      <w:r>
        <w:rPr/>
        <w:t>）评价财务报表的总体列报、结构和内容（包括披露），并评价财务报表是否公允 反映相关交易和事项。</w:t>
      </w:r>
    </w:p>
    <w:p>
      <w:pPr>
        <w:pStyle w:val="Heading4"/>
        <w:spacing w:line="338" w:lineRule="auto" w:before="55"/>
        <w:ind w:right="220" w:firstLine="567"/>
        <w:jc w:val="both"/>
      </w:pPr>
      <w:r>
        <w:rPr/>
        <w:t>（</w:t>
      </w:r>
      <w:r>
        <w:rPr>
          <w:rFonts w:ascii="Times New Roman" w:hAnsi="Times New Roman" w:cs="Times New Roman" w:eastAsia="Times New Roman" w:hint="default"/>
        </w:rPr>
        <w:t>6</w:t>
      </w:r>
      <w:r>
        <w:rPr/>
        <w:t>）就汉得信息中实体或业务活动的财务信息获取充分、适当的审计证据，以对财务 报表发表审计意见。我们负责指导、监督和执行集团审计，并对审计意见承担全部责任。</w:t>
      </w:r>
    </w:p>
    <w:p>
      <w:pPr>
        <w:pStyle w:val="Heading4"/>
        <w:spacing w:line="357" w:lineRule="auto" w:before="55"/>
        <w:ind w:right="148" w:firstLine="567"/>
        <w:jc w:val="both"/>
      </w:pPr>
      <w:r>
        <w:rPr>
          <w:spacing w:val="-2"/>
        </w:rPr>
        <w:t>我们与治理层就计划的审计范围、时间安排和重大审计发现等事项进行沟通，包括沟通</w:t>
      </w:r>
      <w:r>
        <w:rPr/>
        <w:t> 我们在审计中识别出的值得关注的内部控制缺陷。</w:t>
      </w:r>
    </w:p>
    <w:p>
      <w:pPr>
        <w:pStyle w:val="Heading4"/>
        <w:spacing w:line="357" w:lineRule="auto"/>
        <w:ind w:right="151" w:firstLine="567"/>
        <w:jc w:val="both"/>
      </w:pPr>
      <w:r>
        <w:rPr>
          <w:spacing w:val="-2"/>
        </w:rPr>
        <w:t>我们还就已遵守与独立性相关的职业道德要求向治理层提供声明，并与治理层沟通可能</w:t>
      </w:r>
      <w:r>
        <w:rPr/>
        <w:t> 被合理认为影响我们独立性的所有关系和其他事项，以及相关的防范措施（如适用）。</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4"/>
        <w:spacing w:line="357" w:lineRule="auto" w:before="26"/>
        <w:ind w:right="148" w:firstLine="567"/>
        <w:jc w:val="both"/>
      </w:pPr>
      <w:r>
        <w:rPr>
          <w:spacing w:val="-2"/>
        </w:rPr>
        <w:t>从与治理层沟通过的事项中，我们确定哪些事项对本期财务报表审计最为重要，因而构</w:t>
      </w:r>
      <w:r>
        <w:rPr/>
        <w:t>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pStyle w:val="Heading2"/>
        <w:tabs>
          <w:tab w:pos="3471" w:val="left" w:leader="none"/>
        </w:tabs>
        <w:spacing w:line="240" w:lineRule="auto"/>
        <w:ind w:left="428" w:right="0"/>
        <w:jc w:val="left"/>
        <w:rPr>
          <w:b w:val="0"/>
          <w:bCs w:val="0"/>
        </w:rPr>
      </w:pPr>
      <w:r>
        <w:rPr>
          <w:w w:val="95"/>
        </w:rPr>
        <w:t>立信会计师事务所</w:t>
        <w:tab/>
      </w:r>
      <w:r>
        <w:rPr/>
        <w:t>中国注册会计师：陈竑（项目合伙人）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428" w:right="0"/>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2240" w:right="2421"/>
        <w:jc w:val="center"/>
        <w:rPr>
          <w:b w:val="0"/>
          <w:bCs w:val="0"/>
        </w:rPr>
      </w:pPr>
      <w:r>
        <w:rPr/>
        <w:t>中国注册会计师：何剑</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3614" w:val="left" w:leader="none"/>
        </w:tabs>
        <w:spacing w:line="240" w:lineRule="auto"/>
        <w:ind w:left="428"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r>
        <w:rPr>
          <w:b w:val="0"/>
          <w:bCs w:val="0"/>
        </w:rPr>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编制单位：上海汉得信息技术股份有限公司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575" w:space="50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695,780,390.66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742,521,911.76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117,287,255.29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67,070,460.30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1,417,442,625.88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1,092,028,590.62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62,856,570.05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41,352,122.85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2,532,906.60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3,812,949.77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58,606,397.40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36,025,022.59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859,143.30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62,579,562.36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64,684,299.55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2,421,605,985.39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2,053,494,500.74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32,938,523.91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56,387,923.72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318,955,670.30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323,411,857.22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93,122,236.45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58,847,698.78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36,072,310.65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33,542,370.46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93,960,012.11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93,960,012.11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2,167,739.69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1,532,919.69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48,674,524.19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32,932,607.74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5,415,679.24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6,604,849.04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725,016,574.85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583,770,838.95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3,146,622,560.24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2,637,265,339.69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15,192,758.08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26,044,170.67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55,972,864.28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52,258,998.75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212,286,676.16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148,872,397.74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40,850,461.49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28,377,443.01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167,179,412.48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300,619,367.62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674,486,900.96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556,177,106.26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11,595,416.65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7,843,333.32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17,429,127.82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8,993,333.32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691,916,028.78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565,170,439.58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853,909,589.00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862,470,134.00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566,695,523.87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597,218,813.15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140,860,973.00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296,281,820.12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-3,450,888.63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-1,365,067.42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134,045,493.10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105,344,395.37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1,049,315,587.01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797,160,145.20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2,459,654,331.35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2,064,546,600.18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-4,947,799.89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7,548,299.93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2,454,706,531.46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2,072,094,900.11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3,146,622,560.24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2,637,265,339.69</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法定代表人：陈迪清</w:t>
        <w:tab/>
        <w:t>主管会计工作负责人：沈雁冰</w:t>
        <w:tab/>
        <w:t>会计机构负责人：沈雁冰</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529,072,323.83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570,949,187.13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53,289,625.27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54,614,459.00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1,196,952,474.41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756,603,440.82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63,075,942.82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40,556,513.79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214,343.05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1,297,493.06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434,287,380.24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371,595,586.81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2,280,473,089.62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1,800,720,680.61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65,033,118.50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32,938,523.91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526,331,204.45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316,055,803.66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319,345,063.23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72,532,699.60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43,822,639.53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35,661,518.18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18,908,834.69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2,062,319.27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342,194.30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43,093,162.72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28,854,702.72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5,196,679.24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6,564,849.04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1,065,966,505.62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906,737,664.04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3,346,439,595.24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2,707,458,344.65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229,470,791.41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124,257,518.04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48,800,217.87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46,370,115.12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180,648,494.91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124,770,842.26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26,112,836.76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11,839,277.15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202,771,170.97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294,257,283.45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870,808,240.39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601,499,764.49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11,595,416.65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7,843,333.32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11,595,416.65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8,993,333.32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882,403,657.04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610,493,097.81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853,909,589.00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862,470,134.00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609,281,139.11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627,381,992.21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140,860,973.00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296,281,820.12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134,045,493.10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105,344,395.37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1,007,660,689.99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798,050,545.38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2,464,035,938.20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2,096,965,246.84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3,346,439,595.24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2,707,458,344.65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2,325,047,409.32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1,710,218,028.51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2,325,047,409.32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1,710,218,028.51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2,106,232,109.29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1,503,446,714.67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1,450,805,445.03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1,040,032,075.37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09985pt;width:158.85pt;height:20.8pt;mso-position-horizontal-relative:page;mso-position-vertical-relative:page;z-index:-994384" coordorigin="4219,8002" coordsize="3177,416">
            <v:group style="position:absolute;left:4231;top:8014;width:2;height:393" coordorigin="4231,8014" coordsize="2,393">
              <v:shape style="position:absolute;left:4231;top:8014;width:2;height:393" coordorigin="4231,8014" coordsize="0,393" path="m4231,8014l4231,8406e" filled="false" stroked="true" strokeweight="1.140pt" strokecolor="#ffffff">
                <v:path arrowok="t"/>
              </v:shape>
            </v:group>
            <v:group style="position:absolute;left:4242;top:8014;width:3154;height:393" coordorigin="4242,8014" coordsize="3154,393">
              <v:shape style="position:absolute;left:4242;top:8014;width:3154;height:393" coordorigin="4242,8014" coordsize="3154,393" path="m4242,8406l7396,8406,7396,8014,4242,8014,4242,8406xe" filled="true" fillcolor="#ffffff" stroked="false">
                <v:path arrowok="t"/>
                <v:fill type="solid"/>
              </v:shape>
            </v:group>
            <w10:wrap type="none"/>
          </v:group>
        </w:pict>
      </w:r>
      <w:r>
        <w:rPr/>
        <w:pict>
          <v:group style="position:absolute;margin-left:210.960007pt;margin-top:536.309998pt;width:158.85pt;height:20.8pt;mso-position-horizontal-relative:page;mso-position-vertical-relative:page;z-index:-994360" coordorigin="4219,10726" coordsize="3177,416">
            <v:group style="position:absolute;left:4231;top:10738;width:2;height:393" coordorigin="4231,10738" coordsize="2,393">
              <v:shape style="position:absolute;left:4231;top:10738;width:2;height:393" coordorigin="4231,10738" coordsize="0,393" path="m4231,10738l4231,11130e" filled="false" stroked="true" strokeweight="1.140pt" strokecolor="#ffffff">
                <v:path arrowok="t"/>
              </v:shape>
            </v:group>
            <v:group style="position:absolute;left:4242;top:10738;width:3154;height:393" coordorigin="4242,10738" coordsize="3154,393">
              <v:shape style="position:absolute;left:4242;top:10738;width:3154;height:393" coordorigin="4242,10738" coordsize="3154,393" path="m4242,11130l7396,11130,7396,10738,4242,10738,4242,111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52"/>
        <w:gridCol w:w="3239"/>
        <w:gridCol w:w="327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11,820,866.25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9,776,857.72</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161,694,585.42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123,277,855.35</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384,295,633.67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293,635,087.55</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8,288,093.50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-34,690,499.98</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89,327,485.42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71,415,338.66</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-212,317.82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-603,500.00</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53,381,929.30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-4,676,616.01</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-2,615,844.04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5"/>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-104,819.88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154,574.82</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2,065,467.23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273,945,558.86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201,645,772.65</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30,698,523.19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31,498,054.10</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200,409.97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31,174.82</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tabs>
                <w:tab w:pos="2068" w:val="left" w:leader="none"/>
              </w:tabs>
              <w:spacing w:line="240" w:lineRule="auto" w:before="5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304,443,672.08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233,112,651.93</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-317,578.18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1,229,528.76</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304,761,250.26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231,883,123.17</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5"/>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304,761,250.26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231,883,123.17</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5"/>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323,750,932.99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241,382,013.60</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-18,989,682.73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-9,498,890.43</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-1,148,138.54</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-2,085,821.21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-1,148,138.54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-2,085,821.21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-1,148,138.54</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-1,148,138.54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302,675,429.05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230,734,984.63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321,665,111.78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240,233,875.06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-18,989,682.73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-9,498,890.43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法定代表人：陈迪清</w:t>
        <w:tab/>
        <w:t>主管会计工作负责人：沈雁冰</w:t>
        <w:tab/>
        <w:t>会计机构负责人：沈雁冰</w:t>
      </w:r>
    </w:p>
    <w:p>
      <w:pPr>
        <w:pStyle w:val="Heading5"/>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6"/>
        <w:gridCol w:w="3301"/>
        <w:gridCol w:w="330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2,161,880,557.90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1,534,378,296.21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1,379,845,518.15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955,991,865.23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9,689,822.68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8,385,494.61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131,602,139.97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96,136,426.69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294,638,358.60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221,351,505.44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10,384,675.83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-30,386,467.34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76,159,487.83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52,457,174.69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-1,348,112.39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-4,676,538.81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-16,246,151.92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1,146,646.31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164,532.25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1,242,333.73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260,601,422.49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225,326,790.33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26,620,685.97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27,850,262.00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287,222,108.46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253,177,052.33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211,131.13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783,003.73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287,010,977.33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252,394,048.60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287,010,977.33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252,394,048.60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287,010,977.33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252,394,048.60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3302"/>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1,815,393,470.56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1,537,047,168.16</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902,450.56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1,121,733.77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982,222,086.86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68,341,673.17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2,798,518,007.98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1,606,510,575.10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502,527,936.98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554,869,832.33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1,049,376,197.53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691,141,270.40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127,245,816.94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81,914,096.82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1,144,371,940.32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549,046,056.61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2,823,521,891.77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1,876,971,256.16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-25,003,883.79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-270,460,681.06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3,061,476.09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405,405.41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97,461.00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296,366.72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38,152.42</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4,355,434.42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39,345,408.65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9,297,206.55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42,542,498.16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95,655,599.79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61,236,560.69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66,627,360.00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119,677,049.99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22,756,603.69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185,039,563.48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180,913,610.68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-175,742,356.93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-138,371,112.52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62,702,870.00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233,813,985.00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62,702,870.00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36,829,700.00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82" w:header="747"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214,693.36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320,917,563.36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233,813,985.00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49,277,227.33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24,926,208.08</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27,552,555.69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19,449,361.24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151,829,783.02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44,375,569.32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169,087,780.34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189,438,415.68</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-11,806,227.61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14,953,161.94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-43,464,687.99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-204,440,215.96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734,818,719.01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939,258,934.97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691,354,031.02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734,818,719.01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1,762,898,794.94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1,310,524,153.47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754,417.06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1,102,602.25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115,509,878.25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56,429,887.13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1,879,163,090.25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1,368,056,642.85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698,376,934.60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515,206,796.61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825,047,031.26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522,927,411.19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100,985,442.51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58,305,799.66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225,963,253.05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454,871,915.82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1,850,372,661.42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1,551,311,923.28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28,790,428.83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-183,255,280.43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4,355,434.42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3,061,476.09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405,405.41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97,461.00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10,765,000.02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15,532,539.85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5,167,037.08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75,714,075.16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44,133,588.56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100,756,800.00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154,934,559.73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176,470,875.16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199,068,148.29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-160,938,335.31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-193,901,111.21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196,984,285.00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214,693.36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258,214,693.36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196,984,285.00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49,277,227.33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24,926,208.08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27,552,555.69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19,449,361.24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151,829,783.02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44,375,569.32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106,384,910.34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152,608,715.68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-12,837,034.05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13,729,803.89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-38,600,030.19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-210,817,872.07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563,245,994.38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774,063,866.45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524,645,964.19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563,245,994.38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597,218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,813.15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296,281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67.42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105,344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,395.37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797,160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,145.20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7,548,2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99.93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94,900.</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597,218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,813.15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296,281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67.42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105,344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,395.37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797,160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,145.20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7,548,2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99.93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94,900.</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-30,523,</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289.28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-2,085,8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097.73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252,155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,441.81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-12,496,</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099.82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382,611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,631.35</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-2,085,8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323,750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,932.99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-18,989,</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682.73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302,675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,429.05</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-30,523,</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289.28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6,493,5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122,830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,595.75</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-39,654,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278.30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-48,214,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823.30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8,916,2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95.69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8,916,2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95.69</w:t>
            </w: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214,693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6,023.8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6,493,5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113,914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,300.06</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097.73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-71,595,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491.18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393.45</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097.73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097.73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393.45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393.45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566,695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,523.87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-3,450,8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,493.10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-4,947,7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5"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3"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8"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828,62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395,187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,864.71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,274.12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-216,92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990.51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605,943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,744.54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889.32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828,62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395,187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,864.71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-216,92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80,104,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605,943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,744.54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10,561,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202,030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,948.44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118,546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-1,148,1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191,216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,400.66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-3,013,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329,623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,980.03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-1,148,1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241,382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,013.60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-9,498,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890.43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230,734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,984.63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202,030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,948.44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118,546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6,485,3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01.04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123,815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,203.48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217,221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196,984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36,829,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90,912,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13,265,</w:t>
            </w:r>
          </w:p>
          <w:p>
            <w:pPr>
              <w:pStyle w:val="TableParagraph"/>
              <w:spacing w:line="240" w:lineRule="auto" w:before="106"/>
              <w:ind w:left="138" w:right="0"/>
              <w:jc w:val="left"/>
              <w:rPr>
                <w:rFonts w:ascii="Times New Roman" w:hAnsi="Times New Roman" w:cs="Times New Roman" w:eastAsia="Times New Roman" w:hint="default"/>
                <w:sz w:val="18"/>
                <w:szCs w:val="18"/>
              </w:rPr>
            </w:pPr>
            <w:r>
              <w:rPr>
                <w:rFonts w:ascii="Times New Roman"/>
                <w:sz w:val="18"/>
              </w:rPr>
              <w:t>264.48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13,265,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264.48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-28,455,</w:t>
            </w:r>
          </w:p>
          <w:p>
            <w:pPr>
              <w:pStyle w:val="TableParagraph"/>
              <w:spacing w:line="240" w:lineRule="auto" w:before="106"/>
              <w:ind w:left="116" w:right="0"/>
              <w:jc w:val="center"/>
              <w:rPr>
                <w:rFonts w:ascii="Times New Roman" w:hAnsi="Times New Roman" w:cs="Times New Roman" w:eastAsia="Times New Roman" w:hint="default"/>
                <w:sz w:val="18"/>
                <w:szCs w:val="18"/>
              </w:rPr>
            </w:pPr>
            <w:r>
              <w:rPr>
                <w:rFonts w:ascii="Times New Roman"/>
                <w:sz w:val="18"/>
              </w:rPr>
              <w:t>601.04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-78,437,</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739.00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-30,344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,398.96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19,637,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739.00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25,239,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612.94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-24,926,</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208.08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25,239,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-25,239,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404.86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-24,926,</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208.08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-24,926,</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208.08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597,218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,813.15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296,281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105,344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797,160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,145.20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7,548,2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99.93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94,900.</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862,470,</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134.00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627,381,9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92.21</w:t>
            </w:r>
          </w:p>
        </w:tc>
        <w:tc>
          <w:tcPr>
            <w:tcW w:w="798" w:type="dxa"/>
            <w:vMerge w:val="restart"/>
            <w:tcBorders>
              <w:top w:val="single" w:sz="18" w:space="0" w:color="D3D3D3"/>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296,281,8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20.12</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105,344,3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95.37</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798,050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,545.38</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2,096,965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,246.84</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12,422,43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-5,805,3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41.54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6,617,094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862,470,</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134.00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639,804,4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28.39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296,281,8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20.12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105,344,3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792,245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,203.84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2,103,582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,341.48</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-30,523,2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89.28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-155,420,</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847.12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215,415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,486.15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360,453,5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96.72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287,010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,977.33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77.33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-30,523,2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89.28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-155,420,</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847.12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116,337,0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12.84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-39,654,2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-48,214,8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8,916,295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8,916,295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214,693.3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-107,206,</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023.82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107,420,7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-71,595,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491.18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-42,894,3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93.45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097.73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393.45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-42,894,3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93.45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853,909,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609,281,1</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39.11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140,860,9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134,045,4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60,689.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2,464,035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,938.20</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9"/>
        <w:gridCol w:w="703"/>
        <w:gridCol w:w="665"/>
        <w:gridCol w:w="665"/>
        <w:gridCol w:w="665"/>
        <w:gridCol w:w="797"/>
        <w:gridCol w:w="798"/>
        <w:gridCol w:w="798"/>
        <w:gridCol w:w="798"/>
        <w:gridCol w:w="797"/>
        <w:gridCol w:w="676"/>
        <w:gridCol w:w="781"/>
      </w:tblGrid>
      <w:tr>
        <w:trPr>
          <w:trHeight w:val="402" w:hRule="exact"/>
        </w:trPr>
        <w:tc>
          <w:tcPr>
            <w:tcW w:w="1429"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7" w:hRule="exact"/>
        </w:trPr>
        <w:tc>
          <w:tcPr>
            <w:tcW w:w="14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9"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8" w:hRule="exact"/>
        </w:trPr>
        <w:tc>
          <w:tcPr>
            <w:tcW w:w="1429"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7" w:hRule="exact"/>
        </w:trPr>
        <w:tc>
          <w:tcPr>
            <w:tcW w:w="1429"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828,624,</w:t>
            </w:r>
          </w:p>
          <w:p>
            <w:pPr>
              <w:pStyle w:val="TableParagraph"/>
              <w:spacing w:line="240" w:lineRule="auto" w:before="106"/>
              <w:ind w:left="145" w:right="0"/>
              <w:jc w:val="center"/>
              <w:rPr>
                <w:rFonts w:ascii="Times New Roman" w:hAnsi="Times New Roman" w:cs="Times New Roman" w:eastAsia="Times New Roman" w:hint="default"/>
                <w:sz w:val="18"/>
                <w:szCs w:val="18"/>
              </w:rPr>
            </w:pPr>
            <w:r>
              <w:rPr>
                <w:rFonts w:ascii="Times New Roman"/>
                <w:sz w:val="18"/>
              </w:rPr>
              <w:t>634.00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396,895,4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42.73</w:t>
            </w:r>
          </w:p>
        </w:tc>
        <w:tc>
          <w:tcPr>
            <w:tcW w:w="798" w:type="dxa"/>
            <w:vMerge w:val="restart"/>
            <w:tcBorders>
              <w:top w:val="single" w:sz="18" w:space="0" w:color="D3D3D3"/>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177,735,2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74.12</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80,104,99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0.51</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595,822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,109.72</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3"/>
              <w:ind w:left="11" w:right="0"/>
              <w:jc w:val="center"/>
              <w:rPr>
                <w:rFonts w:ascii="Times New Roman" w:hAnsi="Times New Roman" w:cs="Times New Roman" w:eastAsia="Times New Roman" w:hint="default"/>
                <w:sz w:val="18"/>
                <w:szCs w:val="18"/>
              </w:rPr>
            </w:pPr>
            <w:r>
              <w:rPr>
                <w:rFonts w:ascii="Times New Roman"/>
                <w:sz w:val="18"/>
              </w:rPr>
              <w:t>1,723,711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,902.84</w:t>
            </w:r>
          </w:p>
        </w:tc>
      </w:tr>
      <w:tr>
        <w:trPr>
          <w:trHeight w:val="392" w:hRule="exact"/>
        </w:trPr>
        <w:tc>
          <w:tcPr>
            <w:tcW w:w="14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828,624,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396,895,4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177,735,2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80,104,99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595,822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,109.72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1,723,711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,902.84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33,845,5</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230,486,5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49.48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118,546,5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25,239,40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202,228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,435.66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373,253,3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252,394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,048.60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252,394,0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48.60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33,845,5</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230,486,5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49.48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118,546,5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145,785,5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03.48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33,845,5</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217,221,2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251,066,7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13,265,26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196,984,2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-183,719,</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020.52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-78,437,7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78,437,73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25,239,40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612.94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-24,926,2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08.08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25,239,40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-25,239,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404.86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-24,926,</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208.08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-24,926,2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08.08</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862,470,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627,381,9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296,281,8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20.12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105,344,3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798,050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,545.38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2,096,965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,246.84</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91"/>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224" w:firstLine="360"/>
        <w:jc w:val="both"/>
      </w:pPr>
      <w:r>
        <w:rPr/>
        <w:t>上海汉得信息技术股份有限公司（以下简称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）前身是上海全富汉得软件技术有限公司，系于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 </w:t>
      </w:r>
      <w:r>
        <w:rPr/>
        <w:t>月经上海市人民政府批准，由</w:t>
      </w:r>
      <w:r>
        <w:rPr>
          <w:rFonts w:ascii="Times New Roman" w:hAnsi="Times New Roman" w:cs="Times New Roman" w:eastAsia="Times New Roman" w:hint="default"/>
        </w:rPr>
        <w:t>SINO-TWINWOOD</w:t>
      </w:r>
      <w:r>
        <w:rPr>
          <w:rFonts w:ascii="Times New Roman" w:hAnsi="Times New Roman" w:cs="Times New Roman" w:eastAsia="Times New Roman" w:hint="default"/>
          <w:spacing w:val="-6"/>
        </w:rPr>
        <w:t> </w:t>
      </w:r>
      <w:r>
        <w:rPr>
          <w:rFonts w:ascii="Times New Roman" w:hAnsi="Times New Roman" w:cs="Times New Roman" w:eastAsia="Times New Roman" w:hint="default"/>
        </w:rPr>
        <w:t>PTE.,LTD</w:t>
      </w:r>
      <w:r>
        <w:rPr/>
        <w:t>投资设立的有限公司，注册资本为</w:t>
      </w:r>
      <w:r>
        <w:rPr>
          <w:rFonts w:ascii="Times New Roman" w:hAnsi="Times New Roman" w:cs="Times New Roman" w:eastAsia="Times New Roman" w:hint="default"/>
        </w:rPr>
        <w:t>215</w:t>
      </w:r>
      <w:r>
        <w:rPr/>
        <w:t>万美元。中华人民共和国 外商投资企业批准证书的批准号为商外资沪青独资字</w:t>
      </w:r>
      <w:r>
        <w:rPr>
          <w:rFonts w:ascii="Times New Roman" w:hAnsi="Times New Roman" w:cs="Times New Roman" w:eastAsia="Times New Roman" w:hint="default"/>
        </w:rPr>
        <w:t>[2002]1793</w:t>
      </w:r>
      <w:r>
        <w:rPr/>
        <w:t>。公司的企业法人营业执照注册号：</w:t>
      </w:r>
      <w:r>
        <w:rPr>
          <w:rFonts w:ascii="Times New Roman" w:hAnsi="Times New Roman" w:cs="Times New Roman" w:eastAsia="Times New Roman" w:hint="default"/>
        </w:rPr>
        <w:t>310000400308460</w:t>
      </w:r>
      <w:r>
        <w:rPr/>
        <w:t>（青 浦）。</w:t>
      </w:r>
    </w:p>
    <w:p>
      <w:pPr>
        <w:pStyle w:val="BodyText"/>
        <w:spacing w:line="300" w:lineRule="auto" w:before="31"/>
        <w:ind w:left="514" w:right="2340"/>
        <w:jc w:val="left"/>
      </w:pPr>
      <w:r>
        <w:rPr>
          <w:rFonts w:ascii="Times New Roman" w:hAnsi="Times New Roman" w:cs="Times New Roman" w:eastAsia="Times New Roman" w:hint="default"/>
        </w:rPr>
        <w:t>2007</w:t>
      </w:r>
      <w:r>
        <w:rPr/>
        <w:t>年投资方</w:t>
      </w:r>
      <w:r>
        <w:rPr>
          <w:rFonts w:ascii="Times New Roman" w:hAnsi="Times New Roman" w:cs="Times New Roman" w:eastAsia="Times New Roman" w:hint="default"/>
        </w:rPr>
        <w:t>SINO-TWINWOOD PTE. LTD</w:t>
      </w:r>
      <w:r>
        <w:rPr/>
        <w:t>更名为</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8"/>
        </w:rPr>
        <w:t> </w:t>
      </w:r>
      <w:r>
        <w:rPr>
          <w:rFonts w:ascii="Times New Roman" w:hAnsi="Times New Roman" w:cs="Times New Roman" w:eastAsia="Times New Roman" w:hint="default"/>
        </w:rPr>
        <w:t>Pte.</w:t>
      </w:r>
      <w:r>
        <w:rPr/>
        <w:t>，</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月，本公司由上海全富汉得软件技术有限公司更名为上海汉得信息技术有限公司。</w:t>
      </w:r>
    </w:p>
    <w:p>
      <w:pPr>
        <w:pStyle w:val="BodyText"/>
        <w:spacing w:line="300" w:lineRule="auto" w:before="13"/>
        <w:ind w:left="153" w:right="91"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Hand Enterprise Solutions Pte.</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将其持有的本公司</w:t>
      </w:r>
      <w:r>
        <w:rPr>
          <w:rFonts w:ascii="Times New Roman" w:hAnsi="Times New Roman" w:cs="Times New Roman" w:eastAsia="Times New Roman" w:hint="default"/>
        </w:rPr>
        <w:t>100%</w:t>
      </w:r>
      <w:r>
        <w:rPr/>
        <w:t>股权分别转让给上海迪宣投资管理有限公司、 </w:t>
      </w:r>
      <w:r>
        <w:rPr>
          <w:rFonts w:ascii="Times New Roman" w:hAnsi="Times New Roman" w:cs="Times New Roman" w:eastAsia="Times New Roman" w:hint="default"/>
        </w:rPr>
        <w:t>Inspire East Investments Limited</w:t>
      </w:r>
      <w:r>
        <w:rPr/>
        <w:t>、</w:t>
      </w:r>
      <w:r>
        <w:rPr>
          <w:rFonts w:ascii="Times New Roman" w:hAnsi="Times New Roman" w:cs="Times New Roman" w:eastAsia="Times New Roman" w:hint="default"/>
        </w:rPr>
        <w:t>The China</w:t>
      </w:r>
      <w:r>
        <w:rPr>
          <w:rFonts w:ascii="Times New Roman" w:hAnsi="Times New Roman" w:cs="Times New Roman" w:eastAsia="Times New Roman" w:hint="default"/>
          <w:spacing w:val="-24"/>
        </w:rPr>
        <w:t> </w:t>
      </w:r>
      <w:r>
        <w:rPr>
          <w:rFonts w:ascii="Times New Roman" w:hAnsi="Times New Roman" w:cs="Times New Roman" w:eastAsia="Times New Roman" w:hint="default"/>
        </w:rPr>
        <w:t>Fund,Inc.</w:t>
      </w:r>
      <w:r>
        <w:rPr/>
        <w:t>、上海得帆投资管理有限公司、上海得竞投资管理有限公司、上海得拓 </w:t>
      </w:r>
      <w:r>
        <w:rPr>
          <w:spacing w:val="-1"/>
        </w:rPr>
        <w:t>投资管理有限公司和上海得逸投资管理有限公司。转让完成后，上海迪宣投资管理有限公司持有本公司</w:t>
      </w:r>
      <w:r>
        <w:rPr>
          <w:rFonts w:ascii="Times New Roman" w:hAnsi="Times New Roman" w:cs="Times New Roman" w:eastAsia="Times New Roman" w:hint="default"/>
          <w:spacing w:val="-1"/>
        </w:rPr>
        <w:t>50.569%</w:t>
      </w:r>
      <w:r>
        <w:rPr>
          <w:spacing w:val="-1"/>
        </w:rPr>
        <w:t>的股权，计</w:t>
      </w:r>
      <w:r>
        <w:rPr>
          <w:spacing w:val="-44"/>
        </w:rPr>
        <w:t> </w:t>
      </w:r>
      <w:r>
        <w:rPr>
          <w:spacing w:val="-44"/>
        </w:rPr>
      </w:r>
      <w:r>
        <w:rPr>
          <w:rFonts w:ascii="Times New Roman" w:hAnsi="Times New Roman" w:cs="Times New Roman" w:eastAsia="Times New Roman" w:hint="default"/>
        </w:rPr>
        <w:t>108.72</w:t>
      </w:r>
      <w:r>
        <w:rPr/>
        <w:t>万美元；</w:t>
      </w:r>
      <w:r>
        <w:rPr>
          <w:spacing w:val="-24"/>
        </w:rPr>
        <w:t> </w:t>
      </w:r>
      <w:r>
        <w:rPr>
          <w:rFonts w:ascii="Times New Roman" w:hAnsi="Times New Roman" w:cs="Times New Roman" w:eastAsia="Times New Roman" w:hint="default"/>
        </w:rPr>
        <w:t>Inspire</w:t>
      </w:r>
      <w:r>
        <w:rPr>
          <w:rFonts w:ascii="Times New Roman" w:hAnsi="Times New Roman" w:cs="Times New Roman" w:eastAsia="Times New Roman" w:hint="default"/>
          <w:spacing w:val="-4"/>
        </w:rPr>
        <w:t> </w:t>
      </w:r>
      <w:r>
        <w:rPr>
          <w:rFonts w:ascii="Times New Roman" w:hAnsi="Times New Roman" w:cs="Times New Roman" w:eastAsia="Times New Roman" w:hint="default"/>
        </w:rPr>
        <w:t>East</w:t>
      </w:r>
      <w:r>
        <w:rPr>
          <w:rFonts w:ascii="Times New Roman" w:hAnsi="Times New Roman" w:cs="Times New Roman" w:eastAsia="Times New Roman" w:hint="default"/>
          <w:spacing w:val="-4"/>
        </w:rPr>
        <w:t> </w:t>
      </w:r>
      <w:r>
        <w:rPr>
          <w:rFonts w:ascii="Times New Roman" w:hAnsi="Times New Roman" w:cs="Times New Roman" w:eastAsia="Times New Roman" w:hint="default"/>
        </w:rPr>
        <w:t>Investments</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w:t>
      </w:r>
      <w:r>
        <w:rPr>
          <w:rFonts w:ascii="Times New Roman" w:hAnsi="Times New Roman" w:cs="Times New Roman" w:eastAsia="Times New Roman" w:hint="default"/>
        </w:rPr>
        <w:t>The</w:t>
      </w:r>
      <w:r>
        <w:rPr>
          <w:rFonts w:ascii="Times New Roman" w:hAnsi="Times New Roman" w:cs="Times New Roman" w:eastAsia="Times New Roman" w:hint="default"/>
          <w:spacing w:val="-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4"/>
        </w:rPr>
        <w:t> </w:t>
      </w:r>
      <w:r>
        <w:rPr>
          <w:rFonts w:ascii="Times New Roman" w:hAnsi="Times New Roman" w:cs="Times New Roman" w:eastAsia="Times New Roman" w:hint="default"/>
        </w:rPr>
        <w:t>Fund,Inc.</w:t>
      </w:r>
      <w:r>
        <w:rPr/>
        <w:t>持有本公司 </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万美元；上海得帆投资管理有限公司持有本公司</w:t>
      </w:r>
      <w:r>
        <w:rPr>
          <w:rFonts w:ascii="Times New Roman" w:hAnsi="Times New Roman" w:cs="Times New Roman" w:eastAsia="Times New Roman" w:hint="default"/>
        </w:rPr>
        <w:t>7.594%</w:t>
      </w:r>
      <w:r>
        <w:rPr/>
        <w:t>的股权，计</w:t>
      </w:r>
      <w:r>
        <w:rPr>
          <w:rFonts w:ascii="Times New Roman" w:hAnsi="Times New Roman" w:cs="Times New Roman" w:eastAsia="Times New Roman" w:hint="default"/>
        </w:rPr>
        <w:t>16.33</w:t>
      </w:r>
      <w:r>
        <w:rPr/>
        <w:t>万美元；上海得竞投资管 </w:t>
      </w:r>
      <w:r>
        <w:rPr>
          <w:spacing w:val="-1"/>
        </w:rPr>
        <w:t>理有限公司持有本公司</w:t>
      </w:r>
      <w:r>
        <w:rPr>
          <w:rFonts w:ascii="Times New Roman" w:hAnsi="Times New Roman" w:cs="Times New Roman" w:eastAsia="Times New Roman" w:hint="default"/>
          <w:spacing w:val="-1"/>
        </w:rPr>
        <w:t>5.232%</w:t>
      </w:r>
      <w:r>
        <w:rPr>
          <w:spacing w:val="-1"/>
        </w:rPr>
        <w:t>的股权，计</w:t>
      </w:r>
      <w:r>
        <w:rPr>
          <w:rFonts w:ascii="Times New Roman" w:hAnsi="Times New Roman" w:cs="Times New Roman" w:eastAsia="Times New Roman" w:hint="default"/>
          <w:spacing w:val="-1"/>
        </w:rPr>
        <w:t>11.25</w:t>
      </w:r>
      <w:r>
        <w:rPr>
          <w:spacing w:val="-1"/>
        </w:rPr>
        <w:t>万美元；上海得拓投资管理有限公司持有本公司</w:t>
      </w:r>
      <w:r>
        <w:rPr>
          <w:rFonts w:ascii="Times New Roman" w:hAnsi="Times New Roman" w:cs="Times New Roman" w:eastAsia="Times New Roman" w:hint="default"/>
          <w:spacing w:val="-1"/>
        </w:rPr>
        <w:t>5.745%</w:t>
      </w:r>
      <w:r>
        <w:rPr>
          <w:spacing w:val="-1"/>
        </w:rPr>
        <w:t>的股权，计</w:t>
      </w:r>
      <w:r>
        <w:rPr>
          <w:rFonts w:ascii="Times New Roman" w:hAnsi="Times New Roman" w:cs="Times New Roman" w:eastAsia="Times New Roman" w:hint="default"/>
          <w:spacing w:val="-1"/>
        </w:rPr>
        <w:t>12.35</w:t>
      </w:r>
      <w:r>
        <w:rPr>
          <w:spacing w:val="-1"/>
        </w:rPr>
        <w:t>万美</w:t>
      </w:r>
      <w:r>
        <w:rPr>
          <w:spacing w:val="-53"/>
        </w:rPr>
        <w:t> </w:t>
      </w:r>
      <w:r>
        <w:rPr/>
        <w:t>元；上海得逸投资管理有限公司持有本公司</w:t>
      </w:r>
      <w:r>
        <w:rPr>
          <w:rFonts w:ascii="Times New Roman" w:hAnsi="Times New Roman" w:cs="Times New Roman" w:eastAsia="Times New Roman" w:hint="default"/>
        </w:rPr>
        <w:t>12.132%</w:t>
      </w:r>
      <w:r>
        <w:rPr/>
        <w:t>的股权，计</w:t>
      </w:r>
      <w:r>
        <w:rPr>
          <w:rFonts w:ascii="Times New Roman" w:hAnsi="Times New Roman" w:cs="Times New Roman" w:eastAsia="Times New Roman" w:hint="default"/>
        </w:rPr>
        <w:t>26.08</w:t>
      </w:r>
      <w:r>
        <w:rPr/>
        <w:t>万美元。</w:t>
      </w:r>
    </w:p>
    <w:p>
      <w:pPr>
        <w:pStyle w:val="BodyText"/>
        <w:spacing w:line="302" w:lineRule="auto" w:before="13"/>
        <w:ind w:left="153" w:right="91" w:firstLine="36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日，本公司董事会作出决议，同意本公司整体变更为股份有限公司，同日，本公司的全体股东签订了《发</w:t>
      </w:r>
      <w:r>
        <w:rPr/>
        <w:t> 起人协议》。上海商务委于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日以沪商外资批</w:t>
      </w:r>
      <w:r>
        <w:rPr>
          <w:rFonts w:ascii="Times New Roman" w:hAnsi="Times New Roman" w:cs="Times New Roman" w:eastAsia="Times New Roman" w:hint="default"/>
        </w:rPr>
        <w:t>[2010]28</w:t>
      </w:r>
      <w:r>
        <w:rPr/>
        <w:t>号《市商务委关于同意上海汉得信息技术有限公司变更为外 商投资股份有限公司的批复》批准本公司整体变更为股份有限公司，上海市人民政府同意本公司整体变更为股份有限公司， 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日颁发商外资沪股份字</w:t>
      </w:r>
      <w:r>
        <w:rPr>
          <w:rFonts w:ascii="Times New Roman" w:hAnsi="Times New Roman" w:cs="Times New Roman" w:eastAsia="Times New Roman" w:hint="default"/>
        </w:rPr>
        <w:t>[2002]1793</w:t>
      </w:r>
      <w:r>
        <w:rPr/>
        <w:t>号《中华人民共和国外商投资企业批准证书》。根据董事会决议及发起 </w:t>
      </w:r>
      <w:r>
        <w:rPr>
          <w:spacing w:val="-2"/>
        </w:rPr>
        <w:t>人协议，本公司各股东以其所拥有的截止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日上海汉得信息技术有限公司的净资产</w:t>
      </w:r>
      <w:r>
        <w:rPr>
          <w:rFonts w:ascii="Times New Roman" w:hAnsi="Times New Roman" w:cs="Times New Roman" w:eastAsia="Times New Roman" w:hint="default"/>
          <w:spacing w:val="-2"/>
        </w:rPr>
        <w:t>14,035.68</w:t>
      </w:r>
      <w:r>
        <w:rPr>
          <w:spacing w:val="-2"/>
        </w:rPr>
        <w:t>万元按原出资比例认</w:t>
      </w:r>
      <w:r>
        <w:rPr>
          <w:spacing w:val="-48"/>
        </w:rPr>
        <w:t> </w:t>
      </w:r>
      <w:r>
        <w:rPr/>
        <w:t>购公司股份，按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0.6108</w:t>
      </w:r>
      <w:r>
        <w:rPr/>
        <w:t>的比例折合股份总额，共计</w:t>
      </w:r>
      <w:r>
        <w:rPr>
          <w:rFonts w:ascii="Times New Roman" w:hAnsi="Times New Roman" w:cs="Times New Roman" w:eastAsia="Times New Roman" w:hint="default"/>
        </w:rPr>
        <w:t>8,572.45</w:t>
      </w:r>
      <w:r>
        <w:rPr/>
        <w:t>万股，净资产大于股本部分</w:t>
      </w:r>
      <w:r>
        <w:rPr>
          <w:rFonts w:ascii="Times New Roman" w:hAnsi="Times New Roman" w:cs="Times New Roman" w:eastAsia="Times New Roman" w:hint="default"/>
        </w:rPr>
        <w:t>5,463.23</w:t>
      </w:r>
      <w:r>
        <w:rPr/>
        <w:t>万元计入资本公积。立信 会计师事务所有限公司就此次整体变更出具了信会师报字（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10274</w:t>
      </w:r>
      <w:r>
        <w:rPr/>
        <w:t>号《验资报告》。上海市工商行政管理局于</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日换发了《企业法人营业执照》，注册号</w:t>
      </w:r>
      <w:r>
        <w:rPr>
          <w:rFonts w:ascii="Times New Roman" w:hAnsi="Times New Roman" w:cs="Times New Roman" w:eastAsia="Times New Roman" w:hint="default"/>
        </w:rPr>
        <w:t>/</w:t>
      </w:r>
      <w:r>
        <w:rPr/>
        <w:t>统一社会信用代码：</w:t>
      </w:r>
      <w:r>
        <w:rPr>
          <w:rFonts w:ascii="Times New Roman" w:hAnsi="Times New Roman" w:cs="Times New Roman" w:eastAsia="Times New Roman" w:hint="default"/>
        </w:rPr>
        <w:t>310000400308460</w:t>
      </w:r>
      <w:r>
        <w:rPr/>
        <w:t>（市局）。</w:t>
      </w:r>
    </w:p>
    <w:p>
      <w:pPr>
        <w:pStyle w:val="BodyText"/>
        <w:spacing w:line="300" w:lineRule="auto" w:before="11"/>
        <w:ind w:left="153" w:right="181" w:firstLine="360"/>
        <w:jc w:val="left"/>
      </w:pPr>
      <w:r>
        <w:rPr/>
        <w:t>经中国证券监督管理委员会证监发行字</w:t>
      </w:r>
      <w:r>
        <w:rPr>
          <w:rFonts w:ascii="Times New Roman" w:hAnsi="Times New Roman" w:cs="Times New Roman" w:eastAsia="Times New Roman" w:hint="default"/>
        </w:rPr>
        <w:t>[2010]1835</w:t>
      </w:r>
      <w:r>
        <w:rPr/>
        <w:t>号文核准，公司于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月向社会公开发行人民币普通股（</w:t>
      </w:r>
      <w:r>
        <w:rPr>
          <w:rFonts w:ascii="Times New Roman" w:hAnsi="Times New Roman" w:cs="Times New Roman" w:eastAsia="Times New Roman" w:hint="default"/>
        </w:rPr>
        <w:t>A</w:t>
      </w:r>
      <w:r>
        <w:rPr/>
        <w:t>股） </w:t>
      </w:r>
      <w:r>
        <w:rPr>
          <w:rFonts w:ascii="Times New Roman" w:hAnsi="Times New Roman" w:cs="Times New Roman" w:eastAsia="Times New Roman" w:hint="default"/>
        </w:rPr>
        <w:t>3,000</w:t>
      </w:r>
      <w:r>
        <w:rPr/>
        <w:t>万股，增加注册资本</w:t>
      </w:r>
      <w:r>
        <w:rPr>
          <w:rFonts w:ascii="Times New Roman" w:hAnsi="Times New Roman" w:cs="Times New Roman" w:eastAsia="Times New Roman" w:hint="default"/>
        </w:rPr>
        <w:t>3,000</w:t>
      </w:r>
      <w:r>
        <w:rPr/>
        <w:t>万元，增加后的注册资本为人民币</w:t>
      </w:r>
      <w:r>
        <w:rPr>
          <w:rFonts w:ascii="Times New Roman" w:hAnsi="Times New Roman" w:cs="Times New Roman" w:eastAsia="Times New Roman" w:hint="default"/>
        </w:rPr>
        <w:t>11,572.45</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日在深圳证券交易所挂 牌上市，深圳证券交易所创业板</w:t>
      </w:r>
      <w:r>
        <w:rPr>
          <w:rFonts w:ascii="Times New Roman" w:hAnsi="Times New Roman" w:cs="Times New Roman" w:eastAsia="Times New Roman" w:hint="default"/>
        </w:rPr>
        <w:t>A</w:t>
      </w:r>
      <w:r>
        <w:rPr/>
        <w:t>股交易代码：</w:t>
      </w:r>
      <w:r>
        <w:rPr>
          <w:rFonts w:ascii="Times New Roman" w:hAnsi="Times New Roman" w:cs="Times New Roman" w:eastAsia="Times New Roman" w:hint="default"/>
        </w:rPr>
        <w:t>300170</w:t>
      </w:r>
      <w:r>
        <w:rPr/>
        <w:t>，</w:t>
      </w:r>
      <w:r>
        <w:rPr>
          <w:rFonts w:ascii="Times New Roman" w:hAnsi="Times New Roman" w:cs="Times New Roman" w:eastAsia="Times New Roman" w:hint="default"/>
        </w:rPr>
        <w:t>A</w:t>
      </w:r>
      <w:r>
        <w:rPr/>
        <w:t>股简称：汉得信息。所属行业为软件服务类。</w:t>
      </w:r>
    </w:p>
    <w:p>
      <w:pPr>
        <w:pStyle w:val="BodyText"/>
        <w:spacing w:line="300" w:lineRule="auto" w:before="13"/>
        <w:ind w:left="153" w:right="271" w:firstLine="360"/>
        <w:jc w:val="left"/>
      </w:pPr>
      <w:r>
        <w:rPr/>
        <w:t>根据本公司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日股本</w:t>
      </w:r>
      <w:r>
        <w:rPr>
          <w:rFonts w:ascii="Times New Roman" w:hAnsi="Times New Roman" w:cs="Times New Roman" w:eastAsia="Times New Roman" w:hint="default"/>
        </w:rPr>
        <w:t>11,572.45</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4 </w:t>
      </w:r>
      <w:r>
        <w:rPr/>
        <w:t>股，共计转增</w:t>
      </w:r>
      <w:r>
        <w:rPr>
          <w:rFonts w:ascii="Times New Roman" w:hAnsi="Times New Roman" w:cs="Times New Roman" w:eastAsia="Times New Roman" w:hint="default"/>
        </w:rPr>
        <w:t>4,628.98</w:t>
      </w:r>
      <w:r>
        <w:rPr/>
        <w:t>万股，转增后股本为</w:t>
      </w:r>
      <w:r>
        <w:rPr>
          <w:rFonts w:ascii="Times New Roman" w:hAnsi="Times New Roman" w:cs="Times New Roman" w:eastAsia="Times New Roman" w:hint="default"/>
        </w:rPr>
        <w:t>16,201.43</w:t>
      </w:r>
      <w:r>
        <w:rPr/>
        <w:t>万元。</w:t>
      </w:r>
    </w:p>
    <w:p>
      <w:pPr>
        <w:pStyle w:val="BodyText"/>
        <w:spacing w:line="300" w:lineRule="auto" w:before="13"/>
        <w:ind w:left="153" w:right="191" w:firstLine="360"/>
        <w:jc w:val="both"/>
      </w:pPr>
      <w:r>
        <w:rPr>
          <w:spacing w:val="-2"/>
        </w:rPr>
        <w:t>经公司</w:t>
      </w:r>
      <w:r>
        <w:rPr>
          <w:rFonts w:ascii="Times New Roman" w:hAnsi="Times New Roman" w:cs="Times New Roman" w:eastAsia="Times New Roman" w:hint="default"/>
          <w:spacing w:val="-2"/>
        </w:rPr>
        <w:t>2011</w:t>
      </w:r>
      <w:r>
        <w:rPr>
          <w:spacing w:val="-2"/>
        </w:rPr>
        <w:t>年度第一次临时股东大会及</w:t>
      </w:r>
      <w:r>
        <w:rPr>
          <w:rFonts w:ascii="Times New Roman" w:hAnsi="Times New Roman" w:cs="Times New Roman" w:eastAsia="Times New Roman" w:hint="default"/>
          <w:spacing w:val="-2"/>
        </w:rPr>
        <w:t>2011</w:t>
      </w:r>
      <w:r>
        <w:rPr>
          <w:spacing w:val="-2"/>
        </w:rPr>
        <w:t>年度第一届董事会第十七次（临时）会议决议通过，并经中国证券监督委员</w:t>
      </w:r>
      <w:r>
        <w:rPr/>
        <w:t> 会审核通过，向本公司</w:t>
      </w:r>
      <w:r>
        <w:rPr>
          <w:rFonts w:ascii="Times New Roman" w:hAnsi="Times New Roman" w:cs="Times New Roman" w:eastAsia="Times New Roman" w:hint="default"/>
        </w:rPr>
        <w:t>314</w:t>
      </w:r>
      <w:r>
        <w:rPr/>
        <w:t>名激励对象授予</w:t>
      </w:r>
      <w:r>
        <w:rPr>
          <w:rFonts w:ascii="Times New Roman" w:hAnsi="Times New Roman" w:cs="Times New Roman" w:eastAsia="Times New Roman" w:hint="default"/>
        </w:rPr>
        <w:t>599.35</w:t>
      </w:r>
      <w:r>
        <w:rPr/>
        <w:t>万股限制性股票，并确定授予日为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日。授予股票来源为向激励 对象定向发行人民币</w:t>
      </w:r>
      <w:r>
        <w:rPr>
          <w:rFonts w:ascii="Times New Roman" w:hAnsi="Times New Roman" w:cs="Times New Roman" w:eastAsia="Times New Roman" w:hint="default"/>
        </w:rPr>
        <w:t>A</w:t>
      </w:r>
      <w:r>
        <w:rPr/>
        <w:t>股普通股限制性股票。本次定向发行完成后本公司股本总额为</w:t>
      </w:r>
      <w:r>
        <w:rPr>
          <w:rFonts w:ascii="Times New Roman" w:hAnsi="Times New Roman" w:cs="Times New Roman" w:eastAsia="Times New Roman" w:hint="default"/>
        </w:rPr>
        <w:t>16,800.78</w:t>
      </w:r>
      <w:r>
        <w:rPr/>
        <w:t>万元。</w:t>
      </w:r>
    </w:p>
    <w:p>
      <w:pPr>
        <w:pStyle w:val="BodyText"/>
        <w:spacing w:line="240" w:lineRule="auto" w:before="13"/>
        <w:ind w:left="513" w:right="91"/>
        <w:jc w:val="left"/>
      </w:pPr>
      <w:r>
        <w:rPr>
          <w:rFonts w:ascii="Times New Roman" w:hAnsi="Times New Roman" w:cs="Times New Roman" w:eastAsia="Times New Roman" w:hint="default"/>
        </w:rPr>
        <w:t>2012</w:t>
      </w:r>
      <w:r>
        <w:rPr/>
        <w:t>年，公司回购并注销</w:t>
      </w:r>
      <w:r>
        <w:rPr>
          <w:rFonts w:ascii="Times New Roman" w:hAnsi="Times New Roman" w:cs="Times New Roman" w:eastAsia="Times New Roman" w:hint="default"/>
        </w:rPr>
        <w:t>19.50</w:t>
      </w:r>
      <w:r>
        <w:rPr/>
        <w:t>万股限制性股票。</w:t>
      </w:r>
    </w:p>
    <w:p>
      <w:pPr>
        <w:pStyle w:val="BodyText"/>
        <w:spacing w:line="300" w:lineRule="auto" w:before="63"/>
        <w:ind w:left="153" w:right="91"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日，根据公司第一届董事会第三十八次（临时）会议关于授予限制性股票的决议、第一届董事会第三十九 </w:t>
      </w:r>
      <w:r>
        <w:rPr>
          <w:spacing w:val="-4"/>
        </w:rPr>
        <w:t>次（临时）会议对授予股数和人数的调整以及《上海汉得信息技术股份有限公司</w:t>
      </w:r>
      <w:r>
        <w:rPr>
          <w:rFonts w:ascii="Times New Roman" w:hAnsi="Times New Roman" w:cs="Times New Roman" w:eastAsia="Times New Roman" w:hint="default"/>
          <w:spacing w:val="-4"/>
        </w:rPr>
        <w:t>2012 </w:t>
      </w:r>
      <w:r>
        <w:rPr>
          <w:spacing w:val="-6"/>
        </w:rPr>
        <w:t>年限制性股票激励计划（草案修订稿）》</w:t>
      </w:r>
      <w:r>
        <w:rPr>
          <w:spacing w:val="-86"/>
        </w:rPr>
        <w:t> </w:t>
      </w:r>
      <w:r>
        <w:rPr>
          <w:spacing w:val="-86"/>
        </w:rPr>
      </w:r>
      <w:r>
        <w:rPr/>
        <w:t>相关要求，公司董事会实施并完成了限制性股票的授予工作，向激励对象定向发行</w:t>
      </w:r>
      <w:r>
        <w:rPr>
          <w:rFonts w:ascii="Times New Roman" w:hAnsi="Times New Roman" w:cs="Times New Roman" w:eastAsia="Times New Roman" w:hint="default"/>
        </w:rPr>
        <w:t>963.50</w:t>
      </w:r>
      <w:r>
        <w:rPr/>
        <w:t>万股限制性股票。</w:t>
      </w:r>
    </w:p>
    <w:p>
      <w:pPr>
        <w:pStyle w:val="BodyText"/>
        <w:spacing w:line="300" w:lineRule="auto" w:before="13"/>
        <w:ind w:left="153" w:right="271" w:firstLine="360"/>
        <w:jc w:val="left"/>
      </w:pPr>
      <w:r>
        <w:rPr/>
        <w:t>根据本公司</w:t>
      </w:r>
      <w:r>
        <w:rPr>
          <w:rFonts w:ascii="Times New Roman" w:hAnsi="Times New Roman" w:cs="Times New Roman" w:eastAsia="Times New Roman" w:hint="default"/>
        </w:rPr>
        <w:t>2012</w:t>
      </w:r>
      <w:r>
        <w:rPr/>
        <w:t>年度股东大会决议，本公司以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日股本</w:t>
      </w:r>
      <w:r>
        <w:rPr>
          <w:rFonts w:ascii="Times New Roman" w:hAnsi="Times New Roman" w:cs="Times New Roman" w:eastAsia="Times New Roman" w:hint="default"/>
        </w:rPr>
        <w:t>17,744.78</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5 </w:t>
      </w:r>
      <w:r>
        <w:rPr/>
        <w:t>股，共计转增</w:t>
      </w:r>
      <w:r>
        <w:rPr>
          <w:rFonts w:ascii="Times New Roman" w:hAnsi="Times New Roman" w:cs="Times New Roman" w:eastAsia="Times New Roman" w:hint="default"/>
        </w:rPr>
        <w:t>8,872.39</w:t>
      </w:r>
      <w:r>
        <w:rPr/>
        <w:t>万股，转增后股本为</w:t>
      </w:r>
      <w:r>
        <w:rPr>
          <w:rFonts w:ascii="Times New Roman" w:hAnsi="Times New Roman" w:cs="Times New Roman" w:eastAsia="Times New Roman" w:hint="default"/>
        </w:rPr>
        <w:t>26,617.17</w:t>
      </w:r>
      <w:r>
        <w:rPr/>
        <w:t>万元。</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91"/>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月，公司回购并注销</w:t>
      </w:r>
      <w:r>
        <w:rPr>
          <w:rFonts w:ascii="Times New Roman" w:hAnsi="Times New Roman" w:cs="Times New Roman" w:eastAsia="Times New Roman" w:hint="default"/>
        </w:rPr>
        <w:t>149.96</w:t>
      </w:r>
      <w:r>
        <w:rPr/>
        <w:t>万股限制性股票。</w:t>
      </w:r>
    </w:p>
    <w:p>
      <w:pPr>
        <w:pStyle w:val="BodyText"/>
        <w:spacing w:line="300" w:lineRule="auto" w:before="63"/>
        <w:ind w:left="153" w:right="191"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spacing w:val="-2"/>
        </w:rPr>
        <w:t>年</w:t>
      </w:r>
      <w:r>
        <w:rPr>
          <w:rFonts w:ascii="Times New Roman" w:hAnsi="Times New Roman" w:cs="Times New Roman" w:eastAsia="Times New Roman" w:hint="default"/>
          <w:spacing w:val="-2"/>
        </w:rPr>
        <w:t>6</w:t>
      </w:r>
      <w:r>
        <w:rPr>
          <w:spacing w:val="-2"/>
        </w:rPr>
        <w:t>月，根据公司第二届董事会第八次（临时）会议关于授予限制性股票的决议、第二届董事会第十次（临时）会</w:t>
      </w:r>
      <w:r>
        <w:rPr/>
        <w:t> 议通过《关于调整公司</w:t>
      </w:r>
      <w:r>
        <w:rPr>
          <w:rFonts w:ascii="Times New Roman" w:hAnsi="Times New Roman" w:cs="Times New Roman" w:eastAsia="Times New Roman" w:hint="default"/>
        </w:rPr>
        <w:t>2013</w:t>
      </w:r>
      <w:r>
        <w:rPr>
          <w:rFonts w:ascii="Times New Roman" w:hAnsi="Times New Roman" w:cs="Times New Roman" w:eastAsia="Times New Roman" w:hint="default"/>
          <w:spacing w:val="27"/>
        </w:rPr>
        <w:t> </w:t>
      </w:r>
      <w:r>
        <w:rPr/>
        <w:t>年限制性股票激励计划的议案》对授予股数和人数的调整及《上海汉得信息技术股份有限公司 </w:t>
      </w:r>
      <w:r>
        <w:rPr>
          <w:rFonts w:ascii="Times New Roman" w:hAnsi="Times New Roman" w:cs="Times New Roman" w:eastAsia="Times New Roman" w:hint="default"/>
        </w:rPr>
        <w:t>2013</w:t>
      </w:r>
      <w:r>
        <w:rPr>
          <w:rFonts w:ascii="Times New Roman" w:hAnsi="Times New Roman" w:cs="Times New Roman" w:eastAsia="Times New Roman" w:hint="default"/>
          <w:spacing w:val="26"/>
        </w:rPr>
        <w:t> </w:t>
      </w:r>
      <w:r>
        <w:rPr/>
        <w:t>年限制性股票激励计划（草案修订稿）》相关要求，公司董事会实施并完成了限制性股票的授予工作，向激励对象定 向发行</w:t>
      </w:r>
      <w:r>
        <w:rPr>
          <w:rFonts w:ascii="Times New Roman" w:hAnsi="Times New Roman" w:cs="Times New Roman" w:eastAsia="Times New Roman" w:hint="default"/>
        </w:rPr>
        <w:t>552.60</w:t>
      </w:r>
      <w:r>
        <w:rPr/>
        <w:t>万股限制性股票。</w:t>
      </w:r>
    </w:p>
    <w:p>
      <w:pPr>
        <w:pStyle w:val="BodyText"/>
        <w:spacing w:line="240" w:lineRule="auto" w:before="13"/>
        <w:ind w:left="513" w:right="91"/>
        <w:jc w:val="left"/>
      </w:pPr>
      <w:r>
        <w:rPr/>
        <w:t>根据本公司</w:t>
      </w:r>
      <w:r>
        <w:rPr>
          <w:rFonts w:ascii="Times New Roman" w:hAnsi="Times New Roman" w:cs="Times New Roman" w:eastAsia="Times New Roman" w:hint="default"/>
        </w:rPr>
        <w:t>2013</w:t>
      </w:r>
      <w:r>
        <w:rPr/>
        <w:t>年度股东大会决议，本公司以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 </w:t>
      </w:r>
      <w:r>
        <w:rPr>
          <w:rFonts w:ascii="Times New Roman" w:hAnsi="Times New Roman" w:cs="Times New Roman" w:eastAsia="Times New Roman" w:hint="default"/>
          <w:spacing w:val="2"/>
        </w:rPr>
        <w:t> </w:t>
      </w:r>
      <w:r>
        <w:rPr/>
        <w:t>日股本</w:t>
      </w:r>
      <w:r>
        <w:rPr>
          <w:rFonts w:ascii="Times New Roman" w:hAnsi="Times New Roman" w:cs="Times New Roman" w:eastAsia="Times New Roman" w:hint="default"/>
        </w:rPr>
        <w:t>27,019.81</w:t>
      </w:r>
      <w:r>
        <w:rPr/>
        <w:t>万股为基数，按每</w:t>
      </w:r>
      <w:r>
        <w:rPr>
          <w:rFonts w:ascii="Times New Roman" w:hAnsi="Times New Roman" w:cs="Times New Roman" w:eastAsia="Times New Roman" w:hint="default"/>
        </w:rPr>
        <w:t>10</w:t>
      </w:r>
      <w:r>
        <w:rPr/>
        <w:t>股由资本公积金转增</w:t>
      </w:r>
    </w:p>
    <w:p>
      <w:pPr>
        <w:pStyle w:val="BodyText"/>
        <w:spacing w:line="240" w:lineRule="auto" w:before="63"/>
        <w:ind w:left="153" w:right="0"/>
        <w:jc w:val="both"/>
      </w:pP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w:t>
      </w:r>
      <w:r>
        <w:rPr/>
        <w:t>万股，转增后股本为</w:t>
      </w:r>
      <w:r>
        <w:rPr>
          <w:rFonts w:ascii="Times New Roman" w:hAnsi="Times New Roman" w:cs="Times New Roman" w:eastAsia="Times New Roman" w:hint="default"/>
        </w:rPr>
        <w:t>53,636.98</w:t>
      </w:r>
      <w:r>
        <w:rPr/>
        <w:t>万元。</w:t>
      </w:r>
    </w:p>
    <w:p>
      <w:pPr>
        <w:pStyle w:val="BodyText"/>
        <w:spacing w:line="240" w:lineRule="auto" w:before="63"/>
        <w:ind w:left="513" w:right="91"/>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月，根据公司第二届董事会第二十二次（临时）会议关于授予限制性股票的决议、第二届董事会第二十三次</w:t>
      </w:r>
    </w:p>
    <w:p>
      <w:pPr>
        <w:pStyle w:val="BodyText"/>
        <w:spacing w:line="300" w:lineRule="auto" w:before="63"/>
        <w:ind w:left="153" w:right="216"/>
        <w:jc w:val="both"/>
      </w:pPr>
      <w:r>
        <w:rPr/>
        <w:t>（临时）会议通过的《关于调整公司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年限制性股票激励计划的议案》对授予股数和人数的调整及《上海汉得信息技术 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年限制性股票激励计划（草案）》相关要求，公司董事会实施并完成了限制性股票的授予工作，向激励 对象定向发行</w:t>
      </w:r>
      <w:r>
        <w:rPr>
          <w:rFonts w:ascii="Times New Roman" w:hAnsi="Times New Roman" w:cs="Times New Roman" w:eastAsia="Times New Roman" w:hint="default"/>
        </w:rPr>
        <w:t>12,696,000</w:t>
      </w:r>
      <w:r>
        <w:rPr/>
        <w:t>股限制性股票。</w:t>
      </w:r>
    </w:p>
    <w:p>
      <w:pPr>
        <w:pStyle w:val="BodyText"/>
        <w:spacing w:line="300" w:lineRule="auto" w:before="13"/>
        <w:ind w:left="153" w:right="191" w:firstLine="360"/>
        <w:jc w:val="both"/>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2014</w:t>
      </w:r>
      <w:r>
        <w:rPr>
          <w:spacing w:val="-2"/>
        </w:rPr>
        <w:t>年年度股东大会决议，以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日总股本</w:t>
      </w:r>
      <w:r>
        <w:rPr>
          <w:rFonts w:ascii="Times New Roman" w:hAnsi="Times New Roman" w:cs="Times New Roman" w:eastAsia="Times New Roman" w:hint="default"/>
          <w:spacing w:val="-2"/>
        </w:rPr>
        <w:t>549,065,756</w:t>
      </w:r>
      <w:r>
        <w:rPr>
          <w:spacing w:val="-2"/>
        </w:rPr>
        <w:t>股为基数，以资本公积金向</w:t>
      </w:r>
      <w:r>
        <w:rPr/>
        <w:t> 全体股东每</w:t>
      </w:r>
      <w:r>
        <w:rPr>
          <w:spacing w:val="-19"/>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274,532,878</w:t>
      </w:r>
      <w:r>
        <w:rPr/>
        <w:t>股，转增后总股本增至</w:t>
      </w:r>
      <w:r>
        <w:rPr>
          <w:rFonts w:ascii="Times New Roman" w:hAnsi="Times New Roman" w:cs="Times New Roman" w:eastAsia="Times New Roman" w:hint="default"/>
        </w:rPr>
        <w:t>823,598,634</w:t>
      </w:r>
      <w:r>
        <w:rPr/>
        <w:t>股。</w:t>
      </w:r>
    </w:p>
    <w:p>
      <w:pPr>
        <w:pStyle w:val="BodyText"/>
        <w:spacing w:line="300" w:lineRule="auto" w:before="13"/>
        <w:ind w:left="153" w:right="190" w:firstLine="36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月，根据公司第二届董事会第三十六次（临时）会议关于授予限制性股票的决议、第二届董事会第三十九次（临</w:t>
      </w:r>
      <w:r>
        <w:rPr/>
        <w:t> </w:t>
      </w:r>
      <w:r>
        <w:rPr>
          <w:spacing w:val="-2"/>
        </w:rPr>
        <w:t>时）会议通过《关于调整公司</w:t>
      </w:r>
      <w:r>
        <w:rPr>
          <w:rFonts w:ascii="Times New Roman" w:hAnsi="Times New Roman" w:cs="Times New Roman" w:eastAsia="Times New Roman" w:hint="default"/>
          <w:spacing w:val="-2"/>
        </w:rPr>
        <w:t>2015</w:t>
      </w:r>
      <w:r>
        <w:rPr>
          <w:spacing w:val="-2"/>
        </w:rPr>
        <w:t>年限制性股票激励计划的议案》对授予股数和人数的调整及《上海汉得信息技术股份有限</w:t>
      </w:r>
      <w:r>
        <w:rPr>
          <w:spacing w:val="-62"/>
        </w:rPr>
        <w:t> </w:t>
      </w:r>
      <w:r>
        <w:rPr>
          <w:spacing w:val="-62"/>
        </w:rPr>
      </w:r>
      <w:r>
        <w:rPr>
          <w:spacing w:val="-2"/>
        </w:rPr>
        <w:t>公司</w:t>
      </w:r>
      <w:r>
        <w:rPr>
          <w:rFonts w:ascii="Times New Roman" w:hAnsi="Times New Roman" w:cs="Times New Roman" w:eastAsia="Times New Roman" w:hint="default"/>
          <w:spacing w:val="-2"/>
        </w:rPr>
        <w:t>2015</w:t>
      </w:r>
      <w:r>
        <w:rPr>
          <w:spacing w:val="-2"/>
        </w:rPr>
        <w:t>年限制性股票激励计划（草案）》相关要求，公司董事会实施并完成了限制性股票的授予工作，向激励对象定向发</w:t>
      </w:r>
      <w:r>
        <w:rPr>
          <w:spacing w:val="-62"/>
        </w:rPr>
        <w:t> </w:t>
      </w:r>
      <w:r>
        <w:rPr>
          <w:spacing w:val="-62"/>
        </w:rPr>
      </w:r>
      <w:r>
        <w:rPr/>
        <w:t>行</w:t>
      </w:r>
      <w:r>
        <w:rPr>
          <w:rFonts w:ascii="Times New Roman" w:hAnsi="Times New Roman" w:cs="Times New Roman" w:eastAsia="Times New Roman" w:hint="default"/>
        </w:rPr>
        <w:t>5,026,000</w:t>
      </w:r>
      <w:r>
        <w:rPr/>
        <w:t>股限制性股票，增发后股本增至</w:t>
      </w:r>
      <w:r>
        <w:rPr>
          <w:rFonts w:ascii="Times New Roman" w:hAnsi="Times New Roman" w:cs="Times New Roman" w:eastAsia="Times New Roman" w:hint="default"/>
        </w:rPr>
        <w:t>82,862.46</w:t>
      </w:r>
      <w:r>
        <w:rPr/>
        <w:t>万股。</w:t>
      </w:r>
    </w:p>
    <w:p>
      <w:pPr>
        <w:pStyle w:val="BodyText"/>
        <w:spacing w:line="300" w:lineRule="auto" w:before="13"/>
        <w:ind w:right="191" w:firstLine="360"/>
        <w:jc w:val="both"/>
      </w:pPr>
      <w:r>
        <w:rPr>
          <w:spacing w:val="-2"/>
        </w:rPr>
        <w:t>根据中国证券监督管理委员会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2392</w:t>
      </w:r>
      <w:r>
        <w:rPr>
          <w:spacing w:val="-2"/>
        </w:rPr>
        <w:t>号</w:t>
      </w:r>
      <w:r>
        <w:rPr>
          <w:rFonts w:ascii="Times New Roman" w:hAnsi="Times New Roman" w:cs="Times New Roman" w:eastAsia="Times New Roman" w:hint="default"/>
          <w:spacing w:val="-2"/>
        </w:rPr>
        <w:t>”</w:t>
      </w:r>
      <w:r>
        <w:rPr>
          <w:spacing w:val="-2"/>
        </w:rPr>
        <w:t>〈关于核准上海汉得信息技术股份有限公司向赵旭民等发行股</w:t>
      </w:r>
      <w:r>
        <w:rPr/>
        <w:t> 份购买资产的批复〉的规定，公司董事会于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月完成了限制性股票的发行工作，向赵旭民、刘涛发行</w:t>
      </w:r>
      <w:r>
        <w:rPr>
          <w:rFonts w:ascii="Times New Roman" w:hAnsi="Times New Roman" w:cs="Times New Roman" w:eastAsia="Times New Roman" w:hint="default"/>
        </w:rPr>
        <w:t>6,750,000</w:t>
      </w:r>
      <w:r>
        <w:rPr/>
        <w:t>股限制 性股票，收购其持有的扬州达美投资管理有限公司</w:t>
      </w:r>
      <w:r>
        <w:rPr>
          <w:rFonts w:ascii="Times New Roman" w:hAnsi="Times New Roman" w:cs="Times New Roman" w:eastAsia="Times New Roman" w:hint="default"/>
        </w:rPr>
        <w:t>100%</w:t>
      </w:r>
      <w:r>
        <w:rPr/>
        <w:t>股权。</w:t>
      </w:r>
    </w:p>
    <w:p>
      <w:pPr>
        <w:pStyle w:val="BodyText"/>
        <w:spacing w:line="300" w:lineRule="auto" w:before="13"/>
        <w:ind w:right="91"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月，根据公司第二届董事会第四十六次（临时）会议关于授予限制性股票的决议、第三届董事会第二次（临时）</w:t>
      </w:r>
      <w:r>
        <w:rPr/>
        <w:t> 会议通过的《关于调整公司</w:t>
      </w:r>
      <w:r>
        <w:rPr>
          <w:spacing w:val="-18"/>
        </w:rPr>
        <w:t> </w:t>
      </w:r>
      <w:r>
        <w:rPr>
          <w:rFonts w:ascii="Times New Roman" w:hAnsi="Times New Roman" w:cs="Times New Roman" w:eastAsia="Times New Roman" w:hint="default"/>
        </w:rPr>
        <w:t>2016</w:t>
      </w:r>
      <w:r>
        <w:rPr/>
        <w:t>年限制性股票激励计划的议案》对授予股数和人数的调整及《上海汉得信息技术股份有限 </w:t>
      </w:r>
      <w:r>
        <w:rPr>
          <w:spacing w:val="-2"/>
        </w:rPr>
        <w:t>公司</w:t>
      </w:r>
      <w:r>
        <w:rPr>
          <w:rFonts w:ascii="Times New Roman" w:hAnsi="Times New Roman" w:cs="Times New Roman" w:eastAsia="Times New Roman" w:hint="default"/>
          <w:spacing w:val="-2"/>
        </w:rPr>
        <w:t>2016</w:t>
      </w:r>
      <w:r>
        <w:rPr>
          <w:spacing w:val="-2"/>
        </w:rPr>
        <w:t>年限制性股票激励计划（草案）》相关要求，公司董事会实施并完成了限制性股票的授予工作，向激励对象定向发</w:t>
      </w:r>
      <w:r>
        <w:rPr>
          <w:spacing w:val="-62"/>
        </w:rPr>
        <w:t> </w:t>
      </w:r>
      <w:r>
        <w:rPr>
          <w:spacing w:val="-62"/>
        </w:rPr>
      </w:r>
      <w:r>
        <w:rPr/>
        <w:t>行</w:t>
      </w:r>
      <w:r>
        <w:rPr>
          <w:rFonts w:ascii="Times New Roman" w:hAnsi="Times New Roman" w:cs="Times New Roman" w:eastAsia="Times New Roman" w:hint="default"/>
        </w:rPr>
        <w:t>27,095,500</w:t>
      </w:r>
      <w:r>
        <w:rPr/>
        <w:t>股限制性股票。本次增发后股本增至</w:t>
      </w:r>
      <w:r>
        <w:rPr>
          <w:rFonts w:ascii="Times New Roman" w:hAnsi="Times New Roman" w:cs="Times New Roman" w:eastAsia="Times New Roman" w:hint="default"/>
        </w:rPr>
        <w:t>86,247.01</w:t>
      </w:r>
      <w:r>
        <w:rPr/>
        <w:t>万股。</w:t>
      </w:r>
    </w:p>
    <w:p>
      <w:pPr>
        <w:pStyle w:val="BodyText"/>
        <w:spacing w:line="300" w:lineRule="auto" w:before="13"/>
        <w:ind w:right="19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月，公司在中国证券登记结算有限责任公司深圳分公司完成了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年股权 激励计划部分限制性股票的回购注销手续，本次回购注销完成后公司总股本减至</w:t>
      </w:r>
      <w:r>
        <w:rPr>
          <w:rFonts w:ascii="Times New Roman" w:hAnsi="Times New Roman" w:cs="Times New Roman" w:eastAsia="Times New Roman" w:hint="default"/>
        </w:rPr>
        <w:t>85,788.79</w:t>
      </w:r>
      <w:r>
        <w:rPr/>
        <w:t>万股。</w:t>
      </w:r>
    </w:p>
    <w:p>
      <w:pPr>
        <w:pStyle w:val="BodyText"/>
        <w:spacing w:line="300" w:lineRule="auto" w:before="13"/>
        <w:ind w:right="19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月，公司根据第三届董事会第十三次（临时）会议、第三届董事会第二十次（临时）会议、第三届董事会第十</w:t>
      </w:r>
      <w:r>
        <w:rPr/>
        <w:t> </w:t>
      </w:r>
      <w:r>
        <w:rPr>
          <w:spacing w:val="-2"/>
        </w:rPr>
        <w:t>八次（临时）会议、第三届董事会第十六次（临时）会议，对</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年度股权激励计划部分</w:t>
      </w:r>
      <w:r>
        <w:rPr>
          <w:spacing w:val="-54"/>
        </w:rPr>
        <w:t> </w:t>
      </w:r>
      <w:r>
        <w:rPr/>
        <w:t>限制性股票进行回购注销，共计减少股本</w:t>
      </w:r>
      <w:r>
        <w:rPr>
          <w:rFonts w:ascii="Times New Roman" w:hAnsi="Times New Roman" w:cs="Times New Roman" w:eastAsia="Times New Roman" w:hint="default"/>
        </w:rPr>
        <w:t>397.83</w:t>
      </w:r>
      <w:r>
        <w:rPr/>
        <w:t>万股。变更后的股本为</w:t>
      </w:r>
      <w:r>
        <w:rPr>
          <w:rFonts w:ascii="Times New Roman" w:hAnsi="Times New Roman" w:cs="Times New Roman" w:eastAsia="Times New Roman" w:hint="default"/>
        </w:rPr>
        <w:t>85,390.96</w:t>
      </w:r>
      <w:r>
        <w:rPr/>
        <w:t>万股，公司于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月在中国证券登记结 </w:t>
      </w:r>
      <w:r>
        <w:rPr>
          <w:spacing w:val="-2"/>
        </w:rPr>
        <w:t>算有限责任公司深圳分公司完成回购注销手续。上述股本变动业经立信会计师事务所（特殊普通合伙）于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月出具的</w:t>
      </w:r>
      <w:r>
        <w:rPr>
          <w:spacing w:val="-60"/>
        </w:rPr>
        <w:t> </w:t>
      </w:r>
      <w:r>
        <w:rPr/>
        <w:t>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ZA16290</w:t>
      </w:r>
      <w:r>
        <w:rPr/>
        <w:t>号验资报告审验。</w:t>
      </w:r>
    </w:p>
    <w:p>
      <w:pPr>
        <w:pStyle w:val="BodyText"/>
        <w:spacing w:line="309" w:lineRule="auto" w:before="13"/>
        <w:ind w:left="153" w:right="91" w:firstLine="360"/>
        <w:jc w:val="left"/>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85,788.79</w:t>
      </w:r>
      <w:r>
        <w:rPr>
          <w:spacing w:val="-2"/>
        </w:rPr>
        <w:t>万股，注册资本为</w:t>
      </w:r>
      <w:r>
        <w:rPr>
          <w:rFonts w:ascii="Times New Roman" w:hAnsi="Times New Roman" w:cs="Times New Roman" w:eastAsia="Times New Roman" w:hint="default"/>
          <w:spacing w:val="-2"/>
        </w:rPr>
        <w:t>85,788.79</w:t>
      </w:r>
      <w:r>
        <w:rPr>
          <w:spacing w:val="-2"/>
        </w:rPr>
        <w:t>万元，注册地：上海市青浦工业</w:t>
      </w:r>
      <w:r>
        <w:rPr/>
        <w:t> 园区外青松公路</w:t>
      </w:r>
      <w:r>
        <w:rPr>
          <w:rFonts w:ascii="Times New Roman" w:hAnsi="Times New Roman" w:cs="Times New Roman" w:eastAsia="Times New Roman" w:hint="default"/>
        </w:rPr>
        <w:t>5500</w:t>
      </w:r>
      <w:r>
        <w:rPr/>
        <w:t>号</w:t>
      </w:r>
      <w:r>
        <w:rPr>
          <w:rFonts w:ascii="Times New Roman" w:hAnsi="Times New Roman" w:cs="Times New Roman" w:eastAsia="Times New Roman" w:hint="default"/>
        </w:rPr>
        <w:t>303</w:t>
      </w:r>
      <w:r>
        <w:rPr/>
        <w:t>室，总部地址：上海市青浦区汇联路</w:t>
      </w:r>
      <w:r>
        <w:rPr>
          <w:rFonts w:ascii="Times New Roman" w:hAnsi="Times New Roman" w:cs="Times New Roman" w:eastAsia="Times New Roman" w:hint="default"/>
        </w:rPr>
        <w:t>33</w:t>
      </w:r>
      <w:r>
        <w:rPr/>
        <w:t>号，统一社会信用代码：</w:t>
      </w:r>
      <w:r>
        <w:rPr>
          <w:spacing w:val="-18"/>
        </w:rPr>
        <w:t> </w:t>
      </w:r>
      <w:r>
        <w:rPr>
          <w:rFonts w:ascii="Times New Roman" w:hAnsi="Times New Roman" w:cs="Times New Roman" w:eastAsia="Times New Roman" w:hint="default"/>
        </w:rPr>
        <w:t>9131000074027295XF</w:t>
      </w:r>
      <w:r>
        <w:rPr/>
        <w:t>。本公司 </w:t>
      </w:r>
      <w:r>
        <w:rPr>
          <w:spacing w:val="-2"/>
        </w:rPr>
        <w:t>主要经营活动为：研究、开发和生产计算机软件、信息系统和网络产品，从事信息系统和数据管理系统的安装以及信息系统</w:t>
      </w:r>
      <w:r>
        <w:rPr>
          <w:spacing w:val="-66"/>
        </w:rPr>
        <w:t> </w:t>
      </w:r>
      <w:r>
        <w:rPr>
          <w:spacing w:val="-66"/>
        </w:rPr>
      </w:r>
      <w:r>
        <w:rPr>
          <w:spacing w:val="-4"/>
        </w:rPr>
        <w:t>的集成，提供技术开发、咨询服务以及与该服务相关的客户支援服务，提供整体企业信息系统解决方案，销售公司自产产品，</w:t>
      </w:r>
      <w:r>
        <w:rPr>
          <w:spacing w:val="-46"/>
        </w:rPr>
        <w:t> </w:t>
      </w:r>
      <w:r>
        <w:rPr>
          <w:spacing w:val="-46"/>
        </w:rPr>
      </w:r>
      <w:r>
        <w:rPr/>
        <w:t>从事货物及技术的进出口业务，代理记账。</w:t>
      </w:r>
      <w:r>
        <w:rPr>
          <w:spacing w:val="-19"/>
        </w:rPr>
        <w:t> </w:t>
      </w:r>
      <w:r>
        <w:rPr/>
        <w:t>【依法须经批准的项目，经相关部门批准后方可开展经营活动】</w:t>
      </w:r>
    </w:p>
    <w:p>
      <w:pPr>
        <w:pStyle w:val="BodyText"/>
        <w:spacing w:line="300" w:lineRule="auto" w:before="24"/>
        <w:ind w:right="4590" w:firstLine="360"/>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日批准报出。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137" w:type="dxa"/>
        <w:tblLayout w:type="fixed"/>
        <w:tblCellMar>
          <w:top w:w="0" w:type="dxa"/>
          <w:left w:w="0" w:type="dxa"/>
          <w:bottom w:w="0" w:type="dxa"/>
          <w:right w:w="0" w:type="dxa"/>
        </w:tblCellMar>
        <w:tblLook w:val="01E0"/>
      </w:tblPr>
      <w:tblGrid>
        <w:gridCol w:w="6438"/>
        <w:gridCol w:w="3220"/>
      </w:tblGrid>
      <w:tr>
        <w:trPr>
          <w:trHeight w:val="355" w:hRule="exact"/>
        </w:trPr>
        <w:tc>
          <w:tcPr>
            <w:tcW w:w="6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2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简称</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r>
      <w:tr>
        <w:trPr>
          <w:trHeight w:val="353"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夏尔软件</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汉得欧俊</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2"/>
                <w:sz w:val="18"/>
              </w:rPr>
              <w:t> </w:t>
            </w:r>
            <w:r>
              <w:rPr>
                <w:rFonts w:ascii="Times New Roman"/>
                <w:sz w:val="18"/>
              </w:rPr>
              <w:t>ENTERPRISE</w:t>
            </w:r>
            <w:r>
              <w:rPr>
                <w:rFonts w:ascii="Times New Roman"/>
                <w:spacing w:val="-13"/>
                <w:sz w:val="18"/>
              </w:rPr>
              <w:t> </w:t>
            </w:r>
            <w:r>
              <w:rPr>
                <w:rFonts w:ascii="Times New Roman"/>
                <w:sz w:val="18"/>
              </w:rPr>
              <w:t>SOLUTIONS(SINGAPORE)</w:t>
            </w:r>
            <w:r>
              <w:rPr>
                <w:rFonts w:ascii="Times New Roman"/>
                <w:spacing w:val="-12"/>
                <w:sz w:val="18"/>
              </w:rPr>
              <w:t> </w:t>
            </w:r>
            <w:r>
              <w:rPr>
                <w:rFonts w:ascii="Times New Roman"/>
                <w:sz w:val="18"/>
              </w:rPr>
              <w:t>PTE.,LTD.</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6438"/>
        <w:gridCol w:w="3220"/>
      </w:tblGrid>
      <w:tr>
        <w:trPr>
          <w:trHeight w:val="355" w:hRule="exact"/>
        </w:trPr>
        <w:tc>
          <w:tcPr>
            <w:tcW w:w="6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322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随身科技</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汉得融晶</w:t>
            </w:r>
          </w:p>
        </w:tc>
      </w:tr>
      <w:tr>
        <w:trPr>
          <w:trHeight w:val="353"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汉得保理</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汉得微扬</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上海达美</w:t>
            </w:r>
          </w:p>
        </w:tc>
      </w:tr>
      <w:tr>
        <w:trPr>
          <w:trHeight w:val="353"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扬州达美</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27"/>
                <w:sz w:val="18"/>
              </w:rPr>
              <w:t> </w:t>
            </w:r>
            <w:r>
              <w:rPr>
                <w:rFonts w:ascii="Times New Roman"/>
                <w:sz w:val="18"/>
              </w:rPr>
              <w:t>USA.INC.</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汉得加利福尼亚州</w:t>
            </w:r>
          </w:p>
        </w:tc>
      </w:tr>
      <w:tr>
        <w:trPr>
          <w:trHeight w:val="352" w:hRule="exact"/>
        </w:trPr>
        <w:tc>
          <w:tcPr>
            <w:tcW w:w="6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w:t>
            </w:r>
          </w:p>
        </w:tc>
        <w:tc>
          <w:tcPr>
            <w:tcW w:w="3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甄云科技</w:t>
            </w:r>
          </w:p>
        </w:tc>
      </w:tr>
    </w:tbl>
    <w:p>
      <w:pPr>
        <w:pStyle w:val="BodyText"/>
        <w:spacing w:line="240" w:lineRule="auto" w:before="10"/>
        <w:ind w:right="0"/>
        <w:jc w:val="both"/>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36"/>
        </w:rPr>
        <w:t> </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3"/>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68"/>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2"/>
        </w:rPr>
        <w:t> </w:t>
      </w:r>
      <w:r>
        <w:rPr>
          <w:spacing w:val="-42"/>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3"/>
        <w:spacing w:line="240" w:lineRule="auto"/>
        <w:ind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6731"/>
        <w:jc w:val="left"/>
      </w:pPr>
      <w:r>
        <w:rPr/>
        <w:t>公司是否需要遵守特殊行业的披露要求 否</w:t>
      </w:r>
    </w:p>
    <w:p>
      <w:pPr>
        <w:pStyle w:val="BodyText"/>
        <w:spacing w:line="357" w:lineRule="auto" w:before="28"/>
        <w:ind w:left="153" w:right="91"/>
        <w:jc w:val="left"/>
      </w:pPr>
      <w:r>
        <w:rPr/>
        <w:t>具体会计政策和会计估计提示： 以下披露内容已涵盖了本公司根据实际生产经营特点制定的具体会计政策和会计估计。详见本附注</w:t>
      </w:r>
      <w:r>
        <w:rPr>
          <w:rFonts w:ascii="Times New Roman" w:hAnsi="Times New Roman" w:cs="Times New Roman" w:eastAsia="Times New Roman" w:hint="default"/>
        </w:rPr>
        <w:t>“</w:t>
      </w:r>
      <w:r>
        <w:rPr/>
        <w:t>三、（二十二）收入</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自公历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日止为一个会计年度。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本公司营业周期为</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after="0" w:line="240" w:lineRule="auto"/>
        <w:jc w:val="both"/>
        <w:sectPr>
          <w:pgSz w:w="11910" w:h="16840"/>
          <w:pgMar w:header="747" w:footer="982" w:top="1060" w:bottom="1180" w:left="980" w:right="960"/>
        </w:sectPr>
      </w:pPr>
    </w:p>
    <w:p>
      <w:pPr>
        <w:spacing w:line="240" w:lineRule="auto" w:before="9"/>
        <w:rPr>
          <w:rFonts w:ascii="宋体" w:hAnsi="宋体" w:cs="宋体" w:eastAsia="宋体" w:hint="default"/>
          <w:sz w:val="24"/>
          <w:szCs w:val="24"/>
        </w:rPr>
      </w:pPr>
    </w:p>
    <w:p>
      <w:pPr>
        <w:pStyle w:val="Heading5"/>
        <w:spacing w:line="240" w:lineRule="auto" w:before="35"/>
        <w:ind w:right="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本公司采用人民币为记账本位币。</w:t>
      </w:r>
    </w:p>
    <w:p>
      <w:pPr>
        <w:spacing w:line="240" w:lineRule="auto" w:before="10"/>
        <w:rPr>
          <w:rFonts w:ascii="宋体" w:hAnsi="宋体" w:cs="宋体" w:eastAsia="宋体" w:hint="default"/>
          <w:sz w:val="26"/>
          <w:szCs w:val="26"/>
        </w:rPr>
      </w:pPr>
    </w:p>
    <w:p>
      <w:pPr>
        <w:pStyle w:val="Heading5"/>
        <w:spacing w:line="240" w:lineRule="auto"/>
        <w:ind w:right="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267" w:right="85"/>
        <w:jc w:val="left"/>
      </w:pPr>
      <w:r>
        <w:rPr/>
        <w:t>同一控制下企业合并：本公司在企业合并中取得的资产和负债，按照合并日在被合并方资产、负债（包括最终控制方收购 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 收益。 非同一控制下企业合并：本公司在购买日对作为企业合并对价付出的资产、发生或承担的负债按照公允价值计量，公允价 </w:t>
      </w:r>
      <w:r>
        <w:rPr>
          <w:spacing w:val="-2"/>
        </w:rPr>
        <w:t>值与其账面价值的差额，计入当期损益。本公司对合并成本大于合并中取得的被购买方可辨认净资产公允价值份额的差额，</w:t>
      </w:r>
      <w:r>
        <w:rPr>
          <w:spacing w:val="-88"/>
        </w:rPr>
        <w:t> </w:t>
      </w:r>
      <w:r>
        <w:rPr>
          <w:spacing w:val="-88"/>
        </w:rPr>
      </w:r>
      <w:r>
        <w:rPr/>
        <w:t>确认为商誉；合并成本小于合并中取得的被购买方可辨认净资产公允价值份额的差额，经复核后，计入当期损益。 为企业合并发生的审计、法律服务、评估咨询等中介费用以及其他直接相关费用，于发生时计入当期损益；为企业合并而</w:t>
      </w:r>
      <w:r>
        <w:rPr/>
        <w:t> 发行权益性证券的交易费用，冲减权益。</w:t>
      </w:r>
    </w:p>
    <w:p>
      <w:pPr>
        <w:spacing w:line="240" w:lineRule="auto" w:before="7"/>
        <w:rPr>
          <w:rFonts w:ascii="宋体" w:hAnsi="宋体" w:cs="宋体" w:eastAsia="宋体" w:hint="default"/>
          <w:sz w:val="22"/>
          <w:szCs w:val="22"/>
        </w:rPr>
      </w:pPr>
    </w:p>
    <w:p>
      <w:pPr>
        <w:pStyle w:val="Heading5"/>
        <w:spacing w:line="240" w:lineRule="auto"/>
        <w:ind w:right="91"/>
        <w:jc w:val="left"/>
        <w:rPr>
          <w:b w:val="0"/>
          <w:bCs w:val="0"/>
        </w:rPr>
      </w:pPr>
      <w:r>
        <w:rPr>
          <w:rFonts w:ascii="Times New Roman" w:hAnsi="Times New Roman" w:cs="Times New Roman" w:eastAsia="Times New Roman" w:hint="default"/>
        </w:rPr>
        <w:t>6</w:t>
      </w:r>
      <w:r>
        <w:rPr/>
        <w:t>、</w:t>
      </w:r>
      <w:r>
        <w:rPr>
          <w:spacing w:val="-66"/>
        </w:rPr>
        <w:t> </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jc w:val="left"/>
      </w:pPr>
      <w:r>
        <w:rPr>
          <w:rFonts w:ascii="宋体" w:hAnsi="宋体" w:cs="宋体" w:eastAsia="宋体" w:hint="default"/>
          <w:b/>
          <w:bCs/>
        </w:rPr>
        <w:t>1.合并范围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pStyle w:val="BodyText"/>
        <w:spacing w:line="316" w:lineRule="auto" w:before="19"/>
        <w:ind w:left="153" w:right="91"/>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spacing w:val="1"/>
          <w:w w:val="99"/>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left="153" w:right="91"/>
        <w:jc w:val="left"/>
      </w:pPr>
      <w:r>
        <w:rPr/>
        <w:t>（1）增加子公司或业务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0"/>
        <w:jc w:val="both"/>
      </w:pP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left="153" w:right="0"/>
        <w:jc w:val="left"/>
      </w:pPr>
      <w:r>
        <w:rPr/>
        <w:t>（2）处置子公司或业务</w:t>
      </w:r>
    </w:p>
    <w:p>
      <w:pPr>
        <w:pStyle w:val="BodyText"/>
        <w:spacing w:line="316" w:lineRule="auto" w:before="76"/>
        <w:ind w:left="153" w:right="0"/>
        <w:jc w:val="left"/>
      </w:pPr>
      <w:r>
        <w:rPr/>
        <w:t>①一般处理方法 </w:t>
      </w: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left="153"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9"/>
        <w:ind w:left="153" w:right="4011"/>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153"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6" w:lineRule="auto" w:before="19"/>
        <w:ind w:left="153" w:right="0"/>
        <w:jc w:val="left"/>
      </w:pPr>
      <w:r>
        <w:rPr/>
        <w:t>（3）购买子公司少数股权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16" w:lineRule="auto" w:before="19"/>
        <w:ind w:left="153" w:right="0"/>
        <w:jc w:val="left"/>
      </w:pPr>
      <w:r>
        <w:rPr/>
        <w:t>（4）不丧失控制权的情况下部分处置对子公司的股权投资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w:t>
      </w:r>
      <w:r>
        <w:rPr/>
        <w:t>、</w:t>
      </w:r>
      <w:r>
        <w:rPr>
          <w:spacing w:val="-65"/>
        </w:rPr>
        <w:t> </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8</w:t>
      </w:r>
      <w:r>
        <w:rPr/>
        <w:t>、</w:t>
      </w:r>
      <w:r>
        <w:rPr>
          <w:spacing w:val="-66"/>
        </w:rPr>
        <w:t> </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290"/>
        <w:jc w:val="left"/>
      </w:pPr>
      <w:r>
        <w:rPr>
          <w:rFonts w:ascii="宋体" w:hAnsi="宋体" w:cs="宋体" w:eastAsia="宋体" w:hint="default"/>
          <w:b/>
          <w:bCs/>
        </w:rPr>
        <w:t>1.外币业务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19"/>
        <w:ind w:left="153"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after="0" w:line="316" w:lineRule="auto"/>
        <w:jc w:val="left"/>
        <w:sectPr>
          <w:footerReference w:type="default" r:id="rId16"/>
          <w:pgSz w:w="11910" w:h="16840"/>
          <w:pgMar w:footer="982" w:header="747" w:top="1060" w:bottom="1180" w:left="980" w:right="980"/>
          <w:pgNumType w:start="113"/>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2" w:lineRule="auto" w:before="44"/>
        <w:ind w:left="153" w:right="91"/>
        <w:jc w:val="left"/>
      </w:pPr>
      <w:r>
        <w:rPr>
          <w:rFonts w:ascii="宋体" w:hAnsi="宋体" w:cs="宋体" w:eastAsia="宋体" w:hint="default"/>
          <w:b/>
          <w:bCs/>
        </w:rPr>
        <w:t>2.外币财务报表的折算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用发生时的即期汇率折算。利润表中的收入和费用项目，采用期初期末平均汇率折算。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5"/>
        <w:spacing w:line="240" w:lineRule="auto"/>
        <w:ind w:right="9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金融工具包括金融资产、金融负债和权益工具。</w:t>
      </w:r>
    </w:p>
    <w:p>
      <w:pPr>
        <w:pStyle w:val="BodyText"/>
        <w:spacing w:line="312" w:lineRule="auto" w:before="76"/>
        <w:ind w:right="9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Heading7"/>
        <w:spacing w:line="240" w:lineRule="auto" w:before="22"/>
        <w:ind w:right="91"/>
        <w:jc w:val="left"/>
        <w:rPr>
          <w:b w:val="0"/>
          <w:bCs w:val="0"/>
        </w:rPr>
      </w:pPr>
      <w:r>
        <w:rPr>
          <w:rFonts w:ascii="Times New Roman" w:hAnsi="Times New Roman" w:cs="Times New Roman" w:eastAsia="Times New Roman" w:hint="default"/>
        </w:rPr>
        <w:t>2</w:t>
      </w:r>
      <w:r>
        <w:rPr/>
        <w:t>、</w:t>
      </w:r>
      <w:r>
        <w:rPr>
          <w:spacing w:val="55"/>
        </w:rPr>
        <w:t> </w:t>
      </w:r>
      <w:r>
        <w:rPr/>
        <w:t>金融工具的确认依据和计量方法</w:t>
      </w:r>
      <w:r>
        <w:rPr>
          <w:b w:val="0"/>
          <w:bCs w:val="0"/>
        </w:rPr>
      </w:r>
    </w:p>
    <w:p>
      <w:pPr>
        <w:pStyle w:val="BodyText"/>
        <w:spacing w:line="309" w:lineRule="auto" w:before="63"/>
        <w:ind w:right="9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2250"/>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19"/>
        <w:ind w:right="90"/>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持有期间按照摊余成本和实际利率（如实际利率与票面利率差别较小的，按票面利率）计算确认利息收入，计入投资收益。 实际利率在取得时确定，在该预期存续期间或适用的更短期间内保持不变。 处置时，将所取得价款与该投资账面价值之间的差额计入投资收益。</w:t>
      </w:r>
    </w:p>
    <w:p>
      <w:pPr>
        <w:pStyle w:val="BodyText"/>
        <w:spacing w:line="316" w:lineRule="auto" w:before="20"/>
        <w:ind w:right="90"/>
        <w:jc w:val="left"/>
      </w:pPr>
      <w:r>
        <w:rPr/>
        <w:t>（3）应收款项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19"/>
        <w:ind w:right="91"/>
        <w:jc w:val="left"/>
      </w:pPr>
      <w:r>
        <w:rPr/>
        <w:t>收回或处置时，将取得的价款与该应收款项账面价值之间的差额计入当期损益。</w:t>
      </w:r>
    </w:p>
    <w:p>
      <w:pPr>
        <w:pStyle w:val="BodyText"/>
        <w:spacing w:line="316" w:lineRule="auto" w:before="76"/>
        <w:ind w:right="91"/>
        <w:jc w:val="left"/>
      </w:pPr>
      <w:r>
        <w:rPr/>
        <w:t>（4）可供出售金融资产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spacing w:line="316" w:lineRule="auto" w:before="19"/>
        <w:ind w:left="154" w:right="3150" w:firstLine="0"/>
        <w:jc w:val="left"/>
        <w:rPr>
          <w:rFonts w:ascii="宋体" w:hAnsi="宋体" w:cs="宋体" w:eastAsia="宋体" w:hint="default"/>
          <w:sz w:val="18"/>
          <w:szCs w:val="18"/>
        </w:rPr>
      </w:pPr>
      <w:r>
        <w:rPr>
          <w:rFonts w:ascii="宋体" w:hAnsi="宋体" w:cs="宋体" w:eastAsia="宋体" w:hint="default"/>
          <w:sz w:val="18"/>
          <w:szCs w:val="18"/>
        </w:rPr>
        <w:t>（5）其他金融负债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4"/>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ind w:right="91"/>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1"/>
        <w:jc w:val="left"/>
      </w:pPr>
      <w:r>
        <w:rPr/>
        <w:t>（1）所转移金融资产的账面价值；</w:t>
      </w:r>
    </w:p>
    <w:p>
      <w:pPr>
        <w:pStyle w:val="BodyText"/>
        <w:spacing w:line="316" w:lineRule="auto" w:before="76"/>
        <w:ind w:left="153" w:right="181"/>
        <w:jc w:val="left"/>
      </w:pPr>
      <w:r>
        <w:rPr/>
        <w:t>（2）因转移而收到的对价，与原直接计入所有者权益的公允价值变动累计额（涉及转移的金融资产为可供出售金融资产的</w:t>
      </w:r>
      <w:r>
        <w:rPr>
          <w:spacing w:val="-83"/>
        </w:rPr>
        <w:t> </w:t>
      </w:r>
      <w:r>
        <w:rPr>
          <w:spacing w:val="-83"/>
        </w:rPr>
      </w:r>
      <w:r>
        <w:rPr/>
        <w:t>情形）之和。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9"/>
        <w:ind w:left="153" w:right="91"/>
        <w:jc w:val="left"/>
      </w:pPr>
      <w:r>
        <w:rPr/>
        <w:t>（1）终止确认部分的账面价值；</w:t>
      </w:r>
    </w:p>
    <w:p>
      <w:pPr>
        <w:pStyle w:val="BodyText"/>
        <w:spacing w:line="316" w:lineRule="auto" w:before="76"/>
        <w:ind w:left="153" w:right="181"/>
        <w:jc w:val="left"/>
      </w:pPr>
      <w:r>
        <w:rPr/>
        <w:t>（2）终止确认部分的对价，与原直接计入所有者权益的公允价值变动累计额中对应终止确认部分的金额（涉及转移的金融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 金融资产转移不满足终止确认条件的，继续确认该金融资产，所收到的对价确认为一项金融负债。</w:t>
      </w:r>
    </w:p>
    <w:p>
      <w:pPr>
        <w:pStyle w:val="BodyText"/>
        <w:spacing w:line="316" w:lineRule="auto" w:before="19"/>
        <w:ind w:left="153" w:right="9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BodyText"/>
        <w:spacing w:line="314" w:lineRule="auto" w:before="19"/>
        <w:ind w:right="91"/>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309" w:lineRule="auto" w:before="2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58"/>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除以公允价值计量且其变动计入当期损益的金融资产外，本公司于资产负债表日对金融资产的账面价值进行检查，如果有客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观证据表明某项金融资产发生减值的，计提减值准备。</w:t>
      </w:r>
    </w:p>
    <w:p>
      <w:pPr>
        <w:pStyle w:val="BodyText"/>
        <w:spacing w:line="316" w:lineRule="auto" w:before="24"/>
        <w:ind w:right="90"/>
        <w:jc w:val="left"/>
      </w:pPr>
      <w:r>
        <w:rPr/>
        <w:t>（1）可供出售金融资产的减值准备：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16" w:lineRule="auto" w:before="19"/>
        <w:ind w:right="5130"/>
        <w:jc w:val="left"/>
      </w:pPr>
      <w:r>
        <w:rPr/>
        <w:t>可供出售权益工具投资发生的减值损失，不通过损益转回。 本公司对可供出售权益工具投资减值的认定标准为：</w:t>
      </w:r>
    </w:p>
    <w:p>
      <w:pPr>
        <w:pStyle w:val="BodyText"/>
        <w:spacing w:line="240" w:lineRule="auto" w:before="19"/>
        <w:ind w:right="91"/>
        <w:jc w:val="left"/>
      </w:pPr>
      <w:r>
        <w:rPr/>
        <w:t>（一）发行方发生严重财务困难；</w:t>
      </w:r>
    </w:p>
    <w:p>
      <w:pPr>
        <w:pStyle w:val="BodyText"/>
        <w:spacing w:line="240" w:lineRule="auto" w:before="76"/>
        <w:ind w:right="91"/>
        <w:jc w:val="left"/>
      </w:pPr>
      <w:r>
        <w:rPr/>
        <w:t>（二）因发行方发生重大财务困难，该金融资产无法在活跃市场继续交易；</w:t>
      </w:r>
    </w:p>
    <w:p>
      <w:pPr>
        <w:pStyle w:val="BodyText"/>
        <w:spacing w:line="316" w:lineRule="auto" w:before="76"/>
        <w:ind w:right="91"/>
        <w:jc w:val="left"/>
      </w:pPr>
      <w:r>
        <w:rPr>
          <w:spacing w:val="-2"/>
        </w:rPr>
        <w:t>（三）权益工具发行方经营所处的技术、市场、经济或法律环境等发生重大不利变化，使权益工具投资人可能无法收回投资</w:t>
      </w:r>
      <w:r>
        <w:rPr>
          <w:spacing w:val="-66"/>
        </w:rPr>
        <w:t> </w:t>
      </w:r>
      <w:r>
        <w:rPr>
          <w:spacing w:val="-66"/>
        </w:rPr>
      </w:r>
      <w:r>
        <w:rPr/>
        <w:t>成本；</w:t>
      </w:r>
    </w:p>
    <w:p>
      <w:pPr>
        <w:pStyle w:val="BodyText"/>
        <w:spacing w:line="316" w:lineRule="auto" w:before="19"/>
        <w:ind w:right="91"/>
        <w:jc w:val="left"/>
      </w:pPr>
      <w:r>
        <w:rPr/>
        <w:t>（四）权益工具投资的公允价值发生严重或非暂时性下跌； </w:t>
      </w:r>
      <w:r>
        <w:rPr>
          <w:spacing w:val="-2"/>
        </w:rPr>
        <w:t>本公司对可供出售权益工具投资的公允价值下跌“严重”的标准为：50%；公允价值下跌“非暂时性”的标准为：1年；投资</w:t>
      </w:r>
      <w:r>
        <w:rPr>
          <w:spacing w:val="-64"/>
        </w:rPr>
        <w:t> </w:t>
      </w:r>
      <w:r>
        <w:rPr>
          <w:spacing w:val="-64"/>
        </w:rPr>
      </w:r>
      <w:r>
        <w:rPr/>
        <w:t>成本的计算方法为：交易价时支付对价的公允价值和交易费用 ；持续下跌期间的确定依据为：1年。</w:t>
      </w:r>
    </w:p>
    <w:p>
      <w:pPr>
        <w:pStyle w:val="BodyText"/>
        <w:spacing w:line="316" w:lineRule="auto" w:before="19"/>
        <w:ind w:right="4230"/>
        <w:jc w:val="left"/>
      </w:pPr>
      <w:r>
        <w:rPr/>
        <w:t>（2）持有至到期投资的减值准备： 持有至到期投资减值损失的计量比照应收款项减值损失计量方法处理。</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应收款项余额前三名且金额在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 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26;top:171;width:2;height:392" coordorigin="26,171" coordsize="2,392">
              <v:shape style="position:absolute;left:26;top:171;width:2;height:392" coordorigin="26,171" coordsize="0,392" path="m26,171l26,563e" filled="false" stroked="true" strokeweight="1.140pt" strokecolor="#d3d3d3">
                <v:path arrowok="t"/>
              </v:shape>
            </v:group>
            <v:group style="position:absolute;left:14;top:15;width:4774;height:156" coordorigin="14,15" coordsize="4774,156">
              <v:shape style="position:absolute;left:14;top:15;width:4774;height:156" coordorigin="14,15" coordsize="4774,156" path="m14,171l4788,171,4788,15,14,15,14,171xe" filled="true" fillcolor="#d3d3d3" stroked="false">
                <v:path arrowok="t"/>
                <v:fill type="solid"/>
              </v:shape>
            </v:group>
            <v:group style="position:absolute;left:4777;top:170;width:2;height:393" coordorigin="4777,170" coordsize="2,393">
              <v:shape style="position:absolute;left:4777;top:170;width:2;height:393" coordorigin="4777,170" coordsize="0,393" path="m4777,170l4777,563e" filled="false" stroked="true" strokeweight="1.140pt" strokecolor="#d3d3d3">
                <v:path arrowok="t"/>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7998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3;top:10;width:4784;height:714" type="#_x0000_t202" filled="false" stroked="false">
                <v:textbox inset="0,0,0,0">
                  <w:txbxContent>
                    <w:p>
                      <w:pPr>
                        <w:spacing w:line="316"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经测试，有客观证据表明单项金额虽不重大，但因其发生了 特殊减值，不适合按照按组合计提坏账准备应收款项。</w:t>
                      </w:r>
                    </w:p>
                  </w:txbxContent>
                </v:textbox>
                <w10:wrap type="none"/>
              </v:shape>
            </v:group>
          </v:group>
        </w:pict>
      </w:r>
      <w:r>
        <w:rPr>
          <w:rFonts w:ascii="宋体" w:hAnsi="宋体" w:cs="宋体" w:eastAsia="宋体" w:hint="default"/>
          <w:position w:val="-14"/>
          <w:sz w:val="20"/>
          <w:szCs w:val="20"/>
        </w:rPr>
      </w:r>
    </w:p>
    <w:p>
      <w:pPr>
        <w:spacing w:after="0" w:line="73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2"/>
        <w:rPr>
          <w:rFonts w:ascii="宋体" w:hAnsi="宋体" w:cs="宋体" w:eastAsia="宋体" w:hint="default"/>
          <w:b/>
          <w:bCs/>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26;top:171;width:2;height:392" coordorigin="26,171" coordsize="2,392">
              <v:shape style="position:absolute;left:26;top:171;width:2;height:392" coordorigin="26,171" coordsize="0,392" path="m26,171l26,563e" filled="false" stroked="true" strokeweight="1.140pt" strokecolor="#d3d3d3">
                <v:path arrowok="t"/>
              </v:shape>
            </v:group>
            <v:group style="position:absolute;left:14;top:15;width:4774;height:156" coordorigin="14,15" coordsize="4774,156">
              <v:shape style="position:absolute;left:14;top:15;width:4774;height:156" coordorigin="14,15" coordsize="4774,156" path="m14,171l4788,171,4788,15,14,15,14,171xe" filled="true" fillcolor="#d3d3d3" stroked="false">
                <v:path arrowok="t"/>
                <v:fill type="solid"/>
              </v:shape>
            </v:group>
            <v:group style="position:absolute;left:4777;top:170;width:2;height:393" coordorigin="4777,170" coordsize="2,393">
              <v:shape style="position:absolute;left:4777;top:170;width:2;height:393" coordorigin="4777,170" coordsize="0,393" path="m4777,170l4777,563e" filled="false" stroked="true" strokeweight="1.140pt" strokecolor="#d3d3d3">
                <v:path arrowok="t"/>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7998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3;top:10;width:4784;height:714" type="#_x0000_t202" filled="false" stroked="false">
                <v:textbox inset="0,0,0,0">
                  <w:txbxContent>
                    <w:p>
                      <w:pPr>
                        <w:spacing w:line="319"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单独进行减值测试，结合现时情况分析确定坏账准备计提的 比例。</w:t>
                      </w:r>
                    </w:p>
                  </w:txbxContent>
                </v:textbox>
                <w10:wrap type="none"/>
              </v:shape>
            </v:group>
          </v:group>
        </w:pict>
      </w:r>
      <w:r>
        <w:rPr>
          <w:rFonts w:ascii="宋体" w:hAnsi="宋体" w:cs="宋体" w:eastAsia="宋体" w:hint="default"/>
          <w:position w:val="-14"/>
          <w:sz w:val="20"/>
          <w:szCs w:val="20"/>
        </w:rPr>
      </w:r>
    </w:p>
    <w:p>
      <w:pPr>
        <w:spacing w:line="240" w:lineRule="auto" w:before="1"/>
        <w:rPr>
          <w:rFonts w:ascii="宋体" w:hAnsi="宋体" w:cs="宋体" w:eastAsia="宋体" w:hint="default"/>
          <w:b/>
          <w:bCs/>
          <w:sz w:val="20"/>
          <w:szCs w:val="20"/>
        </w:rPr>
      </w:pPr>
    </w:p>
    <w:p>
      <w:pPr>
        <w:pStyle w:val="BodyText"/>
        <w:spacing w:line="595" w:lineRule="auto" w:before="44"/>
        <w:ind w:right="230"/>
        <w:jc w:val="left"/>
        <w:rPr>
          <w:rFonts w:ascii="宋体" w:hAnsi="宋体" w:cs="宋体" w:eastAsia="宋体" w:hint="default"/>
          <w:sz w:val="21"/>
          <w:szCs w:val="21"/>
        </w:rPr>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）其他说明</w:t>
      </w:r>
      <w:r>
        <w:rPr>
          <w:rFonts w:ascii="宋体" w:hAnsi="宋体" w:cs="宋体" w:eastAsia="宋体" w:hint="default"/>
          <w:b/>
          <w:bCs/>
          <w:w w:val="99"/>
        </w:rPr>
        <w:t> </w:t>
      </w:r>
      <w:r>
        <w:rPr/>
        <w:t>短期应收款项的预计未来现金流量与其现值相差很小的，在确定相关减值损失时，可不对其预计未来现金流量进行折现。 </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360" w:lineRule="auto" w:before="3"/>
        <w:ind w:left="153" w:right="6711"/>
        <w:jc w:val="left"/>
      </w:pPr>
      <w:r>
        <w:rPr/>
        <w:t>公司是否需要遵守特殊行业的披露要求 否</w:t>
      </w:r>
    </w:p>
    <w:p>
      <w:pPr>
        <w:spacing w:line="316" w:lineRule="auto" w:before="25"/>
        <w:ind w:left="153" w:right="6608"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存货的分类</w:t>
      </w:r>
      <w:r>
        <w:rPr>
          <w:rFonts w:ascii="宋体" w:hAnsi="宋体" w:cs="宋体" w:eastAsia="宋体" w:hint="default"/>
          <w:b/>
          <w:bCs/>
          <w:spacing w:val="1"/>
          <w:w w:val="99"/>
          <w:sz w:val="18"/>
          <w:szCs w:val="18"/>
        </w:rPr>
        <w:t> </w:t>
      </w:r>
      <w:r>
        <w:rPr>
          <w:rFonts w:ascii="宋体" w:hAnsi="宋体" w:cs="宋体" w:eastAsia="宋体" w:hint="default"/>
          <w:sz w:val="18"/>
          <w:szCs w:val="18"/>
        </w:rPr>
        <w:t>存货分类为：库存商品、劳务成本。 </w:t>
      </w:r>
      <w:r>
        <w:rPr>
          <w:rFonts w:ascii="宋体" w:hAnsi="宋体" w:cs="宋体" w:eastAsia="宋体" w:hint="default"/>
          <w:b/>
          <w:bCs/>
          <w:sz w:val="18"/>
          <w:szCs w:val="18"/>
        </w:rPr>
        <w:t>2、发出存货的计价方法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存货发出时按个别认定法计价。 </w:t>
      </w:r>
      <w:r>
        <w:rPr>
          <w:rFonts w:ascii="宋体" w:hAnsi="宋体" w:cs="宋体" w:eastAsia="宋体" w:hint="default"/>
          <w:b/>
          <w:bCs/>
          <w:sz w:val="18"/>
          <w:szCs w:val="18"/>
        </w:rPr>
        <w:t>3、不同类别存货可变现净值的确定依据</w:t>
      </w:r>
      <w:r>
        <w:rPr>
          <w:rFonts w:ascii="宋体" w:hAnsi="宋体" w:cs="宋体" w:eastAsia="宋体" w:hint="default"/>
          <w:sz w:val="18"/>
          <w:szCs w:val="18"/>
        </w:rPr>
      </w:r>
    </w:p>
    <w:p>
      <w:pPr>
        <w:pStyle w:val="BodyText"/>
        <w:spacing w:line="316" w:lineRule="auto" w:before="19"/>
        <w:ind w:left="153" w:right="0"/>
        <w:jc w:val="left"/>
      </w:pP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left="153" w:right="951"/>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309" w:lineRule="auto" w:before="19"/>
        <w:ind w:left="153" w:right="697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宋体" w:hAnsi="宋体" w:cs="宋体" w:eastAsia="宋体" w:hint="default"/>
          <w:b/>
          <w:bCs/>
          <w:sz w:val="18"/>
          <w:szCs w:val="18"/>
        </w:rPr>
        <w:t>5、低值易耗品和包装物的摊销方法</w:t>
      </w:r>
      <w:r>
        <w:rPr>
          <w:rFonts w:ascii="宋体" w:hAnsi="宋体" w:cs="宋体" w:eastAsia="宋体" w:hint="default"/>
          <w:sz w:val="18"/>
          <w:szCs w:val="18"/>
        </w:rPr>
      </w:r>
    </w:p>
    <w:p>
      <w:pPr>
        <w:pStyle w:val="BodyText"/>
        <w:spacing w:line="240" w:lineRule="auto" w:before="24"/>
        <w:ind w:left="153" w:right="0"/>
        <w:jc w:val="left"/>
      </w:pPr>
      <w:r>
        <w:rPr/>
        <w:t>（1）低值易耗品采用一次转销法。</w:t>
      </w:r>
    </w:p>
    <w:p>
      <w:pPr>
        <w:pStyle w:val="BodyText"/>
        <w:spacing w:line="240" w:lineRule="auto" w:before="76"/>
        <w:ind w:left="153" w:right="0"/>
        <w:jc w:val="left"/>
      </w:pPr>
      <w:r>
        <w:rPr/>
        <w:t>（2）包装物采用一次转销法。</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本公司将同时满足下列条件的组成部分（或非流动资产）确认为持有待售：</w:t>
      </w:r>
    </w:p>
    <w:p>
      <w:pPr>
        <w:pStyle w:val="BodyText"/>
        <w:spacing w:line="240" w:lineRule="auto" w:before="76"/>
        <w:ind w:right="0"/>
        <w:jc w:val="left"/>
      </w:pPr>
      <w:r>
        <w:rPr/>
        <w:t>（1）该组成部分必须在其当前状况下仅根据出售此类组成部分的惯常条款即可立即出售；</w:t>
      </w:r>
    </w:p>
    <w:p>
      <w:pPr>
        <w:pStyle w:val="BodyText"/>
        <w:spacing w:line="316" w:lineRule="auto" w:before="76"/>
        <w:ind w:right="140"/>
        <w:jc w:val="left"/>
      </w:pPr>
      <w:r>
        <w:rPr/>
        <w:t>（2）公司已经就处置该组成部分（或非流动资产）作出决议，如按规定需得到股东批准的，已经取得股东大会或相应权力</w:t>
      </w:r>
      <w:r>
        <w:rPr>
          <w:spacing w:val="-83"/>
        </w:rPr>
        <w:t> </w:t>
      </w:r>
      <w:r>
        <w:rPr>
          <w:spacing w:val="-83"/>
        </w:rPr>
      </w:r>
      <w:r>
        <w:rPr/>
        <w:t>机构的批准；</w:t>
      </w:r>
    </w:p>
    <w:p>
      <w:pPr>
        <w:pStyle w:val="BodyText"/>
        <w:spacing w:line="240" w:lineRule="auto" w:before="19"/>
        <w:ind w:right="0"/>
        <w:jc w:val="left"/>
      </w:pPr>
      <w:r>
        <w:rPr/>
        <w:t>（3）公司已与受让方签订了不可撤销的转让协议；</w:t>
      </w:r>
    </w:p>
    <w:p>
      <w:pPr>
        <w:pStyle w:val="BodyText"/>
        <w:spacing w:line="240" w:lineRule="auto" w:before="76"/>
        <w:ind w:right="0"/>
        <w:jc w:val="left"/>
      </w:pPr>
      <w:r>
        <w:rPr/>
        <w:t>（4）该项转让将在一年内完成。</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Heading7"/>
        <w:spacing w:line="240" w:lineRule="auto"/>
        <w:ind w:right="0"/>
        <w:jc w:val="left"/>
        <w:rPr>
          <w:b w:val="0"/>
          <w:bCs w:val="0"/>
        </w:rPr>
      </w:pPr>
      <w:r>
        <w:rPr/>
        <w:t>1、共同控制、重大影响的判断标准</w:t>
      </w:r>
      <w:r>
        <w:rPr>
          <w:b w:val="0"/>
          <w:bCs w:val="0"/>
        </w:rPr>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b/>
          <w:bCs/>
          <w:sz w:val="25"/>
          <w:szCs w:val="25"/>
        </w:rPr>
      </w:pPr>
    </w:p>
    <w:p>
      <w:pPr>
        <w:pStyle w:val="BodyText"/>
        <w:spacing w:line="316" w:lineRule="auto" w:before="44"/>
        <w:ind w:left="153" w:right="0"/>
        <w:jc w:val="left"/>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pStyle w:val="Heading7"/>
        <w:spacing w:line="240" w:lineRule="auto" w:before="19"/>
        <w:ind w:left="153" w:right="0"/>
        <w:jc w:val="left"/>
        <w:rPr>
          <w:b w:val="0"/>
          <w:bCs w:val="0"/>
        </w:rPr>
      </w:pPr>
      <w:r>
        <w:rPr/>
        <w:t>2、</w:t>
      </w:r>
      <w:r>
        <w:rPr>
          <w:spacing w:val="-3"/>
        </w:rPr>
        <w:t> </w:t>
      </w:r>
      <w:r>
        <w:rPr/>
        <w:t>初始投资成本的确定</w:t>
      </w:r>
      <w:r>
        <w:rPr>
          <w:b w:val="0"/>
          <w:bCs w:val="0"/>
        </w:rPr>
      </w:r>
    </w:p>
    <w:p>
      <w:pPr>
        <w:pStyle w:val="BodyText"/>
        <w:spacing w:line="316" w:lineRule="auto" w:before="76"/>
        <w:ind w:left="153" w:right="0"/>
        <w:jc w:val="left"/>
      </w:pPr>
      <w:r>
        <w:rPr/>
        <w:t>（1）企业合并形成的长期股权投资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16" w:lineRule="auto" w:before="19"/>
        <w:ind w:left="153" w:right="2391"/>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19"/>
        <w:ind w:left="153" w:right="15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spacing w:line="316" w:lineRule="auto" w:before="19"/>
        <w:ind w:left="153" w:right="3471" w:firstLine="0"/>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宋体" w:hAnsi="宋体" w:cs="宋体" w:eastAsia="宋体" w:hint="default"/>
          <w:b/>
          <w:bCs/>
          <w:sz w:val="18"/>
          <w:szCs w:val="18"/>
        </w:rPr>
        <w:t>3、</w:t>
      </w:r>
      <w:r>
        <w:rPr>
          <w:rFonts w:ascii="宋体" w:hAnsi="宋体" w:cs="宋体" w:eastAsia="宋体" w:hint="default"/>
          <w:b/>
          <w:bCs/>
          <w:spacing w:val="-4"/>
          <w:sz w:val="18"/>
          <w:szCs w:val="18"/>
        </w:rPr>
        <w:t> </w:t>
      </w:r>
      <w:r>
        <w:rPr>
          <w:rFonts w:ascii="宋体" w:hAnsi="宋体" w:cs="宋体" w:eastAsia="宋体" w:hint="default"/>
          <w:b/>
          <w:bCs/>
          <w:sz w:val="18"/>
          <w:szCs w:val="18"/>
        </w:rPr>
        <w:t>后续计量及损益确认方法</w:t>
      </w:r>
      <w:r>
        <w:rPr>
          <w:rFonts w:ascii="宋体" w:hAnsi="宋体" w:cs="宋体" w:eastAsia="宋体" w:hint="default"/>
          <w:sz w:val="18"/>
          <w:szCs w:val="18"/>
        </w:rPr>
      </w:r>
    </w:p>
    <w:p>
      <w:pPr>
        <w:pStyle w:val="BodyText"/>
        <w:spacing w:line="316" w:lineRule="auto" w:before="19"/>
        <w:ind w:left="153" w:right="0"/>
        <w:jc w:val="left"/>
      </w:pPr>
      <w:r>
        <w:rPr/>
        <w:t>（1）成本法核算的长期股权投资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6" w:lineRule="auto" w:before="19"/>
        <w:ind w:left="153" w:right="0"/>
        <w:jc w:val="left"/>
      </w:pPr>
      <w:r>
        <w:rPr/>
        <w:t>（2）权益法核算的长期股权投资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 </w:t>
      </w: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240" w:lineRule="auto" w:before="19"/>
        <w:ind w:left="153" w:right="0"/>
        <w:jc w:val="left"/>
      </w:pPr>
      <w:r>
        <w:rPr/>
        <w:t>（3）长期股权投资的处置</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t>处置长期股权投资，其账面价值与实际取得价款的差额，计入当期损益。 </w:t>
      </w: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r>
    </w:tbl>
    <w:p>
      <w:pPr>
        <w:pStyle w:val="BodyText"/>
        <w:spacing w:line="316" w:lineRule="auto" w:before="10"/>
        <w:ind w:left="229" w:right="155"/>
        <w:jc w:val="left"/>
      </w:pPr>
      <w:r>
        <w:rPr/>
        <w:t>固定资产折旧采用年限平均法分类计提，根据固定资产类别、预计使用寿命和预计净残值率确定折旧率。如固定资产各组 成部分的使用寿命不同或者以不同方式为企业提供经济利益，则选择不同折旧率或折旧方法，分别计提折旧。</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153" w:right="134"/>
        <w:jc w:val="left"/>
      </w:pPr>
      <w:r>
        <w:rPr/>
        <w:t>否 </w:t>
      </w: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p>
    <w:p>
      <w:pPr>
        <w:pStyle w:val="BodyText"/>
        <w:spacing w:line="319" w:lineRule="auto" w:before="2"/>
        <w:ind w:left="153" w:right="0"/>
        <w:jc w:val="left"/>
      </w:pP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11"/>
        <w:jc w:val="left"/>
      </w:pPr>
      <w:r>
        <w:rPr/>
        <w:t>公司是否需要遵守特殊行业的披露要求 否</w:t>
      </w:r>
    </w:p>
    <w:p>
      <w:pPr>
        <w:pStyle w:val="Heading7"/>
        <w:spacing w:line="240" w:lineRule="auto" w:before="25"/>
        <w:ind w:left="153" w:right="0"/>
        <w:jc w:val="left"/>
        <w:rPr>
          <w:b w:val="0"/>
          <w:bCs w:val="0"/>
        </w:rPr>
      </w:pPr>
      <w:r>
        <w:rPr/>
        <w:t>1、</w:t>
      </w:r>
      <w:r>
        <w:rPr>
          <w:spacing w:val="-3"/>
        </w:rPr>
        <w:t> </w:t>
      </w:r>
      <w:r>
        <w:rPr/>
        <w:t>无形资产的计价方法</w:t>
      </w:r>
      <w:r>
        <w:rPr>
          <w:b w:val="0"/>
          <w:bCs w:val="0"/>
        </w:rPr>
      </w:r>
    </w:p>
    <w:p>
      <w:pPr>
        <w:pStyle w:val="BodyText"/>
        <w:spacing w:line="338" w:lineRule="auto" w:before="117"/>
        <w:ind w:left="153"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p>
    <w:p>
      <w:pPr>
        <w:pStyle w:val="BodyText"/>
        <w:spacing w:line="319" w:lineRule="auto" w:before="2"/>
        <w:ind w:left="153" w:right="0"/>
        <w:jc w:val="left"/>
      </w:pP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38" w:lineRule="auto" w:before="58"/>
        <w:ind w:left="153" w:right="653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41"/>
        <w:ind w:left="153"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Heading7"/>
        <w:spacing w:line="240" w:lineRule="auto" w:before="56"/>
        <w:ind w:left="153" w:right="0"/>
        <w:jc w:val="left"/>
        <w:rPr>
          <w:b w:val="0"/>
          <w:bCs w:val="0"/>
        </w:rPr>
      </w:pPr>
      <w:r>
        <w:rPr/>
        <w:t>2、</w:t>
      </w:r>
      <w:r>
        <w:rPr>
          <w:spacing w:val="-6"/>
        </w:rPr>
        <w:t> </w:t>
      </w:r>
      <w:r>
        <w:rPr/>
        <w:t>使用寿命有限的无形资产的使用寿命估计情况：</w:t>
      </w:r>
      <w:r>
        <w:rPr>
          <w:b w:val="0"/>
          <w:bCs w:val="0"/>
        </w:rPr>
      </w:r>
    </w:p>
    <w:p>
      <w:pPr>
        <w:spacing w:line="240" w:lineRule="auto" w:before="0"/>
        <w:rPr>
          <w:rFonts w:ascii="宋体" w:hAnsi="宋体" w:cs="宋体" w:eastAsia="宋体" w:hint="default"/>
          <w:b/>
          <w:bCs/>
          <w:sz w:val="5"/>
          <w:szCs w:val="5"/>
        </w:rPr>
      </w:pPr>
    </w:p>
    <w:tbl>
      <w:tblPr>
        <w:tblW w:w="0" w:type="auto"/>
        <w:jc w:val="left"/>
        <w:tblInd w:w="137" w:type="dxa"/>
        <w:tblLayout w:type="fixed"/>
        <w:tblCellMar>
          <w:top w:w="0" w:type="dxa"/>
          <w:left w:w="0" w:type="dxa"/>
          <w:bottom w:w="0" w:type="dxa"/>
          <w:right w:w="0" w:type="dxa"/>
        </w:tblCellMar>
        <w:tblLook w:val="01E0"/>
      </w:tblPr>
      <w:tblGrid>
        <w:gridCol w:w="3776"/>
        <w:gridCol w:w="2364"/>
        <w:gridCol w:w="3517"/>
      </w:tblGrid>
      <w:tr>
        <w:trPr>
          <w:trHeight w:val="355" w:hRule="exact"/>
        </w:trPr>
        <w:tc>
          <w:tcPr>
            <w:tcW w:w="3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1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3"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年</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宋体" w:hAnsi="宋体" w:cs="宋体" w:eastAsia="宋体" w:hint="default"/>
                <w:sz w:val="18"/>
                <w:szCs w:val="18"/>
              </w:rPr>
              <w:t>年</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bl>
    <w:p>
      <w:pPr>
        <w:spacing w:line="352" w:lineRule="auto" w:before="51"/>
        <w:ind w:left="153" w:right="3718" w:firstLine="0"/>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spacing w:val="1"/>
          <w:w w:val="99"/>
          <w:sz w:val="18"/>
          <w:szCs w:val="18"/>
        </w:rPr>
        <w:t> </w:t>
      </w:r>
      <w:r>
        <w:rPr>
          <w:rFonts w:ascii="宋体" w:hAnsi="宋体" w:cs="宋体" w:eastAsia="宋体" w:hint="default"/>
          <w:sz w:val="18"/>
          <w:szCs w:val="18"/>
        </w:rPr>
        <w:t>每期末，对使用寿命不确定的无形资产的使用寿命进行复核。 经复核，本公司期末无使用寿命不确定的无形资产。</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w:t>
      </w:r>
      <w:r>
        <w:rPr>
          <w:spacing w:val="83"/>
        </w:rPr>
        <w:t> </w:t>
      </w:r>
      <w:r>
        <w:rPr/>
        <w:t>内部研究开发支出会计政策</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2031" w:firstLine="0"/>
        <w:jc w:val="left"/>
        <w:rPr>
          <w:rFonts w:ascii="宋体" w:hAnsi="宋体" w:cs="宋体" w:eastAsia="宋体" w:hint="default"/>
          <w:sz w:val="18"/>
          <w:szCs w:val="18"/>
        </w:rPr>
      </w:pPr>
      <w:r>
        <w:rPr>
          <w:rFonts w:ascii="宋体" w:hAnsi="宋体" w:cs="宋体" w:eastAsia="宋体" w:hint="default"/>
          <w:b/>
          <w:bCs/>
          <w:sz w:val="18"/>
          <w:szCs w:val="18"/>
        </w:rPr>
        <w:t>1、划分研究阶段和开发阶段的具体标准</w:t>
      </w:r>
      <w:r>
        <w:rPr>
          <w:rFonts w:ascii="宋体" w:hAnsi="宋体" w:cs="宋体" w:eastAsia="宋体" w:hint="default"/>
          <w:b/>
          <w:bCs/>
          <w:spacing w:val="1"/>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spacing w:after="0" w:line="360" w:lineRule="auto"/>
        <w:jc w:val="left"/>
        <w:rPr>
          <w:rFonts w:ascii="宋体" w:hAnsi="宋体" w:cs="宋体" w:eastAsia="宋体" w:hint="default"/>
          <w:sz w:val="18"/>
          <w:szCs w:val="18"/>
        </w:rPr>
        <w:sectPr>
          <w:footerReference w:type="default" r:id="rId17"/>
          <w:pgSz w:w="11910" w:h="16840"/>
          <w:pgMar w:footer="982" w:header="747" w:top="1060" w:bottom="1180" w:left="980" w:right="980"/>
          <w:pgNumType w:start="120"/>
        </w:sectPr>
      </w:pPr>
    </w:p>
    <w:p>
      <w:pPr>
        <w:spacing w:line="240" w:lineRule="auto" w:before="12"/>
        <w:rPr>
          <w:rFonts w:ascii="宋体" w:hAnsi="宋体" w:cs="宋体" w:eastAsia="宋体" w:hint="default"/>
          <w:sz w:val="25"/>
          <w:szCs w:val="25"/>
        </w:rPr>
      </w:pPr>
    </w:p>
    <w:p>
      <w:pPr>
        <w:pStyle w:val="BodyText"/>
        <w:spacing w:line="319" w:lineRule="auto" w:before="44"/>
        <w:ind w:left="153" w:right="91"/>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360" w:lineRule="auto" w:before="55"/>
        <w:ind w:left="153" w:right="3871"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3"/>
          <w:sz w:val="18"/>
          <w:szCs w:val="18"/>
        </w:rPr>
        <w:t> </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27"/>
        <w:ind w:left="153" w:right="91"/>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2"/>
        <w:ind w:left="153" w:right="91"/>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2"/>
        <w:ind w:left="153" w:right="181"/>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69"/>
        <w:ind w:left="153" w:right="91"/>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102"/>
        <w:ind w:left="153" w:right="1171"/>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3"/>
        <w:rPr>
          <w:rFonts w:ascii="宋体" w:hAnsi="宋体" w:cs="宋体" w:eastAsia="宋体" w:hint="default"/>
          <w:sz w:val="20"/>
          <w:szCs w:val="20"/>
        </w:rPr>
      </w:pPr>
    </w:p>
    <w:p>
      <w:pPr>
        <w:pStyle w:val="Heading5"/>
        <w:spacing w:line="240" w:lineRule="auto"/>
        <w:ind w:right="91"/>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0"/>
        <w:jc w:val="both"/>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6"/>
        </w:rPr>
        <w:t> </w:t>
      </w:r>
      <w:r>
        <w:rPr>
          <w:spacing w:val="-66"/>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p>
    <w:p>
      <w:pPr>
        <w:pStyle w:val="BodyText"/>
        <w:spacing w:line="338" w:lineRule="auto" w:before="56"/>
        <w:ind w:left="153" w:right="91"/>
        <w:jc w:val="left"/>
      </w:pPr>
      <w:r>
        <w:rPr/>
        <w:t>商誉至少在每年年度终了进行减值测试。 </w:t>
      </w: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p>
    <w:p>
      <w:pPr>
        <w:pStyle w:val="BodyText"/>
        <w:spacing w:line="319" w:lineRule="auto" w:before="2"/>
        <w:ind w:left="153" w:right="91"/>
        <w:jc w:val="left"/>
      </w:pP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BodyText"/>
        <w:spacing w:line="319" w:lineRule="auto" w:before="56"/>
        <w:ind w:left="153" w:right="189"/>
        <w:jc w:val="both"/>
      </w:pP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w:t>
      </w:r>
    </w:p>
    <w:p>
      <w:pPr>
        <w:pStyle w:val="BodyText"/>
        <w:spacing w:line="240" w:lineRule="auto" w:before="56"/>
        <w:ind w:right="91"/>
        <w:jc w:val="left"/>
      </w:pPr>
      <w:r>
        <w:rPr/>
        <w:t>上述资产减值损失一经确认，在以后会计期间不予转回。</w:t>
      </w:r>
    </w:p>
    <w:p>
      <w:pPr>
        <w:spacing w:line="240" w:lineRule="auto" w:before="10"/>
        <w:rPr>
          <w:rFonts w:ascii="宋体" w:hAnsi="宋体" w:cs="宋体" w:eastAsia="宋体" w:hint="default"/>
          <w:sz w:val="26"/>
          <w:szCs w:val="26"/>
        </w:rPr>
      </w:pPr>
    </w:p>
    <w:p>
      <w:pPr>
        <w:pStyle w:val="Heading5"/>
        <w:spacing w:line="240" w:lineRule="auto"/>
        <w:ind w:right="91"/>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jc w:val="left"/>
      </w:pPr>
      <w:r>
        <w:rPr/>
        <w:t>长期待摊费用为已经发生但应由本期和以后各期负担的分摊期限在一年以上的各项费用。本公司长期待摊费用包括装修费、 预付租赁费。</w:t>
      </w:r>
    </w:p>
    <w:p>
      <w:pPr>
        <w:spacing w:line="316" w:lineRule="auto" w:before="55"/>
        <w:ind w:left="154" w:right="711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3"/>
          <w:sz w:val="18"/>
          <w:szCs w:val="18"/>
        </w:rPr>
        <w:t> </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宋体" w:hAnsi="宋体" w:cs="宋体" w:eastAsia="宋体" w:hint="default"/>
          <w:b/>
          <w:bCs/>
          <w:sz w:val="18"/>
          <w:szCs w:val="18"/>
        </w:rPr>
        <w:t>2、</w:t>
      </w:r>
      <w:r>
        <w:rPr>
          <w:rFonts w:ascii="宋体" w:hAnsi="宋体" w:cs="宋体" w:eastAsia="宋体" w:hint="default"/>
          <w:b/>
          <w:bCs/>
          <w:spacing w:val="-4"/>
          <w:sz w:val="18"/>
          <w:szCs w:val="18"/>
        </w:rPr>
        <w:t> </w:t>
      </w:r>
      <w:r>
        <w:rPr>
          <w:rFonts w:ascii="宋体" w:hAnsi="宋体" w:cs="宋体" w:eastAsia="宋体" w:hint="default"/>
          <w:b/>
          <w:bCs/>
          <w:sz w:val="18"/>
          <w:szCs w:val="18"/>
        </w:rPr>
        <w:t>摊销年限</w:t>
      </w:r>
      <w:r>
        <w:rPr>
          <w:rFonts w:ascii="宋体" w:hAnsi="宋体" w:cs="宋体" w:eastAsia="宋体" w:hint="default"/>
          <w:sz w:val="18"/>
          <w:szCs w:val="18"/>
        </w:rPr>
      </w:r>
    </w:p>
    <w:tbl>
      <w:tblPr>
        <w:tblW w:w="0" w:type="auto"/>
        <w:jc w:val="left"/>
        <w:tblInd w:w="137" w:type="dxa"/>
        <w:tblLayout w:type="fixed"/>
        <w:tblCellMar>
          <w:top w:w="0" w:type="dxa"/>
          <w:left w:w="0" w:type="dxa"/>
          <w:bottom w:w="0" w:type="dxa"/>
          <w:right w:w="0" w:type="dxa"/>
        </w:tblCellMar>
        <w:tblLook w:val="01E0"/>
      </w:tblPr>
      <w:tblGrid>
        <w:gridCol w:w="4826"/>
        <w:gridCol w:w="4831"/>
      </w:tblGrid>
      <w:tr>
        <w:trPr>
          <w:trHeight w:val="356" w:hRule="exact"/>
        </w:trPr>
        <w:tc>
          <w:tcPr>
            <w:tcW w:w="4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83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52" w:hRule="exact"/>
        </w:trPr>
        <w:tc>
          <w:tcPr>
            <w:tcW w:w="4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租入资产改良支出</w:t>
            </w:r>
          </w:p>
        </w:tc>
        <w:tc>
          <w:tcPr>
            <w:tcW w:w="483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r>
      <w:tr>
        <w:trPr>
          <w:trHeight w:val="352" w:hRule="exact"/>
        </w:trPr>
        <w:tc>
          <w:tcPr>
            <w:tcW w:w="4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软件使用许可费</w:t>
            </w:r>
          </w:p>
        </w:tc>
        <w:tc>
          <w:tcPr>
            <w:tcW w:w="483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5"/>
        <w:spacing w:line="240" w:lineRule="auto" w:before="35"/>
        <w:ind w:right="91"/>
        <w:jc w:val="left"/>
        <w:rPr>
          <w:b w:val="0"/>
          <w:bCs w:val="0"/>
        </w:rPr>
      </w:pP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6"/>
          <w:szCs w:val="26"/>
        </w:rPr>
      </w:pPr>
    </w:p>
    <w:p>
      <w:pPr>
        <w:pStyle w:val="Heading7"/>
        <w:spacing w:line="240" w:lineRule="auto"/>
        <w:ind w:right="9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8"/>
        <w:ind w:right="91"/>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3"/>
        <w:ind w:right="91"/>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7"/>
        <w:spacing w:line="240" w:lineRule="auto" w:before="139"/>
        <w:ind w:right="9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28" w:lineRule="auto" w:before="129"/>
        <w:ind w:left="153" w:right="91"/>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02" w:lineRule="auto" w:before="49"/>
        <w:ind w:left="153" w:right="96"/>
        <w:jc w:val="left"/>
      </w:pPr>
      <w:r>
        <w:rPr>
          <w:spacing w:val="-1"/>
        </w:rPr>
        <w:t>除基本养老保险外，本公司还依据国家企业年金制度的相关政策建立了企业年金缴费制度（补充养老保险）</w:t>
      </w:r>
      <w:r>
        <w:rPr>
          <w:rFonts w:ascii="Times New Roman" w:hAnsi="Times New Roman" w:cs="Times New Roman" w:eastAsia="Times New Roman" w:hint="default"/>
          <w:spacing w:val="-1"/>
        </w:rPr>
        <w:t>/</w:t>
      </w:r>
      <w:r>
        <w:rPr>
          <w:spacing w:val="-1"/>
        </w:rPr>
        <w:t>企业年金计划。</w:t>
      </w:r>
      <w:r>
        <w:rPr>
          <w:spacing w:val="-80"/>
        </w:rPr>
        <w:t> </w:t>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28" w:lineRule="auto" w:before="50"/>
        <w:ind w:right="91"/>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w:t>
      </w:r>
    </w:p>
    <w:p>
      <w:pPr>
        <w:pStyle w:val="BodyText"/>
        <w:spacing w:line="338" w:lineRule="auto" w:before="49"/>
        <w:ind w:right="91"/>
        <w:jc w:val="left"/>
      </w:pP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p>
    <w:p>
      <w:pPr>
        <w:pStyle w:val="BodyText"/>
        <w:spacing w:line="338" w:lineRule="auto" w:before="4"/>
        <w:ind w:right="91"/>
        <w:jc w:val="left"/>
      </w:pP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p>
    <w:p>
      <w:pPr>
        <w:pStyle w:val="BodyText"/>
        <w:spacing w:line="360" w:lineRule="auto" w:before="4"/>
        <w:ind w:right="810"/>
        <w:jc w:val="left"/>
      </w:pP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10"/>
        <w:rPr>
          <w:rFonts w:ascii="宋体" w:hAnsi="宋体" w:cs="宋体" w:eastAsia="宋体" w:hint="default"/>
          <w:sz w:val="21"/>
          <w:szCs w:val="21"/>
        </w:rPr>
      </w:pPr>
    </w:p>
    <w:p>
      <w:pPr>
        <w:pStyle w:val="Heading7"/>
        <w:spacing w:line="240" w:lineRule="auto"/>
        <w:ind w:right="9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8"/>
        <w:ind w:right="172"/>
        <w:jc w:val="left"/>
      </w:pPr>
      <w:r>
        <w:rPr/>
        <w:t>本公司在不能单方面撤回因解除劳动关系计划或裁减建议所提供的辞退福利时</w:t>
      </w:r>
      <w:r>
        <w:rPr>
          <w:spacing w:val="-82"/>
        </w:rPr>
        <w:t>，</w:t>
      </w:r>
      <w:r>
        <w:rPr/>
        <w:t>或确认与涉及支付辞退福利的重组相关的成</w:t>
      </w:r>
      <w:r>
        <w:rPr/>
        <w:t> 本或费用时（两者孰早</w:t>
      </w:r>
      <w:r>
        <w:rPr>
          <w:spacing w:val="-90"/>
        </w:rPr>
        <w:t>）</w:t>
      </w:r>
      <w:r>
        <w:rPr/>
        <w:t>，确认辞退福利产生的职工薪酬负债，并计入当期损益。</w:t>
      </w:r>
    </w:p>
    <w:p>
      <w:pPr>
        <w:spacing w:line="240" w:lineRule="auto" w:before="3"/>
        <w:rPr>
          <w:rFonts w:ascii="宋体" w:hAnsi="宋体" w:cs="宋体" w:eastAsia="宋体" w:hint="default"/>
          <w:sz w:val="22"/>
          <w:szCs w:val="22"/>
        </w:rPr>
      </w:pPr>
    </w:p>
    <w:p>
      <w:pPr>
        <w:pStyle w:val="Heading5"/>
        <w:spacing w:line="240" w:lineRule="auto"/>
        <w:ind w:right="91"/>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990"/>
        <w:jc w:val="left"/>
      </w:pPr>
      <w:r>
        <w:rPr>
          <w:rFonts w:ascii="宋体" w:hAnsi="宋体" w:cs="宋体" w:eastAsia="宋体" w:hint="default"/>
          <w:b/>
          <w:bCs/>
        </w:rPr>
        <w:t>1、预计负债的确认标准</w:t>
      </w:r>
      <w:r>
        <w:rPr>
          <w:rFonts w:ascii="宋体" w:hAnsi="宋体" w:cs="宋体" w:eastAsia="宋体" w:hint="default"/>
          <w:b/>
          <w:bCs/>
          <w:w w:val="99"/>
        </w:rPr>
        <w:t> </w:t>
      </w:r>
      <w:r>
        <w:rPr/>
        <w:t>与诉讼、债务担保、亏损合同、重组事项等或有事项相关的义务同时满足下列条件时，本公司确认为预计负债：</w:t>
      </w:r>
    </w:p>
    <w:p>
      <w:pPr>
        <w:pStyle w:val="BodyText"/>
        <w:spacing w:line="240" w:lineRule="auto" w:before="26"/>
        <w:ind w:right="91"/>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3"/>
        <w:ind w:right="91"/>
        <w:jc w:val="left"/>
      </w:pPr>
      <w:r>
        <w:rPr/>
        <w:t>（</w:t>
      </w:r>
      <w:r>
        <w:rPr>
          <w:rFonts w:ascii="Times New Roman" w:hAnsi="Times New Roman" w:cs="Times New Roman" w:eastAsia="Times New Roman" w:hint="default"/>
        </w:rPr>
        <w:t>2</w:t>
      </w:r>
      <w:r>
        <w:rPr/>
        <w:t>）履行该义务很可能导致经济利益流出本公司；</w:t>
      </w:r>
    </w:p>
    <w:p>
      <w:pPr>
        <w:spacing w:line="338" w:lineRule="auto" w:before="102"/>
        <w:ind w:left="154" w:right="684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）该义务的金额能够可靠地计量。 </w:t>
      </w:r>
      <w:r>
        <w:rPr>
          <w:rFonts w:ascii="宋体" w:hAnsi="宋体" w:cs="宋体" w:eastAsia="宋体" w:hint="default"/>
          <w:b/>
          <w:bCs/>
          <w:sz w:val="18"/>
          <w:szCs w:val="18"/>
        </w:rPr>
        <w:t>2、各类预计负债的计量方法</w:t>
      </w:r>
      <w:r>
        <w:rPr>
          <w:rFonts w:ascii="宋体" w:hAnsi="宋体" w:cs="宋体" w:eastAsia="宋体" w:hint="default"/>
          <w:sz w:val="18"/>
          <w:szCs w:val="18"/>
        </w:rPr>
      </w:r>
    </w:p>
    <w:p>
      <w:pPr>
        <w:pStyle w:val="BodyText"/>
        <w:spacing w:line="240" w:lineRule="auto" w:before="43"/>
        <w:ind w:right="91"/>
        <w:jc w:val="left"/>
      </w:pPr>
      <w:r>
        <w:rPr/>
        <w:t>本公司预计负债按履行相关现时义务所需的支出的最佳估计数进行初始计量。</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91"/>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57" w:lineRule="auto" w:before="56"/>
        <w:ind w:left="153" w:right="91"/>
        <w:jc w:val="left"/>
      </w:pPr>
      <w:r>
        <w:rPr/>
        <w:t>最佳估计数分别以下情况处理： </w:t>
      </w:r>
      <w:r>
        <w:rPr>
          <w:spacing w:val="-2"/>
        </w:rPr>
        <w:t>所需支出存在一个连续范围（或区间），且该范围内各种结果发生的可能性相同的，则最佳估计数按照该范围的中间值即上</w:t>
      </w:r>
    </w:p>
    <w:p>
      <w:pPr>
        <w:pStyle w:val="BodyText"/>
        <w:spacing w:line="338" w:lineRule="auto"/>
        <w:ind w:left="153" w:right="91"/>
        <w:jc w:val="left"/>
      </w:pPr>
      <w:r>
        <w:rPr/>
        <w:t>下限金额的平均数确定。 </w:t>
      </w:r>
      <w:r>
        <w:rPr>
          <w:spacing w:val="-2"/>
        </w:rPr>
        <w:t>所需支出不存在一个连续范围（或区间），或虽然存在一个连续范围但该范围内各种结果发生的可能性不相同的，如或有事</w:t>
      </w:r>
      <w:r>
        <w:rPr>
          <w:spacing w:val="-72"/>
        </w:rPr>
        <w:t> </w:t>
      </w:r>
      <w:r>
        <w:rPr>
          <w:spacing w:val="-72"/>
        </w:rPr>
      </w:r>
      <w:r>
        <w:rPr>
          <w:spacing w:val="-2"/>
        </w:rPr>
        <w:t>项涉及单个项目的，则最佳估计数按照最可能发生金额确定；如或有事项涉及多个项目的，则最佳估计数按各种可能结果及</w:t>
      </w:r>
    </w:p>
    <w:p>
      <w:pPr>
        <w:pStyle w:val="BodyText"/>
        <w:spacing w:line="338" w:lineRule="auto" w:before="4"/>
        <w:ind w:left="153" w:right="91"/>
        <w:jc w:val="left"/>
      </w:pP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2"/>
        <w:rPr>
          <w:rFonts w:ascii="宋体" w:hAnsi="宋体" w:cs="宋体" w:eastAsia="宋体" w:hint="default"/>
          <w:sz w:val="21"/>
          <w:szCs w:val="21"/>
        </w:rPr>
      </w:pPr>
    </w:p>
    <w:p>
      <w:pPr>
        <w:pStyle w:val="Heading5"/>
        <w:spacing w:line="240" w:lineRule="auto"/>
        <w:ind w:right="91"/>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91"/>
        <w:jc w:val="left"/>
      </w:pPr>
      <w:r>
        <w:rPr>
          <w:spacing w:val="-1"/>
        </w:rPr>
        <w:t>本公司的股份支付是为了获取职工</w:t>
      </w:r>
      <w:r>
        <w:rPr>
          <w:rFonts w:ascii="Times New Roman" w:hAnsi="Times New Roman" w:cs="Times New Roman" w:eastAsia="Times New Roman" w:hint="default"/>
          <w:spacing w:val="-1"/>
        </w:rPr>
        <w:t>[</w:t>
      </w:r>
      <w:r>
        <w:rPr>
          <w:spacing w:val="-1"/>
        </w:rPr>
        <w:t>或其他方</w:t>
      </w:r>
      <w:r>
        <w:rPr>
          <w:rFonts w:ascii="Times New Roman" w:hAnsi="Times New Roman" w:cs="Times New Roman" w:eastAsia="Times New Roman" w:hint="default"/>
          <w:spacing w:val="-1"/>
        </w:rPr>
        <w:t>]</w:t>
      </w:r>
      <w:r>
        <w:rPr>
          <w:spacing w:val="-1"/>
        </w:rPr>
        <w:t>提供服务而授予权益工具或者承担以权益工具为基础确定的负债的交易。本公</w:t>
      </w:r>
      <w:r>
        <w:rPr>
          <w:spacing w:val="-58"/>
        </w:rPr>
        <w:t> </w:t>
      </w:r>
      <w:r>
        <w:rPr>
          <w:spacing w:val="-58"/>
        </w:rPr>
      </w:r>
      <w:r>
        <w:rPr/>
        <w:t>司的股份支付分为以权益结算的股份支付和以现金结算的股份支付。</w:t>
      </w:r>
    </w:p>
    <w:p>
      <w:pPr>
        <w:pStyle w:val="BodyText"/>
        <w:spacing w:line="338" w:lineRule="auto" w:before="70"/>
        <w:ind w:left="153" w:right="91"/>
        <w:jc w:val="left"/>
      </w:pPr>
      <w:r>
        <w:rPr/>
        <w:t>以权益结算的股份支付及权益工具 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w:t>
      </w:r>
    </w:p>
    <w:p>
      <w:pPr>
        <w:pStyle w:val="BodyText"/>
        <w:spacing w:line="319" w:lineRule="auto" w:before="2"/>
        <w:ind w:left="153" w:right="190"/>
        <w:jc w:val="both"/>
      </w:pP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72"/>
        </w:rPr>
        <w:t> </w:t>
      </w:r>
      <w:r>
        <w:rPr>
          <w:spacing w:val="-72"/>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6"/>
        </w:rPr>
        <w:t> </w:t>
      </w:r>
      <w:r>
        <w:rPr>
          <w:spacing w:val="-66"/>
        </w:rPr>
      </w:r>
      <w:r>
        <w:rPr/>
        <w:t>和所有者权益总额进行调整。但授予后立即可行权的，在授予日按照公允价值计入相关成本或费用，相应增加资本公积。</w:t>
      </w:r>
    </w:p>
    <w:p>
      <w:pPr>
        <w:pStyle w:val="BodyText"/>
        <w:spacing w:line="338" w:lineRule="auto" w:before="55"/>
        <w:ind w:right="91"/>
        <w:jc w:val="left"/>
      </w:pP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p>
    <w:p>
      <w:pPr>
        <w:pStyle w:val="BodyText"/>
        <w:spacing w:line="338" w:lineRule="auto" w:before="4"/>
        <w:ind w:right="91"/>
        <w:jc w:val="left"/>
      </w:pP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p>
    <w:p>
      <w:pPr>
        <w:pStyle w:val="BodyText"/>
        <w:spacing w:line="319" w:lineRule="auto" w:before="2"/>
        <w:ind w:right="91"/>
        <w:jc w:val="left"/>
      </w:pP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3"/>
        <w:rPr>
          <w:rFonts w:ascii="宋体" w:hAnsi="宋体" w:cs="宋体" w:eastAsia="宋体" w:hint="default"/>
          <w:sz w:val="22"/>
          <w:szCs w:val="22"/>
        </w:rPr>
      </w:pPr>
    </w:p>
    <w:p>
      <w:pPr>
        <w:pStyle w:val="Heading5"/>
        <w:spacing w:line="240" w:lineRule="auto"/>
        <w:ind w:right="91"/>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51"/>
        <w:jc w:val="left"/>
      </w:pPr>
      <w:r>
        <w:rPr/>
        <w:t>公司是否需要遵守特殊行业的披露要求 否</w:t>
      </w:r>
    </w:p>
    <w:p>
      <w:pPr>
        <w:pStyle w:val="Heading7"/>
        <w:spacing w:line="240" w:lineRule="auto" w:before="28"/>
        <w:ind w:left="153" w:right="91"/>
        <w:jc w:val="left"/>
        <w:rPr>
          <w:b w:val="0"/>
          <w:bCs w:val="0"/>
        </w:rPr>
      </w:pPr>
      <w:r>
        <w:rPr>
          <w:rFonts w:ascii="Times New Roman" w:hAnsi="Times New Roman" w:cs="Times New Roman" w:eastAsia="Times New Roman" w:hint="default"/>
        </w:rPr>
        <w:t>1</w:t>
      </w:r>
      <w:r>
        <w:rPr/>
        <w:t>、销售商品收入确认和计量原则</w:t>
      </w:r>
      <w:r>
        <w:rPr>
          <w:b w:val="0"/>
          <w:bCs w:val="0"/>
        </w:rPr>
      </w:r>
    </w:p>
    <w:p>
      <w:pPr>
        <w:pStyle w:val="BodyText"/>
        <w:spacing w:line="324" w:lineRule="auto" w:before="103"/>
        <w:ind w:left="153" w:right="91"/>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338" w:lineRule="auto" w:before="54"/>
        <w:ind w:left="153" w:right="3961"/>
        <w:jc w:val="left"/>
      </w:pPr>
      <w:r>
        <w:rPr/>
        <w:t>（</w:t>
      </w:r>
      <w:r>
        <w:rPr>
          <w:rFonts w:ascii="Times New Roman" w:hAnsi="Times New Roman" w:cs="Times New Roman" w:eastAsia="Times New Roman" w:hint="default"/>
        </w:rPr>
        <w:t>2</w:t>
      </w:r>
      <w:r>
        <w:rPr/>
        <w:t>）本公司销售商品收入确认的确认标准及收入确认时间的具体判断标准 本公司的商品销售收入以客户验收确认为收入确认时点。</w:t>
      </w:r>
    </w:p>
    <w:p>
      <w:pPr>
        <w:spacing w:after="0" w:line="338"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spacing w:line="345" w:lineRule="auto" w:before="44"/>
        <w:ind w:left="153" w:right="495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）关于本公司销售商品收入相应的业务特点分析和介绍 本公司的商品销售主要是外购软件、硬件及自产软件的销售。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、让渡资产使用权收入的确认和计量原则</w:t>
      </w:r>
      <w:r>
        <w:rPr>
          <w:rFonts w:ascii="宋体" w:hAnsi="宋体" w:cs="宋体" w:eastAsia="宋体" w:hint="default"/>
          <w:b/>
          <w:bCs/>
          <w:w w:val="99"/>
          <w:sz w:val="18"/>
          <w:szCs w:val="18"/>
        </w:rPr>
        <w:t> </w:t>
      </w:r>
      <w:r>
        <w:rPr>
          <w:rFonts w:ascii="宋体" w:hAnsi="宋体" w:cs="宋体" w:eastAsia="宋体" w:hint="default"/>
          <w:sz w:val="18"/>
          <w:szCs w:val="18"/>
        </w:rPr>
        <w:t>让渡资产使用权收入确认和计量的总体原则</w:t>
      </w:r>
    </w:p>
    <w:p>
      <w:pPr>
        <w:pStyle w:val="BodyText"/>
        <w:spacing w:line="240" w:lineRule="auto" w:before="37"/>
        <w:ind w:left="153" w:right="91"/>
        <w:jc w:val="left"/>
      </w:pPr>
      <w:r>
        <w:rPr/>
        <w:t>与交易相关的经济利益很可能流入企业，收入的金额能够可靠地计量时。分别下列情况确定让渡资产使用权收入金额：</w:t>
      </w:r>
    </w:p>
    <w:p>
      <w:pPr>
        <w:pStyle w:val="BodyText"/>
        <w:spacing w:line="240" w:lineRule="auto" w:before="117"/>
        <w:ind w:left="153" w:right="91"/>
        <w:jc w:val="left"/>
      </w:pPr>
      <w:r>
        <w:rPr/>
        <w:t>①利息收入金额，按照他人使用本企业货币资金的时间和实际利率计算确定。</w:t>
      </w:r>
    </w:p>
    <w:p>
      <w:pPr>
        <w:pStyle w:val="BodyText"/>
        <w:spacing w:line="240" w:lineRule="auto" w:before="116"/>
        <w:ind w:left="153" w:right="91"/>
        <w:jc w:val="left"/>
      </w:pPr>
      <w:r>
        <w:rPr/>
        <w:t>②使用费收入金额，按照有关合同或协议约定的收费时间和方法计算确定。</w:t>
      </w:r>
    </w:p>
    <w:p>
      <w:pPr>
        <w:pStyle w:val="BodyText"/>
        <w:spacing w:line="240" w:lineRule="auto" w:before="116"/>
        <w:ind w:left="153" w:right="91"/>
        <w:jc w:val="left"/>
      </w:pPr>
      <w:r>
        <w:rPr/>
        <w:t>③保理收入金额，按照客户使用本企业货币资金金额、时间和实际利率计算确定。</w:t>
      </w:r>
    </w:p>
    <w:p>
      <w:pPr>
        <w:pStyle w:val="Heading7"/>
        <w:spacing w:line="240" w:lineRule="auto" w:before="116"/>
        <w:ind w:left="153" w:right="91"/>
        <w:jc w:val="left"/>
        <w:rPr>
          <w:b w:val="0"/>
          <w:bCs w:val="0"/>
        </w:rPr>
      </w:pPr>
      <w:r>
        <w:rPr>
          <w:rFonts w:ascii="Times New Roman" w:hAnsi="Times New Roman" w:cs="Times New Roman" w:eastAsia="Times New Roman" w:hint="default"/>
        </w:rPr>
        <w:t>3</w:t>
      </w:r>
      <w:r>
        <w:rPr/>
        <w:t>、按完工百分比法确认提供劳务的收入和建造合同收入的确认和计量原则</w:t>
      </w:r>
      <w:r>
        <w:rPr>
          <w:b w:val="0"/>
          <w:bCs w:val="0"/>
        </w:rPr>
      </w:r>
    </w:p>
    <w:p>
      <w:pPr>
        <w:pStyle w:val="BodyText"/>
        <w:spacing w:line="328" w:lineRule="auto" w:before="103"/>
        <w:ind w:left="153" w:right="91"/>
        <w:jc w:val="left"/>
      </w:pPr>
      <w:r>
        <w:rPr/>
        <w:t>（</w:t>
      </w:r>
      <w:r>
        <w:rPr>
          <w:rFonts w:ascii="Times New Roman" w:hAnsi="Times New Roman" w:cs="Times New Roman" w:eastAsia="Times New Roman" w:hint="default"/>
        </w:rPr>
        <w:t>1</w:t>
      </w:r>
      <w:r>
        <w:rPr/>
        <w:t>）按完工百分比法确认提供劳务的收入和建造合同收入确认和计量的总体原则 </w:t>
      </w:r>
      <w:r>
        <w:rPr>
          <w:spacing w:val="-2"/>
        </w:rPr>
        <w:t>在资产负债表日提供劳务交易的结果能够可靠估计的，采用完工百分比法确认提供劳务收入。提供劳务交易的完工进度，依</w:t>
      </w:r>
      <w:r>
        <w:rPr>
          <w:spacing w:val="-66"/>
        </w:rPr>
        <w:t> </w:t>
      </w:r>
      <w:r>
        <w:rPr>
          <w:spacing w:val="-66"/>
        </w:rPr>
      </w:r>
      <w:r>
        <w:rPr/>
        <w:t>据已经提供的劳务工时占应提供劳务工时总量的比例确定。</w:t>
      </w:r>
    </w:p>
    <w:p>
      <w:pPr>
        <w:pStyle w:val="BodyText"/>
        <w:spacing w:line="319" w:lineRule="auto" w:before="49"/>
        <w:ind w:left="153" w:right="190"/>
        <w:jc w:val="both"/>
      </w:pP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w:t>
      </w:r>
    </w:p>
    <w:p>
      <w:pPr>
        <w:pStyle w:val="BodyText"/>
        <w:spacing w:line="240" w:lineRule="auto" w:before="56"/>
        <w:ind w:left="153" w:right="91"/>
        <w:jc w:val="left"/>
      </w:pPr>
      <w:r>
        <w:rPr/>
        <w:t>在资产负债表日提供劳务交易结果不能够可靠估计的，分别下列情况处理：</w:t>
      </w:r>
    </w:p>
    <w:p>
      <w:pPr>
        <w:pStyle w:val="BodyText"/>
        <w:spacing w:line="240" w:lineRule="auto" w:before="116"/>
        <w:ind w:left="153"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117"/>
        <w:ind w:left="153" w:right="91"/>
        <w:jc w:val="left"/>
      </w:pPr>
      <w:r>
        <w:rPr/>
        <w:t>②已经发生的劳务成本预计不能够得到补偿的，将已经发生的劳务成本计入当期损益，不确认提供劳务收入。</w:t>
      </w:r>
    </w:p>
    <w:p>
      <w:pPr>
        <w:pStyle w:val="BodyText"/>
        <w:spacing w:line="348" w:lineRule="auto" w:before="116"/>
        <w:ind w:left="153" w:right="1711"/>
        <w:jc w:val="left"/>
      </w:pPr>
      <w:r>
        <w:rPr/>
        <w:t>（</w:t>
      </w:r>
      <w:r>
        <w:rPr>
          <w:rFonts w:ascii="Times New Roman" w:hAnsi="Times New Roman" w:cs="Times New Roman" w:eastAsia="Times New Roman" w:hint="default"/>
        </w:rPr>
        <w:t>2</w:t>
      </w:r>
      <w:r>
        <w:rPr/>
        <w:t>）本公司按完工百分比法确认提供劳务的收入和建造合同收入时，提供劳 务收入和建造合同收入的确认标准，确定提供劳务交易完工进度以及建造合同完工百分比的依据和方法 本公司提供劳务交易的完工进度，依据已完成工作的工时占应提供劳务总工时的比例确定。</w:t>
      </w:r>
    </w:p>
    <w:p>
      <w:pPr>
        <w:pStyle w:val="BodyText"/>
        <w:spacing w:line="319" w:lineRule="auto" w:before="35"/>
        <w:ind w:left="153" w:right="179"/>
        <w:jc w:val="left"/>
      </w:pPr>
      <w:r>
        <w:rPr/>
        <w:t>（</w:t>
      </w:r>
      <w:r>
        <w:rPr>
          <w:rFonts w:ascii="Times New Roman" w:hAnsi="Times New Roman" w:cs="Times New Roman" w:eastAsia="Times New Roman" w:hint="default"/>
        </w:rPr>
        <w:t>3</w:t>
      </w:r>
      <w:r>
        <w:rPr/>
        <w:t>）关于本公司按完工百分比法确认提供劳务的收入和建造合同收入相应的业务特点分析和介绍 本公司按完工百分比法确认提供劳务的收入的主要是</w:t>
      </w:r>
      <w:r>
        <w:rPr>
          <w:spacing w:val="-50"/>
        </w:rPr>
        <w:t> </w:t>
      </w:r>
      <w:r>
        <w:rPr>
          <w:rFonts w:ascii="Times New Roman" w:hAnsi="Times New Roman" w:cs="Times New Roman" w:eastAsia="Times New Roman" w:hint="default"/>
        </w:rPr>
        <w:t>ERP</w:t>
      </w:r>
      <w:r>
        <w:rPr>
          <w:rFonts w:ascii="Times New Roman" w:hAnsi="Times New Roman" w:cs="Times New Roman" w:eastAsia="Times New Roman" w:hint="default"/>
          <w:spacing w:val="30"/>
        </w:rPr>
        <w:t> </w:t>
      </w:r>
      <w:r>
        <w:rPr>
          <w:spacing w:val="-3"/>
        </w:rPr>
        <w:t>软件实施服务、外包服务，公司</w:t>
      </w:r>
      <w:r>
        <w:rPr>
          <w:spacing w:val="-50"/>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实施项目、外包服务有两种 合同形式：约定服务费用单价的按人天计费项目和约定合同总金额的固定总价项目。</w:t>
      </w:r>
    </w:p>
    <w:p>
      <w:pPr>
        <w:pStyle w:val="BodyText"/>
        <w:spacing w:line="302" w:lineRule="auto" w:before="56"/>
        <w:ind w:right="91"/>
        <w:jc w:val="left"/>
      </w:pPr>
      <w:r>
        <w:rPr/>
        <w:t>按人天计费项目，资产负债表日确认的某项目当期收入</w:t>
      </w:r>
      <w:r>
        <w:rPr>
          <w:rFonts w:ascii="Times New Roman" w:hAnsi="Times New Roman" w:cs="Times New Roman" w:eastAsia="Times New Roman" w:hint="default"/>
        </w:rPr>
        <w:t>=</w:t>
      </w:r>
      <w:r>
        <w:rPr/>
        <w:t>该项目当期实际发生的人天数</w:t>
      </w:r>
      <w:r>
        <w:rPr>
          <w:rFonts w:ascii="Times New Roman" w:hAnsi="Times New Roman" w:cs="Times New Roman" w:eastAsia="Times New Roman" w:hint="default"/>
        </w:rPr>
        <w:t>×</w:t>
      </w:r>
      <w:r>
        <w:rPr/>
        <w:t>约定的人天单价，实际发生的人天 数以客户在说明顾问工作内容及天数的表单上签字确认的人天数为依据。</w:t>
      </w:r>
    </w:p>
    <w:p>
      <w:pPr>
        <w:pStyle w:val="BodyText"/>
        <w:spacing w:line="309" w:lineRule="auto" w:before="68"/>
        <w:ind w:right="191"/>
        <w:jc w:val="both"/>
      </w:pPr>
      <w:r>
        <w:rPr>
          <w:spacing w:val="-2"/>
        </w:rPr>
        <w:t>固定总价项目是指本公司和客户根据在售前阶段确认的实施内容及范围的基础上，协商得出合同总价，按合同金额执行，而</w:t>
      </w:r>
      <w:r>
        <w:rPr>
          <w:spacing w:val="-66"/>
        </w:rPr>
        <w:t> </w:t>
      </w:r>
      <w:r>
        <w:rPr>
          <w:spacing w:val="-66"/>
        </w:rPr>
      </w:r>
      <w:r>
        <w:rPr>
          <w:spacing w:val="-1"/>
        </w:rPr>
        <w:t>不是按实际所发生的人天计费的项目。此类项目资产负债表日确认的某项目当期收入</w:t>
      </w:r>
      <w:r>
        <w:rPr>
          <w:rFonts w:ascii="Times New Roman" w:hAnsi="Times New Roman" w:cs="Times New Roman" w:eastAsia="Times New Roman" w:hint="default"/>
          <w:spacing w:val="-1"/>
        </w:rPr>
        <w:t>=</w:t>
      </w:r>
      <w:r>
        <w:rPr>
          <w:spacing w:val="-1"/>
        </w:rPr>
        <w:t>此项目累计投入人天数</w:t>
      </w:r>
      <w:r>
        <w:rPr>
          <w:rFonts w:ascii="Times New Roman" w:hAnsi="Times New Roman" w:cs="Times New Roman" w:eastAsia="Times New Roman" w:hint="default"/>
          <w:spacing w:val="-1"/>
        </w:rPr>
        <w:t>/</w:t>
      </w:r>
      <w:r>
        <w:rPr>
          <w:spacing w:val="-1"/>
        </w:rPr>
        <w:t>此项目预计总</w:t>
      </w:r>
      <w:r>
        <w:rPr/>
        <w:t> 天数</w:t>
      </w:r>
      <w:r>
        <w:rPr>
          <w:rFonts w:ascii="Times New Roman" w:hAnsi="Times New Roman" w:cs="Times New Roman" w:eastAsia="Times New Roman" w:hint="default"/>
        </w:rPr>
        <w:t>×</w:t>
      </w:r>
      <w:r>
        <w:rPr/>
        <w:t>合同总价</w:t>
      </w:r>
      <w:r>
        <w:rPr>
          <w:rFonts w:ascii="Times New Roman" w:hAnsi="Times New Roman" w:cs="Times New Roman" w:eastAsia="Times New Roman" w:hint="default"/>
        </w:rPr>
        <w:t>-</w:t>
      </w:r>
      <w:r>
        <w:rPr/>
        <w:t>前期已确认收入。</w:t>
      </w:r>
    </w:p>
    <w:p>
      <w:pPr>
        <w:pStyle w:val="BodyText"/>
        <w:spacing w:line="338" w:lineRule="auto" w:before="44"/>
        <w:ind w:right="91"/>
        <w:jc w:val="left"/>
      </w:pPr>
      <w:r>
        <w:rPr/>
        <w:t>客户支持服务按照合同约定的收入总额在提供服务期限内平均分摊确认收入。 </w:t>
      </w:r>
      <w:r>
        <w:rPr>
          <w:spacing w:val="-2"/>
        </w:rPr>
        <w:t>扫描加工等数据处理服务等长期为客户提供重复的劳务收取的劳务费，在相关劳务活动发生时确认收入，按照提供的劳务数</w:t>
      </w:r>
      <w:r>
        <w:rPr>
          <w:spacing w:val="-64"/>
        </w:rPr>
        <w:t> </w:t>
      </w:r>
      <w:r>
        <w:rPr>
          <w:spacing w:val="-64"/>
        </w:rPr>
      </w:r>
      <w:r>
        <w:rPr/>
        <w:t>量乘以合同合同约定的劳务单价确认收入。</w:t>
      </w:r>
    </w:p>
    <w:p>
      <w:pPr>
        <w:spacing w:line="240" w:lineRule="auto" w:before="1"/>
        <w:rPr>
          <w:rFonts w:ascii="宋体" w:hAnsi="宋体" w:cs="宋体" w:eastAsia="宋体" w:hint="default"/>
          <w:sz w:val="21"/>
          <w:szCs w:val="21"/>
        </w:rPr>
      </w:pPr>
    </w:p>
    <w:p>
      <w:pPr>
        <w:pStyle w:val="Heading5"/>
        <w:spacing w:line="240" w:lineRule="auto"/>
        <w:ind w:right="91"/>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9"/>
        <w:rPr>
          <w:rFonts w:ascii="宋体" w:hAnsi="宋体" w:cs="宋体" w:eastAsia="宋体" w:hint="default"/>
          <w:b/>
          <w:bCs/>
          <w:sz w:val="26"/>
          <w:szCs w:val="26"/>
        </w:rPr>
      </w:pPr>
    </w:p>
    <w:p>
      <w:pPr>
        <w:pStyle w:val="Heading7"/>
        <w:spacing w:line="240" w:lineRule="auto"/>
        <w:ind w:right="91"/>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7"/>
        <w:ind w:left="153" w:right="91"/>
        <w:jc w:val="left"/>
      </w:pPr>
      <w:r>
        <w:rPr>
          <w:spacing w:val="-2"/>
        </w:rPr>
        <w:t>与资产相关的政府补助，是指本公司取得的、用于购建或以其他方式形成长期资产的政府补助，包括购买固定资产或无形资</w:t>
      </w:r>
      <w:r>
        <w:rPr>
          <w:spacing w:val="-66"/>
        </w:rPr>
        <w:t> </w:t>
      </w:r>
      <w:r>
        <w:rPr>
          <w:spacing w:val="-66"/>
        </w:rPr>
      </w:r>
      <w:r>
        <w:rPr/>
        <w:t>产的财政拨款、固定资产专门借款的财政贴息等。</w:t>
      </w:r>
    </w:p>
    <w:p>
      <w:pPr>
        <w:pStyle w:val="BodyText"/>
        <w:spacing w:line="319" w:lineRule="auto" w:before="55"/>
        <w:ind w:left="153" w:right="91"/>
        <w:jc w:val="left"/>
      </w:pPr>
      <w:r>
        <w:rPr>
          <w:spacing w:val="-2"/>
        </w:rPr>
        <w:t>本公司将政府补助划分为与资产相关的具体标准为：是指企业取得的、用于购建或以其他方式形成长期资产的政府补助，包</w:t>
      </w:r>
      <w:r>
        <w:rPr>
          <w:spacing w:val="-66"/>
        </w:rPr>
        <w:t> </w:t>
      </w:r>
      <w:r>
        <w:rPr>
          <w:spacing w:val="-66"/>
        </w:rPr>
      </w:r>
      <w:r>
        <w:rPr/>
        <w:t>括购买固定资产或无形资产的财政拨款、固定资产专门借款的财政贴息等。</w:t>
      </w:r>
    </w:p>
    <w:p>
      <w:pPr>
        <w:spacing w:after="0" w:line="31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t>确认时点 </w:t>
      </w:r>
      <w:r>
        <w:rPr>
          <w:spacing w:val="-2"/>
        </w:rPr>
        <w:t>政府补助在实际收到款项时按照到账的实际金额确认和计量。只有存在确凿证据表明该项补助是按照固定的定额标准拨付的</w:t>
      </w:r>
      <w:r>
        <w:rPr>
          <w:spacing w:val="-64"/>
        </w:rPr>
        <w:t> </w:t>
      </w:r>
      <w:r>
        <w:rPr>
          <w:spacing w:val="-64"/>
        </w:rPr>
      </w:r>
      <w:r>
        <w:rPr>
          <w:spacing w:val="-2"/>
        </w:rPr>
        <w:t>以及有确凿证据表明能够符合财政扶持政策规定的相关条件且预计能够收到财政扶持资金时，可以按应收金额予以确认和计</w:t>
      </w:r>
      <w:r>
        <w:rPr>
          <w:spacing w:val="-64"/>
        </w:rPr>
        <w:t> </w:t>
      </w:r>
      <w:r>
        <w:rPr>
          <w:spacing w:val="-64"/>
        </w:rPr>
      </w:r>
      <w:r>
        <w:rPr/>
        <w:t>量。</w:t>
      </w:r>
    </w:p>
    <w:p>
      <w:pPr>
        <w:pStyle w:val="BodyText"/>
        <w:spacing w:line="240" w:lineRule="auto" w:before="59"/>
        <w:ind w:left="153"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pStyle w:val="Heading7"/>
        <w:spacing w:line="240" w:lineRule="auto" w:before="141"/>
        <w:ind w:left="153"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28"/>
        <w:ind w:left="153" w:right="1851"/>
        <w:jc w:val="left"/>
      </w:pPr>
      <w:r>
        <w:rPr/>
        <w:t>与收益相关的政府补助，是指除与资产相关的政府补助之外的政府补助。 本公司将政府补助划分为与收益相关的具体标准为：是指除与资产相关的政府补助之外的政府补助。 对于政府文件未明确规定补助对象的，本公司将该政府补助划分为与收益相关。</w:t>
      </w:r>
    </w:p>
    <w:p>
      <w:pPr>
        <w:pStyle w:val="BodyText"/>
        <w:spacing w:line="316" w:lineRule="auto" w:before="25"/>
        <w:ind w:left="153" w:right="0"/>
        <w:jc w:val="left"/>
      </w:pPr>
      <w:r>
        <w:rPr/>
        <w:t>确认时点 </w:t>
      </w:r>
      <w:r>
        <w:rPr>
          <w:spacing w:val="-2"/>
        </w:rPr>
        <w:t>政府补助在实际收到款项时按照到账的实际金额确认和计量。只有存在确凿证据表明该项补助是按照固定的定额标准拨付的</w:t>
      </w:r>
      <w:r>
        <w:rPr>
          <w:spacing w:val="-64"/>
        </w:rPr>
        <w:t> </w:t>
      </w:r>
      <w:r>
        <w:rPr>
          <w:spacing w:val="-64"/>
        </w:rPr>
      </w:r>
      <w:r>
        <w:rPr>
          <w:spacing w:val="-2"/>
        </w:rPr>
        <w:t>以及有确凿证据表明能够符合财政扶持政策规定的相关条件且预计能够收到财政扶持资金时，可以按应收金额予以确认和计</w:t>
      </w:r>
      <w:r>
        <w:rPr>
          <w:spacing w:val="-64"/>
        </w:rPr>
        <w:t> </w:t>
      </w:r>
      <w:r>
        <w:rPr>
          <w:spacing w:val="-64"/>
        </w:rPr>
      </w:r>
      <w:r>
        <w:rPr/>
        <w:t>量。</w:t>
      </w:r>
    </w:p>
    <w:p>
      <w:pPr>
        <w:pStyle w:val="BodyText"/>
        <w:spacing w:line="319" w:lineRule="auto" w:before="59"/>
        <w:ind w:left="153" w:right="0"/>
        <w:jc w:val="left"/>
      </w:pPr>
      <w:r>
        <w:rPr>
          <w:spacing w:val="-2"/>
        </w:rPr>
        <w:t>与收益相关的政府补助，用于补偿本公司以后期间的相关费用或损失的，取得时确认为递延收益，在确认相关费用的期间计</w:t>
      </w:r>
      <w:r>
        <w:rPr>
          <w:spacing w:val="-66"/>
        </w:rPr>
        <w:t> </w:t>
      </w:r>
      <w:r>
        <w:rPr>
          <w:spacing w:val="-66"/>
        </w:rPr>
      </w:r>
      <w:r>
        <w:rPr/>
        <w:t>入当期营业外收入；用于补偿本公司已发生的相关费用或损失的，取得时直接计入当期营业外收入。</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50"/>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38" w:lineRule="auto" w:before="56"/>
        <w:ind w:left="153"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p>
    <w:p>
      <w:pPr>
        <w:pStyle w:val="BodyText"/>
        <w:spacing w:line="319" w:lineRule="auto" w:before="42"/>
        <w:ind w:left="153" w:right="0"/>
        <w:jc w:val="left"/>
      </w:pP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p>
    <w:p>
      <w:pPr>
        <w:pStyle w:val="BodyText"/>
        <w:spacing w:line="319" w:lineRule="auto" w:before="55"/>
        <w:ind w:left="153" w:right="15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9"/>
        <w:rPr>
          <w:rFonts w:ascii="宋体" w:hAnsi="宋体" w:cs="宋体" w:eastAsia="宋体" w:hint="default"/>
          <w:b/>
          <w:bCs/>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02" w:lineRule="auto" w:before="127"/>
        <w:ind w:left="153" w:right="141"/>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w:t>
      </w:r>
    </w:p>
    <w:p>
      <w:pPr>
        <w:pStyle w:val="BodyText"/>
        <w:spacing w:line="319" w:lineRule="auto" w:before="69"/>
        <w:ind w:left="153" w:right="0"/>
        <w:jc w:val="left"/>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00" w:lineRule="auto" w:before="55"/>
        <w:ind w:left="153" w:right="141"/>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p>
    <w:p>
      <w:pPr>
        <w:spacing w:after="0" w:line="30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153" w:right="0"/>
        <w:jc w:val="left"/>
      </w:pP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312" w:lineRule="auto"/>
        <w:ind w:right="0"/>
        <w:jc w:val="left"/>
      </w:pPr>
      <w:r>
        <w:rPr>
          <w:rFonts w:ascii="宋体" w:hAnsi="宋体" w:cs="宋体" w:eastAsia="宋体" w:hint="default"/>
          <w:b/>
          <w:bCs/>
          <w:sz w:val="21"/>
          <w:szCs w:val="21"/>
        </w:rPr>
        <w:t>1、回购本公司股份</w:t>
      </w:r>
      <w:r>
        <w:rPr>
          <w:rFonts w:ascii="宋体" w:hAnsi="宋体" w:cs="宋体" w:eastAsia="宋体" w:hint="default"/>
          <w:b/>
          <w:bCs/>
          <w:spacing w:val="1"/>
          <w:w w:val="99"/>
          <w:sz w:val="21"/>
          <w:szCs w:val="21"/>
        </w:rPr>
        <w:t> </w:t>
      </w:r>
      <w:r>
        <w:rPr>
          <w:spacing w:val="-2"/>
        </w:rPr>
        <w:t>本公司回购股份是按照股权激励方案的约定，将未达到解锁条件的限制性股票回购并注销。未达到限制性股票解锁条件而需</w:t>
      </w:r>
      <w:r>
        <w:rPr>
          <w:spacing w:val="-64"/>
        </w:rPr>
        <w:t> </w:t>
      </w:r>
      <w:r>
        <w:rPr>
          <w:spacing w:val="-64"/>
        </w:rPr>
      </w:r>
      <w:r>
        <w:rPr/>
        <w:t>回购的股票，按照应支付的金额，按照应支付的金额，借记</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限制性股票回购义务</w:t>
      </w:r>
      <w:r>
        <w:rPr>
          <w:rFonts w:ascii="Times New Roman" w:hAnsi="Times New Roman" w:cs="Times New Roman" w:eastAsia="Times New Roman" w:hint="default"/>
        </w:rPr>
        <w:t>”</w:t>
      </w:r>
      <w:r>
        <w:rPr/>
        <w:t>等科目，贷记</w:t>
      </w:r>
      <w:r>
        <w:rPr>
          <w:rFonts w:ascii="Times New Roman" w:hAnsi="Times New Roman" w:cs="Times New Roman" w:eastAsia="Times New Roman" w:hint="default"/>
        </w:rPr>
        <w:t>“</w:t>
      </w:r>
      <w:r>
        <w:rPr/>
        <w:t>银行存款</w:t>
      </w:r>
      <w:r>
        <w:rPr>
          <w:rFonts w:ascii="Times New Roman" w:hAnsi="Times New Roman" w:cs="Times New Roman" w:eastAsia="Times New Roman" w:hint="default"/>
        </w:rPr>
        <w:t>” </w:t>
      </w:r>
      <w:r>
        <w:rPr>
          <w:spacing w:val="-2"/>
        </w:rPr>
        <w:t>等科目；同时，按照注销的限制性股票数量相对应的股本金额，借记</w:t>
      </w:r>
      <w:r>
        <w:rPr>
          <w:rFonts w:ascii="Times New Roman" w:hAnsi="Times New Roman" w:cs="Times New Roman" w:eastAsia="Times New Roman" w:hint="default"/>
          <w:spacing w:val="-2"/>
        </w:rPr>
        <w:t>“</w:t>
      </w:r>
      <w:r>
        <w:rPr>
          <w:spacing w:val="-2"/>
        </w:rPr>
        <w:t>股本</w:t>
      </w:r>
      <w:r>
        <w:rPr>
          <w:rFonts w:ascii="Times New Roman" w:hAnsi="Times New Roman" w:cs="Times New Roman" w:eastAsia="Times New Roman" w:hint="default"/>
          <w:spacing w:val="-2"/>
        </w:rPr>
        <w:t>”</w:t>
      </w:r>
      <w:r>
        <w:rPr>
          <w:spacing w:val="-2"/>
        </w:rPr>
        <w:t>科目，按照注销的限制性股票数量相对应的库存</w:t>
      </w:r>
      <w:r>
        <w:rPr>
          <w:spacing w:val="-44"/>
        </w:rPr>
        <w:t> </w:t>
      </w:r>
      <w:r>
        <w:rPr>
          <w:spacing w:val="-44"/>
        </w:rPr>
      </w:r>
      <w:r>
        <w:rPr/>
        <w:t>股的账面价值，贷记</w:t>
      </w:r>
      <w:r>
        <w:rPr>
          <w:rFonts w:ascii="Times New Roman" w:hAnsi="Times New Roman" w:cs="Times New Roman" w:eastAsia="Times New Roman" w:hint="default"/>
        </w:rPr>
        <w:t>“</w:t>
      </w:r>
      <w:r>
        <w:rPr/>
        <w:t>库存股</w:t>
      </w:r>
      <w:r>
        <w:rPr>
          <w:rFonts w:ascii="Times New Roman" w:hAnsi="Times New Roman" w:cs="Times New Roman" w:eastAsia="Times New Roman" w:hint="default"/>
        </w:rPr>
        <w:t>”</w:t>
      </w:r>
      <w:r>
        <w:rPr/>
        <w:t>科目，按其差额，借记</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科目。</w:t>
      </w:r>
    </w:p>
    <w:p>
      <w:pPr>
        <w:pStyle w:val="Heading5"/>
        <w:spacing w:line="240" w:lineRule="auto" w:before="16"/>
        <w:ind w:right="0"/>
        <w:jc w:val="left"/>
        <w:rPr>
          <w:b w:val="0"/>
          <w:bCs w:val="0"/>
        </w:rPr>
      </w:pPr>
      <w:r>
        <w:rPr/>
        <w:t>2、其他非流动资产</w:t>
      </w:r>
      <w:r>
        <w:rPr>
          <w:b w:val="0"/>
          <w:bCs w:val="0"/>
        </w:rPr>
      </w:r>
    </w:p>
    <w:p>
      <w:pPr>
        <w:pStyle w:val="BodyText"/>
        <w:spacing w:line="240" w:lineRule="auto" w:before="103"/>
        <w:ind w:right="0"/>
        <w:jc w:val="left"/>
      </w:pPr>
      <w:r>
        <w:rPr/>
        <w:t>其他非流动资产包括：会员证、员工购房借款和预付长期资产购建款。</w:t>
      </w:r>
    </w:p>
    <w:p>
      <w:pPr>
        <w:pStyle w:val="BodyText"/>
        <w:spacing w:line="240" w:lineRule="auto" w:before="117"/>
        <w:ind w:left="153" w:right="0"/>
        <w:jc w:val="left"/>
      </w:pPr>
      <w:r>
        <w:rPr/>
        <w:t>其他非流动资产</w:t>
      </w:r>
      <w:r>
        <w:rPr>
          <w:rFonts w:ascii="Times New Roman" w:hAnsi="Times New Roman" w:cs="Times New Roman" w:eastAsia="Times New Roman" w:hint="default"/>
        </w:rPr>
        <w:t>-</w:t>
      </w:r>
      <w:r>
        <w:rPr/>
        <w:t>会员证为已经发生但应由本期和以后各期负担的分摊期限在一年以上的费用。</w:t>
      </w:r>
    </w:p>
    <w:p>
      <w:pPr>
        <w:pStyle w:val="BodyText"/>
        <w:tabs>
          <w:tab w:pos="993" w:val="left" w:leader="none"/>
        </w:tabs>
        <w:spacing w:line="338" w:lineRule="auto" w:before="102"/>
        <w:ind w:left="153" w:right="6908"/>
        <w:jc w:val="left"/>
      </w:pPr>
      <w:r>
        <w:rPr/>
        <w:t>（</w:t>
      </w:r>
      <w:r>
        <w:rPr>
          <w:rFonts w:ascii="Times New Roman" w:hAnsi="Times New Roman" w:cs="Times New Roman" w:eastAsia="Times New Roman" w:hint="default"/>
        </w:rPr>
        <w:t>1</w:t>
      </w:r>
      <w:r>
        <w:rPr/>
        <w:t>）</w:t>
        <w:tab/>
        <w:t>摊销方法 其他非流动资产在受益期内平均摊销</w:t>
      </w:r>
    </w:p>
    <w:p>
      <w:pPr>
        <w:pStyle w:val="BodyText"/>
        <w:tabs>
          <w:tab w:pos="993" w:val="left" w:leader="none"/>
        </w:tabs>
        <w:spacing w:line="240" w:lineRule="auto" w:before="43"/>
        <w:ind w:left="153" w:right="0"/>
        <w:jc w:val="left"/>
      </w:pPr>
      <w:r>
        <w:rPr/>
        <w:t>（</w:t>
      </w:r>
      <w:r>
        <w:rPr>
          <w:rFonts w:ascii="Times New Roman" w:hAnsi="Times New Roman" w:cs="Times New Roman" w:eastAsia="Times New Roman" w:hint="default"/>
        </w:rPr>
        <w:t>2</w:t>
      </w:r>
      <w:r>
        <w:rPr/>
        <w:t>）</w:t>
        <w:tab/>
        <w:t>摊销年限</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5057"/>
        <w:gridCol w:w="4601"/>
      </w:tblGrid>
      <w:tr>
        <w:trPr>
          <w:trHeight w:val="355" w:hRule="exact"/>
        </w:trPr>
        <w:tc>
          <w:tcPr>
            <w:tcW w:w="5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60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53" w:hRule="exact"/>
        </w:trPr>
        <w:tc>
          <w:tcPr>
            <w:tcW w:w="50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46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pStyle w:val="BodyText"/>
        <w:spacing w:line="240" w:lineRule="auto" w:before="51"/>
        <w:ind w:right="0"/>
        <w:jc w:val="left"/>
      </w:pPr>
      <w:r>
        <w:rPr/>
        <w:t>其他非流动资产</w:t>
      </w:r>
      <w:r>
        <w:rPr>
          <w:rFonts w:ascii="Times New Roman" w:hAnsi="Times New Roman" w:cs="Times New Roman" w:eastAsia="Times New Roman" w:hint="default"/>
        </w:rPr>
        <w:t>-</w:t>
      </w:r>
      <w:r>
        <w:rPr/>
        <w:t>员工购房借款系根据公司</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月制</w:t>
      </w:r>
      <w:r>
        <w:rPr>
          <w:spacing w:val="1"/>
        </w:rPr>
        <w:t>订</w:t>
      </w:r>
      <w:r>
        <w:rPr/>
        <w:t>的《员工购房借款福利管理办法</w:t>
      </w:r>
      <w:r>
        <w:rPr>
          <w:spacing w:val="-90"/>
        </w:rPr>
        <w:t>》</w:t>
      </w:r>
      <w:r>
        <w:rPr/>
        <w:t>，公司向符合条件的员工提供</w:t>
      </w:r>
    </w:p>
    <w:p>
      <w:pPr>
        <w:pStyle w:val="BodyText"/>
        <w:spacing w:line="240" w:lineRule="auto" w:before="63"/>
        <w:ind w:right="0"/>
        <w:jc w:val="left"/>
      </w:pPr>
      <w:r>
        <w:rPr/>
        <w:t>购房借款，在</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年内通过工资扣款归还，借款时计入其他非流动资产，归还时冲减其他非流动资产。</w:t>
      </w:r>
    </w:p>
    <w:p>
      <w:pPr>
        <w:pStyle w:val="BodyText"/>
        <w:spacing w:line="302" w:lineRule="auto" w:before="101"/>
        <w:ind w:right="170"/>
        <w:jc w:val="left"/>
      </w:pPr>
      <w:r>
        <w:rPr/>
        <w:t>其他非流动资产</w:t>
      </w:r>
      <w:r>
        <w:rPr>
          <w:rFonts w:ascii="Times New Roman" w:hAnsi="Times New Roman" w:cs="Times New Roman" w:eastAsia="Times New Roman" w:hint="default"/>
        </w:rPr>
        <w:t>-</w:t>
      </w:r>
      <w:r>
        <w:rPr/>
        <w:t>长期资产购建款系公司购建长期股权投资、固定资产、在建工程等的预付款项，支付时计入其他非流动资 产，满足结转条件计入长期股权投资、固定资产、在建工程等长期资产。</w:t>
      </w:r>
    </w:p>
    <w:p>
      <w:pPr>
        <w:spacing w:line="240" w:lineRule="auto" w:before="3"/>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56"/>
        <w:jc w:val="right"/>
      </w:pPr>
      <w:r>
        <w:rPr/>
        <w:pict>
          <v:shape style="position:absolute;margin-left:56.459999pt;margin-top:-123.547997pt;width:479.2pt;height:190.1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）在利润表中分别列示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持续经营净利</w:t>
                        </w:r>
                        <w:r>
                          <w:rPr>
                            <w:rFonts w:ascii="宋体" w:hAnsi="宋体" w:cs="宋体" w:eastAsia="宋体" w:hint="default"/>
                            <w:spacing w:val="-85"/>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25"/>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 流动资产、处置组和终止经营》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304,761,250.26</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231,883,123.17</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2,065,467.23</w:t>
                        </w:r>
                        <w:r>
                          <w:rPr>
                            <w:rFonts w:ascii="宋体" w:hAnsi="宋体" w:cs="宋体" w:eastAsia="宋体" w:hint="default"/>
                            <w:sz w:val="18"/>
                            <w:szCs w:val="18"/>
                          </w:rPr>
                          <w:t>；营</w:t>
                        </w:r>
                        <w:r>
                          <w:rPr>
                            <w:rFonts w:ascii="宋体" w:hAnsi="宋体" w:cs="宋体" w:eastAsia="宋体" w:hint="default"/>
                            <w:spacing w:val="-6"/>
                            <w:sz w:val="18"/>
                            <w:szCs w:val="18"/>
                          </w:rPr>
                          <w:t> </w:t>
                        </w:r>
                        <w:r>
                          <w:rPr>
                            <w:rFonts w:ascii="宋体" w:hAnsi="宋体" w:cs="宋体" w:eastAsia="宋体" w:hint="default"/>
                            <w:sz w:val="18"/>
                            <w:szCs w:val="18"/>
                          </w:rPr>
                          <w:t>业外收入：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-2,065,467.23</w:t>
                        </w: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-104,819.88</w:t>
                        </w: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营业外收入出</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《财政部关于修订印发一般企业财务报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154,574.82</w:t>
                        </w:r>
                        <w:r>
                          <w:rPr>
                            <w:rFonts w:ascii="宋体" w:hAnsi="宋体" w:cs="宋体" w:eastAsia="宋体" w:hint="default"/>
                            <w:spacing w:val="-81"/>
                            <w:sz w:val="18"/>
                            <w:szCs w:val="18"/>
                          </w:rPr>
                          <w:t>；</w:t>
                        </w:r>
                        <w:r>
                          <w:rPr>
                            <w:rFonts w:ascii="宋体" w:hAnsi="宋体" w:cs="宋体" w:eastAsia="宋体" w:hint="default"/>
                            <w:sz w:val="18"/>
                            <w:szCs w:val="18"/>
                          </w:rPr>
                          <w:t>营业</w:t>
                        </w:r>
                        <w:r>
                          <w:rPr>
                            <w:rFonts w:ascii="宋体" w:hAnsi="宋体" w:cs="宋体" w:eastAsia="宋体" w:hint="default"/>
                            <w:spacing w:val="-2"/>
                            <w:sz w:val="18"/>
                            <w:szCs w:val="18"/>
                          </w:rPr>
                          <w:t>外</w:t>
                        </w:r>
                        <w:r>
                          <w:rPr>
                            <w:rFonts w:ascii="宋体" w:hAnsi="宋体" w:cs="宋体" w:eastAsia="宋体" w:hint="default"/>
                            <w:sz w:val="18"/>
                            <w:szCs w:val="18"/>
                          </w:rPr>
                          <w:t>支出</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w:t>
                        </w:r>
                      </w:p>
                    </w:tc>
                  </w:tr>
                  <w:tr>
                    <w:trPr>
                      <w:trHeight w:val="31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表格式的通知》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-104,819.88</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-39,226.23</w:t>
                        </w: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项目</w:t>
                        </w:r>
                        <w:r>
                          <w:rPr>
                            <w:rFonts w:ascii="宋体" w:hAnsi="宋体" w:cs="宋体" w:eastAsia="宋体" w:hint="default"/>
                            <w:spacing w:val="-89"/>
                            <w:sz w:val="18"/>
                            <w:szCs w:val="18"/>
                          </w:rPr>
                          <w:t>。</w:t>
                        </w:r>
                        <w:r>
                          <w:rPr>
                            <w:rFonts w:ascii="宋体" w:hAnsi="宋体" w:cs="宋体" w:eastAsia="宋体" w:hint="default"/>
                            <w:sz w:val="18"/>
                            <w:szCs w:val="18"/>
                          </w:rPr>
                          <w:t>比较数据相应调整</w:t>
                        </w: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193,801.05</w:t>
                        </w:r>
                      </w:p>
                    </w:tc>
                  </w:tr>
                </w:tbl>
                <w:p>
                  <w:pPr/>
                </w:p>
              </w:txbxContent>
            </v:textbox>
            <w10:wrap type="none"/>
          </v:shape>
        </w:pict>
      </w:r>
      <w:r>
        <w:rPr/>
        <w:t>，</w:t>
      </w:r>
    </w:p>
    <w:p>
      <w:pPr>
        <w:spacing w:line="240" w:lineRule="auto" w:before="3"/>
        <w:rPr>
          <w:rFonts w:ascii="宋体" w:hAnsi="宋体" w:cs="宋体" w:eastAsia="宋体" w:hint="default"/>
          <w:sz w:val="26"/>
          <w:szCs w:val="26"/>
        </w:rPr>
      </w:pPr>
    </w:p>
    <w:p>
      <w:pPr>
        <w:pStyle w:val="BodyText"/>
        <w:spacing w:line="240" w:lineRule="auto" w:before="44"/>
        <w:ind w:left="0" w:right="156"/>
        <w:jc w:val="right"/>
      </w:pPr>
      <w:r>
        <w:rPr/>
        <w:t>；</w:t>
      </w:r>
    </w:p>
    <w:p>
      <w:pPr>
        <w:spacing w:line="240" w:lineRule="auto" w:before="3"/>
        <w:rPr>
          <w:rFonts w:ascii="宋体" w:hAnsi="宋体" w:cs="宋体" w:eastAsia="宋体" w:hint="default"/>
          <w:sz w:val="8"/>
          <w:szCs w:val="8"/>
        </w:rPr>
      </w:pPr>
    </w:p>
    <w:p>
      <w:pPr>
        <w:spacing w:line="312" w:lineRule="exact"/>
        <w:ind w:left="334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8.950pt;height:15.6pt;mso-position-horizontal-relative:char;mso-position-vertical-relative:line" coordorigin="0,0" coordsize="3179,312">
            <v:group style="position:absolute;left:0;top:0;width:3179;height:312" coordorigin="0,0" coordsize="3179,312">
              <v:shape style="position:absolute;left:0;top:0;width:3179;height:312" coordorigin="0,0" coordsize="3179,312" path="m0,312l3179,312,3179,0,0,0,0,312xe" filled="true" fillcolor="#ffffff" stroked="false">
                <v:path arrowok="t"/>
                <v:fill type="solid"/>
              </v:shape>
            </v:group>
          </v:group>
        </w:pict>
      </w:r>
      <w:r>
        <w:rPr>
          <w:rFonts w:ascii="宋体" w:hAnsi="宋体" w:cs="宋体" w:eastAsia="宋体" w:hint="default"/>
          <w:position w:val="-5"/>
          <w:sz w:val="20"/>
          <w:szCs w:val="20"/>
        </w:rPr>
      </w:r>
    </w:p>
    <w:p>
      <w:pPr>
        <w:pStyle w:val="Heading7"/>
        <w:spacing w:line="240" w:lineRule="auto" w:before="19"/>
        <w:ind w:right="0"/>
        <w:jc w:val="left"/>
        <w:rPr>
          <w:b w:val="0"/>
          <w:bCs w:val="0"/>
        </w:rPr>
      </w:pPr>
      <w:r>
        <w:rPr>
          <w:rFonts w:ascii="Times New Roman" w:hAnsi="Times New Roman" w:cs="Times New Roman" w:eastAsia="Times New Roman" w:hint="default"/>
        </w:rPr>
        <w:t>1</w:t>
      </w:r>
      <w:r>
        <w:rPr/>
        <w:t>、会计政策变更的性质、内容和原因。</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300" w:lineRule="auto" w:before="44"/>
        <w:ind w:right="136" w:hanging="1"/>
        <w:jc w:val="left"/>
      </w:pPr>
      <w:r>
        <w:rPr/>
        <w:t>执</w:t>
      </w:r>
      <w:r>
        <w:rPr>
          <w:spacing w:val="-53"/>
        </w:rPr>
        <w:t>行</w:t>
      </w: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持有待售的非流动资产</w:t>
      </w:r>
      <w:r>
        <w:rPr>
          <w:spacing w:val="-53"/>
        </w:rPr>
        <w:t>、</w:t>
      </w:r>
      <w:r>
        <w:rPr/>
        <w:t>处置组和终止经营</w:t>
      </w:r>
      <w:r>
        <w:rPr>
          <w:spacing w:val="-90"/>
        </w:rPr>
        <w:t>》</w:t>
      </w:r>
      <w:r>
        <w:rPr>
          <w:spacing w:val="-143"/>
        </w:rPr>
        <w:t>、</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政府补助</w:t>
      </w:r>
      <w:r>
        <w:rPr>
          <w:spacing w:val="-53"/>
        </w:rPr>
        <w:t>》和</w:t>
      </w:r>
      <w:r>
        <w:rPr>
          <w:spacing w:val="1"/>
        </w:rPr>
        <w:t>《财</w:t>
      </w:r>
      <w:r>
        <w:rPr>
          <w:spacing w:val="1"/>
        </w:rPr>
        <w:t> </w:t>
      </w:r>
      <w:r>
        <w:rPr/>
        <w:t>政部关于修订印发一般企业财务报表格式的通知</w:t>
      </w:r>
      <w:r>
        <w:rPr>
          <w:spacing w:val="-90"/>
        </w:rPr>
        <w:t>》</w:t>
      </w:r>
      <w:r>
        <w:rPr/>
        <w:t>，根据该规定，本公司：</w:t>
      </w:r>
    </w:p>
    <w:p>
      <w:pPr>
        <w:pStyle w:val="BodyText"/>
        <w:spacing w:line="302" w:lineRule="auto" w:before="70"/>
        <w:ind w:right="143"/>
        <w:jc w:val="left"/>
      </w:pPr>
      <w:r>
        <w:rPr>
          <w:spacing w:val="-3"/>
        </w:rPr>
        <w:t>（</w:t>
      </w:r>
      <w:r>
        <w:rPr>
          <w:rFonts w:ascii="Times New Roman" w:hAnsi="Times New Roman" w:cs="Times New Roman" w:eastAsia="Times New Roman" w:hint="default"/>
          <w:spacing w:val="-3"/>
        </w:rPr>
        <w:t>1</w:t>
      </w:r>
      <w:r>
        <w:rPr>
          <w:spacing w:val="-3"/>
        </w:rPr>
        <w:t>）根据《财政部关于修订印发一般企业财务报表格式的通知》，对</w:t>
      </w:r>
      <w:r>
        <w:rPr>
          <w:spacing w:val="-45"/>
        </w:rPr>
        <w:t> </w:t>
      </w:r>
      <w:r>
        <w:rPr>
          <w:rFonts w:ascii="Times New Roman" w:hAnsi="Times New Roman" w:cs="Times New Roman" w:eastAsia="Times New Roman" w:hint="default"/>
        </w:rPr>
        <w:t>2017 </w:t>
      </w:r>
      <w:r>
        <w:rPr/>
        <w:t>年度及以后期间的财务报表格式进行了调整，比 较数据相应调整。</w:t>
      </w:r>
    </w:p>
    <w:p>
      <w:pPr>
        <w:pStyle w:val="BodyText"/>
        <w:spacing w:line="302" w:lineRule="auto" w:before="69"/>
        <w:ind w:right="139"/>
        <w:jc w:val="left"/>
      </w:pPr>
      <w:r>
        <w:rPr>
          <w:spacing w:val="-3"/>
        </w:rPr>
        <w:t>（</w:t>
      </w:r>
      <w:r>
        <w:rPr>
          <w:rFonts w:ascii="Times New Roman" w:hAnsi="Times New Roman" w:cs="Times New Roman" w:eastAsia="Times New Roman" w:hint="default"/>
          <w:spacing w:val="-3"/>
        </w:rPr>
        <w:t>2</w:t>
      </w:r>
      <w:r>
        <w:rPr>
          <w:spacing w:val="-3"/>
        </w:rPr>
        <w:t>）根据《企业会计准则第</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spacing w:val="-10"/>
        </w:rPr>
        <w:t>号</w:t>
      </w:r>
      <w:r>
        <w:rPr>
          <w:rFonts w:ascii="Times New Roman" w:hAnsi="Times New Roman" w:cs="Times New Roman" w:eastAsia="Times New Roman" w:hint="default"/>
          <w:spacing w:val="-10"/>
        </w:rPr>
        <w:t>——</w:t>
      </w:r>
      <w:r>
        <w:rPr>
          <w:spacing w:val="-10"/>
        </w:rPr>
        <w:t>政府补助》，对于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2"/>
        </w:rPr>
        <w:t>年度取得的政府补助，采用未来适用法处理，比较报表数据不</w:t>
      </w:r>
      <w:r>
        <w:rPr/>
        <w:t> 予调整。</w:t>
      </w:r>
    </w:p>
    <w:p>
      <w:pPr>
        <w:pStyle w:val="BodyText"/>
        <w:spacing w:line="302" w:lineRule="auto" w:before="68"/>
        <w:ind w:right="142"/>
        <w:jc w:val="left"/>
      </w:pPr>
      <w:r>
        <w:rPr>
          <w:spacing w:val="-4"/>
        </w:rPr>
        <w:t>（</w:t>
      </w:r>
      <w:r>
        <w:rPr>
          <w:rFonts w:ascii="Times New Roman" w:hAnsi="Times New Roman" w:cs="Times New Roman" w:eastAsia="Times New Roman" w:hint="default"/>
          <w:spacing w:val="-4"/>
        </w:rPr>
        <w:t>3</w:t>
      </w:r>
      <w:r>
        <w:rPr>
          <w:spacing w:val="-4"/>
        </w:rPr>
        <w:t>）根据《企业会计准则第</w:t>
      </w:r>
      <w:r>
        <w:rPr>
          <w:spacing w:val="-40"/>
        </w:rPr>
        <w:t> </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spacing w:val="-6"/>
        </w:rPr>
        <w:t>号</w:t>
      </w:r>
      <w:r>
        <w:rPr>
          <w:rFonts w:ascii="Times New Roman" w:hAnsi="Times New Roman" w:cs="Times New Roman" w:eastAsia="Times New Roman" w:hint="default"/>
          <w:spacing w:val="-6"/>
        </w:rPr>
        <w:t>——</w:t>
      </w:r>
      <w:r>
        <w:rPr>
          <w:spacing w:val="-6"/>
        </w:rPr>
        <w:t>持有待售的非流动资产、处置组和终止经营》，对</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年度发生的资产处置收益进行 了调整，比较数据相应调整。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（汉得日本缴纳）</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按应税营业收入计缴（自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日起，营改增交纳增值税）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汉得信息</w:t>
      </w:r>
      <w:r>
        <w:rPr>
          <w:spacing w:val="-46"/>
        </w:rPr>
        <w:t> </w:t>
      </w:r>
      <w:r>
        <w:rPr>
          <w:rFonts w:ascii="Times New Roman" w:hAnsi="Times New Roman" w:cs="Times New Roman" w:eastAsia="Times New Roman" w:hint="default"/>
        </w:rPr>
        <w:t>2015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年度被认定为高新技术企业。根据《中华人民共和国企业所得税法》的规定：国家重点扶持高新</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技术企业减按</w:t>
      </w:r>
      <w:r>
        <w:rPr>
          <w:spacing w:val="-46"/>
        </w:rPr>
        <w:t> </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年度按照</w:t>
      </w:r>
      <w:r>
        <w:rPr>
          <w:spacing w:val="-46"/>
        </w:rPr>
        <w:t> </w:t>
      </w:r>
      <w:r>
        <w:rPr>
          <w:rFonts w:ascii="Times New Roman" w:hAnsi="Times New Roman" w:cs="Times New Roman" w:eastAsia="Times New Roman" w:hint="default"/>
        </w:rPr>
        <w:t>15%</w:t>
      </w:r>
      <w:r>
        <w:rPr/>
        <w:t>计缴企业所得税。</w:t>
      </w:r>
    </w:p>
    <w:p>
      <w:pPr>
        <w:pStyle w:val="BodyText"/>
        <w:spacing w:line="319" w:lineRule="auto" w:before="101"/>
        <w:ind w:right="134"/>
        <w:jc w:val="left"/>
        <w:rPr>
          <w:rFonts w:ascii="Times New Roman" w:hAnsi="Times New Roman" w:cs="Times New Roman" w:eastAsia="Times New Roman" w:hint="default"/>
        </w:rPr>
      </w:pPr>
      <w:r>
        <w:rPr/>
        <w:t>汉得信息子公司夏尔软件</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年度被认定为高新技术企业。根据《中华人民共和国企业所得税法》的规定：国 家重点扶持高新技术企业减按</w:t>
      </w:r>
      <w:r>
        <w:rPr>
          <w:spacing w:val="-46"/>
        </w:rPr>
        <w:t> </w:t>
      </w:r>
      <w:r>
        <w:rPr>
          <w:rFonts w:ascii="Times New Roman" w:hAnsi="Times New Roman" w:cs="Times New Roman" w:eastAsia="Times New Roman" w:hint="default"/>
        </w:rPr>
        <w:t>15%</w:t>
      </w:r>
      <w:r>
        <w:rPr/>
        <w:t>的税率征收企业所得税。夏尔软件</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年度按照</w:t>
      </w:r>
      <w:r>
        <w:rPr>
          <w:spacing w:val="-46"/>
        </w:rPr>
        <w:t> </w:t>
      </w:r>
      <w:r>
        <w:rPr>
          <w:rFonts w:ascii="Times New Roman" w:hAnsi="Times New Roman" w:cs="Times New Roman" w:eastAsia="Times New Roman" w:hint="default"/>
        </w:rPr>
        <w:t>15%</w:t>
      </w:r>
      <w:r>
        <w:rPr/>
        <w:t>计缴企业所得税。 汉得信息根据财税</w:t>
      </w:r>
      <w:r>
        <w:rPr>
          <w:rFonts w:ascii="Times New Roman" w:hAnsi="Times New Roman" w:cs="Times New Roman" w:eastAsia="Times New Roman" w:hint="default"/>
        </w:rPr>
        <w:t>[2011]100 </w:t>
      </w:r>
      <w:r>
        <w:rPr>
          <w:spacing w:val="-5"/>
        </w:rPr>
        <w:t>号《关于软件产品增值税政策的通知》的规定，本公司销售其自行开发生产的软件产品，按</w:t>
      </w:r>
      <w:r>
        <w:rPr>
          <w:spacing w:val="-19"/>
        </w:rPr>
        <w:t> </w:t>
      </w:r>
      <w:r>
        <w:rPr>
          <w:rFonts w:ascii="Times New Roman" w:hAnsi="Times New Roman" w:cs="Times New Roman" w:eastAsia="Times New Roman" w:hint="default"/>
        </w:rPr>
        <w:t>17%</w:t>
      </w:r>
    </w:p>
    <w:p>
      <w:pPr>
        <w:pStyle w:val="BodyText"/>
        <w:spacing w:line="319" w:lineRule="auto"/>
        <w:ind w:right="136"/>
        <w:jc w:val="left"/>
      </w:pPr>
      <w:r>
        <w:rPr/>
        <w:t>税率征收增值税后，对其增值税实际税负超过</w:t>
      </w:r>
      <w:r>
        <w:rPr>
          <w:spacing w:val="-46"/>
        </w:rPr>
        <w:t> </w:t>
      </w:r>
      <w:r>
        <w:rPr>
          <w:rFonts w:ascii="Times New Roman" w:hAnsi="Times New Roman" w:cs="Times New Roman" w:eastAsia="Times New Roman" w:hint="default"/>
        </w:rPr>
        <w:t>3%</w:t>
      </w:r>
      <w:r>
        <w:rPr/>
        <w:t>的部分实行即征即退政策。 汉得信息子公司夏尔软件按沪国税浦十五</w:t>
      </w:r>
      <w:r>
        <w:rPr>
          <w:rFonts w:ascii="Times New Roman" w:hAnsi="Times New Roman" w:cs="Times New Roman" w:eastAsia="Times New Roman" w:hint="default"/>
        </w:rPr>
        <w:t>[2014]000068 </w:t>
      </w:r>
      <w:r>
        <w:rPr/>
        <w:t>号文件、财税</w:t>
      </w:r>
      <w:r>
        <w:rPr>
          <w:rFonts w:ascii="Times New Roman" w:hAnsi="Times New Roman" w:cs="Times New Roman" w:eastAsia="Times New Roman" w:hint="default"/>
        </w:rPr>
        <w:t>[2011]100</w:t>
      </w:r>
      <w:r>
        <w:rPr>
          <w:rFonts w:ascii="Times New Roman" w:hAnsi="Times New Roman" w:cs="Times New Roman" w:eastAsia="Times New Roman" w:hint="default"/>
          <w:spacing w:val="-9"/>
        </w:rPr>
        <w:t> </w:t>
      </w:r>
      <w:r>
        <w:rPr/>
        <w:t>号《关于软件产品增值税政策的通知》的规 定，夏尔软件销售其自行开发生产的软件产品，按</w:t>
      </w:r>
      <w:r>
        <w:rPr>
          <w:spacing w:val="-58"/>
        </w:rPr>
        <w:t> </w:t>
      </w:r>
      <w:r>
        <w:rPr>
          <w:rFonts w:ascii="Times New Roman" w:hAnsi="Times New Roman" w:cs="Times New Roman" w:eastAsia="Times New Roman" w:hint="default"/>
        </w:rPr>
        <w:t>17%</w:t>
      </w:r>
      <w:r>
        <w:rPr/>
        <w:t>税率征收增值税后，对其增值税实际税负超过</w:t>
      </w:r>
      <w:r>
        <w:rPr>
          <w:spacing w:val="-58"/>
        </w:rPr>
        <w:t> </w:t>
      </w:r>
      <w:r>
        <w:rPr>
          <w:rFonts w:ascii="Times New Roman" w:hAnsi="Times New Roman" w:cs="Times New Roman" w:eastAsia="Times New Roman" w:hint="default"/>
        </w:rPr>
        <w:t>3%</w:t>
      </w:r>
      <w:r>
        <w:rPr/>
        <w:t>的部分实行即征即</w:t>
      </w:r>
    </w:p>
    <w:p>
      <w:pPr>
        <w:pStyle w:val="BodyText"/>
        <w:spacing w:line="247" w:lineRule="exact"/>
        <w:ind w:right="0"/>
        <w:jc w:val="left"/>
      </w:pPr>
      <w:r>
        <w:rPr/>
        <w:t>退政策，期限自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spacing w:line="302" w:lineRule="auto" w:before="101"/>
        <w:ind w:right="218"/>
        <w:jc w:val="left"/>
      </w:pPr>
      <w:r>
        <w:rPr/>
        <w:t>汉得信息子公司汉得融晶</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年度被认定为高新技术企业，根据《中华人民共和国企业所得税法》的规定：国 家重点扶持高新技术企业减按</w:t>
      </w:r>
      <w:r>
        <w:rPr>
          <w:spacing w:val="-46"/>
        </w:rPr>
        <w:t> </w:t>
      </w:r>
      <w:r>
        <w:rPr>
          <w:rFonts w:ascii="Times New Roman" w:hAnsi="Times New Roman" w:cs="Times New Roman" w:eastAsia="Times New Roman" w:hint="default"/>
        </w:rPr>
        <w:t>15%</w:t>
      </w:r>
      <w:r>
        <w:rPr/>
        <w:t>的税率征收企业所得税。汉得融晶</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年度按照</w:t>
      </w:r>
      <w:r>
        <w:rPr>
          <w:spacing w:val="-46"/>
        </w:rPr>
        <w:t> </w:t>
      </w:r>
      <w:r>
        <w:rPr>
          <w:rFonts w:ascii="Times New Roman" w:hAnsi="Times New Roman" w:cs="Times New Roman" w:eastAsia="Times New Roman" w:hint="default"/>
        </w:rPr>
        <w:t>15%</w:t>
      </w:r>
      <w:r>
        <w:rPr/>
        <w:t>计缴企业所得税。</w:t>
      </w:r>
    </w:p>
    <w:p>
      <w:pPr>
        <w:spacing w:line="612" w:lineRule="exact" w:before="41"/>
        <w:ind w:left="154" w:right="90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注：</w:t>
      </w:r>
    </w:p>
    <w:p>
      <w:pPr>
        <w:pStyle w:val="BodyText"/>
        <w:spacing w:line="300" w:lineRule="auto" w:before="10"/>
        <w:ind w:left="153" w:right="135"/>
        <w:jc w:val="left"/>
      </w:pPr>
      <w:r>
        <w:rPr>
          <w:rFonts w:ascii="Times New Roman" w:hAnsi="Times New Roman" w:cs="Times New Roman" w:eastAsia="Times New Roman" w:hint="default"/>
        </w:rPr>
        <w:t>1</w:t>
      </w:r>
      <w:r>
        <w:rPr/>
        <w:t>、子公司汉得日本法人税税率为课税所得的</w:t>
      </w:r>
      <w:r>
        <w:rPr>
          <w:spacing w:val="-58"/>
        </w:rPr>
        <w:t> </w:t>
      </w:r>
      <w:r>
        <w:rPr>
          <w:rFonts w:ascii="Times New Roman" w:hAnsi="Times New Roman" w:cs="Times New Roman" w:eastAsia="Times New Roman" w:hint="default"/>
        </w:rPr>
        <w:t>25.5%</w:t>
      </w:r>
      <w:r>
        <w:rPr/>
        <w:t>，课税留保金額的</w:t>
      </w:r>
      <w:r>
        <w:rPr>
          <w:spacing w:val="-58"/>
        </w:rPr>
        <w:t> </w:t>
      </w:r>
      <w:r>
        <w:rPr>
          <w:rFonts w:ascii="Times New Roman" w:hAnsi="Times New Roman" w:cs="Times New Roman" w:eastAsia="Times New Roman" w:hint="default"/>
        </w:rPr>
        <w:t>10%</w:t>
      </w:r>
      <w:r>
        <w:rPr/>
        <w:t>；地方法人税税率为法人税税额的</w:t>
      </w:r>
      <w:r>
        <w:rPr>
          <w:spacing w:val="-58"/>
        </w:rPr>
        <w:t> </w:t>
      </w:r>
      <w:r>
        <w:rPr>
          <w:rFonts w:ascii="Times New Roman" w:hAnsi="Times New Roman" w:cs="Times New Roman" w:eastAsia="Times New Roman" w:hint="default"/>
        </w:rPr>
        <w:t>4.4%</w:t>
      </w:r>
      <w:r>
        <w:rPr/>
        <w:t>；法人都 民税税率为法人税税额的</w:t>
      </w:r>
      <w:r>
        <w:rPr>
          <w:spacing w:val="-46"/>
        </w:rPr>
        <w:t> </w:t>
      </w:r>
      <w:r>
        <w:rPr>
          <w:rFonts w:ascii="Times New Roman" w:hAnsi="Times New Roman" w:cs="Times New Roman" w:eastAsia="Times New Roman" w:hint="default"/>
        </w:rPr>
        <w:t>16.3%</w:t>
      </w:r>
      <w:r>
        <w:rPr/>
        <w:t>加上定额</w:t>
      </w:r>
      <w:r>
        <w:rPr>
          <w:spacing w:val="-46"/>
        </w:rPr>
        <w:t> </w:t>
      </w:r>
      <w:r>
        <w:rPr>
          <w:rFonts w:ascii="Times New Roman" w:hAnsi="Times New Roman" w:cs="Times New Roman" w:eastAsia="Times New Roman" w:hint="default"/>
        </w:rPr>
        <w:t>70,000</w:t>
      </w:r>
      <w:r>
        <w:rPr>
          <w:rFonts w:ascii="Times New Roman" w:hAnsi="Times New Roman" w:cs="Times New Roman" w:eastAsia="Times New Roman" w:hint="default"/>
          <w:spacing w:val="-1"/>
        </w:rPr>
        <w:t> </w:t>
      </w:r>
      <w:r>
        <w:rPr/>
        <w:t>日元；法人事业税和地方法人特别税的税率如下（其中地方法人特别税减 按</w:t>
      </w:r>
      <w:r>
        <w:rPr>
          <w:spacing w:val="-46"/>
        </w:rPr>
        <w:t> </w:t>
      </w:r>
      <w:r>
        <w:rPr>
          <w:rFonts w:ascii="Times New Roman" w:hAnsi="Times New Roman" w:cs="Times New Roman" w:eastAsia="Times New Roman" w:hint="default"/>
          <w:spacing w:val="-10"/>
        </w:rPr>
        <w:t>43.2%</w:t>
      </w:r>
      <w:r>
        <w:rPr>
          <w:spacing w:val="-10"/>
        </w:rPr>
        <w:t>征收）：</w:t>
      </w:r>
    </w:p>
    <w:p>
      <w:pPr>
        <w:spacing w:line="240" w:lineRule="auto" w:before="2"/>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126"/>
        <w:gridCol w:w="2789"/>
        <w:gridCol w:w="2743"/>
      </w:tblGrid>
      <w:tr>
        <w:trPr>
          <w:trHeight w:val="355" w:hRule="exact"/>
        </w:trPr>
        <w:tc>
          <w:tcPr>
            <w:tcW w:w="4126"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课税所得额</w:t>
            </w:r>
          </w:p>
        </w:tc>
        <w:tc>
          <w:tcPr>
            <w:tcW w:w="5532"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3" w:hRule="exact"/>
        </w:trPr>
        <w:tc>
          <w:tcPr>
            <w:tcW w:w="4126" w:type="dxa"/>
            <w:vMerge/>
            <w:tcBorders>
              <w:left w:val="single" w:sz="6" w:space="0" w:color="000000"/>
              <w:bottom w:val="single" w:sz="12" w:space="0" w:color="000000"/>
              <w:right w:val="single" w:sz="6" w:space="0" w:color="000000"/>
            </w:tcBorders>
          </w:tcPr>
          <w:p>
            <w:pP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法人事业税</w:t>
            </w:r>
          </w:p>
        </w:tc>
        <w:tc>
          <w:tcPr>
            <w:tcW w:w="2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地方法人特别税</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w:t>
            </w:r>
            <w:r>
              <w:rPr>
                <w:rFonts w:ascii="宋体" w:hAnsi="宋体" w:cs="宋体" w:eastAsia="宋体" w:hint="default"/>
                <w:sz w:val="18"/>
                <w:szCs w:val="18"/>
              </w:rPr>
              <w:t>万日元</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3.65%</w:t>
            </w:r>
          </w:p>
        </w:tc>
        <w:tc>
          <w:tcPr>
            <w:tcW w:w="2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3.40%</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400-800</w:t>
            </w:r>
            <w:r>
              <w:rPr>
                <w:rFonts w:ascii="宋体" w:hAnsi="宋体" w:cs="宋体" w:eastAsia="宋体" w:hint="default"/>
                <w:sz w:val="18"/>
                <w:szCs w:val="18"/>
              </w:rPr>
              <w:t>万日元</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5.465%</w:t>
            </w:r>
          </w:p>
        </w:tc>
        <w:tc>
          <w:tcPr>
            <w:tcW w:w="2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5.10%</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万日元以上</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7.18%</w:t>
            </w:r>
          </w:p>
        </w:tc>
        <w:tc>
          <w:tcPr>
            <w:tcW w:w="2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6.70%</w:t>
            </w:r>
          </w:p>
        </w:tc>
      </w:tr>
    </w:tbl>
    <w:p>
      <w:pPr>
        <w:pStyle w:val="BodyText"/>
        <w:spacing w:line="240" w:lineRule="auto" w:before="10"/>
        <w:ind w:right="0"/>
        <w:jc w:val="left"/>
      </w:pPr>
      <w:r>
        <w:rPr>
          <w:rFonts w:ascii="Times New Roman" w:hAnsi="Times New Roman" w:cs="Times New Roman" w:eastAsia="Times New Roman" w:hint="default"/>
        </w:rPr>
        <w:t>2</w:t>
      </w:r>
      <w:r>
        <w:rPr/>
        <w:t>、汉得加利福尼亚州</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281"/>
        <w:gridCol w:w="4376"/>
      </w:tblGrid>
      <w:tr>
        <w:trPr>
          <w:trHeight w:val="355" w:hRule="exact"/>
        </w:trPr>
        <w:tc>
          <w:tcPr>
            <w:tcW w:w="5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43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税费</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宋体" w:hAnsi="宋体" w:cs="宋体" w:eastAsia="宋体" w:hint="default"/>
                <w:sz w:val="18"/>
                <w:szCs w:val="18"/>
              </w:rPr>
              <w:t>美元以内的部分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50000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7500+25%</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13750+34%</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22250+39%</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113900+34%</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3400000+35%</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5150000+38%</w:t>
            </w:r>
          </w:p>
        </w:tc>
      </w:tr>
      <w:tr>
        <w:trPr>
          <w:trHeight w:val="352"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148,125.97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229,005.44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691,205,905.05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734,589,713.57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4,426,359.64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7,703,192.75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695,780,390.66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742,521,911.76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131,804,814.63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35,038,525.58</w:t>
            </w:r>
          </w:p>
        </w:tc>
      </w:tr>
    </w:tbl>
    <w:p>
      <w:pPr>
        <w:pStyle w:val="BodyText"/>
        <w:spacing w:line="240" w:lineRule="auto" w:before="51"/>
        <w:ind w:right="0"/>
        <w:jc w:val="left"/>
      </w:pPr>
      <w:r>
        <w:rPr/>
        <w:t>其他说明</w:t>
      </w:r>
    </w:p>
    <w:p>
      <w:pPr>
        <w:pStyle w:val="Heading7"/>
        <w:spacing w:line="240" w:lineRule="auto" w:before="116"/>
        <w:ind w:left="231" w:right="0"/>
        <w:jc w:val="left"/>
        <w:rPr>
          <w:b w:val="0"/>
          <w:bCs w:val="0"/>
        </w:rPr>
      </w:pPr>
      <w:r>
        <w:rPr>
          <w:rFonts w:ascii="Times New Roman" w:hAnsi="Times New Roman" w:cs="Times New Roman" w:eastAsia="Times New Roman" w:hint="default"/>
        </w:rPr>
        <w:t>1</w:t>
      </w:r>
      <w:r>
        <w:rPr/>
        <w:t>、其中受限制的货币资金明细如下：</w:t>
      </w:r>
      <w:r>
        <w:rPr>
          <w:b w:val="0"/>
          <w:bCs w:val="0"/>
        </w:rPr>
      </w:r>
    </w:p>
    <w:p>
      <w:pPr>
        <w:spacing w:line="240" w:lineRule="auto" w:before="11"/>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4126"/>
        <w:gridCol w:w="2766"/>
        <w:gridCol w:w="2766"/>
      </w:tblGrid>
      <w:tr>
        <w:trPr>
          <w:trHeight w:val="355" w:hRule="exact"/>
        </w:trPr>
        <w:tc>
          <w:tcPr>
            <w:tcW w:w="4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履约保证金等</w:t>
            </w:r>
          </w:p>
        </w:tc>
        <w:tc>
          <w:tcPr>
            <w:tcW w:w="2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803" w:right="0"/>
              <w:jc w:val="left"/>
              <w:rPr>
                <w:rFonts w:ascii="Times New Roman" w:hAnsi="Times New Roman" w:cs="Times New Roman" w:eastAsia="Times New Roman" w:hint="default"/>
                <w:sz w:val="18"/>
                <w:szCs w:val="18"/>
              </w:rPr>
            </w:pPr>
            <w:r>
              <w:rPr>
                <w:rFonts w:ascii="Times New Roman"/>
                <w:sz w:val="18"/>
              </w:rPr>
              <w:t>4,426,359.64</w:t>
            </w:r>
          </w:p>
        </w:tc>
        <w:tc>
          <w:tcPr>
            <w:tcW w:w="27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803" w:right="0"/>
              <w:jc w:val="left"/>
              <w:rPr>
                <w:rFonts w:ascii="Times New Roman" w:hAnsi="Times New Roman" w:cs="Times New Roman" w:eastAsia="Times New Roman" w:hint="default"/>
                <w:sz w:val="18"/>
                <w:szCs w:val="18"/>
              </w:rPr>
            </w:pPr>
            <w:r>
              <w:rPr>
                <w:rFonts w:ascii="Times New Roman"/>
                <w:sz w:val="18"/>
              </w:rPr>
              <w:t>7,703,192.75</w:t>
            </w:r>
          </w:p>
        </w:tc>
      </w:tr>
    </w:tbl>
    <w:p>
      <w:pPr>
        <w:spacing w:line="240" w:lineRule="auto" w:before="3"/>
        <w:rPr>
          <w:rFonts w:ascii="宋体" w:hAnsi="宋体" w:cs="宋体" w:eastAsia="宋体" w:hint="default"/>
          <w:b/>
          <w:bCs/>
          <w:sz w:val="21"/>
          <w:szCs w:val="21"/>
        </w:rPr>
      </w:pPr>
    </w:p>
    <w:p>
      <w:pPr>
        <w:pStyle w:val="Heading7"/>
        <w:spacing w:line="240" w:lineRule="auto" w:before="44"/>
        <w:ind w:left="210" w:right="0"/>
        <w:jc w:val="left"/>
        <w:rPr>
          <w:b w:val="0"/>
          <w:bCs w:val="0"/>
        </w:rPr>
      </w:pPr>
      <w:r>
        <w:rPr>
          <w:rFonts w:ascii="Times New Roman" w:hAnsi="Times New Roman" w:cs="Times New Roman" w:eastAsia="Times New Roman" w:hint="default"/>
        </w:rPr>
        <w:t>2</w:t>
      </w:r>
      <w:r>
        <w:rPr/>
        <w:t>、银行存款中定期及结构性存款明细：</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1942"/>
        <w:gridCol w:w="2074"/>
        <w:gridCol w:w="1656"/>
        <w:gridCol w:w="1464"/>
        <w:gridCol w:w="1460"/>
        <w:gridCol w:w="1062"/>
      </w:tblGrid>
      <w:tr>
        <w:trPr>
          <w:trHeight w:val="356" w:hRule="exact"/>
        </w:trPr>
        <w:tc>
          <w:tcPr>
            <w:tcW w:w="1942" w:type="dxa"/>
            <w:vMerge w:val="restart"/>
            <w:tcBorders>
              <w:top w:val="single" w:sz="6" w:space="0" w:color="000000"/>
              <w:left w:val="single" w:sz="6" w:space="0" w:color="000000"/>
              <w:right w:val="single" w:sz="6" w:space="0" w:color="000000"/>
            </w:tcBorders>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2074" w:type="dxa"/>
            <w:vMerge w:val="restart"/>
            <w:tcBorders>
              <w:top w:val="single" w:sz="6" w:space="0" w:color="000000"/>
              <w:left w:val="single" w:sz="6" w:space="0" w:color="000000"/>
              <w:right w:val="single" w:sz="6"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21"/>
              <w:ind w:left="46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64" w:type="dxa"/>
            <w:vMerge w:val="restart"/>
            <w:tcBorders>
              <w:top w:val="single" w:sz="6" w:space="0" w:color="000000"/>
              <w:left w:val="single" w:sz="6"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存储形式</w:t>
            </w:r>
          </w:p>
        </w:tc>
        <w:tc>
          <w:tcPr>
            <w:tcW w:w="2522"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52" w:hRule="exact"/>
        </w:trPr>
        <w:tc>
          <w:tcPr>
            <w:tcW w:w="1942" w:type="dxa"/>
            <w:vMerge/>
            <w:tcBorders>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56" w:type="dxa"/>
            <w:vMerge/>
            <w:tcBorders>
              <w:left w:val="single" w:sz="6" w:space="0" w:color="000000"/>
              <w:bottom w:val="single" w:sz="12" w:space="0" w:color="000000"/>
              <w:right w:val="single" w:sz="6" w:space="0" w:color="000000"/>
            </w:tcBorders>
          </w:tcPr>
          <w:p>
            <w:pPr/>
          </w:p>
        </w:tc>
        <w:tc>
          <w:tcPr>
            <w:tcW w:w="1464" w:type="dxa"/>
            <w:vMerge/>
            <w:tcBorders>
              <w:left w:val="single" w:sz="6" w:space="0" w:color="000000"/>
              <w:bottom w:val="single" w:sz="12" w:space="0" w:color="000000"/>
              <w:right w:val="single" w:sz="6" w:space="0" w:color="000000"/>
            </w:tcBorders>
          </w:tcPr>
          <w:p>
            <w:pP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存入日期</w:t>
            </w:r>
          </w:p>
        </w:tc>
        <w:tc>
          <w:tcPr>
            <w:tcW w:w="106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664" w:hRule="exact"/>
        </w:trPr>
        <w:tc>
          <w:tcPr>
            <w:tcW w:w="194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22"/>
              <w:jc w:val="left"/>
              <w:rPr>
                <w:rFonts w:ascii="宋体" w:hAnsi="宋体" w:cs="宋体" w:eastAsia="宋体" w:hint="default"/>
                <w:sz w:val="18"/>
                <w:szCs w:val="18"/>
              </w:rPr>
            </w:pPr>
            <w:r>
              <w:rPr>
                <w:rFonts w:ascii="宋体" w:hAnsi="宋体" w:cs="宋体" w:eastAsia="宋体" w:hint="default"/>
                <w:sz w:val="18"/>
                <w:szCs w:val="18"/>
              </w:rPr>
              <w:t>招商银行股份有限公司 上海张江支行</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12190463158012436</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32,671,000.00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2017-10-14</w:t>
            </w:r>
          </w:p>
        </w:tc>
        <w:tc>
          <w:tcPr>
            <w:tcW w:w="106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2018-1-3</w:t>
            </w:r>
          </w:p>
        </w:tc>
      </w:tr>
      <w:tr>
        <w:trPr>
          <w:trHeight w:val="665" w:hRule="exact"/>
        </w:trPr>
        <w:tc>
          <w:tcPr>
            <w:tcW w:w="194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22"/>
              <w:jc w:val="left"/>
              <w:rPr>
                <w:rFonts w:ascii="宋体" w:hAnsi="宋体" w:cs="宋体" w:eastAsia="宋体" w:hint="default"/>
                <w:sz w:val="18"/>
                <w:szCs w:val="18"/>
              </w:rPr>
            </w:pPr>
            <w:r>
              <w:rPr>
                <w:rFonts w:ascii="宋体" w:hAnsi="宋体" w:cs="宋体" w:eastAsia="宋体" w:hint="default"/>
                <w:sz w:val="18"/>
                <w:szCs w:val="18"/>
              </w:rPr>
              <w:t>兴业银行股份有限公司 上海金沙江支行</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216280100200094557</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2017-12-21</w:t>
            </w:r>
          </w:p>
        </w:tc>
        <w:tc>
          <w:tcPr>
            <w:tcW w:w="106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2018-3-21</w:t>
            </w:r>
          </w:p>
        </w:tc>
      </w:tr>
      <w:tr>
        <w:trPr>
          <w:trHeight w:val="352" w:hRule="exact"/>
        </w:trPr>
        <w:tc>
          <w:tcPr>
            <w:tcW w:w="1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宁波银行上海徐汇支行</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70030122000566389</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70,000,000.00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2017-12-28</w:t>
            </w:r>
          </w:p>
        </w:tc>
        <w:tc>
          <w:tcPr>
            <w:tcW w:w="106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2018-1-29</w:t>
            </w:r>
          </w:p>
        </w:tc>
      </w:tr>
      <w:tr>
        <w:trPr>
          <w:trHeight w:val="664" w:hRule="exact"/>
        </w:trPr>
        <w:tc>
          <w:tcPr>
            <w:tcW w:w="194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22"/>
              <w:jc w:val="left"/>
              <w:rPr>
                <w:rFonts w:ascii="宋体" w:hAnsi="宋体" w:cs="宋体" w:eastAsia="宋体" w:hint="default"/>
                <w:sz w:val="18"/>
                <w:szCs w:val="18"/>
              </w:rPr>
            </w:pPr>
            <w:r>
              <w:rPr>
                <w:rFonts w:ascii="宋体" w:hAnsi="宋体" w:cs="宋体" w:eastAsia="宋体" w:hint="default"/>
                <w:sz w:val="18"/>
                <w:szCs w:val="18"/>
              </w:rPr>
              <w:t>平安银行股份有限公司 上海外滩支行</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2000005833556</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七天通知</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2012-3-28</w:t>
            </w:r>
          </w:p>
        </w:tc>
        <w:tc>
          <w:tcPr>
            <w:tcW w:w="1062"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0"/>
              <w:ind w:left="2" w:right="145"/>
              <w:jc w:val="left"/>
              <w:rPr>
                <w:rFonts w:ascii="宋体" w:hAnsi="宋体" w:cs="宋体" w:eastAsia="宋体" w:hint="default"/>
                <w:sz w:val="18"/>
                <w:szCs w:val="18"/>
              </w:rPr>
            </w:pPr>
            <w:r>
              <w:rPr>
                <w:rFonts w:ascii="宋体" w:hAnsi="宋体" w:cs="宋体" w:eastAsia="宋体" w:hint="default"/>
                <w:sz w:val="18"/>
                <w:szCs w:val="18"/>
              </w:rPr>
              <w:t>满七天自动 续期</w:t>
            </w:r>
          </w:p>
        </w:tc>
      </w:tr>
      <w:tr>
        <w:trPr>
          <w:trHeight w:val="353" w:hRule="exact"/>
        </w:trPr>
        <w:tc>
          <w:tcPr>
            <w:tcW w:w="1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4"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203,171,000.00</w:t>
            </w:r>
          </w:p>
        </w:tc>
        <w:tc>
          <w:tcPr>
            <w:tcW w:w="1464" w:type="dxa"/>
            <w:tcBorders>
              <w:top w:val="single" w:sz="12" w:space="0" w:color="000000"/>
              <w:left w:val="single" w:sz="6" w:space="0" w:color="000000"/>
              <w:bottom w:val="single" w:sz="12" w:space="0" w:color="000000"/>
              <w:right w:val="single" w:sz="6" w:space="0" w:color="000000"/>
            </w:tcBorders>
          </w:tcPr>
          <w:p>
            <w:pPr/>
          </w:p>
        </w:tc>
        <w:tc>
          <w:tcPr>
            <w:tcW w:w="1460" w:type="dxa"/>
            <w:tcBorders>
              <w:top w:val="single" w:sz="12" w:space="0" w:color="000000"/>
              <w:left w:val="single" w:sz="6" w:space="0" w:color="000000"/>
              <w:bottom w:val="single" w:sz="12" w:space="0" w:color="000000"/>
              <w:right w:val="single" w:sz="6" w:space="0" w:color="000000"/>
            </w:tcBorders>
          </w:tcPr>
          <w:p>
            <w:pPr/>
          </w:p>
        </w:tc>
        <w:tc>
          <w:tcPr>
            <w:tcW w:w="1062"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506" w:lineRule="auto" w:before="35"/>
        <w:ind w:right="4816"/>
        <w:jc w:val="left"/>
        <w:rPr>
          <w:b w:val="0"/>
          <w:bCs w:val="0"/>
        </w:rPr>
      </w:pPr>
      <w:r>
        <w:rPr>
          <w:rFonts w:ascii="Times New Roman" w:hAnsi="Times New Roman" w:cs="Times New Roman" w:eastAsia="Times New Roman" w:hint="default"/>
        </w:rPr>
        <w:t>2</w:t>
      </w:r>
      <w:r>
        <w:rPr/>
        <w:t>、以公允价值计量且其变动计入当期损益的金融资产</w:t>
      </w:r>
      <w:r>
        <w:rPr>
          <w:spacing w:val="1"/>
          <w:w w:val="99"/>
        </w:rPr>
        <w:t> </w:t>
      </w:r>
      <w:r>
        <w:rPr/>
        <w:t>无</w:t>
      </w:r>
      <w:r>
        <w:rPr>
          <w:b w:val="0"/>
          <w:bCs w:val="0"/>
        </w:rPr>
      </w:r>
    </w:p>
    <w:p>
      <w:pPr>
        <w:pStyle w:val="Heading5"/>
        <w:spacing w:line="240" w:lineRule="auto" w:before="105"/>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114,803,505.29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63,159,460.30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2,483,750.00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3,911,000.00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117,287,255.29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67,070,460.30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10,715,629.11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10,715,629.11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1,700,02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0,103.55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282,577,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477.67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16.62%</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1,417,442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,625.88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199,181,8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25.76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1,092,028,5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90.62</w:t>
            </w:r>
          </w:p>
        </w:tc>
      </w:tr>
      <w:tr>
        <w:trPr>
          <w:trHeight w:val="317"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1,700,02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0,103.55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282,577,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477.67</w:t>
            </w:r>
          </w:p>
        </w:tc>
        <w:tc>
          <w:tcPr>
            <w:tcW w:w="762" w:type="dxa"/>
            <w:vMerge w:val="restart"/>
            <w:tcBorders>
              <w:top w:val="single" w:sz="4" w:space="0" w:color="000000"/>
              <w:left w:val="single" w:sz="4" w:space="0" w:color="000000"/>
              <w:right w:val="single" w:sz="4" w:space="0" w:color="000000"/>
            </w:tcBorders>
          </w:tcPr>
          <w:p>
            <w:pP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1,417,442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,625.88</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199,181,8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25.76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1,092,028,5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90.62</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1,099,476,958.16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54,973,847.92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1,099,476,958.16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54,973,847.92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154,481,008.75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77,240,504.38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74,234,616.51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74,234,616.51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74,507,631.52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74,507,631.52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1,402,700,214.94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280,956,600.33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Heading6"/>
        <w:spacing w:line="240" w:lineRule="auto" w:before="14"/>
        <w:ind w:left="154" w:right="0"/>
        <w:jc w:val="left"/>
      </w:pPr>
      <w:r>
        <w:rPr/>
        <w:t>（</w:t>
      </w:r>
      <w:r>
        <w:rPr>
          <w:rFonts w:ascii="Times New Roman" w:hAnsi="Times New Roman" w:cs="Times New Roman" w:eastAsia="Times New Roman" w:hint="default"/>
        </w:rPr>
        <w:t>2</w:t>
      </w:r>
      <w:r>
        <w:rPr/>
        <w:t>）按账龄分析法计提坏账准备的应收保理款</w:t>
      </w:r>
    </w:p>
    <w:p>
      <w:pPr>
        <w:spacing w:line="240" w:lineRule="auto" w:before="8"/>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3481"/>
        <w:gridCol w:w="2280"/>
        <w:gridCol w:w="2131"/>
        <w:gridCol w:w="1765"/>
      </w:tblGrid>
      <w:tr>
        <w:trPr>
          <w:trHeight w:val="355" w:hRule="exact"/>
        </w:trPr>
        <w:tc>
          <w:tcPr>
            <w:tcW w:w="348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176"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3481" w:type="dxa"/>
            <w:vMerge/>
            <w:tcBorders>
              <w:left w:val="single" w:sz="6" w:space="0" w:color="000000"/>
              <w:bottom w:val="single" w:sz="12" w:space="0" w:color="000000"/>
              <w:right w:val="single" w:sz="6" w:space="0" w:color="000000"/>
            </w:tcBorders>
          </w:tcPr>
          <w:p>
            <w:pP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288,193,129.67</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1,440,965.65</w:t>
            </w:r>
          </w:p>
        </w:tc>
        <w:tc>
          <w:tcPr>
            <w:tcW w:w="1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0.50</w:t>
            </w:r>
          </w:p>
        </w:tc>
      </w:tr>
      <w:tr>
        <w:trPr>
          <w:trHeight w:val="352"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1-3</w:t>
            </w:r>
            <w:r>
              <w:rPr>
                <w:rFonts w:ascii="宋体" w:hAnsi="宋体" w:cs="宋体" w:eastAsia="宋体" w:hint="default"/>
                <w:sz w:val="18"/>
                <w:szCs w:val="18"/>
              </w:rPr>
              <w:t>月</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8,438,154.32</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42,190.77</w:t>
            </w:r>
          </w:p>
        </w:tc>
        <w:tc>
          <w:tcPr>
            <w:tcW w:w="1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0.50</w:t>
            </w:r>
          </w:p>
        </w:tc>
      </w:tr>
      <w:tr>
        <w:trPr>
          <w:trHeight w:val="352"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4-6</w:t>
            </w:r>
            <w:r>
              <w:rPr>
                <w:rFonts w:ascii="宋体" w:hAnsi="宋体" w:cs="宋体" w:eastAsia="宋体" w:hint="default"/>
                <w:sz w:val="18"/>
                <w:szCs w:val="18"/>
              </w:rPr>
              <w:t>月</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688,604.62</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137,720.92</w:t>
            </w:r>
          </w:p>
        </w:tc>
        <w:tc>
          <w:tcPr>
            <w:tcW w:w="1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20.00</w:t>
            </w:r>
          </w:p>
        </w:tc>
      </w:tr>
      <w:tr>
        <w:trPr>
          <w:trHeight w:val="353"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297,319,888.61</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1,620,877.34</w:t>
            </w:r>
          </w:p>
        </w:tc>
        <w:tc>
          <w:tcPr>
            <w:tcW w:w="1765"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7"/>
        <w:jc w:val="left"/>
      </w:pPr>
      <w:r>
        <w:rPr/>
        <w:t>本期计提坏账准备金额</w:t>
      </w:r>
      <w:r>
        <w:rPr>
          <w:spacing w:val="-47"/>
        </w:rPr>
        <w:t> </w:t>
      </w:r>
      <w:r>
        <w:rPr>
          <w:rFonts w:ascii="Times New Roman" w:hAnsi="Times New Roman" w:cs="Times New Roman" w:eastAsia="Times New Roman" w:hint="default"/>
        </w:rPr>
        <w:t>83,562,299.53</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139" w:space="268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00" w:lineRule="auto" w:before="10"/>
        <w:ind w:left="153" w:right="0"/>
        <w:jc w:val="left"/>
      </w:pPr>
      <w:r>
        <w:rPr>
          <w:spacing w:val="-1"/>
        </w:rPr>
        <w:t>本期计提坏账准备金额</w:t>
      </w:r>
      <w:r>
        <w:rPr>
          <w:rFonts w:ascii="Times New Roman" w:hAnsi="Times New Roman" w:cs="Times New Roman" w:eastAsia="Times New Roman" w:hint="default"/>
          <w:spacing w:val="-1"/>
        </w:rPr>
        <w:t>83,562,299.53</w:t>
      </w:r>
      <w:r>
        <w:rPr>
          <w:spacing w:val="-1"/>
        </w:rPr>
        <w:t>元，本期因合并范围变化而减少应收帐款坏账准备</w:t>
      </w:r>
      <w:r>
        <w:rPr>
          <w:rFonts w:ascii="Times New Roman" w:hAnsi="Times New Roman" w:cs="Times New Roman" w:eastAsia="Times New Roman" w:hint="default"/>
          <w:spacing w:val="-1"/>
        </w:rPr>
        <w:t>81,572.84</w:t>
      </w:r>
      <w:r>
        <w:rPr>
          <w:spacing w:val="-1"/>
        </w:rPr>
        <w:t>元；因外币报表折算差额影</w:t>
      </w:r>
      <w:r>
        <w:rPr>
          <w:spacing w:val="-66"/>
        </w:rPr>
        <w:t> </w:t>
      </w:r>
      <w:r>
        <w:rPr>
          <w:spacing w:val="-66"/>
        </w:rPr>
      </w:r>
      <w:r>
        <w:rPr/>
        <w:t>响而减少坏账准备</w:t>
      </w:r>
      <w:r>
        <w:rPr>
          <w:rFonts w:ascii="Times New Roman" w:hAnsi="Times New Roman" w:cs="Times New Roman" w:eastAsia="Times New Roman" w:hint="default"/>
        </w:rPr>
        <w:t>85,074.78</w:t>
      </w:r>
      <w:r>
        <w:rPr/>
        <w:t>元。</w:t>
      </w:r>
    </w:p>
    <w:p>
      <w:pPr>
        <w:spacing w:line="240" w:lineRule="auto" w:before="1"/>
        <w:rPr>
          <w:rFonts w:ascii="宋体" w:hAnsi="宋体" w:cs="宋体" w:eastAsia="宋体" w:hint="default"/>
          <w:sz w:val="22"/>
          <w:szCs w:val="22"/>
        </w:rPr>
      </w:pPr>
    </w:p>
    <w:p>
      <w:pPr>
        <w:pStyle w:val="Heading5"/>
        <w:spacing w:line="506" w:lineRule="auto"/>
        <w:ind w:right="6503"/>
        <w:jc w:val="left"/>
        <w:rPr>
          <w:b w:val="0"/>
          <w:bCs w:val="0"/>
        </w:rPr>
      </w:pPr>
      <w:r>
        <w:rPr/>
        <w:t>（</w:t>
      </w:r>
      <w:r>
        <w:rPr>
          <w:rFonts w:ascii="Times New Roman" w:hAnsi="Times New Roman" w:cs="Times New Roman" w:eastAsia="Times New Roman" w:hint="default"/>
        </w:rPr>
        <w:t>3</w:t>
      </w:r>
      <w:r>
        <w:rPr/>
        <w:t>）本期实际核销的应收账款情况</w:t>
      </w:r>
      <w:r>
        <w:rPr>
          <w:w w:val="99"/>
        </w:rPr>
        <w:t> </w:t>
      </w:r>
      <w:r>
        <w:rPr/>
        <w:t>无</w:t>
      </w:r>
      <w:r>
        <w:rPr>
          <w:b w:val="0"/>
          <w:bCs w:val="0"/>
        </w:rPr>
      </w:r>
    </w:p>
    <w:p>
      <w:pPr>
        <w:pStyle w:val="Heading5"/>
        <w:spacing w:line="240" w:lineRule="auto" w:before="10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11"/>
        <w:jc w:val="left"/>
      </w:pPr>
      <w:r>
        <w:rPr/>
        <w:t>公司是否需要遵守特殊行业的披露要求 否</w:t>
      </w:r>
    </w:p>
    <w:p>
      <w:pPr>
        <w:pStyle w:val="Heading6"/>
        <w:spacing w:line="290" w:lineRule="exact" w:before="0"/>
        <w:ind w:left="154" w:right="0"/>
        <w:jc w:val="left"/>
      </w:pPr>
      <w:r>
        <w:rPr/>
        <w:t>（</w:t>
      </w:r>
      <w:r>
        <w:rPr>
          <w:rFonts w:ascii="Times New Roman" w:hAnsi="Times New Roman" w:cs="Times New Roman" w:eastAsia="Times New Roman" w:hint="default"/>
        </w:rPr>
        <w:t>1</w:t>
      </w:r>
      <w:r>
        <w:rPr/>
        <w:t>）按账龄分析法计提坏账准备的应收账款</w:t>
      </w:r>
    </w:p>
    <w:p>
      <w:pPr>
        <w:spacing w:line="240" w:lineRule="auto" w:before="8"/>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3656"/>
        <w:gridCol w:w="2472"/>
        <w:gridCol w:w="1765"/>
        <w:gridCol w:w="1764"/>
      </w:tblGrid>
      <w:tr>
        <w:trPr>
          <w:trHeight w:val="355" w:hRule="exact"/>
        </w:trPr>
        <w:tc>
          <w:tcPr>
            <w:tcW w:w="365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01"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65" w:hRule="exact"/>
        </w:trPr>
        <w:tc>
          <w:tcPr>
            <w:tcW w:w="3656" w:type="dxa"/>
            <w:vMerge/>
            <w:tcBorders>
              <w:left w:val="single" w:sz="6" w:space="0" w:color="000000"/>
              <w:bottom w:val="single" w:sz="12" w:space="0" w:color="000000"/>
              <w:right w:val="single" w:sz="6" w:space="0" w:color="000000"/>
            </w:tcBorders>
          </w:tcPr>
          <w:p>
            <w:pP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59" w:right="6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419" w:right="0"/>
              <w:jc w:val="left"/>
              <w:rPr>
                <w:rFonts w:ascii="Times New Roman" w:hAnsi="Times New Roman" w:cs="Times New Roman" w:eastAsia="Times New Roman" w:hint="default"/>
                <w:sz w:val="18"/>
                <w:szCs w:val="18"/>
              </w:rPr>
            </w:pPr>
            <w:r>
              <w:rPr>
                <w:rFonts w:ascii="Times New Roman"/>
                <w:sz w:val="18"/>
              </w:rPr>
              <w:t>22,550,125.37</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1.33</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711" w:right="0"/>
              <w:jc w:val="left"/>
              <w:rPr>
                <w:rFonts w:ascii="Times New Roman" w:hAnsi="Times New Roman" w:cs="Times New Roman" w:eastAsia="Times New Roman" w:hint="default"/>
                <w:sz w:val="18"/>
                <w:szCs w:val="18"/>
              </w:rPr>
            </w:pPr>
            <w:r>
              <w:rPr>
                <w:rFonts w:ascii="Times New Roman"/>
                <w:sz w:val="18"/>
              </w:rPr>
              <w:t>19,219,155.37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656"/>
        <w:gridCol w:w="2472"/>
        <w:gridCol w:w="1765"/>
        <w:gridCol w:w="1764"/>
      </w:tblGrid>
      <w:tr>
        <w:trPr>
          <w:trHeight w:val="355" w:hRule="exact"/>
        </w:trPr>
        <w:tc>
          <w:tcPr>
            <w:tcW w:w="3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21,714,064.24</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1.28</w:t>
            </w:r>
          </w:p>
        </w:tc>
        <w:tc>
          <w:tcPr>
            <w:tcW w:w="176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1,085,703.21</w:t>
            </w:r>
          </w:p>
        </w:tc>
      </w:tr>
      <w:tr>
        <w:trPr>
          <w:trHeight w:val="353" w:hRule="exact"/>
        </w:trPr>
        <w:tc>
          <w:tcPr>
            <w:tcW w:w="3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21,113,463.91</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1.24</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1,055,673.20</w:t>
            </w:r>
          </w:p>
        </w:tc>
      </w:tr>
      <w:tr>
        <w:trPr>
          <w:trHeight w:val="352" w:hRule="exact"/>
        </w:trPr>
        <w:tc>
          <w:tcPr>
            <w:tcW w:w="3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15,667,801.89</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0.92</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783,390.09</w:t>
            </w:r>
          </w:p>
        </w:tc>
      </w:tr>
      <w:tr>
        <w:trPr>
          <w:trHeight w:val="352" w:hRule="exact"/>
        </w:trPr>
        <w:tc>
          <w:tcPr>
            <w:tcW w:w="3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15,497,025.50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0.91</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774,851.28</w:t>
            </w:r>
          </w:p>
        </w:tc>
      </w:tr>
      <w:tr>
        <w:trPr>
          <w:trHeight w:val="353" w:hRule="exact"/>
        </w:trPr>
        <w:tc>
          <w:tcPr>
            <w:tcW w:w="3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96,542,480.91</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5.68</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22,918,773.15</w:t>
            </w:r>
          </w:p>
        </w:tc>
      </w:tr>
    </w:tbl>
    <w:p>
      <w:pPr>
        <w:spacing w:line="240" w:lineRule="auto" w:before="0"/>
        <w:rPr>
          <w:rFonts w:ascii="宋体" w:hAnsi="宋体" w:cs="宋体" w:eastAsia="宋体" w:hint="default"/>
          <w:sz w:val="20"/>
          <w:szCs w:val="20"/>
        </w:rPr>
      </w:pPr>
    </w:p>
    <w:p>
      <w:pPr>
        <w:pStyle w:val="Heading6"/>
        <w:spacing w:line="240" w:lineRule="auto"/>
        <w:ind w:left="153" w:right="0"/>
        <w:jc w:val="left"/>
      </w:pPr>
      <w:r>
        <w:rPr/>
        <w:t>（</w:t>
      </w:r>
      <w:r>
        <w:rPr>
          <w:rFonts w:ascii="Times New Roman" w:hAnsi="Times New Roman" w:cs="Times New Roman" w:eastAsia="Times New Roman" w:hint="default"/>
        </w:rPr>
        <w:t>2</w:t>
      </w:r>
      <w:r>
        <w:rPr/>
        <w:t>）应收保理款</w:t>
      </w:r>
    </w:p>
    <w:p>
      <w:pPr>
        <w:spacing w:line="240" w:lineRule="auto" w:before="8"/>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4153"/>
        <w:gridCol w:w="1975"/>
        <w:gridCol w:w="1765"/>
        <w:gridCol w:w="1764"/>
      </w:tblGrid>
      <w:tr>
        <w:trPr>
          <w:trHeight w:val="355" w:hRule="exact"/>
        </w:trPr>
        <w:tc>
          <w:tcPr>
            <w:tcW w:w="4153"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4"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64" w:hRule="exact"/>
        </w:trPr>
        <w:tc>
          <w:tcPr>
            <w:tcW w:w="4153" w:type="dxa"/>
            <w:vMerge/>
            <w:tcBorders>
              <w:left w:val="single" w:sz="6" w:space="0" w:color="000000"/>
              <w:bottom w:val="single" w:sz="12" w:space="0" w:color="000000"/>
              <w:right w:val="single" w:sz="6" w:space="0" w:color="000000"/>
            </w:tcBorders>
          </w:tcPr>
          <w:p>
            <w:pP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59" w:right="6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营口昌泰铝材有限公司</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20,340,378.80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101,701.89</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江苏常友环保科技有限公司</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16,709,231.98</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0.98</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83,546.16</w:t>
            </w:r>
          </w:p>
        </w:tc>
      </w:tr>
      <w:tr>
        <w:trPr>
          <w:trHeight w:val="352"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山东国创风能装备有限公司</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15,500,000.00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0.91</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77,500.00</w:t>
            </w:r>
          </w:p>
        </w:tc>
      </w:tr>
      <w:tr>
        <w:trPr>
          <w:trHeight w:val="352"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金华德高新能源科技有限公司</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15,400,079.75</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0.91</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77,000.40</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绍兴市舒康太阳能器材有限公司</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10,633,879.17</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0.63</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53,169.40</w:t>
            </w:r>
          </w:p>
        </w:tc>
      </w:tr>
      <w:tr>
        <w:trPr>
          <w:trHeight w:val="352"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78,583,569.70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4.63</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392,917.85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45,763,995.15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30,740,287.90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8,535,457.74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2,468,444.47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1,689,792.06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7,853,617.25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6,867,325.10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289,773.23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62,856,570.05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41,352,122.85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w:t>
      </w:r>
      <w:r>
        <w:rPr>
          <w:spacing w:val="-1"/>
        </w:rPr>
        <w:t>账龄超过一年且金额重大的预付款项为预付青岛天创伟业信息技术有限公司</w:t>
      </w:r>
      <w:r>
        <w:rPr>
          <w:rFonts w:ascii="Times New Roman" w:hAnsi="Times New Roman" w:cs="Times New Roman" w:eastAsia="Times New Roman" w:hint="default"/>
          <w:spacing w:val="-1"/>
        </w:rPr>
        <w:t>669.95</w:t>
      </w:r>
      <w:r>
        <w:rPr>
          <w:spacing w:val="-1"/>
        </w:rPr>
        <w:t>万元软件采购款，该款项尚未结算，对应</w:t>
      </w:r>
    </w:p>
    <w:p>
      <w:pPr>
        <w:spacing w:after="0" w:line="33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有</w:t>
      </w:r>
      <w:r>
        <w:rPr>
          <w:rFonts w:ascii="Times New Roman" w:hAnsi="Times New Roman" w:cs="Times New Roman" w:eastAsia="Times New Roman" w:hint="default"/>
        </w:rPr>
        <w:t>789.81</w:t>
      </w:r>
      <w:r>
        <w:rPr/>
        <w:t>万元预收账款。</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363"/>
        <w:gridCol w:w="2646"/>
        <w:gridCol w:w="2648"/>
      </w:tblGrid>
      <w:tr>
        <w:trPr>
          <w:trHeight w:val="667" w:hRule="exact"/>
        </w:trPr>
        <w:tc>
          <w:tcPr>
            <w:tcW w:w="4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48"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971" w:right="56" w:hanging="915"/>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10,728,200.00</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17.07</w:t>
            </w:r>
          </w:p>
        </w:tc>
      </w:tr>
      <w:tr>
        <w:trPr>
          <w:trHeight w:val="352"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思爱普（中国）有限公司</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10,576,426.08</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16.83</w:t>
            </w:r>
          </w:p>
        </w:tc>
      </w:tr>
      <w:tr>
        <w:trPr>
          <w:trHeight w:val="352"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青岛天创伟业信息技术有限公司</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6,699,487.18</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10.66</w:t>
            </w:r>
          </w:p>
        </w:tc>
      </w:tr>
      <w:tr>
        <w:trPr>
          <w:trHeight w:val="353"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3,987,045.38</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6.34</w:t>
            </w:r>
          </w:p>
        </w:tc>
      </w:tr>
      <w:tr>
        <w:trPr>
          <w:trHeight w:val="352"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连云港杰瑞深软科技有限公司</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3,054,354.60</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4.86</w:t>
            </w:r>
          </w:p>
        </w:tc>
      </w:tr>
      <w:tr>
        <w:trPr>
          <w:trHeight w:val="352" w:hRule="exact"/>
        </w:trPr>
        <w:tc>
          <w:tcPr>
            <w:tcW w:w="4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35,045,513.24</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55.76</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88"/>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214,343.05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1,297,493.06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保理利息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2,318,563.55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2,515,456.71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2,532,906.60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3,812,949.77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75,632,3</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17,025,9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22.51%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58,606,39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7.40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47,737,</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476.54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11,712,45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36,025,022.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75,632,3</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59.01</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17,025,9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61.61</w:t>
            </w:r>
          </w:p>
        </w:tc>
        <w:tc>
          <w:tcPr>
            <w:tcW w:w="762" w:type="dxa"/>
            <w:vMerge w:val="restart"/>
            <w:tcBorders>
              <w:top w:val="single" w:sz="4" w:space="0" w:color="000000"/>
              <w:left w:val="single" w:sz="4" w:space="0" w:color="000000"/>
              <w:right w:val="single" w:sz="4" w:space="0" w:color="000000"/>
            </w:tcBorders>
          </w:tcPr>
          <w:p>
            <w:pP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58,606,39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7.40</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47,737,</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476.54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11,712,45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3.95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36,025,022.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56,503,840.61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2,825,192.05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56,503,840.61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2,825,192.05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9,855,497.73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4,927,748.89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4,919,273.71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4,919,273.71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4,353,746.96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4,353,746.96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75,632,359.01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17,025,961.61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5271"/>
        <w:jc w:val="left"/>
      </w:pPr>
      <w:r>
        <w:rPr/>
        <w:t>确定该组合依据的说明： 组合中，采用余额百分比法计提坏账准备的其他应收款：</w:t>
      </w:r>
    </w:p>
    <w:p>
      <w:pPr>
        <w:pStyle w:val="BodyText"/>
        <w:spacing w:line="338" w:lineRule="auto" w:before="29"/>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19"/>
        <w:jc w:val="left"/>
      </w:pPr>
      <w:r>
        <w:rPr/>
        <w:t>本期计提坏账准备金额</w:t>
      </w:r>
      <w:r>
        <w:rPr>
          <w:spacing w:val="-46"/>
        </w:rPr>
        <w:t> </w:t>
      </w:r>
      <w:r>
        <w:rPr>
          <w:rFonts w:ascii="Times New Roman" w:hAnsi="Times New Roman" w:cs="Times New Roman" w:eastAsia="Times New Roman" w:hint="default"/>
        </w:rPr>
        <w:t>5,599,919.38</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00" w:lineRule="auto" w:before="11"/>
        <w:ind w:left="153" w:right="0"/>
        <w:jc w:val="left"/>
      </w:pPr>
      <w:r>
        <w:rPr>
          <w:spacing w:val="-1"/>
        </w:rPr>
        <w:t>本期计提坏账准备金额</w:t>
      </w:r>
      <w:r>
        <w:rPr>
          <w:rFonts w:ascii="Times New Roman" w:hAnsi="Times New Roman" w:cs="Times New Roman" w:eastAsia="Times New Roman" w:hint="default"/>
          <w:spacing w:val="-1"/>
        </w:rPr>
        <w:t>5,599,919.38</w:t>
      </w:r>
      <w:r>
        <w:rPr>
          <w:spacing w:val="-1"/>
        </w:rPr>
        <w:t>元，本期合并范围变化而减少其他应收款坏账准备</w:t>
      </w:r>
      <w:r>
        <w:rPr>
          <w:rFonts w:ascii="Times New Roman" w:hAnsi="Times New Roman" w:cs="Times New Roman" w:eastAsia="Times New Roman" w:hint="default"/>
          <w:spacing w:val="-1"/>
        </w:rPr>
        <w:t>272,307.97</w:t>
      </w:r>
      <w:r>
        <w:rPr>
          <w:spacing w:val="-1"/>
        </w:rPr>
        <w:t>元，外币报表折算差额影响</w:t>
      </w:r>
      <w:r>
        <w:rPr>
          <w:spacing w:val="-64"/>
        </w:rPr>
        <w:t> </w:t>
      </w:r>
      <w:r>
        <w:rPr>
          <w:spacing w:val="-64"/>
        </w:rPr>
      </w:r>
      <w:r>
        <w:rPr/>
        <w:t>而减少坏账准备</w:t>
      </w:r>
      <w:r>
        <w:rPr>
          <w:rFonts w:ascii="Times New Roman" w:hAnsi="Times New Roman" w:cs="Times New Roman" w:eastAsia="Times New Roman" w:hint="default"/>
        </w:rPr>
        <w:t>14,103.75</w:t>
      </w:r>
      <w:r>
        <w:rPr/>
        <w:t>元。</w:t>
      </w:r>
    </w:p>
    <w:p>
      <w:pPr>
        <w:spacing w:after="0" w:line="30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16,644,288.24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8,387,735.91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7,000,932.63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47,006,404.66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34,530,592.81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750,029.19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3,828,884.51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2,843,901.01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2,377,066.59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75,632,359.01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47,737,476.54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上海汉得知云软件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16,615,060.24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830,753.01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思爱普（中国）有限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2,740,134.85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535,825.63</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31"/>
              <w:jc w:val="left"/>
              <w:rPr>
                <w:rFonts w:ascii="Times New Roman" w:hAnsi="Times New Roman" w:cs="Times New Roman" w:eastAsia="Times New Roman" w:hint="default"/>
                <w:sz w:val="18"/>
                <w:szCs w:val="18"/>
              </w:rPr>
            </w:pPr>
            <w:r>
              <w:rPr>
                <w:rFonts w:ascii="Times New Roman"/>
                <w:sz w:val="18"/>
              </w:rPr>
              <w:t>BEYOND</w:t>
            </w:r>
            <w:r>
              <w:rPr>
                <w:rFonts w:ascii="Times New Roman"/>
                <w:spacing w:val="-1"/>
                <w:sz w:val="18"/>
              </w:rPr>
              <w:t> </w:t>
            </w:r>
            <w:r>
              <w:rPr>
                <w:rFonts w:ascii="Times New Roman"/>
                <w:sz w:val="18"/>
              </w:rPr>
              <w:t>PRECISION</w:t>
            </w:r>
            <w:r>
              <w:rPr>
                <w:rFonts w:ascii="Times New Roman"/>
                <w:spacing w:val="-1"/>
                <w:sz w:val="18"/>
              </w:rPr>
              <w:t> </w:t>
            </w:r>
            <w:r>
              <w:rPr>
                <w:rFonts w:ascii="Times New Roman"/>
                <w:sz w:val="18"/>
              </w:rPr>
              <w:t>HOLDINGS</w:t>
            </w:r>
            <w:r>
              <w:rPr>
                <w:rFonts w:ascii="Times New Roman"/>
                <w:sz w:val="18"/>
              </w:rPr>
              <w:t> 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1,918,567.47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1,918,567.47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利群商业集团股份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深圳市中燃科技有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23,273,762.56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3,385,146.11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531"/>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79"/>
        <w:gridCol w:w="1356"/>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3D3D3"/>
          </w:tcPr>
          <w:p>
            <w:pPr/>
          </w:p>
        </w:tc>
        <w:tc>
          <w:tcPr>
            <w:tcW w:w="4090"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911,543.66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746,277.15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859,143.30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859,143.30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911,543.66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746,277.15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859,143.30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859,143.30</w:t>
            </w:r>
          </w:p>
        </w:tc>
      </w:tr>
    </w:tbl>
    <w:p>
      <w:pPr>
        <w:pStyle w:val="BodyText"/>
        <w:spacing w:line="240" w:lineRule="auto" w:before="51"/>
        <w:ind w:right="0"/>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pStyle w:val="BodyText"/>
        <w:spacing w:line="240" w:lineRule="auto" w:before="103"/>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pStyle w:val="BodyText"/>
        <w:spacing w:line="240" w:lineRule="auto" w:before="102"/>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5"/>
        <w:gridCol w:w="1379"/>
        <w:gridCol w:w="1356"/>
        <w:gridCol w:w="1355"/>
        <w:gridCol w:w="137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11" w:type="dxa"/>
            <w:gridSpan w:val="2"/>
            <w:vMerge/>
            <w:tcBorders>
              <w:left w:val="single" w:sz="4" w:space="0" w:color="000000"/>
              <w:bottom w:val="single" w:sz="4" w:space="0" w:color="000000"/>
              <w:right w:val="single" w:sz="4" w:space="0" w:color="000000"/>
            </w:tcBorders>
            <w:shd w:val="clear" w:color="auto" w:fill="D3D3D3"/>
          </w:tcPr>
          <w:p>
            <w:pP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计提</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165,266.51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w:t>
      </w:r>
      <w:r>
        <w:rPr>
          <w:spacing w:val="81"/>
        </w:rPr>
        <w:t> </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5,140,000.00</w:t>
            </w:r>
          </w:p>
        </w:tc>
      </w:tr>
    </w:tbl>
    <w:p>
      <w:pPr>
        <w:pStyle w:val="BodyText"/>
        <w:spacing w:line="240" w:lineRule="auto" w:before="51"/>
        <w:ind w:right="0"/>
        <w:jc w:val="left"/>
      </w:pPr>
      <w:r>
        <w:rPr/>
        <w:t>其他说明：</w:t>
      </w:r>
    </w:p>
    <w:p>
      <w:pPr>
        <w:pStyle w:val="BodyText"/>
        <w:spacing w:line="300" w:lineRule="auto" w:before="116"/>
        <w:ind w:left="153" w:right="0"/>
        <w:jc w:val="left"/>
      </w:pPr>
      <w:r>
        <w:rPr>
          <w:spacing w:val="-2"/>
        </w:rPr>
        <w:t>注：根据公司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月制订的《员工购房借款福利管理办法》，公司向符合条件的员工提供购房借款，在</w:t>
      </w:r>
      <w:r>
        <w:rPr>
          <w:rFonts w:ascii="Times New Roman" w:hAnsi="Times New Roman" w:cs="Times New Roman" w:eastAsia="Times New Roman" w:hint="default"/>
          <w:spacing w:val="-2"/>
        </w:rPr>
        <w:t>3</w:t>
      </w:r>
      <w:r>
        <w:rPr>
          <w:spacing w:val="-2"/>
        </w:rPr>
        <w:t>年内通过工资扣</w:t>
      </w:r>
      <w:r>
        <w:rPr>
          <w:spacing w:val="-61"/>
        </w:rPr>
        <w:t> </w:t>
      </w:r>
      <w:r>
        <w:rPr/>
        <w:t>款归还，其中</w:t>
      </w:r>
      <w:r>
        <w:rPr>
          <w:rFonts w:ascii="Times New Roman" w:hAnsi="Times New Roman" w:cs="Times New Roman" w:eastAsia="Times New Roman" w:hint="default"/>
        </w:rPr>
        <w:t>1</w:t>
      </w:r>
      <w:r>
        <w:rPr/>
        <w:t>年内应归还部分计入一年内到期的非流动资产。</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1,119,490.78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769,416.94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560,415.70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2,903,852.70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预交增值税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130,497.88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103,387.96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60,769,158.00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60,877,049.98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62,579,562.36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64,684,299.55</w:t>
            </w:r>
          </w:p>
        </w:tc>
      </w:tr>
    </w:tbl>
    <w:p>
      <w:pPr>
        <w:pStyle w:val="BodyText"/>
        <w:spacing w:line="357" w:lineRule="auto" w:before="51"/>
        <w:ind w:right="8510"/>
        <w:jc w:val="left"/>
      </w:pPr>
      <w:r>
        <w:rPr/>
        <w:pict>
          <v:shape style="position:absolute;margin-left:55.860001pt;margin-top:35.202141pt;width:483.75pt;height:36.450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6247"/>
                    <w:gridCol w:w="1702"/>
                  </w:tblGrid>
                  <w:tr>
                    <w:trPr>
                      <w:trHeight w:val="355" w:hRule="exact"/>
                    </w:trPr>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6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170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352" w:hRule="exact"/>
                    </w:trPr>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62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高盛（亚洲）有限责任公司委托理财</w:t>
                        </w:r>
                      </w:p>
                    </w:tc>
                    <w:tc>
                      <w:tcPr>
                        <w:tcW w:w="170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60,769,158.00</w:t>
                        </w:r>
                      </w:p>
                    </w:tc>
                  </w:tr>
                </w:tbl>
                <w:p>
                  <w:pPr/>
                </w:p>
              </w:txbxContent>
            </v:textbox>
            <w10:wrap type="none"/>
          </v:shape>
        </w:pict>
      </w:r>
      <w:r>
        <w:rPr/>
        <w:t>其他说明： 理财产品说明：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5"/>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32,938,523.91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32,938,523.91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32,938,523.91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32,938,523.91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70,260,478.50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32,938,523.91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32,938,523.91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上海青浦 区汉得培 训学校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上海黑骥</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马股权投 资合伙企 业（有限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23,341,864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23,341,864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8.00%</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上海兴富</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创业投资 管理中心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8,596,659.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405,405.41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8,191,253.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405,405.41</w:t>
            </w: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上海众数</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联颂投资 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上海复歌 信息科技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共享智能</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铸造产业 创新中心</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vMerge/>
            <w:tcBorders>
              <w:left w:val="single" w:sz="4" w:space="0" w:color="000000"/>
              <w:right w:val="single" w:sz="4" w:space="0" w:color="000000"/>
            </w:tcBorders>
          </w:tcPr>
          <w:p>
            <w:pPr/>
          </w:p>
        </w:tc>
      </w:tr>
      <w:tr>
        <w:trPr>
          <w:trHeight w:val="353"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Lecida</w:t>
            </w:r>
            <w:r>
              <w:rPr>
                <w:rFonts w:ascii="Times New Roman"/>
                <w:spacing w:val="-6"/>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32,938,523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37,727,360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405,405.41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70,260,478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405,405.41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上海汉得 知云软件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9,177,205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-2,409,73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6,767,472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上海甄实 建筑科技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3,420,451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59,277,20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-2,889,28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56,387,92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59,277,20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-2,889,28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56,387,92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140"/>
        <w:jc w:val="left"/>
      </w:pPr>
      <w:r>
        <w:rPr/>
        <w:t>注</w:t>
      </w:r>
      <w:r>
        <w:rPr>
          <w:rFonts w:ascii="Times New Roman" w:hAnsi="Times New Roman" w:cs="Times New Roman" w:eastAsia="Times New Roman" w:hint="default"/>
        </w:rPr>
        <w:t>1</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日起，知云软件由公司的控股子公司变为公司的联营企业，公司对其长期股权投资改按权益法核算。 注</w:t>
      </w:r>
      <w:r>
        <w:rPr>
          <w:rFonts w:ascii="Times New Roman" w:hAnsi="Times New Roman" w:cs="Times New Roman" w:eastAsia="Times New Roman" w:hint="default"/>
        </w:rPr>
        <w:t>2</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日起，甄汇科技由公司的控股子公司变为公司的联营企业，公司对其长期股权投资改按权益法核算。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84"/>
        <w:gridCol w:w="1207"/>
        <w:gridCol w:w="1196"/>
        <w:gridCol w:w="1196"/>
        <w:gridCol w:w="1195"/>
        <w:gridCol w:w="1196"/>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13" w:space="0" w:color="D3D3D3"/>
              <w:bottom w:val="single" w:sz="4" w:space="0" w:color="000000"/>
              <w:right w:val="single" w:sz="4" w:space="0" w:color="000000"/>
            </w:tcBorders>
            <w:shd w:val="clear" w:color="auto" w:fill="D9D9D9"/>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16.760002pt;margin-top:71.910004pt;width:58.15pt;height:20.8pt;mso-position-horizontal-relative:page;mso-position-vertical-relative:page;z-index:-994120" coordorigin="2335,1438" coordsize="1163,416">
            <v:group style="position:absolute;left:2347;top:1450;width:2;height:393" coordorigin="2347,1450" coordsize="2,393">
              <v:shape style="position:absolute;left:2347;top:1450;width:2;height:393" coordorigin="2347,1450" coordsize="0,393" path="m2347,1450l2347,1842e" filled="false" stroked="true" strokeweight="1.140pt" strokecolor="#ffffff">
                <v:path arrowok="t"/>
              </v:shape>
            </v:group>
            <v:group style="position:absolute;left:2358;top:1450;width:1140;height:393" coordorigin="2358,1450" coordsize="1140,393">
              <v:shape style="position:absolute;left:2358;top:1450;width:1140;height:393" coordorigin="2358,1450" coordsize="1140,393" path="m2358,1842l3498,1842,3498,1450,2358,1450,2358,18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84"/>
        <w:gridCol w:w="1207"/>
        <w:gridCol w:w="1196"/>
        <w:gridCol w:w="1196"/>
        <w:gridCol w:w="1195"/>
        <w:gridCol w:w="1196"/>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一、账面原值</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305,656,416.10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4,509,604.17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46,436,186.18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2,800,256.89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16,387,968.99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5,936,068.41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381,726,500.74</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-792,793.37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-6,669.35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16,821,406.46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3,952,985.11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271,616.43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20,246,545.28</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-792,793.37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16,829,322.16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3,957,060.83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271,616.43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20,265,206.05</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2" w:lineRule="auto" w:before="51"/>
              <w:ind w:left="22" w:right="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2" w:lineRule="auto" w:before="51"/>
              <w:ind w:left="22" w:right="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2" w:lineRule="auto" w:before="51"/>
              <w:ind w:left="22" w:right="71"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外币 报表折算差额</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-6,669.35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-7,915.70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-4,075.72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-18,660.77</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4,076,368.42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486,233.63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439,299.47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5,001,901.52</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2" w:lineRule="auto" w:before="51"/>
              <w:ind w:left="22" w:right="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3,236,829.84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3,236,829.84</w:t>
            </w: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9" w:lineRule="auto" w:before="51"/>
              <w:ind w:left="22" w:right="71"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 范围变化而减 少</w:t>
            </w:r>
          </w:p>
        </w:tc>
        <w:tc>
          <w:tcPr>
            <w:tcW w:w="1207" w:type="dxa"/>
            <w:tcBorders>
              <w:top w:val="single" w:sz="4" w:space="0" w:color="000000"/>
              <w:left w:val="single" w:sz="13" w:space="0" w:color="BFBFB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839,538.58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486,233.63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439,299.47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1,765,071.68</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304,863,622.73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4,502,934.82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59,181,224.22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2,800,256.89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19,854,720.47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5,768,385.37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396,971,144.50</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15,897,570.06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3,434,848.94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29,103,740.05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1,202,230.93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6,329,284.76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2,346,968.78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58,314,643.52</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6,875,717.99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405,209.12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10,340,027.67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563,643.54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3,439,848.29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1,114,621.30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22,739,067.91</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2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6,875,717.99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410,218.40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10,345,214.98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563,643.54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3,443,536.87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1,114,621.30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22,752,953.08</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71"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外币 报表折算差额</w:t>
            </w:r>
          </w:p>
        </w:tc>
        <w:tc>
          <w:tcPr>
            <w:tcW w:w="1207"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-5,009.28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-5,187.31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-3,688.58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-13,885.17</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2,918,269.59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76,233.52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43,734.12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3,038,237.23</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207"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2,758,837.74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2,758,837.74</w:t>
            </w: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71"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 范围变化而减 少</w:t>
            </w:r>
          </w:p>
        </w:tc>
        <w:tc>
          <w:tcPr>
            <w:tcW w:w="1207"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159,431.85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76,233.52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43,734.12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279,399.49</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22,773,288.05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3,840,058.06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36,525,498.13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1,765,874.47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9,692,899.53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3,417,855.96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78,015,474.20</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68"/>
        <w:gridCol w:w="1224"/>
        <w:gridCol w:w="1196"/>
        <w:gridCol w:w="1196"/>
        <w:gridCol w:w="1195"/>
        <w:gridCol w:w="1196"/>
        <w:gridCol w:w="1196"/>
        <w:gridCol w:w="1195"/>
      </w:tblGrid>
      <w:tr>
        <w:trPr>
          <w:trHeight w:val="402" w:hRule="exact"/>
        </w:trPr>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224"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24"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9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24"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224"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24" w:type="dxa"/>
            <w:tcBorders>
              <w:top w:val="single" w:sz="4" w:space="0" w:color="000000"/>
              <w:left w:val="single" w:sz="13"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4"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224"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2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282,090,334.68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662,876.76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22,655,726.09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1,034,382.42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10,161,820.94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2,350,529.41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318,955,670.30</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2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289,758,846.04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1,074,755.23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17,332,446.13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1,598,025.96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10,058,684.23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3,589,099.63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323,411,857.22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56"/>
        <w:gridCol w:w="1379"/>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79" w:type="dxa"/>
            <w:tcBorders>
              <w:top w:val="single" w:sz="4" w:space="0" w:color="000000"/>
              <w:left w:val="single" w:sz="13" w:space="0" w:color="D3D3D3"/>
              <w:bottom w:val="single" w:sz="4" w:space="0" w:color="000000"/>
              <w:right w:val="single" w:sz="4" w:space="0" w:color="000000"/>
            </w:tcBorders>
            <w:shd w:val="clear" w:color="auto" w:fill="D9D9D9"/>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4,338,748.72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35,144,417.36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76,737,258.40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5,316,216.06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43,890,476.88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49,206,692.94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5,316,216.06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5,316,216.06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43,890,476.88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43,890,476.88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5,057,526.16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3,046,671.11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8,104,197.27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62"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合并范 围变化而减少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5,057,526.16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3,046,671.11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8,104,197.27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4,597,438.62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75,988,223.13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117,839,754.07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3,414,908.12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3,901,352.69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9,265,606.49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17,889,559.62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718,928.04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735,856.19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6,145,469.80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7,600,254.03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718,928.04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735,856.19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6,145,469.80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7,600,254.03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424,024.62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348,271.41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772,296.03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62"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合并范 围变化而减少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424,024.62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348,271.41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772,296.03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4,133,836.16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4,213,184.26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15,062,804.88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24,717,517.62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31,812,563.84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384,254.36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60,925,418.25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93,122,236.45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32,531,491.88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437,396.03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25,878,810.87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58,847,698.78</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61.49%</w:t>
      </w:r>
      <w:r>
        <w:rPr/>
        <w:t>。</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3"/>
        <w:gridCol w:w="1063"/>
        <w:gridCol w:w="1063"/>
      </w:tblGrid>
      <w:tr>
        <w:trPr>
          <w:trHeight w:val="402" w:hRule="exact"/>
        </w:trPr>
        <w:tc>
          <w:tcPr>
            <w:tcW w:w="1040" w:type="dxa"/>
            <w:tcBorders>
              <w:top w:val="single" w:sz="4" w:space="0" w:color="000000"/>
              <w:left w:val="single" w:sz="4" w:space="0" w:color="000000"/>
              <w:bottom w:val="nil" w:sz="6" w:space="0" w:color="auto"/>
              <w:right w:val="single" w:sz="4" w:space="0" w:color="000000"/>
            </w:tcBorders>
            <w:shd w:val="clear" w:color="auto" w:fill="D9D9D9"/>
          </w:tcPr>
          <w:p>
            <w:pPr/>
          </w:p>
        </w:tc>
        <w:tc>
          <w:tcPr>
            <w:tcW w:w="1075" w:type="dxa"/>
            <w:tcBorders>
              <w:top w:val="single" w:sz="4" w:space="0" w:color="000000"/>
              <w:left w:val="single" w:sz="4" w:space="0" w:color="000000"/>
              <w:bottom w:val="nil" w:sz="6" w:space="0" w:color="auto"/>
              <w:right w:val="single" w:sz="4" w:space="0" w:color="000000"/>
            </w:tcBorders>
            <w:shd w:val="clear" w:color="auto" w:fill="D9D9D9"/>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13" w:space="0" w:color="D9D9D9"/>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104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1"/>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165" w:right="77" w:hanging="90"/>
              <w:jc w:val="left"/>
              <w:rPr>
                <w:rFonts w:ascii="宋体" w:hAnsi="宋体" w:cs="宋体" w:eastAsia="宋体" w:hint="default"/>
                <w:sz w:val="18"/>
                <w:szCs w:val="18"/>
              </w:rPr>
            </w:pPr>
            <w:r>
              <w:rPr>
                <w:rFonts w:ascii="宋体" w:hAnsi="宋体" w:cs="宋体" w:eastAsia="宋体" w:hint="default"/>
                <w:sz w:val="18"/>
                <w:szCs w:val="18"/>
              </w:rPr>
              <w:t>合并范围变 化而减少</w:t>
            </w:r>
          </w:p>
        </w:tc>
        <w:tc>
          <w:tcPr>
            <w:tcW w:w="1063" w:type="dxa"/>
            <w:vMerge/>
            <w:tcBorders>
              <w:left w:val="single" w:sz="13" w:space="0" w:color="D9D9D9"/>
              <w:right w:val="single" w:sz="4" w:space="0" w:color="000000"/>
            </w:tcBorders>
            <w:shd w:val="clear" w:color="auto" w:fill="D3D3D3"/>
          </w:tcPr>
          <w:p>
            <w:pPr/>
          </w:p>
        </w:tc>
      </w:tr>
      <w:tr>
        <w:trPr>
          <w:trHeight w:val="192" w:hRule="exact"/>
        </w:trPr>
        <w:tc>
          <w:tcPr>
            <w:tcW w:w="1040" w:type="dxa"/>
            <w:vMerge/>
            <w:tcBorders>
              <w:left w:val="single" w:sz="4" w:space="0" w:color="000000"/>
              <w:bottom w:val="nil" w:sz="6" w:space="0" w:color="auto"/>
              <w:right w:val="single" w:sz="4" w:space="0" w:color="000000"/>
            </w:tcBorders>
            <w:shd w:val="clear" w:color="auto" w:fill="D9D9D9"/>
          </w:tcPr>
          <w:p>
            <w:pPr/>
          </w:p>
        </w:tc>
        <w:tc>
          <w:tcPr>
            <w:tcW w:w="1075" w:type="dxa"/>
            <w:vMerge/>
            <w:tcBorders>
              <w:left w:val="single" w:sz="4" w:space="0" w:color="000000"/>
              <w:bottom w:val="nil" w:sz="6" w:space="0" w:color="auto"/>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2"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val="restart"/>
            <w:tcBorders>
              <w:top w:val="nil" w:sz="6" w:space="0" w:color="auto"/>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13" w:space="0" w:color="D9D9D9"/>
              <w:right w:val="single" w:sz="4" w:space="0" w:color="000000"/>
            </w:tcBorders>
            <w:shd w:val="clear" w:color="auto" w:fill="D3D3D3"/>
          </w:tcPr>
          <w:p>
            <w:pPr/>
          </w:p>
        </w:tc>
      </w:tr>
      <w:tr>
        <w:trPr>
          <w:trHeight w:val="200" w:hRule="exact"/>
        </w:trPr>
        <w:tc>
          <w:tcPr>
            <w:tcW w:w="1040" w:type="dxa"/>
            <w:vMerge w:val="restart"/>
            <w:tcBorders>
              <w:top w:val="nil" w:sz="6" w:space="0" w:color="auto"/>
              <w:left w:val="single" w:sz="4" w:space="0" w:color="000000"/>
              <w:right w:val="single" w:sz="4" w:space="0" w:color="000000"/>
            </w:tcBorders>
            <w:shd w:val="clear" w:color="auto" w:fill="D9D9D9"/>
          </w:tcPr>
          <w:p>
            <w:pPr/>
          </w:p>
        </w:tc>
        <w:tc>
          <w:tcPr>
            <w:tcW w:w="1075" w:type="dxa"/>
            <w:vMerge w:val="restart"/>
            <w:tcBorders>
              <w:top w:val="nil" w:sz="6" w:space="0" w:color="auto"/>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2" w:type="dxa"/>
            <w:vMerge/>
            <w:tcBorders>
              <w:left w:val="single" w:sz="4" w:space="0" w:color="000000"/>
              <w:bottom w:val="nil" w:sz="6" w:space="0" w:color="auto"/>
              <w:right w:val="single" w:sz="4" w:space="0" w:color="000000"/>
            </w:tcBorders>
            <w:shd w:val="clear" w:color="auto" w:fill="D9D9D9"/>
          </w:tcPr>
          <w:p>
            <w:pPr/>
          </w:p>
        </w:tc>
        <w:tc>
          <w:tcPr>
            <w:tcW w:w="1063" w:type="dxa"/>
            <w:vMerge/>
            <w:tcBorders>
              <w:left w:val="single" w:sz="4" w:space="0" w:color="000000"/>
              <w:bottom w:val="nil" w:sz="6" w:space="0" w:color="auto"/>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13" w:space="0" w:color="D9D9D9"/>
              <w:right w:val="single" w:sz="4" w:space="0" w:color="000000"/>
            </w:tcBorders>
            <w:shd w:val="clear" w:color="auto" w:fill="D3D3D3"/>
          </w:tcPr>
          <w:p>
            <w:pPr/>
          </w:p>
        </w:tc>
      </w:tr>
      <w:tr>
        <w:trPr>
          <w:trHeight w:val="161" w:hRule="exact"/>
        </w:trPr>
        <w:tc>
          <w:tcPr>
            <w:tcW w:w="1040" w:type="dxa"/>
            <w:vMerge/>
            <w:tcBorders>
              <w:left w:val="single" w:sz="4" w:space="0" w:color="000000"/>
              <w:bottom w:val="single" w:sz="4" w:space="0" w:color="000000"/>
              <w:right w:val="single" w:sz="4" w:space="0" w:color="000000"/>
            </w:tcBorders>
            <w:shd w:val="clear" w:color="auto" w:fill="D9D9D9"/>
          </w:tcPr>
          <w:p>
            <w:pPr/>
          </w:p>
        </w:tc>
        <w:tc>
          <w:tcPr>
            <w:tcW w:w="1075"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2"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13" w:space="0" w:color="D9D9D9"/>
              <w:bottom w:val="single" w:sz="4" w:space="0" w:color="000000"/>
              <w:right w:val="single" w:sz="4" w:space="0" w:color="000000"/>
            </w:tcBorders>
            <w:shd w:val="clear" w:color="auto" w:fill="D3D3D3"/>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数据管理系 统</w:t>
            </w:r>
          </w:p>
        </w:tc>
        <w:tc>
          <w:tcPr>
            <w:tcW w:w="10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18,908,834.6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5,144,817.01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13,764,017.6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财税管理系 统</w:t>
            </w:r>
          </w:p>
        </w:tc>
        <w:tc>
          <w:tcPr>
            <w:tcW w:w="10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44,716.98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34,280,086.1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26,100,268.7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1,034,920.93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7,189,613.46</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供应链金融 系统</w:t>
            </w:r>
          </w:p>
        </w:tc>
        <w:tc>
          <w:tcPr>
            <w:tcW w:w="1075" w:type="dxa"/>
            <w:tcBorders>
              <w:top w:val="single" w:sz="4" w:space="0" w:color="000000"/>
              <w:left w:val="single" w:sz="13" w:space="0" w:color="D9D9D9"/>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8,593,696.07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4,799,699.08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3,793,996.99</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移动导购系 统</w:t>
            </w:r>
          </w:p>
        </w:tc>
        <w:tc>
          <w:tcPr>
            <w:tcW w:w="1075" w:type="dxa"/>
            <w:tcBorders>
              <w:top w:val="single" w:sz="4" w:space="0" w:color="000000"/>
              <w:left w:val="single" w:sz="13" w:space="0" w:color="D9D9D9"/>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4,436,301.23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4,436,301.23</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融资租赁系 统</w:t>
            </w:r>
          </w:p>
        </w:tc>
        <w:tc>
          <w:tcPr>
            <w:tcW w:w="1075" w:type="dxa"/>
            <w:tcBorders>
              <w:top w:val="single" w:sz="4" w:space="0" w:color="000000"/>
              <w:left w:val="single" w:sz="13" w:space="0" w:color="D9D9D9"/>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7,845,692.08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7,845,692.08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物联网管理 系统</w:t>
            </w:r>
          </w:p>
        </w:tc>
        <w:tc>
          <w:tcPr>
            <w:tcW w:w="1075" w:type="dxa"/>
            <w:tcBorders>
              <w:top w:val="single" w:sz="4" w:space="0" w:color="000000"/>
              <w:left w:val="single" w:sz="13" w:space="0" w:color="D9D9D9"/>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6,888,381.29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6,888,381.29</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在线教育系 统</w:t>
            </w:r>
          </w:p>
        </w:tc>
        <w:tc>
          <w:tcPr>
            <w:tcW w:w="10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14,588,818.7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5,422,542.96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20,011,361.7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33,542,370.4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67,466,699.7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43,890,476.8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21,046,282.6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36,072,310.6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其他说明</w:t>
      </w:r>
    </w:p>
    <w:p>
      <w:pPr>
        <w:pStyle w:val="BodyText"/>
        <w:spacing w:line="300" w:lineRule="auto" w:before="116"/>
        <w:ind w:left="153" w:right="136"/>
        <w:jc w:val="left"/>
      </w:pPr>
      <w:r>
        <w:rPr>
          <w:spacing w:val="-1"/>
        </w:rPr>
        <w:t>研发项目资本化开始时点均为项目功能设计完成时；资本化的依据是项目研发已符合《企业会计准则第</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w:t>
      </w:r>
      <w:r>
        <w:rPr>
          <w:spacing w:val="-1"/>
        </w:rPr>
        <w:t>无形资产》中各</w:t>
      </w:r>
      <w:r>
        <w:rPr>
          <w:spacing w:val="-86"/>
        </w:rPr>
        <w:t> </w:t>
      </w:r>
      <w:r>
        <w:rPr>
          <w:spacing w:val="-86"/>
        </w:rPr>
      </w:r>
      <w:r>
        <w:rPr/>
        <w:t>项研发资本化要求，及公司内部阶段性要求，开始进行资本化，按项目计入开发支出。</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125.279999pt;margin-top:106.692039pt;width:67.9pt;height:28pt;mso-position-horizontal-relative:page;mso-position-vertical-relative:paragraph;z-index:-994096" coordorigin="2506,2134" coordsize="1358,560">
            <v:group style="position:absolute;left:2517;top:2290;width:2;height:392" coordorigin="2517,2290" coordsize="2,392">
              <v:shape style="position:absolute;left:2517;top:2290;width:2;height:392" coordorigin="2517,2290" coordsize="0,392" path="m2517,2290l2517,2682e" filled="false" stroked="true" strokeweight="1.140pt" strokecolor="#ffffff">
                <v:path arrowok="t"/>
              </v:shape>
            </v:group>
            <v:group style="position:absolute;left:2506;top:2134;width:1358;height:156" coordorigin="2506,2134" coordsize="1358,156">
              <v:shape style="position:absolute;left:2506;top:2134;width:1358;height:156" coordorigin="2506,2134" coordsize="1358,156" path="m2506,2290l3863,2290,3863,2134,2506,2134,2506,2290xe" filled="true" fillcolor="#ffffff" stroked="false">
                <v:path arrowok="t"/>
                <v:fill type="solid"/>
              </v:shape>
            </v:group>
            <v:group style="position:absolute;left:2528;top:2291;width:1312;height:392" coordorigin="2528,2291" coordsize="1312,392">
              <v:shape style="position:absolute;left:2528;top:2291;width:1312;height:392" coordorigin="2528,2291" coordsize="1312,392" path="m2528,2682l3840,2682,3840,2291,2528,2291,2528,2682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上海夏尔软件有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42,156,869.82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42,156,869.82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随身科技（上海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390" w:right="0"/>
              <w:jc w:val="left"/>
              <w:rPr>
                <w:rFonts w:ascii="Times New Roman" w:hAnsi="Times New Roman" w:cs="Times New Roman" w:eastAsia="Times New Roman" w:hint="default"/>
                <w:sz w:val="18"/>
                <w:szCs w:val="18"/>
              </w:rPr>
            </w:pPr>
            <w:r>
              <w:rPr>
                <w:rFonts w:ascii="Times New Roman"/>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上海达美信息技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31,416,564.79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31,416,564.79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扬州达美投资管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20,386,577.50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20,386,577.50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96,829,858.65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96,829,858.65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随身科技（上海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390" w:right="0"/>
              <w:jc w:val="left"/>
              <w:rPr>
                <w:rFonts w:ascii="Times New Roman" w:hAnsi="Times New Roman" w:cs="Times New Roman" w:eastAsia="Times New Roman" w:hint="default"/>
                <w:sz w:val="18"/>
                <w:szCs w:val="18"/>
              </w:rPr>
            </w:pPr>
            <w:r>
              <w:rPr>
                <w:rFonts w:ascii="Times New Roman"/>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2,869,846.54</w:t>
            </w:r>
          </w:p>
        </w:tc>
      </w:tr>
    </w:tbl>
    <w:p>
      <w:pPr>
        <w:pStyle w:val="BodyText"/>
        <w:spacing w:line="338" w:lineRule="auto" w:before="51"/>
        <w:ind w:left="153" w:right="0"/>
        <w:jc w:val="left"/>
      </w:pPr>
      <w:r>
        <w:rPr/>
        <w:pict>
          <v:group style="position:absolute;margin-left:125.279999pt;margin-top:-55.837982pt;width:67.9pt;height:28pt;mso-position-horizontal-relative:page;mso-position-vertical-relative:paragraph;z-index:-994072" coordorigin="2506,-1117" coordsize="1358,560">
            <v:group style="position:absolute;left:2517;top:-961;width:2;height:392" coordorigin="2517,-961" coordsize="2,392">
              <v:shape style="position:absolute;left:2517;top:-961;width:2;height:392" coordorigin="2517,-961" coordsize="0,392" path="m2517,-961l2517,-569e" filled="false" stroked="true" strokeweight="1.140pt" strokecolor="#ffffff">
                <v:path arrowok="t"/>
              </v:shape>
            </v:group>
            <v:group style="position:absolute;left:2506;top:-1117;width:1358;height:156" coordorigin="2506,-1117" coordsize="1358,156">
              <v:shape style="position:absolute;left:2506;top:-1117;width:1358;height:156" coordorigin="2506,-1117" coordsize="1358,156" path="m2506,-961l3863,-961,3863,-1117,2506,-1117,2506,-961xe" filled="true" fillcolor="#ffffff" stroked="false">
                <v:path arrowok="t"/>
                <v:fill type="solid"/>
              </v:shape>
            </v:group>
            <v:group style="position:absolute;left:2528;top:-960;width:1312;height:392" coordorigin="2528,-960" coordsize="1312,392">
              <v:shape style="position:absolute;left:2528;top:-960;width:1312;height:392" coordorigin="2528,-960" coordsize="1312,392" path="m2528,-569l3840,-569,3840,-960,2528,-960,2528,-569xe" filled="true" fillcolor="#ffffff" stroked="false">
                <v:path arrowok="t"/>
                <v:fill type="solid"/>
              </v:shape>
            </v:group>
            <w10:wrap type="none"/>
          </v:group>
        </w:pict>
      </w:r>
      <w:r>
        <w:rPr/>
        <w:t>说明商誉减值测试过程、参数及商誉减值损失的确认方法： </w:t>
      </w:r>
      <w:r>
        <w:rPr>
          <w:spacing w:val="-2"/>
        </w:rPr>
        <w:t>注：公司年末对包含商誉的相关资产组进行了减值测试，相关资产组的可收回金额采用预计未来现金流量的现值，未来现金</w:t>
      </w:r>
      <w:r>
        <w:rPr>
          <w:spacing w:val="-66"/>
        </w:rPr>
        <w:t> </w:t>
      </w:r>
      <w:r>
        <w:rPr>
          <w:spacing w:val="-66"/>
        </w:rPr>
      </w:r>
      <w:r>
        <w:rPr/>
        <w:t>流量的预测在公司财务预算的基础上确定。经测试，未发现其他被投资单位商誉存在减值。</w:t>
      </w:r>
    </w:p>
    <w:p>
      <w:pPr>
        <w:pStyle w:val="BodyText"/>
        <w:spacing w:line="240" w:lineRule="auto" w:before="43"/>
        <w:ind w:left="153" w:right="0"/>
        <w:jc w:val="left"/>
      </w:pPr>
      <w:r>
        <w:rPr/>
        <w:t>其他说明</w:t>
      </w:r>
    </w:p>
    <w:p>
      <w:pPr>
        <w:pStyle w:val="BodyText"/>
        <w:spacing w:line="300" w:lineRule="auto" w:before="116"/>
        <w:ind w:left="153" w:right="171"/>
        <w:jc w:val="left"/>
      </w:pPr>
      <w:r>
        <w:rPr/>
        <w:t>（</w:t>
      </w:r>
      <w:r>
        <w:rPr>
          <w:rFonts w:ascii="Times New Roman" w:hAnsi="Times New Roman" w:cs="Times New Roman" w:eastAsia="Times New Roman" w:hint="default"/>
        </w:rPr>
        <w:t>1</w:t>
      </w:r>
      <w:r>
        <w:rPr/>
        <w:t>）本公司对夏尔软件的合并成本为人民币</w:t>
      </w:r>
      <w:r>
        <w:rPr>
          <w:rFonts w:ascii="Times New Roman" w:hAnsi="Times New Roman" w:cs="Times New Roman" w:eastAsia="Times New Roman" w:hint="default"/>
        </w:rPr>
        <w:t>6,187.33</w:t>
      </w:r>
      <w:r>
        <w:rPr/>
        <w:t>万元，在合并中取得夏尔软件</w:t>
      </w:r>
      <w:r>
        <w:rPr>
          <w:rFonts w:ascii="Times New Roman" w:hAnsi="Times New Roman" w:cs="Times New Roman" w:eastAsia="Times New Roman" w:hint="default"/>
        </w:rPr>
        <w:t>100%</w:t>
      </w:r>
      <w:r>
        <w:rPr/>
        <w:t>权益，夏尔软件可辨认净资产在购 买日的公允价值为人民币</w:t>
      </w:r>
      <w:r>
        <w:rPr>
          <w:rFonts w:ascii="Times New Roman" w:hAnsi="Times New Roman" w:cs="Times New Roman" w:eastAsia="Times New Roman" w:hint="default"/>
        </w:rPr>
        <w:t>1,971.64</w:t>
      </w:r>
      <w:r>
        <w:rPr/>
        <w:t>万元，两者的差额人民币</w:t>
      </w:r>
      <w:r>
        <w:rPr>
          <w:rFonts w:ascii="Times New Roman" w:hAnsi="Times New Roman" w:cs="Times New Roman" w:eastAsia="Times New Roman" w:hint="default"/>
        </w:rPr>
        <w:t>4,215.69</w:t>
      </w:r>
      <w:r>
        <w:rPr/>
        <w:t>万元确认为商誉。</w:t>
      </w:r>
    </w:p>
    <w:p>
      <w:pPr>
        <w:pStyle w:val="BodyText"/>
        <w:spacing w:line="300" w:lineRule="auto" w:before="13"/>
        <w:ind w:left="153" w:right="216"/>
        <w:jc w:val="left"/>
      </w:pPr>
      <w:r>
        <w:rPr/>
        <w:t>（</w:t>
      </w:r>
      <w:r>
        <w:rPr>
          <w:rFonts w:ascii="Times New Roman" w:hAnsi="Times New Roman" w:cs="Times New Roman" w:eastAsia="Times New Roman" w:hint="default"/>
        </w:rPr>
        <w:t>2</w:t>
      </w:r>
      <w:r>
        <w:rPr/>
        <w:t>）本公司对随身科技的合并成本为人民币</w:t>
      </w:r>
      <w:r>
        <w:rPr>
          <w:rFonts w:ascii="Times New Roman" w:hAnsi="Times New Roman" w:cs="Times New Roman" w:eastAsia="Times New Roman" w:hint="default"/>
        </w:rPr>
        <w:t>500.00</w:t>
      </w:r>
      <w:r>
        <w:rPr/>
        <w:t>万元，在合并中取得随身科技</w:t>
      </w:r>
      <w:r>
        <w:rPr>
          <w:rFonts w:ascii="Times New Roman" w:hAnsi="Times New Roman" w:cs="Times New Roman" w:eastAsia="Times New Roman" w:hint="default"/>
        </w:rPr>
        <w:t>51%</w:t>
      </w:r>
      <w:r>
        <w:rPr/>
        <w:t>权益，随身科技可辨认净资产在购买 日的公允价值为人民币</w:t>
      </w:r>
      <w:r>
        <w:rPr>
          <w:rFonts w:ascii="Times New Roman" w:hAnsi="Times New Roman" w:cs="Times New Roman" w:eastAsia="Times New Roman" w:hint="default"/>
        </w:rPr>
        <w:t>417.68</w:t>
      </w:r>
      <w:r>
        <w:rPr/>
        <w:t>万元，其中</w:t>
      </w:r>
      <w:r>
        <w:rPr>
          <w:rFonts w:ascii="Times New Roman" w:hAnsi="Times New Roman" w:cs="Times New Roman" w:eastAsia="Times New Roman" w:hint="default"/>
        </w:rPr>
        <w:t>51%</w:t>
      </w:r>
      <w:r>
        <w:rPr/>
        <w:t>权益的公允价值为</w:t>
      </w:r>
      <w:r>
        <w:rPr>
          <w:rFonts w:ascii="Times New Roman" w:hAnsi="Times New Roman" w:cs="Times New Roman" w:eastAsia="Times New Roman" w:hint="default"/>
        </w:rPr>
        <w:t>213.02</w:t>
      </w:r>
      <w:r>
        <w:rPr/>
        <w:t>万元，两者的差额人民币</w:t>
      </w:r>
      <w:r>
        <w:rPr>
          <w:rFonts w:ascii="Times New Roman" w:hAnsi="Times New Roman" w:cs="Times New Roman" w:eastAsia="Times New Roman" w:hint="default"/>
        </w:rPr>
        <w:t>286.98</w:t>
      </w:r>
      <w:r>
        <w:rPr/>
        <w:t>万元确认为商誉。</w:t>
      </w:r>
    </w:p>
    <w:p>
      <w:pPr>
        <w:pStyle w:val="BodyText"/>
        <w:spacing w:line="300" w:lineRule="auto" w:before="13"/>
        <w:ind w:left="153" w:right="150"/>
        <w:jc w:val="both"/>
      </w:pPr>
      <w:r>
        <w:rPr>
          <w:spacing w:val="-1"/>
        </w:rPr>
        <w:t>（</w:t>
      </w:r>
      <w:r>
        <w:rPr>
          <w:rFonts w:ascii="Times New Roman" w:hAnsi="Times New Roman" w:cs="Times New Roman" w:eastAsia="Times New Roman" w:hint="default"/>
          <w:spacing w:val="-1"/>
        </w:rPr>
        <w:t>3</w:t>
      </w:r>
      <w:r>
        <w:rPr>
          <w:spacing w:val="-1"/>
        </w:rPr>
        <w:t>）本公司对上海达美的合并成本为人民币</w:t>
      </w:r>
      <w:r>
        <w:rPr>
          <w:rFonts w:ascii="Times New Roman" w:hAnsi="Times New Roman" w:cs="Times New Roman" w:eastAsia="Times New Roman" w:hint="default"/>
          <w:spacing w:val="-1"/>
        </w:rPr>
        <w:t>7,400.00</w:t>
      </w:r>
      <w:r>
        <w:rPr>
          <w:spacing w:val="-1"/>
        </w:rPr>
        <w:t>万元，在合并中取得上海达美</w:t>
      </w:r>
      <w:r>
        <w:rPr>
          <w:rFonts w:ascii="Times New Roman" w:hAnsi="Times New Roman" w:cs="Times New Roman" w:eastAsia="Times New Roman" w:hint="default"/>
          <w:spacing w:val="-1"/>
        </w:rPr>
        <w:t>55%</w:t>
      </w:r>
      <w:r>
        <w:rPr>
          <w:spacing w:val="-1"/>
        </w:rPr>
        <w:t>权益，上海达美可辨认净资产在购买</w:t>
      </w:r>
      <w:r>
        <w:rPr>
          <w:spacing w:val="-85"/>
        </w:rPr>
        <w:t> </w:t>
      </w:r>
      <w:r>
        <w:rPr>
          <w:spacing w:val="-85"/>
        </w:rPr>
      </w:r>
      <w:r>
        <w:rPr/>
        <w:t>日的公允价值为人民币</w:t>
      </w:r>
      <w:r>
        <w:rPr>
          <w:rFonts w:ascii="Times New Roman" w:hAnsi="Times New Roman" w:cs="Times New Roman" w:eastAsia="Times New Roman" w:hint="default"/>
        </w:rPr>
        <w:t>7,742.44</w:t>
      </w:r>
      <w:r>
        <w:rPr/>
        <w:t>万元，其中按</w:t>
      </w:r>
      <w:r>
        <w:rPr>
          <w:rFonts w:ascii="Times New Roman" w:hAnsi="Times New Roman" w:cs="Times New Roman" w:eastAsia="Times New Roman" w:hint="default"/>
        </w:rPr>
        <w:t>55%</w:t>
      </w:r>
      <w:r>
        <w:rPr/>
        <w:t>的份额确认的公允价值为</w:t>
      </w:r>
      <w:r>
        <w:rPr>
          <w:rFonts w:ascii="Times New Roman" w:hAnsi="Times New Roman" w:cs="Times New Roman" w:eastAsia="Times New Roman" w:hint="default"/>
        </w:rPr>
        <w:t>4,258.34</w:t>
      </w:r>
      <w:r>
        <w:rPr/>
        <w:t>万元，两者的差额人民币</w:t>
      </w:r>
      <w:r>
        <w:rPr>
          <w:rFonts w:ascii="Times New Roman" w:hAnsi="Times New Roman" w:cs="Times New Roman" w:eastAsia="Times New Roman" w:hint="default"/>
        </w:rPr>
        <w:t>3,141.66</w:t>
      </w:r>
      <w:r>
        <w:rPr/>
        <w:t>万元确 认为商誉。</w:t>
      </w:r>
    </w:p>
    <w:p>
      <w:pPr>
        <w:pStyle w:val="BodyText"/>
        <w:spacing w:line="300" w:lineRule="auto" w:before="31"/>
        <w:ind w:left="153" w:right="171"/>
        <w:jc w:val="left"/>
      </w:pPr>
      <w:r>
        <w:rPr/>
        <w:t>（</w:t>
      </w:r>
      <w:r>
        <w:rPr>
          <w:rFonts w:ascii="Times New Roman" w:hAnsi="Times New Roman" w:cs="Times New Roman" w:eastAsia="Times New Roman" w:hint="default"/>
        </w:rPr>
        <w:t>4</w:t>
      </w:r>
      <w:r>
        <w:rPr/>
        <w:t>）本公司对扬州达美的合并成本为人民币</w:t>
      </w:r>
      <w:r>
        <w:rPr>
          <w:rFonts w:ascii="Times New Roman" w:hAnsi="Times New Roman" w:cs="Times New Roman" w:eastAsia="Times New Roman" w:hint="default"/>
        </w:rPr>
        <w:t>5,528.25</w:t>
      </w:r>
      <w:r>
        <w:rPr/>
        <w:t>万元，在合并中取得扬州达美</w:t>
      </w:r>
      <w:r>
        <w:rPr>
          <w:rFonts w:ascii="Times New Roman" w:hAnsi="Times New Roman" w:cs="Times New Roman" w:eastAsia="Times New Roman" w:hint="default"/>
        </w:rPr>
        <w:t>100%</w:t>
      </w:r>
      <w:r>
        <w:rPr/>
        <w:t>权益，扬州达美可辨认净资产在购 买日的公允价值为人民币</w:t>
      </w:r>
      <w:r>
        <w:rPr>
          <w:rFonts w:ascii="Times New Roman" w:hAnsi="Times New Roman" w:cs="Times New Roman" w:eastAsia="Times New Roman" w:hint="default"/>
        </w:rPr>
        <w:t>3,489.59</w:t>
      </w:r>
      <w:r>
        <w:rPr/>
        <w:t>万元，两者的差额人民币</w:t>
      </w:r>
      <w:r>
        <w:rPr>
          <w:rFonts w:ascii="Times New Roman" w:hAnsi="Times New Roman" w:cs="Times New Roman" w:eastAsia="Times New Roman" w:hint="default"/>
        </w:rPr>
        <w:t>2,038.66</w:t>
      </w:r>
      <w:r>
        <w:rPr/>
        <w:t>万元确认为商誉。</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1,532,919.69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2,542,775.52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906,155.13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1,267,785.00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1,901,755.08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软件使用许可费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295,538.46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29,553.85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265,984.61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1,532,919.69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2,838,313.98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935,708.98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1,267,785.00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2,167,739.69</w:t>
            </w:r>
          </w:p>
        </w:tc>
      </w:tr>
    </w:tbl>
    <w:p>
      <w:pPr>
        <w:pStyle w:val="BodyText"/>
        <w:spacing w:line="240" w:lineRule="auto" w:before="51"/>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w:t>
      </w:r>
      <w:r>
        <w:rPr/>
        <w:t>其他减少金额</w:t>
      </w:r>
      <w:r>
        <w:rPr>
          <w:rFonts w:ascii="Times New Roman" w:hAnsi="Times New Roman" w:cs="Times New Roman" w:eastAsia="Times New Roman" w:hint="default"/>
        </w:rPr>
        <w:t>”</w:t>
      </w:r>
      <w:r>
        <w:rPr/>
        <w:t>为合并范围变化而减少。</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12"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307,944,023.54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46,812,354.13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212,146,752.00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22,339,997.94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股份支付所产生的暂时 性差异</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89,014,180.08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8,901,418.01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11,595,416.65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1,739,312.50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可用以后年度税前利润 弥补的亏损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6,437,147.05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1,609,286.75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内部交易抵销产生的暂 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819,050.42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122,857.56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819,050.42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81,905.04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320,358,490.61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48,674,524.19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308,417,129.55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32,932,607.74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38,891,407.77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38,891,407.77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6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25"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48,674,524.19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32,932,607.74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可用以后年度税前利润弥补的亏损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2,452,973.64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3,147,480.05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2,452,973.64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3,147,480.05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3,065,820.25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1,577,879.61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1,577,879.61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2,164,277.68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2,164,277.68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2,724,049.11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2,724,049.11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3,057,893.55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3,057,893.55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287,794.59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9,811,894.54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12,589,920.20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2,618,679.24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3,125,849.04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5,415,679.24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6,604,849.04</w:t>
            </w:r>
          </w:p>
        </w:tc>
      </w:tr>
    </w:tbl>
    <w:p>
      <w:pPr>
        <w:pStyle w:val="BodyText"/>
        <w:spacing w:line="240" w:lineRule="auto" w:before="51"/>
        <w:ind w:right="0"/>
        <w:jc w:val="left"/>
      </w:pPr>
      <w:r>
        <w:rPr/>
        <w:t>其他说明：</w:t>
      </w:r>
    </w:p>
    <w:p>
      <w:pPr>
        <w:pStyle w:val="BodyText"/>
        <w:spacing w:line="300" w:lineRule="auto" w:before="116"/>
        <w:ind w:left="153" w:right="0"/>
        <w:jc w:val="left"/>
      </w:pPr>
      <w:r>
        <w:rPr>
          <w:spacing w:val="-2"/>
        </w:rPr>
        <w:t>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月制订的《员工购房借款福利管理办法》，公司向符合条件的员工提供购房借款，在</w:t>
      </w:r>
      <w:r>
        <w:rPr>
          <w:rFonts w:ascii="Times New Roman" w:hAnsi="Times New Roman" w:cs="Times New Roman" w:eastAsia="Times New Roman" w:hint="default"/>
          <w:spacing w:val="-2"/>
        </w:rPr>
        <w:t>3</w:t>
      </w:r>
      <w:r>
        <w:rPr>
          <w:spacing w:val="-2"/>
        </w:rPr>
        <w:t>年内通过工资扣款归</w:t>
      </w:r>
      <w:r>
        <w:rPr>
          <w:spacing w:val="-60"/>
        </w:rPr>
        <w:t> </w:t>
      </w:r>
      <w:r>
        <w:rPr/>
        <w:t>还。</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line="547" w:lineRule="auto" w:before="0"/>
        <w:ind w:left="154" w:right="83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22"/>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3,085,752.82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20,869,934.63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12,107,005.26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5,174,236.04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15,192,758.08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26,044,170.67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天颂建设集团有限公司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7,835,264.83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黑龙江省社会保险事业管理局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3,372,706.11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11,207,970.94</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48,001,968.07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43,176,124.50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7,970,896.21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9,082,874.25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55,972,864.28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52,258,998.75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久泰能源（准格尔）有限公司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7,898,111.14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7,898,111.14</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146,041,377.56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1,137,088,539.40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1,075,199,667.17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207,930,249.79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2,831,020.18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55,218,158.69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53,692,752.50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4,356,426.37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148,872,397.74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1,192,306,698.09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1,128,892,419.67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212,286,676.16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141,053,851.40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1,040,598,710.72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977,302,444.92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204,350,117.20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16,188,271.95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16,188,271.95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827,692.60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16,000,489.78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14,496,327.98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2,331,854.40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713,574.45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12,861,841.67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11,504,928.75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2,070,487.37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1,013,381.40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966,521.81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78,943.23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82,034.51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2,125,266.71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2,024,877.42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182,423.80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4,143,157.53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64,301,066.95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67,195,946.29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1,248,278.19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16,676.03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16,676.03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146,041,377.56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1,137,088,539.40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1,075,199,667.17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207,930,249.79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2,638,051.43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50,628,839.87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49,197,378.24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4,069,513.06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4,589,318.82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4,495,374.26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286,913.31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2,831,020.18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55,218,158.69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53,692,752.50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4,356,426.37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9,658,800.54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14,116,988.37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4,970,042.76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744,667.02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10,395,034.52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3,593,765.15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13,037,303.49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7,424,320.95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768,351.65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809,725.06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121,278.71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121,278.71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727,609.30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651,022.77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485,554.81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434,107.65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685,994.78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265,096.27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216,471.06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40,850,461.49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28,377,443.01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4,728.47</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148,341,864.34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220,328,589.09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18,837,548.14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80,290,778.53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167,179,412.48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300,619,367.62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15,589,395.00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15,589,395.00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1"/>
        <w:gridCol w:w="2411"/>
        <w:gridCol w:w="2392"/>
        <w:gridCol w:w="239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1,150,000.00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1,150,000.00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pStyle w:val="BodyText"/>
        <w:spacing w:line="240" w:lineRule="auto" w:before="116"/>
        <w:ind w:left="153" w:right="0"/>
        <w:jc w:val="left"/>
      </w:pP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为未决仲裁赔款。</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7,843,333.32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11,595,416.65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7,843,333.32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487,916.67</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11,595,416.65</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云计算机系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 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1,680,000.00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云计算机系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2,223,333.32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277,916.67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1,945,416.65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 件生产线技 术改造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3,940,000.00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智能制造云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汉得融合云 治理平台项 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7,843,333.32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487,916.67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11,595,416.6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5981"/>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862,470,134.00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-8,560,545.00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-8,560,545.00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853,909,589.00</w:t>
            </w:r>
          </w:p>
        </w:tc>
      </w:tr>
    </w:tbl>
    <w:p>
      <w:pPr>
        <w:pStyle w:val="BodyText"/>
        <w:spacing w:line="357" w:lineRule="auto" w:before="51"/>
        <w:ind w:right="6755"/>
        <w:jc w:val="left"/>
      </w:pPr>
      <w:r>
        <w:rPr/>
        <w:t>其他说明： 注：本年股本减少</w:t>
      </w:r>
      <w:r>
        <w:rPr>
          <w:rFonts w:ascii="Times New Roman" w:hAnsi="Times New Roman" w:cs="Times New Roman" w:eastAsia="Times New Roman" w:hint="default"/>
        </w:rPr>
        <w:t>856.05</w:t>
      </w:r>
      <w:r>
        <w:rPr/>
        <w:t>万元，其中：</w:t>
      </w:r>
    </w:p>
    <w:p>
      <w:pPr>
        <w:pStyle w:val="BodyText"/>
        <w:spacing w:line="214" w:lineRule="exact"/>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日，公司在中国证券登记结算有限责任公司深圳分公司完成了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年股</w:t>
      </w:r>
    </w:p>
    <w:p>
      <w:pPr>
        <w:pStyle w:val="BodyText"/>
        <w:spacing w:line="240" w:lineRule="auto" w:before="63"/>
        <w:ind w:right="0"/>
        <w:jc w:val="both"/>
      </w:pPr>
      <w:r>
        <w:rPr/>
        <w:t>权激励计划部分限制性股票的回购注销手续，本次回购注销完成后公司有限售条件的股份减少</w:t>
      </w:r>
      <w:r>
        <w:rPr>
          <w:rFonts w:ascii="Times New Roman" w:hAnsi="Times New Roman" w:cs="Times New Roman" w:eastAsia="Times New Roman" w:hint="default"/>
        </w:rPr>
        <w:t>458.23</w:t>
      </w:r>
      <w:r>
        <w:rPr/>
        <w:t>万股，公司总股本减至</w:t>
      </w:r>
    </w:p>
    <w:p>
      <w:pPr>
        <w:pStyle w:val="BodyText"/>
        <w:spacing w:line="240" w:lineRule="auto" w:before="63"/>
        <w:ind w:left="153" w:right="0"/>
        <w:jc w:val="both"/>
      </w:pPr>
      <w:r>
        <w:rPr>
          <w:rFonts w:ascii="Times New Roman" w:hAnsi="Times New Roman" w:cs="Times New Roman" w:eastAsia="Times New Roman" w:hint="default"/>
        </w:rPr>
        <w:t>85,788.79</w:t>
      </w:r>
      <w:r>
        <w:rPr/>
        <w:t>万股，同时减少资本公积</w:t>
      </w:r>
      <w:r>
        <w:rPr>
          <w:rFonts w:ascii="Times New Roman" w:hAnsi="Times New Roman" w:cs="Times New Roman" w:eastAsia="Times New Roman" w:hint="default"/>
        </w:rPr>
        <w:t>2,238.22</w:t>
      </w:r>
      <w:r>
        <w:rPr/>
        <w:t>万元，减少库存股</w:t>
      </w:r>
      <w:r>
        <w:rPr>
          <w:rFonts w:ascii="Times New Roman" w:hAnsi="Times New Roman" w:cs="Times New Roman" w:eastAsia="Times New Roman" w:hint="default"/>
        </w:rPr>
        <w:t>2,185.43</w:t>
      </w:r>
      <w:r>
        <w:rPr/>
        <w:t>万元。</w:t>
      </w:r>
    </w:p>
    <w:p>
      <w:pPr>
        <w:pStyle w:val="BodyText"/>
        <w:spacing w:line="300" w:lineRule="auto" w:before="63"/>
        <w:ind w:left="153" w:right="14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月，公司根据第三届董事会第十三次（临时）会议、第三届董事会第二十次（临时）会议、第三届董事会第十 </w:t>
      </w:r>
      <w:r>
        <w:rPr>
          <w:spacing w:val="-2"/>
        </w:rPr>
        <w:t>八次（临时）会议、第三届董事会第十六次（临时）会议，对</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年度股权激励计划部分</w:t>
      </w:r>
      <w:r>
        <w:rPr>
          <w:spacing w:val="-54"/>
        </w:rPr>
        <w:t> </w:t>
      </w:r>
      <w:r>
        <w:rPr>
          <w:spacing w:val="-1"/>
        </w:rPr>
        <w:t>限制性股票进行回购注销，共计减少股本</w:t>
      </w:r>
      <w:r>
        <w:rPr>
          <w:rFonts w:ascii="Times New Roman" w:hAnsi="Times New Roman" w:cs="Times New Roman" w:eastAsia="Times New Roman" w:hint="default"/>
          <w:spacing w:val="-1"/>
        </w:rPr>
        <w:t>397.83</w:t>
      </w:r>
      <w:r>
        <w:rPr>
          <w:spacing w:val="-1"/>
        </w:rPr>
        <w:t>万股，同时减少资本公积</w:t>
      </w:r>
      <w:r>
        <w:rPr>
          <w:rFonts w:ascii="Times New Roman" w:hAnsi="Times New Roman" w:cs="Times New Roman" w:eastAsia="Times New Roman" w:hint="default"/>
          <w:spacing w:val="-1"/>
        </w:rPr>
        <w:t>1,727.20</w:t>
      </w:r>
      <w:r>
        <w:rPr>
          <w:spacing w:val="-1"/>
        </w:rPr>
        <w:t>万元，减少库存股</w:t>
      </w:r>
      <w:r>
        <w:rPr>
          <w:rFonts w:ascii="Times New Roman" w:hAnsi="Times New Roman" w:cs="Times New Roman" w:eastAsia="Times New Roman" w:hint="default"/>
          <w:spacing w:val="-1"/>
        </w:rPr>
        <w:t>2,636.05</w:t>
      </w:r>
      <w:r>
        <w:rPr>
          <w:spacing w:val="-1"/>
        </w:rPr>
        <w:t>万元。变更后的</w:t>
      </w:r>
      <w:r>
        <w:rPr>
          <w:spacing w:val="-66"/>
        </w:rPr>
        <w:t> </w:t>
      </w:r>
      <w:r>
        <w:rPr>
          <w:spacing w:val="-66"/>
        </w:rPr>
      </w:r>
      <w:r>
        <w:rPr/>
        <w:t>股本为</w:t>
      </w:r>
      <w:r>
        <w:rPr>
          <w:rFonts w:ascii="Times New Roman" w:hAnsi="Times New Roman" w:cs="Times New Roman" w:eastAsia="Times New Roman" w:hint="default"/>
        </w:rPr>
        <w:t>85,390.96</w:t>
      </w:r>
      <w:r>
        <w:rPr/>
        <w:t>万股，公司于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月在中国证券登记结算有限责任公司深圳分公司完成回购注销手续。上述股本变动业 经立信会计师事务所（特殊普通合伙）于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月出具的信会师报字【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ZA16290</w:t>
      </w:r>
      <w:r>
        <w:rPr/>
        <w:t>号验资报告审验。</w:t>
      </w:r>
    </w:p>
    <w:p>
      <w:pPr>
        <w:spacing w:line="240" w:lineRule="auto" w:before="1"/>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1884"/>
        <w:gridCol w:w="1928"/>
        <w:gridCol w:w="1914"/>
        <w:gridCol w:w="1914"/>
        <w:gridCol w:w="1914"/>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225,271,274.71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145,139,241.00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39,654,278.33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330,756,237.38</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371,947,538.44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9,130,989.05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145,139,241.00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235,939,286.49</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597,218,813.15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154,270,230.05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184,793,519.33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566,695,523.87</w:t>
            </w:r>
          </w:p>
        </w:tc>
      </w:tr>
    </w:tbl>
    <w:p>
      <w:pPr>
        <w:pStyle w:val="BodyText"/>
        <w:spacing w:line="240" w:lineRule="auto" w:before="51"/>
        <w:ind w:right="0"/>
        <w:jc w:val="left"/>
      </w:pPr>
      <w:r>
        <w:rPr/>
        <w:t>其他说明，包括本期增减变动情况、变动原因说明：</w:t>
      </w:r>
    </w:p>
    <w:p>
      <w:pPr>
        <w:pStyle w:val="BodyText"/>
        <w:spacing w:line="300" w:lineRule="auto" w:before="116"/>
        <w:ind w:right="151"/>
        <w:jc w:val="both"/>
      </w:pPr>
      <w:r>
        <w:rPr>
          <w:spacing w:val="-1"/>
        </w:rPr>
        <w:t>注</w:t>
      </w:r>
      <w:r>
        <w:rPr>
          <w:rFonts w:ascii="Times New Roman" w:hAnsi="Times New Roman" w:cs="Times New Roman" w:eastAsia="Times New Roman" w:hint="default"/>
          <w:spacing w:val="-1"/>
        </w:rPr>
        <w:t>1</w:t>
      </w:r>
      <w:r>
        <w:rPr>
          <w:spacing w:val="-1"/>
        </w:rPr>
        <w:t>：本年资本公积</w:t>
      </w:r>
      <w:r>
        <w:rPr>
          <w:rFonts w:ascii="Times New Roman" w:hAnsi="Times New Roman" w:cs="Times New Roman" w:eastAsia="Times New Roman" w:hint="default"/>
          <w:spacing w:val="-1"/>
        </w:rPr>
        <w:t>-</w:t>
      </w:r>
      <w:r>
        <w:rPr>
          <w:spacing w:val="-1"/>
        </w:rPr>
        <w:t>资本溢价增加</w:t>
      </w:r>
      <w:r>
        <w:rPr>
          <w:rFonts w:ascii="Times New Roman" w:hAnsi="Times New Roman" w:cs="Times New Roman" w:eastAsia="Times New Roman" w:hint="default"/>
          <w:spacing w:val="-1"/>
        </w:rPr>
        <w:t>14,513.92</w:t>
      </w:r>
      <w:r>
        <w:rPr>
          <w:spacing w:val="-1"/>
        </w:rPr>
        <w:t>万元，其他资本公积减少</w:t>
      </w:r>
      <w:r>
        <w:rPr>
          <w:rFonts w:ascii="Times New Roman" w:hAnsi="Times New Roman" w:cs="Times New Roman" w:eastAsia="Times New Roman" w:hint="default"/>
          <w:spacing w:val="-1"/>
        </w:rPr>
        <w:t>14,513.92</w:t>
      </w:r>
      <w:r>
        <w:rPr>
          <w:spacing w:val="-1"/>
        </w:rPr>
        <w:t>万元，系</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年限制性股票激励计划</w:t>
      </w:r>
      <w:r>
        <w:rPr>
          <w:spacing w:val="-80"/>
        </w:rPr>
        <w:t> </w:t>
      </w:r>
      <w:r>
        <w:rPr/>
        <w:t>行权，相应股权激励费用自其它资本公积转入资本溢价导致的。其中，</w:t>
      </w:r>
      <w:r>
        <w:rPr>
          <w:rFonts w:ascii="Times New Roman" w:hAnsi="Times New Roman" w:cs="Times New Roman" w:eastAsia="Times New Roman" w:hint="default"/>
        </w:rPr>
        <w:t>2013</w:t>
      </w:r>
      <w:r>
        <w:rPr/>
        <w:t>年股权激励费用合计</w:t>
      </w:r>
      <w:r>
        <w:rPr>
          <w:rFonts w:ascii="Times New Roman" w:hAnsi="Times New Roman" w:cs="Times New Roman" w:eastAsia="Times New Roman" w:hint="default"/>
        </w:rPr>
        <w:t>5,275.12</w:t>
      </w:r>
      <w:r>
        <w:rPr/>
        <w:t>万元，</w:t>
      </w:r>
      <w:r>
        <w:rPr>
          <w:rFonts w:ascii="Times New Roman" w:hAnsi="Times New Roman" w:cs="Times New Roman" w:eastAsia="Times New Roman" w:hint="default"/>
        </w:rPr>
        <w:t>2014</w:t>
      </w:r>
      <w:r>
        <w:rPr/>
        <w:t>年股权 激励费用合计</w:t>
      </w:r>
      <w:r>
        <w:rPr>
          <w:rFonts w:ascii="Times New Roman" w:hAnsi="Times New Roman" w:cs="Times New Roman" w:eastAsia="Times New Roman" w:hint="default"/>
        </w:rPr>
        <w:t>9,238.80</w:t>
      </w:r>
      <w:r>
        <w:rPr/>
        <w:t>万元。</w:t>
      </w:r>
    </w:p>
    <w:p>
      <w:pPr>
        <w:pStyle w:val="BodyText"/>
        <w:spacing w:line="300" w:lineRule="auto" w:before="13"/>
        <w:ind w:right="1459"/>
        <w:jc w:val="left"/>
      </w:pPr>
      <w:r>
        <w:rPr/>
        <w:t>注</w:t>
      </w:r>
      <w:r>
        <w:rPr>
          <w:rFonts w:ascii="Times New Roman" w:hAnsi="Times New Roman" w:cs="Times New Roman" w:eastAsia="Times New Roman" w:hint="default"/>
        </w:rPr>
        <w:t>2</w:t>
      </w:r>
      <w:r>
        <w:rPr/>
        <w:t>：本年资本公积</w:t>
      </w:r>
      <w:r>
        <w:rPr>
          <w:rFonts w:ascii="Times New Roman" w:hAnsi="Times New Roman" w:cs="Times New Roman" w:eastAsia="Times New Roman" w:hint="default"/>
        </w:rPr>
        <w:t>-</w:t>
      </w:r>
      <w:r>
        <w:rPr/>
        <w:t>资本溢价减少</w:t>
      </w:r>
      <w:r>
        <w:rPr>
          <w:rFonts w:ascii="Times New Roman" w:hAnsi="Times New Roman" w:cs="Times New Roman" w:eastAsia="Times New Roman" w:hint="default"/>
        </w:rPr>
        <w:t>3,965.43</w:t>
      </w:r>
      <w:r>
        <w:rPr/>
        <w:t>万元，系本期股份回购注销导致的，详见本附注五</w:t>
      </w: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t>注。 注</w:t>
      </w:r>
      <w:r>
        <w:rPr>
          <w:rFonts w:ascii="Times New Roman" w:hAnsi="Times New Roman" w:cs="Times New Roman" w:eastAsia="Times New Roman" w:hint="default"/>
        </w:rPr>
        <w:t>3</w:t>
      </w:r>
      <w:r>
        <w:rPr/>
        <w:t>：本年资本公积</w:t>
      </w:r>
      <w:r>
        <w:rPr>
          <w:rFonts w:ascii="Times New Roman" w:hAnsi="Times New Roman" w:cs="Times New Roman" w:eastAsia="Times New Roman" w:hint="default"/>
        </w:rPr>
        <w:t>-</w:t>
      </w:r>
      <w:r>
        <w:rPr/>
        <w:t>其他资本公积增加</w:t>
      </w:r>
      <w:r>
        <w:rPr>
          <w:rFonts w:ascii="Times New Roman" w:hAnsi="Times New Roman" w:cs="Times New Roman" w:eastAsia="Times New Roman" w:hint="default"/>
        </w:rPr>
        <w:t>913.10</w:t>
      </w:r>
      <w:r>
        <w:rPr/>
        <w:t>万元，其中： 1、本年股份支付计入所有者权益的金额</w:t>
      </w:r>
      <w:r>
        <w:rPr>
          <w:rFonts w:ascii="Times New Roman" w:hAnsi="Times New Roman" w:cs="Times New Roman" w:eastAsia="Times New Roman" w:hint="default"/>
        </w:rPr>
        <w:t>891.63</w:t>
      </w:r>
      <w:r>
        <w:rPr/>
        <w:t>万元，详见本附注十一。</w:t>
      </w:r>
    </w:p>
    <w:p>
      <w:pPr>
        <w:pStyle w:val="BodyText"/>
        <w:spacing w:line="240" w:lineRule="auto" w:before="13"/>
        <w:ind w:right="0"/>
        <w:jc w:val="left"/>
      </w:pPr>
      <w:r>
        <w:rPr>
          <w:rFonts w:ascii="Times New Roman" w:hAnsi="Times New Roman" w:cs="Times New Roman" w:eastAsia="Times New Roman" w:hint="default"/>
        </w:rPr>
        <w:t>2</w:t>
      </w:r>
      <w:r>
        <w:rPr/>
        <w:t>、本年收到股票违规操作收益</w:t>
      </w:r>
      <w:r>
        <w:rPr>
          <w:rFonts w:ascii="Times New Roman" w:hAnsi="Times New Roman" w:cs="Times New Roman" w:eastAsia="Times New Roman" w:hint="default"/>
        </w:rPr>
        <w:t>21.47</w:t>
      </w:r>
      <w:r>
        <w:rPr/>
        <w:t>万元。</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382,560.49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382,560.49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2,041,521.63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2,041,521.63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18,495,864.00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18,495,864.00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36,441,600.00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41,935,989.00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26,346,594.00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15,589,395.00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196,984,285.00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71,758,207.00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125,226,078.00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296,281,820.12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155,420,847.12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140,860,973.00</w:t>
            </w:r>
          </w:p>
        </w:tc>
      </w:tr>
    </w:tbl>
    <w:p>
      <w:pPr>
        <w:pStyle w:val="BodyText"/>
        <w:spacing w:line="240" w:lineRule="auto" w:before="51"/>
        <w:ind w:right="0"/>
        <w:jc w:val="left"/>
      </w:pPr>
      <w:r>
        <w:rPr/>
        <w:t>其他说明，包括本期增减变动情况、变动原因说明：</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754"/>
        <w:gridCol w:w="1927"/>
        <w:gridCol w:w="1361"/>
        <w:gridCol w:w="1807"/>
        <w:gridCol w:w="1808"/>
      </w:tblGrid>
      <w:tr>
        <w:trPr>
          <w:trHeight w:val="355" w:hRule="exact"/>
        </w:trPr>
        <w:tc>
          <w:tcPr>
            <w:tcW w:w="2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9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5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296,281,820.12</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155,420,847.12</w:t>
            </w:r>
          </w:p>
        </w:tc>
        <w:tc>
          <w:tcPr>
            <w:tcW w:w="180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140,860,973.00</w:t>
            </w:r>
          </w:p>
        </w:tc>
      </w:tr>
      <w:tr>
        <w:trPr>
          <w:trHeight w:val="353"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382,560.49</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382,560.49</w:t>
            </w:r>
          </w:p>
        </w:tc>
        <w:tc>
          <w:tcPr>
            <w:tcW w:w="1808"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2,041,521.63</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2,041,521.63</w:t>
            </w:r>
          </w:p>
        </w:tc>
        <w:tc>
          <w:tcPr>
            <w:tcW w:w="1808"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18,495,864.00</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18,495,864.00</w:t>
            </w:r>
          </w:p>
        </w:tc>
        <w:tc>
          <w:tcPr>
            <w:tcW w:w="1808"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36,441,600.00</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36,396,100.00</w:t>
            </w:r>
          </w:p>
        </w:tc>
        <w:tc>
          <w:tcPr>
            <w:tcW w:w="180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45,500.00</w:t>
            </w:r>
          </w:p>
        </w:tc>
      </w:tr>
      <w:tr>
        <w:trPr>
          <w:trHeight w:val="35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41,935,989.00</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26,346,594.00</w:t>
            </w:r>
          </w:p>
        </w:tc>
        <w:tc>
          <w:tcPr>
            <w:tcW w:w="180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15,589,395.00</w:t>
            </w:r>
          </w:p>
        </w:tc>
      </w:tr>
      <w:tr>
        <w:trPr>
          <w:trHeight w:val="35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w:t>
            </w:r>
          </w:p>
        </w:tc>
        <w:tc>
          <w:tcPr>
            <w:tcW w:w="19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196,984,285.00</w:t>
            </w:r>
          </w:p>
        </w:tc>
        <w:tc>
          <w:tcPr>
            <w:tcW w:w="1361" w:type="dxa"/>
            <w:tcBorders>
              <w:top w:val="single" w:sz="12" w:space="0" w:color="000000"/>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71,758,207.00</w:t>
            </w:r>
          </w:p>
        </w:tc>
        <w:tc>
          <w:tcPr>
            <w:tcW w:w="180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125,226,078.00</w:t>
            </w:r>
          </w:p>
        </w:tc>
      </w:tr>
    </w:tbl>
    <w:p>
      <w:pPr>
        <w:pStyle w:val="BodyText"/>
        <w:spacing w:line="300" w:lineRule="auto" w:before="10"/>
        <w:ind w:left="153" w:right="140"/>
        <w:jc w:val="left"/>
      </w:pPr>
      <w:r>
        <w:rPr/>
        <w:t>注：</w:t>
      </w:r>
      <w:r>
        <w:rPr>
          <w:spacing w:val="-23"/>
        </w:rPr>
        <w:t> </w:t>
      </w:r>
      <w:r>
        <w:rPr>
          <w:spacing w:val="-1"/>
        </w:rPr>
        <w:t>本期减少</w:t>
      </w:r>
      <w:r>
        <w:rPr>
          <w:rFonts w:ascii="Times New Roman" w:hAnsi="Times New Roman" w:cs="Times New Roman" w:eastAsia="Times New Roman" w:hint="default"/>
          <w:spacing w:val="-1"/>
        </w:rPr>
        <w:t>15,542.08</w:t>
      </w:r>
      <w:r>
        <w:rPr>
          <w:spacing w:val="-1"/>
        </w:rPr>
        <w:t>万元，其中本期股份注销减少</w:t>
      </w:r>
      <w:r>
        <w:rPr>
          <w:rFonts w:ascii="Times New Roman" w:hAnsi="Times New Roman" w:cs="Times New Roman" w:eastAsia="Times New Roman" w:hint="default"/>
          <w:spacing w:val="-1"/>
        </w:rPr>
        <w:t>4,821.48</w:t>
      </w:r>
      <w:r>
        <w:rPr>
          <w:spacing w:val="-1"/>
        </w:rPr>
        <w:t>万元；本期限制性股票解除回购义务减少</w:t>
      </w:r>
      <w:r>
        <w:rPr>
          <w:rFonts w:ascii="Times New Roman" w:hAnsi="Times New Roman" w:cs="Times New Roman" w:eastAsia="Times New Roman" w:hint="default"/>
          <w:spacing w:val="-1"/>
        </w:rPr>
        <w:t>10,720.60</w:t>
      </w:r>
      <w:r>
        <w:rPr>
          <w:spacing w:val="-1"/>
        </w:rPr>
        <w:t>万元；详见</w:t>
      </w:r>
      <w:r>
        <w:rPr>
          <w:spacing w:val="-88"/>
        </w:rPr>
        <w:t> </w:t>
      </w:r>
      <w:r>
        <w:rPr>
          <w:spacing w:val="-88"/>
        </w:rPr>
      </w:r>
      <w:r>
        <w:rPr/>
        <w:t>本附注十一。</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81"/>
        <w:gridCol w:w="923"/>
        <w:gridCol w:w="1152"/>
        <w:gridCol w:w="935"/>
        <w:gridCol w:w="936"/>
        <w:gridCol w:w="923"/>
        <w:gridCol w:w="80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81" w:type="dxa"/>
            <w:vMerge w:val="restart"/>
            <w:tcBorders>
              <w:top w:val="single" w:sz="4" w:space="0" w:color="000000"/>
              <w:left w:val="single" w:sz="4" w:space="0" w:color="000000"/>
              <w:right w:val="single" w:sz="4" w:space="0" w:color="000000"/>
            </w:tcBorders>
            <w:shd w:val="clear" w:color="auto" w:fill="D3D3D3"/>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3D3D3"/>
          </w:tcPr>
          <w:p>
            <w:pPr/>
          </w:p>
        </w:tc>
      </w:tr>
      <w:tr>
        <w:trPr>
          <w:trHeight w:val="117"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81" w:type="dxa"/>
            <w:vMerge/>
            <w:tcBorders>
              <w:left w:val="single" w:sz="4" w:space="0" w:color="000000"/>
              <w:bottom w:val="nil" w:sz="6" w:space="0" w:color="auto"/>
              <w:right w:val="single" w:sz="4" w:space="0" w:color="000000"/>
            </w:tcBorders>
            <w:shd w:val="clear" w:color="auto" w:fill="D3D3D3"/>
          </w:tcPr>
          <w:p>
            <w:pP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0"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3D3D3"/>
          </w:tcPr>
          <w:p>
            <w:pP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1"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3D3D3"/>
          </w:tcPr>
          <w:p>
            <w:pPr/>
          </w:p>
        </w:tc>
      </w:tr>
      <w:tr>
        <w:trPr>
          <w:trHeight w:val="369"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3D3D3"/>
          </w:tcPr>
          <w:p>
            <w:pPr/>
          </w:p>
        </w:tc>
        <w:tc>
          <w:tcPr>
            <w:tcW w:w="8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0" w:type="dxa"/>
            <w:vMerge w:val="restart"/>
            <w:tcBorders>
              <w:top w:val="nil" w:sz="6" w:space="0" w:color="auto"/>
              <w:left w:val="single" w:sz="4" w:space="0" w:color="000000"/>
              <w:right w:val="single" w:sz="4" w:space="0" w:color="000000"/>
            </w:tcBorders>
            <w:shd w:val="clear" w:color="auto" w:fill="D3D3D3"/>
          </w:tcPr>
          <w:p>
            <w:pPr/>
          </w:p>
        </w:tc>
        <w:tc>
          <w:tcPr>
            <w:tcW w:w="1081" w:type="dxa"/>
            <w:vMerge w:val="restart"/>
            <w:tcBorders>
              <w:top w:val="nil" w:sz="6" w:space="0" w:color="auto"/>
              <w:left w:val="single" w:sz="4" w:space="0" w:color="000000"/>
              <w:right w:val="single" w:sz="4" w:space="0" w:color="000000"/>
            </w:tcBorders>
            <w:shd w:val="clear" w:color="auto" w:fill="D3D3D3"/>
          </w:tcPr>
          <w:p>
            <w:pPr/>
          </w:p>
        </w:tc>
        <w:tc>
          <w:tcPr>
            <w:tcW w:w="92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bottom w:val="nil" w:sz="6" w:space="0" w:color="auto"/>
              <w:right w:val="single" w:sz="4" w:space="0" w:color="000000"/>
            </w:tcBorders>
            <w:shd w:val="clear" w:color="auto" w:fill="D3D3D3"/>
          </w:tcPr>
          <w:p>
            <w:pPr/>
          </w:p>
        </w:tc>
        <w:tc>
          <w:tcPr>
            <w:tcW w:w="936"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4" w:space="0" w:color="000000"/>
              <w:right w:val="single" w:sz="4" w:space="0" w:color="000000"/>
            </w:tcBorders>
            <w:shd w:val="clear" w:color="auto" w:fill="D3D3D3"/>
          </w:tcPr>
          <w:p>
            <w:pPr/>
          </w:p>
        </w:tc>
        <w:tc>
          <w:tcPr>
            <w:tcW w:w="807"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81"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nil" w:sz="6" w:space="0" w:color="auto"/>
              <w:left w:val="single" w:sz="4" w:space="0" w:color="000000"/>
              <w:bottom w:val="single" w:sz="4" w:space="0" w:color="000000"/>
              <w:right w:val="single" w:sz="4" w:space="0" w:color="000000"/>
            </w:tcBorders>
            <w:shd w:val="clear" w:color="auto" w:fill="D3D3D3"/>
          </w:tcPr>
          <w:p>
            <w:pPr/>
          </w:p>
        </w:tc>
        <w:tc>
          <w:tcPr>
            <w:tcW w:w="9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80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-1,365,067.42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-2,502,662.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-416,841.56</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92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-3,450,88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8.63</w:t>
            </w: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1"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-1,365,067.42</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-2,502,662.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-416,841.56</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923" w:type="dxa"/>
            <w:vMerge w:val="restart"/>
            <w:tcBorders>
              <w:top w:val="single" w:sz="4" w:space="0" w:color="000000"/>
              <w:left w:val="single" w:sz="4" w:space="0" w:color="000000"/>
              <w:right w:val="single" w:sz="4" w:space="0" w:color="000000"/>
            </w:tcBorders>
          </w:tcPr>
          <w:p>
            <w:pPr/>
          </w:p>
        </w:tc>
        <w:tc>
          <w:tcPr>
            <w:tcW w:w="807"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-3,450,88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8.63</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1" w:type="dxa"/>
            <w:vMerge/>
            <w:tcBorders>
              <w:left w:val="single" w:sz="9" w:space="0" w:color="D3D3D3"/>
              <w:right w:val="single" w:sz="4" w:space="0" w:color="000000"/>
            </w:tcBorders>
          </w:tcPr>
          <w:p>
            <w:pPr/>
          </w:p>
        </w:tc>
        <w:tc>
          <w:tcPr>
            <w:tcW w:w="923"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807"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1" w:type="dxa"/>
            <w:vMerge/>
            <w:tcBorders>
              <w:left w:val="single" w:sz="9" w:space="0" w:color="D3D3D3"/>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807" w:type="dxa"/>
            <w:vMerge/>
            <w:tcBorders>
              <w:left w:val="single" w:sz="4" w:space="0" w:color="000000"/>
              <w:bottom w:val="single" w:sz="4" w:space="0" w:color="000000"/>
              <w:right w:val="single" w:sz="4" w:space="0" w:color="000000"/>
            </w:tcBorders>
          </w:tcPr>
          <w:p>
            <w:pP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1"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-1,365,067.42</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-2,502,662.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-416,841.56</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923" w:type="dxa"/>
            <w:vMerge w:val="restart"/>
            <w:tcBorders>
              <w:top w:val="single" w:sz="4" w:space="0" w:color="000000"/>
              <w:left w:val="single" w:sz="4" w:space="0" w:color="000000"/>
              <w:right w:val="single" w:sz="4" w:space="0" w:color="000000"/>
            </w:tcBorders>
          </w:tcPr>
          <w:p>
            <w:pPr/>
          </w:p>
        </w:tc>
        <w:tc>
          <w:tcPr>
            <w:tcW w:w="807"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-3,450,88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8.63</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1" w:type="dxa"/>
            <w:vMerge/>
            <w:tcBorders>
              <w:left w:val="single" w:sz="9" w:space="0" w:color="D3D3D3"/>
              <w:right w:val="single" w:sz="4" w:space="0" w:color="000000"/>
            </w:tcBorders>
          </w:tcPr>
          <w:p>
            <w:pPr/>
          </w:p>
        </w:tc>
        <w:tc>
          <w:tcPr>
            <w:tcW w:w="923"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807"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1" w:type="dxa"/>
            <w:vMerge/>
            <w:tcBorders>
              <w:left w:val="single" w:sz="9" w:space="0" w:color="D3D3D3"/>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80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105,344,395.37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28,701,097.73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134,045,493.10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105,344,395.37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28,701,097.73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134,045,493.10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797,160,145.20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605,943,744.54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797,160,145.20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605,943,744.54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323,750,932.99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241,382,013.60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28,701,097.73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25,239,404.86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42,894,393.45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24,926,208.08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1,049,315,587.01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797,160,145.20</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7"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2,321,352,923.11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1,450,320,589.16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1,706,895,665.91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1,040,032,075.37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3,694,486.21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484,855.87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3,322,362.60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2,325,047,409.32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1,450,805,445.03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1,710,218,028.51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1,040,032,075.37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5,083,892.95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3,461,496.92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3,302,885.41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2,252,032.54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348,756.00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1,627,528.00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17,123.11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2,199,965.71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1,490,258.10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885,366.18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928,419.05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11,820,866.25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9,776,857.72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72,177,374.58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54,652,262.74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63,778,531.37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41,692,627.06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12,335,966.45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7,704,986.53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4,438,158.59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3,486,804.23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3,103,566.77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13,189,174.52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1,537,736.60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1,017,647.77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1,022,264.60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3,300,986.46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1,486,239.10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161,694,585.42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123,277,855.35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209,945,547.56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150,830,346.34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59,811,566.43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43,888,211.74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21,881,794.96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13,363,454.06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21,575,029.37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18,640,110.51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12,894,444.66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9,124,318.18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11,277,348.72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10,645,786.59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8,916,295.69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13,265,264.48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6,971,540.71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4,646,136.94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5,637,637.18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5,068,278.91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4,725,217.30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5,488,154.34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3,657,893.60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6,164,416.46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2,949,770.85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1,704,503.92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2,880,087.09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3,801,839.12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1,713,436.57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1,735,782.32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1,353,354.72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1,258,367.57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886,420.91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291,421.00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248,334.00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6,554,879.69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4,112,204.73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384,295,633.67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293,635,087.55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6,382,833.88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-11,162,811.58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-14,642,280.84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12,845,451.24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-20,288,933.23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222,619.96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240,714.09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8,288,093.50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-34,690,499.98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89,162,218.91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68,545,492.12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165,266.51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89,327,485.42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71,415,338.66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-603,500.00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0"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高盛理财产品</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-212,317.82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-212,317.82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-603,500.00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-2,615,844.04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346,150.31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97,461.00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-4,773,999.81</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55,651,623.03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53,381,929.30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-4,676,616.01</w:t>
            </w:r>
          </w:p>
        </w:tc>
      </w:tr>
    </w:tbl>
    <w:p>
      <w:pPr>
        <w:pStyle w:val="BodyText"/>
        <w:spacing w:line="357" w:lineRule="auto" w:before="51"/>
        <w:ind w:right="2390"/>
        <w:jc w:val="left"/>
      </w:pPr>
      <w:r>
        <w:rPr/>
        <w:t>其他说明： 注：丧失控制权后，剩余股权按公允价值重新计量产生的利得详见附注六、（四）处置子公司</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154,574.82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-39,226.23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5"/>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193,801.05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902,450.56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云计算机系统补贴款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云计算机系统补贴款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277,916.67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科创资金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房租及开办费补贴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77"/>
        <w:gridCol w:w="2407"/>
        <w:gridCol w:w="2392"/>
        <w:gridCol w:w="2392"/>
      </w:tblGrid>
      <w:tr>
        <w:trPr>
          <w:trHeight w:val="36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31,299,174.95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28,313,900.00</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2,384,623.19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198,879.15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2,384,623.19</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30,698,523.19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31,498,054.10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30,698,523.19</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24,765,107.4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）软件和 集成电路设 计人员专项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1,712,800.00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）国家服 务外包专项 资金财政补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）青浦区 财政奖励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1,047,817.06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）云计算 机系统补贴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）云计算 机系统补贴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277,916.68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上海青浦 工业园区管 理委员会技 改园区配套 资金补贴收 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高新技术 研发中心补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纳税百强 补贴收入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科技创 新基金补贴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8"/>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产业扶 持补贴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12</w:t>
            </w:r>
            <w:r>
              <w:rPr>
                <w:rFonts w:ascii="宋体" w:hAnsi="宋体" w:cs="宋体" w:eastAsia="宋体" w:hint="default"/>
                <w:spacing w:val="-11"/>
                <w:sz w:val="18"/>
                <w:szCs w:val="18"/>
              </w:rPr>
              <w:t>）增值税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即征即退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1,121,733.77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28,313,900.0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31,299,174.9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409.97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200,409.97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18,269,241.98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4,601,158.70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-18,586,820.16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-3,371,629.94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-317,578.18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1,229,528.76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304,443,672.08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45,666,550.81</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2,504,280.70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-509,200.88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-20,167,054.21</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-1,532,052.62</w:t>
            </w:r>
          </w:p>
        </w:tc>
      </w:tr>
      <w:tr>
        <w:trPr>
          <w:trHeight w:val="715"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2,440,450.64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-14,291,147.63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股权激励行权可列支成本</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-14,429,404.99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-317,578.18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12,244,589.84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15,124,519.16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28,989,000.00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29,489,524.50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资金往来收到的现金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12,227,389.62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20,048,726.95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919,976,675.21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年初受限货币资金本期收回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6,514,797.00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2,269,635.19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3,678,902.56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982,222,086.86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68,341,673.17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经营租赁支出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9,167,708.67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12,872,023.18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168,561,527.07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137,884,984.30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222,619.96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240,714.09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49,071,573.18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32,898,456.88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913,910,137.58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360,124,029.59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3,237,963.89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4,994,673.75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200,409.97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31,174.82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1,144,371,940.32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549,046,056.61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02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收购上海达美、扬州达美支付的现金与 收购日上海达美、扬州达美账面现金的 差额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37,345,408.65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39,345,408.65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合并范围变动减少的现金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22,756,603.69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22,756,603.69</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违规操作收益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214,693.36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214,693.36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回购股份支付的现金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27,552,555.69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18,249,361.24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收购扬州达美支付的券商费用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27,552,555.69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19,449,361.24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311"/>
        <w:gridCol w:w="3057"/>
        <w:gridCol w:w="3172"/>
      </w:tblGrid>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304,761,250.26</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231,883,123.17</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89,327,485.42</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71,415,338.66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243.809998pt;width:151.2pt;height:40.9pt;mso-position-horizontal-relative:page;mso-position-vertical-relative:page;z-index:-994048" coordorigin="4466,4876" coordsize="3024,818">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89;top:4888;width:3002;height:393" coordorigin="4489,4888" coordsize="3002,393">
              <v:shape style="position:absolute;left:4489;top:4888;width:3002;height:393" coordorigin="4489,4888" coordsize="3002,393" path="m4489,5280l7490,5280,7490,4888,4489,4888,4489,5280xe" filled="true" fillcolor="#ffffff" stroked="false">
                <v:path arrowok="t"/>
                <v:fill type="solid"/>
              </v:shape>
            </v:group>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89;top:5290;width:3002;height:393" coordorigin="4489,5290" coordsize="3002,393">
              <v:shape style="position:absolute;left:4489;top:5290;width:3002;height:393" coordorigin="4489,5290" coordsize="3002,393" path="m4489,5682l7490,5682,7490,5290,4489,5290,4489,568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299"/>
        <w:gridCol w:w="3074"/>
        <w:gridCol w:w="3184"/>
      </w:tblGrid>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22,752,953.08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19,340,431.63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7,370,374.24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5,478,102.53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1,507,480.51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699,496.77</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-73,940.33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39,226.23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212,317.82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603,500.00</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19,226,913.37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-20,207,562.03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-53,108,491.47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4,676,616.01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tabs>
                <w:tab w:pos="1934" w:val="left" w:leader="none"/>
              </w:tabs>
              <w:spacing w:line="240" w:lineRule="auto" w:before="51"/>
              <w:ind w:left="-119"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-24,420,531.33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-3,311,279.94</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tabs>
                <w:tab w:pos="2090" w:val="left" w:leader="none"/>
              </w:tabs>
              <w:spacing w:line="240" w:lineRule="auto" w:before="51"/>
              <w:ind w:left="-119"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5,833,711.17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-60,350.00</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-52,400.36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196,697.50</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-450,776,273.23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-613,252,156.19</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46,977,138.29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21,410,775.71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5,458,128.77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10,627,358.89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-25,003,883.79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-270,460,681.06</w:t>
            </w:r>
          </w:p>
        </w:tc>
      </w:tr>
      <w:tr>
        <w:trPr>
          <w:trHeight w:val="161" w:hRule="exact"/>
        </w:trPr>
        <w:tc>
          <w:tcPr>
            <w:tcW w:w="3299"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4"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299" w:type="dxa"/>
            <w:vMerge/>
            <w:tcBorders>
              <w:left w:val="single" w:sz="4" w:space="0" w:color="000000"/>
              <w:right w:val="single" w:sz="4" w:space="0" w:color="000000"/>
            </w:tcBorders>
            <w:shd w:val="clear" w:color="auto" w:fill="D3D3D3"/>
          </w:tcPr>
          <w:p>
            <w:pPr/>
          </w:p>
        </w:tc>
        <w:tc>
          <w:tcPr>
            <w:tcW w:w="30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299" w:type="dxa"/>
            <w:vMerge/>
            <w:tcBorders>
              <w:left w:val="single" w:sz="4" w:space="0" w:color="000000"/>
              <w:bottom w:val="single" w:sz="4" w:space="0" w:color="000000"/>
              <w:right w:val="single" w:sz="4" w:space="0" w:color="000000"/>
            </w:tcBorders>
            <w:shd w:val="clear" w:color="auto" w:fill="D3D3D3"/>
          </w:tcPr>
          <w:p>
            <w:pPr/>
          </w:p>
        </w:tc>
        <w:tc>
          <w:tcPr>
            <w:tcW w:w="3074"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691,354,031.02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734,818,719.01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734,818,719.01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939,258,934.97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-43,464,687.99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-204,440,215.96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691,354,031.02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734,818,719.01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9"/>
        <w:gridCol w:w="3085"/>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148,125.97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229,005.44</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691,205,905.05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734,589,713.57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691,354,031.02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734,818,719.01</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4,426,359.64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7,703,192.75</w:t>
            </w:r>
          </w:p>
        </w:tc>
      </w:tr>
    </w:tbl>
    <w:p>
      <w:pPr>
        <w:spacing w:line="240" w:lineRule="auto" w:before="2"/>
        <w:rPr>
          <w:rFonts w:ascii="宋体" w:hAnsi="宋体" w:cs="宋体" w:eastAsia="宋体" w:hint="default"/>
          <w:sz w:val="19"/>
          <w:szCs w:val="19"/>
        </w:rPr>
      </w:pPr>
    </w:p>
    <w:p>
      <w:pPr>
        <w:spacing w:line="547" w:lineRule="auto" w:before="35"/>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4,426,359.64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4,426,359.64</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3"/>
        <w:gridCol w:w="2390"/>
        <w:gridCol w:w="2389"/>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272,507,562.07</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29,680,320.69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193,937,151.42</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1,325,332,236.00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76,736,736.49</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375,514.36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1,833,674.16</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74,842,052.06</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3,544,006.14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23,157,244.91</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838,136,177.00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48,528,084.69</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355,126.70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1,734,119.17</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771,280.07</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tabs>
                <w:tab w:pos="69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tab/>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39,205.20</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9,249,995.00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535,574.73</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1"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196,500.14</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1,940,466.96</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tabs>
                <w:tab w:pos="69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tab/>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158,480.79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1,035,545.18</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11,973,333.00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693,256.00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211,665.78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2,457,947.99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tabs>
                <w:tab w:pos="70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tab/>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171,214.24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1,118,748.09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23,129,532.00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1,339,199.90</w:t>
            </w:r>
          </w:p>
        </w:tc>
      </w:tr>
    </w:tbl>
    <w:p>
      <w:pPr>
        <w:spacing w:line="240" w:lineRule="auto" w:before="2"/>
        <w:rPr>
          <w:rFonts w:ascii="宋体" w:hAnsi="宋体" w:cs="宋体" w:eastAsia="宋体" w:hint="default"/>
          <w:sz w:val="19"/>
          <w:szCs w:val="19"/>
        </w:rPr>
      </w:pPr>
    </w:p>
    <w:p>
      <w:pPr>
        <w:pStyle w:val="Heading5"/>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835"/>
        <w:gridCol w:w="4051"/>
        <w:gridCol w:w="1771"/>
      </w:tblGrid>
      <w:tr>
        <w:trPr>
          <w:trHeight w:val="347"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4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7"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4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347"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4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48"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汉得加利福尼亚州</w:t>
            </w:r>
          </w:p>
        </w:tc>
        <w:tc>
          <w:tcPr>
            <w:tcW w:w="4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美国加利福尼亚州</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1"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277.619995pt;margin-top:185.699997pt;width:36.25pt;height:78pt;mso-position-horizontal-relative:page;mso-position-vertical-relative:page;z-index:-994024" coordorigin="5552,3714" coordsize="725,1560">
            <v:shape style="position:absolute;left:5552;top:3714;width:725;height:1560" coordorigin="5552,3714" coordsize="725,1560" path="m5552,5274l6277,5274,6277,3714,5552,3714,5552,527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both"/>
              <w:rPr>
                <w:rFonts w:ascii="宋体" w:hAnsi="宋体" w:cs="宋体" w:eastAsia="宋体" w:hint="default"/>
                <w:sz w:val="18"/>
                <w:szCs w:val="18"/>
              </w:rPr>
            </w:pPr>
            <w:r>
              <w:rPr>
                <w:rFonts w:ascii="宋体" w:hAnsi="宋体" w:cs="宋体" w:eastAsia="宋体" w:hint="default"/>
                <w:sz w:val="18"/>
                <w:szCs w:val="18"/>
              </w:rPr>
              <w:t>上海汉 得知云 软件有 限公司</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（简称 知云软 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因其他 投资方 对知云 软件增 资而导 致本公 司持股 比例下 </w:t>
            </w:r>
            <w:r>
              <w:rPr>
                <w:rFonts w:ascii="宋体" w:hAnsi="宋体" w:cs="宋体" w:eastAsia="宋体" w:hint="default"/>
                <w:spacing w:val="-11"/>
                <w:sz w:val="18"/>
                <w:szCs w:val="18"/>
              </w:rPr>
              <w:t>降，从而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丧失控 制权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 大会批 准；</w:t>
            </w:r>
            <w:r>
              <w:rPr>
                <w:rFonts w:ascii="Times New Roman" w:hAnsi="Times New Roman" w:cs="Times New Roman" w:eastAsia="Times New Roman" w:hint="default"/>
                <w:sz w:val="18"/>
                <w:szCs w:val="18"/>
              </w:rPr>
              <w:t>2</w:t>
            </w:r>
            <w:r>
              <w:rPr>
                <w:rFonts w:ascii="宋体" w:hAnsi="宋体" w:cs="宋体" w:eastAsia="宋体" w:hint="default"/>
                <w:sz w:val="18"/>
                <w:szCs w:val="18"/>
              </w:rPr>
              <w:t>、 收到</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338" w:lineRule="auto" w:before="65"/>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增资款 美元 </w:t>
            </w:r>
            <w:r>
              <w:rPr>
                <w:rFonts w:ascii="Times New Roman" w:hAnsi="Times New Roman" w:cs="Times New Roman" w:eastAsia="Times New Roman" w:hint="default"/>
                <w:sz w:val="18"/>
                <w:szCs w:val="18"/>
              </w:rPr>
              <w:t>240.00</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3</w:t>
            </w:r>
          </w:p>
          <w:p>
            <w:pPr>
              <w:pStyle w:val="TableParagraph"/>
              <w:spacing w:line="319" w:lineRule="auto" w:before="63"/>
              <w:ind w:left="22" w:right="161"/>
              <w:jc w:val="both"/>
              <w:rPr>
                <w:rFonts w:ascii="宋体" w:hAnsi="宋体" w:cs="宋体" w:eastAsia="宋体" w:hint="default"/>
                <w:sz w:val="18"/>
                <w:szCs w:val="18"/>
              </w:rPr>
            </w:pPr>
            <w:r>
              <w:rPr>
                <w:rFonts w:ascii="宋体" w:hAnsi="宋体" w:cs="宋体" w:eastAsia="宋体" w:hint="default"/>
                <w:sz w:val="18"/>
                <w:szCs w:val="18"/>
              </w:rPr>
              <w:t>新董事 会成员 任命</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2,292,11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4" w:right="0"/>
              <w:jc w:val="center"/>
              <w:rPr>
                <w:rFonts w:ascii="Times New Roman" w:hAnsi="Times New Roman" w:cs="Times New Roman" w:eastAsia="Times New Roman" w:hint="default"/>
                <w:sz w:val="18"/>
                <w:szCs w:val="18"/>
              </w:rPr>
            </w:pPr>
            <w:r>
              <w:rPr>
                <w:rFonts w:ascii="Times New Roman"/>
                <w:sz w:val="18"/>
              </w:rPr>
              <w:t>25.50%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-2,292,1</w:t>
            </w:r>
          </w:p>
          <w:p>
            <w:pPr>
              <w:pStyle w:val="TableParagraph"/>
              <w:spacing w:line="240" w:lineRule="auto" w:before="106"/>
              <w:ind w:left="278" w:right="0"/>
              <w:jc w:val="center"/>
              <w:rPr>
                <w:rFonts w:ascii="Times New Roman" w:hAnsi="Times New Roman" w:cs="Times New Roman" w:eastAsia="Times New Roman" w:hint="default"/>
                <w:sz w:val="18"/>
                <w:szCs w:val="18"/>
              </w:rPr>
            </w:pPr>
            <w:r>
              <w:rPr>
                <w:rFonts w:ascii="Times New Roman"/>
                <w:sz w:val="18"/>
              </w:rPr>
              <w:t>14.48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9,177,20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11,469,3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3" w:right="161"/>
              <w:jc w:val="both"/>
              <w:rPr>
                <w:rFonts w:ascii="宋体" w:hAnsi="宋体" w:cs="宋体" w:eastAsia="宋体" w:hint="default"/>
                <w:sz w:val="18"/>
                <w:szCs w:val="18"/>
              </w:rPr>
            </w:pPr>
            <w:r>
              <w:rPr>
                <w:rFonts w:ascii="宋体" w:hAnsi="宋体" w:cs="宋体" w:eastAsia="宋体" w:hint="default"/>
                <w:sz w:val="18"/>
                <w:szCs w:val="18"/>
              </w:rPr>
              <w:t>按被投 资公司 账面价 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经银信</w:t>
            </w: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资产评</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估有限</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公司出</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具的</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信财报</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字</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p>
        </w:tc>
        <w:tc>
          <w:tcPr>
            <w:tcW w:w="736" w:type="dxa"/>
            <w:tcBorders>
              <w:top w:val="nil" w:sz="6" w:space="0" w:color="auto"/>
              <w:left w:val="single" w:sz="4" w:space="0" w:color="000000"/>
              <w:bottom w:val="nil" w:sz="6" w:space="0" w:color="auto"/>
              <w:right w:val="single" w:sz="4" w:space="0" w:color="000000"/>
            </w:tcBorders>
          </w:tcPr>
          <w:p>
            <w:pPr/>
          </w:p>
        </w:tc>
      </w:tr>
      <w:tr>
        <w:trPr>
          <w:trHeight w:val="374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上海甄 汇信息 科技有 限公司</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（简称 甄汇科 技）</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22"/>
              <w:jc w:val="left"/>
              <w:rPr>
                <w:rFonts w:ascii="宋体" w:hAnsi="宋体" w:cs="宋体" w:eastAsia="宋体" w:hint="default"/>
                <w:sz w:val="18"/>
                <w:szCs w:val="18"/>
              </w:rPr>
            </w:pPr>
            <w:r>
              <w:rPr>
                <w:rFonts w:ascii="宋体" w:hAnsi="宋体" w:cs="宋体" w:eastAsia="宋体" w:hint="default"/>
                <w:sz w:val="18"/>
                <w:szCs w:val="18"/>
              </w:rPr>
              <w:t>因其他 投资方 对甄汇 科技增 资而导 致本公 司持股 比例下 </w:t>
            </w:r>
            <w:r>
              <w:rPr>
                <w:rFonts w:ascii="宋体" w:hAnsi="宋体" w:cs="宋体" w:eastAsia="宋体" w:hint="default"/>
                <w:spacing w:val="-11"/>
                <w:sz w:val="18"/>
                <w:szCs w:val="18"/>
              </w:rPr>
              <w:t>降，从而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丧失控 制权</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 大会批 准；</w:t>
            </w:r>
            <w:r>
              <w:rPr>
                <w:rFonts w:ascii="Times New Roman" w:hAnsi="Times New Roman" w:cs="Times New Roman" w:eastAsia="Times New Roman" w:hint="default"/>
                <w:sz w:val="18"/>
                <w:szCs w:val="18"/>
              </w:rPr>
              <w:t>2</w:t>
            </w:r>
            <w:r>
              <w:rPr>
                <w:rFonts w:ascii="宋体" w:hAnsi="宋体" w:cs="宋体" w:eastAsia="宋体" w:hint="default"/>
                <w:sz w:val="18"/>
                <w:szCs w:val="18"/>
              </w:rPr>
              <w:t>、 收到</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Times New Roman"/>
                <w:sz w:val="18"/>
              </w:rPr>
              <w:t>64.00%</w:t>
            </w:r>
          </w:p>
          <w:p>
            <w:pPr>
              <w:pStyle w:val="TableParagraph"/>
              <w:spacing w:line="316" w:lineRule="auto" w:before="65"/>
              <w:ind w:left="22" w:right="71"/>
              <w:jc w:val="both"/>
              <w:rPr>
                <w:rFonts w:ascii="宋体" w:hAnsi="宋体" w:cs="宋体" w:eastAsia="宋体" w:hint="default"/>
                <w:sz w:val="18"/>
                <w:szCs w:val="18"/>
              </w:rPr>
            </w:pPr>
            <w:r>
              <w:rPr>
                <w:rFonts w:ascii="宋体" w:hAnsi="宋体" w:cs="宋体" w:eastAsia="宋体" w:hint="default"/>
                <w:sz w:val="18"/>
                <w:szCs w:val="18"/>
              </w:rPr>
              <w:t>增资款 人民币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2" w:lineRule="auto"/>
              <w:ind w:left="22" w:right="7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 新董事 会成员 任命</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-2,017,6</w:t>
            </w:r>
          </w:p>
          <w:p>
            <w:pPr>
              <w:pStyle w:val="TableParagraph"/>
              <w:spacing w:line="240" w:lineRule="auto" w:before="106"/>
              <w:ind w:left="276" w:right="0"/>
              <w:jc w:val="center"/>
              <w:rPr>
                <w:rFonts w:ascii="Times New Roman" w:hAnsi="Times New Roman" w:cs="Times New Roman" w:eastAsia="Times New Roman" w:hint="default"/>
                <w:sz w:val="18"/>
                <w:szCs w:val="18"/>
              </w:rPr>
            </w:pPr>
            <w:r>
              <w:rPr>
                <w:rFonts w:ascii="Times New Roman"/>
                <w:sz w:val="18"/>
              </w:rPr>
              <w:t>96.85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42.00%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2,017,69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46,200,0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44,182,3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03.15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沪第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 产评估 </w:t>
            </w:r>
            <w:r>
              <w:rPr>
                <w:rFonts w:ascii="宋体" w:hAnsi="宋体" w:cs="宋体" w:eastAsia="宋体" w:hint="default"/>
                <w:spacing w:val="-10"/>
                <w:sz w:val="18"/>
                <w:szCs w:val="18"/>
              </w:rPr>
              <w:t>报告》确</w:t>
            </w:r>
            <w:r>
              <w:rPr>
                <w:rFonts w:ascii="宋体" w:hAnsi="宋体" w:cs="宋体" w:eastAsia="宋体" w:hint="default"/>
                <w:sz w:val="18"/>
                <w:szCs w:val="18"/>
              </w:rPr>
              <w:t> </w:t>
            </w:r>
            <w:r>
              <w:rPr>
                <w:rFonts w:ascii="宋体" w:hAnsi="宋体" w:cs="宋体" w:eastAsia="宋体" w:hint="default"/>
                <w:spacing w:val="-10"/>
                <w:sz w:val="18"/>
                <w:szCs w:val="18"/>
              </w:rPr>
              <w:t>认，采用</w:t>
            </w:r>
            <w:r>
              <w:rPr>
                <w:rFonts w:ascii="宋体" w:hAnsi="宋体" w:cs="宋体" w:eastAsia="宋体" w:hint="default"/>
                <w:sz w:val="18"/>
                <w:szCs w:val="18"/>
              </w:rPr>
              <w:t> 市场法 评估后 的甄汇 科技股 东全部 权益于 评估基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准日</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日的评</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估价值</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11,000.0</w:t>
            </w:r>
          </w:p>
        </w:tc>
        <w:tc>
          <w:tcPr>
            <w:tcW w:w="73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1"/>
        <w:ind w:right="4010"/>
        <w:jc w:val="left"/>
      </w:pPr>
      <w:r>
        <w:rPr/>
        <w:t>其他说明： 是否存在通过多次交易分步处置对子公司投资且在本期丧失控制权的情形</w:t>
      </w:r>
    </w:p>
    <w:p>
      <w:pPr>
        <w:pStyle w:val="BodyText"/>
        <w:spacing w:line="240" w:lineRule="auto" w:before="2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left="227" w:right="0"/>
        <w:jc w:val="left"/>
      </w:pPr>
      <w:r>
        <w:rPr>
          <w:rFonts w:ascii="Times New Roman" w:hAnsi="Times New Roman" w:cs="Times New Roman" w:eastAsia="Times New Roman" w:hint="default"/>
        </w:rPr>
        <w:t>1</w:t>
      </w:r>
      <w:r>
        <w:rPr/>
        <w:t>、本年新增合并单位</w:t>
      </w:r>
      <w:r>
        <w:rPr>
          <w:rFonts w:ascii="Times New Roman" w:hAnsi="Times New Roman" w:cs="Times New Roman" w:eastAsia="Times New Roman" w:hint="default"/>
        </w:rPr>
        <w:t>1</w:t>
      </w:r>
      <w:r>
        <w:rPr/>
        <w:t>家：</w:t>
      </w:r>
    </w:p>
    <w:p>
      <w:pPr>
        <w:pStyle w:val="BodyText"/>
        <w:spacing w:line="240" w:lineRule="auto" w:before="63"/>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月，公司与宁波得厚领峰企业管理咨询合伙企业（有限合伙）合计投资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万人民币设立上海甄云信息科</w:t>
      </w:r>
    </w:p>
    <w:p>
      <w:pPr>
        <w:pStyle w:val="BodyText"/>
        <w:spacing w:line="300" w:lineRule="auto" w:before="63"/>
        <w:ind w:left="153" w:right="151"/>
        <w:jc w:val="both"/>
      </w:pPr>
      <w:r>
        <w:rPr/>
        <w:t>技有限公司。公司以汉得供应商关系管理云平台软件以及汉得供应商关系管理平台软件著作权作价出资 </w:t>
      </w:r>
      <w:r>
        <w:rPr>
          <w:rFonts w:ascii="Times New Roman" w:hAnsi="Times New Roman" w:cs="Times New Roman" w:eastAsia="Times New Roman" w:hint="default"/>
        </w:rPr>
        <w:t>120</w:t>
      </w:r>
      <w:r>
        <w:rPr>
          <w:rFonts w:ascii="Times New Roman" w:hAnsi="Times New Roman" w:cs="Times New Roman" w:eastAsia="Times New Roman" w:hint="default"/>
          <w:spacing w:val="8"/>
        </w:rPr>
        <w:t> </w:t>
      </w:r>
      <w:r>
        <w:rPr/>
        <w:t>万元，占合资 公司注册资本的</w:t>
      </w:r>
      <w:r>
        <w:rPr>
          <w:spacing w:val="-56"/>
        </w:rPr>
        <w:t> </w:t>
      </w:r>
      <w:r>
        <w:rPr>
          <w:rFonts w:ascii="Times New Roman" w:hAnsi="Times New Roman" w:cs="Times New Roman" w:eastAsia="Times New Roman" w:hint="default"/>
        </w:rPr>
        <w:t>60%</w:t>
      </w:r>
      <w:r>
        <w:rPr/>
        <w:t>；得厚领峰认缴出资</w:t>
      </w:r>
      <w:r>
        <w:rPr>
          <w:rFonts w:ascii="Times New Roman" w:hAnsi="Times New Roman" w:cs="Times New Roman" w:eastAsia="Times New Roman" w:hint="default"/>
        </w:rPr>
        <w:t>80</w:t>
      </w:r>
      <w:r>
        <w:rPr>
          <w:rFonts w:ascii="Times New Roman" w:hAnsi="Times New Roman" w:cs="Times New Roman" w:eastAsia="Times New Roman" w:hint="default"/>
          <w:spacing w:val="-11"/>
        </w:rPr>
        <w:t> </w:t>
      </w:r>
      <w:r>
        <w:rPr/>
        <w:t>万元，占合资公司注册资本的</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月起，上海甄云信息科技有限公司 纳入合并范围。</w:t>
      </w:r>
    </w:p>
    <w:p>
      <w:pPr>
        <w:pStyle w:val="BodyText"/>
        <w:spacing w:line="240" w:lineRule="auto" w:before="31"/>
        <w:ind w:left="153" w:right="0"/>
        <w:jc w:val="left"/>
      </w:pPr>
      <w:r>
        <w:rPr>
          <w:rFonts w:ascii="Times New Roman" w:hAnsi="Times New Roman" w:cs="Times New Roman" w:eastAsia="Times New Roman" w:hint="default"/>
        </w:rPr>
        <w:t>2</w:t>
      </w:r>
      <w:r>
        <w:rPr/>
        <w:t>、本年减少合并单位</w:t>
      </w:r>
      <w:r>
        <w:rPr>
          <w:rFonts w:ascii="Times New Roman" w:hAnsi="Times New Roman" w:cs="Times New Roman" w:eastAsia="Times New Roman" w:hint="default"/>
        </w:rPr>
        <w:t>1</w:t>
      </w:r>
      <w:r>
        <w:rPr/>
        <w:t>家：</w:t>
      </w:r>
    </w:p>
    <w:p>
      <w:pPr>
        <w:pStyle w:val="BodyText"/>
        <w:spacing w:line="240" w:lineRule="auto" w:before="63"/>
        <w:ind w:left="15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27"/>
        </w:rPr>
        <w:t> </w:t>
      </w:r>
      <w:r>
        <w:rPr>
          <w:rFonts w:ascii="Times New Roman" w:hAnsi="Times New Roman" w:cs="Times New Roman" w:eastAsia="Times New Roman" w:hint="default"/>
        </w:rPr>
        <w:t>USA.,LTD.</w:t>
      </w:r>
      <w:r>
        <w:rPr/>
        <w:t>注销，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月起不纳入合并范围。</w:t>
      </w:r>
    </w:p>
    <w:p>
      <w:pPr>
        <w:spacing w:line="240" w:lineRule="auto" w:before="11"/>
        <w:rPr>
          <w:rFonts w:ascii="宋体" w:hAnsi="宋体" w:cs="宋体" w:eastAsia="宋体" w:hint="default"/>
          <w:sz w:val="25"/>
          <w:szCs w:val="25"/>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汉得新加坡</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汉得加利福尼亚 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0"/>
        <w:jc w:val="left"/>
      </w:pPr>
      <w:r>
        <w:rPr/>
        <w:t>在子公司的持股比例不同于表决权比例的说明：</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153" w:right="1851"/>
        <w:jc w:val="left"/>
      </w:pPr>
      <w:r>
        <w:rPr/>
        <w:t>持有半数或以下表决权但仍控制被投资单位、以及持有半数以上表决权但不控制被投资单位的依据： 对于纳入合并范围的重要的结构化主体，控制的依据：</w:t>
      </w:r>
    </w:p>
    <w:p>
      <w:pPr>
        <w:pStyle w:val="BodyText"/>
        <w:spacing w:line="240" w:lineRule="auto" w:before="29"/>
        <w:ind w:left="153" w:right="0"/>
        <w:jc w:val="left"/>
      </w:pPr>
      <w:r>
        <w:rPr/>
        <w:t>确定公司是代理人还是委托人的依据：</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w:t>
      </w:r>
      <w:r>
        <w:rPr>
          <w:spacing w:val="81"/>
        </w:rPr>
        <w:t> </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64"/>
        <w:gridCol w:w="3197"/>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56,387,923.72</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-2,684,203.50</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-2,684,203.50</w:t>
            </w:r>
          </w:p>
        </w:tc>
        <w:tc>
          <w:tcPr>
            <w:tcW w:w="31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897"/>
        <w:gridCol w:w="4760"/>
      </w:tblGrid>
      <w:tr>
        <w:trPr>
          <w:trHeight w:val="356" w:hRule="exact"/>
        </w:trPr>
        <w:tc>
          <w:tcPr>
            <w:tcW w:w="4897" w:type="dxa"/>
            <w:tcBorders>
              <w:top w:val="single" w:sz="6" w:space="0" w:color="000000"/>
              <w:left w:val="single" w:sz="6" w:space="0" w:color="000000"/>
              <w:bottom w:val="single" w:sz="12" w:space="0" w:color="000000"/>
              <w:right w:val="single" w:sz="6" w:space="0" w:color="000000"/>
            </w:tcBorders>
          </w:tcPr>
          <w:p>
            <w:pPr/>
          </w:p>
        </w:tc>
        <w:tc>
          <w:tcPr>
            <w:tcW w:w="47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153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联营企业：汉得知云</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6,767,472.49</w:t>
            </w: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-2,409,733.10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-2,409,733.10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联营企业：甄实建筑</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3,420,451.23</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-274,470.40</w:t>
            </w: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-274,470.40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联营企业：甄汇科技</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46,200,000.00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476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4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47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w:t>
      </w:r>
      <w:r>
        <w:rPr>
          <w:spacing w:val="81"/>
        </w:rPr>
        <w:t> </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w:t>
      </w:r>
      <w:r>
        <w:rPr>
          <w:spacing w:val="82"/>
        </w:rPr>
        <w:t> </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w:t>
      </w:r>
      <w:r>
        <w:rPr>
          <w:spacing w:val="82"/>
        </w:rPr>
        <w:t> </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w:t>
      </w:r>
      <w:r>
        <w:rPr>
          <w:spacing w:val="83"/>
        </w:rPr>
        <w:t> </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jc w:val="both"/>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定，并对风险管理目标和政策承担最终责任。本公司风险管理的总体目标是在不过度影响公司竞争力和应变力的情况下，制</w:t>
      </w:r>
      <w:r>
        <w:rPr>
          <w:spacing w:val="-66"/>
        </w:rPr>
        <w:t> </w:t>
      </w:r>
      <w:r>
        <w:rPr>
          <w:spacing w:val="-66"/>
        </w:rPr>
      </w:r>
      <w:r>
        <w:rPr/>
        <w:t>定尽可能降低风险的风险管理政策。</w:t>
      </w:r>
    </w:p>
    <w:p>
      <w:pPr>
        <w:pStyle w:val="BodyText"/>
        <w:spacing w:line="316" w:lineRule="auto" w:before="19"/>
        <w:ind w:left="153" w:right="0"/>
        <w:jc w:val="left"/>
      </w:pPr>
      <w:r>
        <w:rPr>
          <w:rFonts w:ascii="宋体" w:hAnsi="宋体" w:cs="宋体" w:eastAsia="宋体" w:hint="default"/>
          <w:b/>
          <w:bCs/>
        </w:rPr>
        <w:t>（一）信用风险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6"/>
        </w:rPr>
        <w:t> </w:t>
      </w:r>
      <w:r>
        <w:rPr>
          <w:spacing w:val="-66"/>
        </w:rPr>
      </w:r>
      <w:r>
        <w:rPr>
          <w:spacing w:val="-2"/>
        </w:rPr>
        <w:t>获取时）。公司仅与经信用评定认可的第三方进行交易，公司的应收账款客户群广泛分散于不同行业，因此本公司不存在重</w:t>
      </w:r>
      <w:r>
        <w:rPr>
          <w:spacing w:val="-66"/>
        </w:rPr>
        <w:t> </w:t>
      </w:r>
      <w:r>
        <w:rPr>
          <w:spacing w:val="-66"/>
        </w:rPr>
      </w:r>
      <w:r>
        <w:rPr/>
        <w:t>大信用风险。</w:t>
      </w:r>
    </w:p>
    <w:p>
      <w:pPr>
        <w:pStyle w:val="BodyText"/>
        <w:spacing w:line="316" w:lineRule="auto" w:before="19"/>
        <w:ind w:left="158" w:right="0" w:hanging="5"/>
        <w:jc w:val="left"/>
      </w:pPr>
      <w:r>
        <w:rPr>
          <w:rFonts w:ascii="宋体" w:hAnsi="宋体" w:cs="宋体" w:eastAsia="宋体" w:hint="default"/>
          <w:b/>
          <w:bCs/>
        </w:rPr>
        <w:t>（二）市场风险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金融工具的市场风险，是指金融工具的公允价值或未来现金流量因市场价格变动而发生波动的风险，包括汇率风险、利率风</w:t>
      </w:r>
      <w:r>
        <w:rPr>
          <w:spacing w:val="-74"/>
        </w:rPr>
        <w:t> </w:t>
      </w:r>
      <w:r>
        <w:rPr>
          <w:spacing w:val="-74"/>
        </w:rPr>
      </w:r>
      <w:r>
        <w:rPr/>
        <w:t>险和其他价格风险。</w:t>
      </w:r>
    </w:p>
    <w:p>
      <w:pPr>
        <w:pStyle w:val="BodyText"/>
        <w:spacing w:line="309" w:lineRule="auto" w:before="19"/>
        <w:ind w:left="158" w:right="0"/>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利率风险，是指金融工具的公允价值或未来现金流量因市场利率变动而发生波动的风险。本公司的短期借款利率固定，因此</w:t>
      </w:r>
      <w:r>
        <w:rPr>
          <w:spacing w:val="-69"/>
        </w:rPr>
        <w:t> </w:t>
      </w:r>
      <w:r>
        <w:rPr>
          <w:spacing w:val="-69"/>
        </w:rPr>
      </w:r>
      <w:r>
        <w:rPr/>
        <w:t>本公司不存在重大利率风险。</w:t>
      </w:r>
    </w:p>
    <w:p>
      <w:pPr>
        <w:pStyle w:val="BodyText"/>
        <w:spacing w:line="309" w:lineRule="auto" w:before="24"/>
        <w:ind w:left="158" w:right="0"/>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70"/>
        </w:rPr>
        <w:t> </w:t>
      </w:r>
      <w:r>
        <w:rPr>
          <w:spacing w:val="-70"/>
        </w:rPr>
      </w:r>
      <w:r>
        <w:rPr/>
        <w:t>出相匹配以降低汇率风险。此外，公司还可能签署远期外汇合约或货币互换合约以达到规避汇率风险的目的。</w:t>
      </w:r>
    </w:p>
    <w:p>
      <w:pPr>
        <w:pStyle w:val="BodyText"/>
        <w:spacing w:line="316" w:lineRule="auto" w:before="24"/>
        <w:ind w:left="153" w:right="0"/>
        <w:jc w:val="left"/>
      </w:pPr>
      <w:r>
        <w:rPr>
          <w:rFonts w:ascii="宋体" w:hAnsi="宋体" w:cs="宋体" w:eastAsia="宋体" w:hint="default"/>
          <w:b/>
          <w:bCs/>
        </w:rPr>
        <w:t>（三）流动性风险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流动性风险，是指企业在履行以交付现金或其他金融资产的方式结算的义务时发生资金短缺的风险。本公司的政策是确保拥</w:t>
      </w:r>
      <w:r>
        <w:rPr>
          <w:spacing w:val="-64"/>
        </w:rPr>
        <w:t> </w:t>
      </w:r>
      <w:r>
        <w:rPr>
          <w:spacing w:val="-64"/>
        </w:rPr>
      </w:r>
      <w:r>
        <w:rPr>
          <w:spacing w:val="-2"/>
        </w:rPr>
        <w:t>有充足的现金以偿还到期债务。流动性风险由本公司的财务部门集中控制。财务部门通过监控现金余额、可随时变现的有价</w:t>
      </w:r>
      <w:r>
        <w:rPr>
          <w:spacing w:val="-66"/>
        </w:rPr>
        <w:t> </w:t>
      </w:r>
      <w:r>
        <w:rPr>
          <w:spacing w:val="-66"/>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本公司各项金融负债以未折现的合同现金流量按到期日列示如下：</w:t>
      </w:r>
    </w:p>
    <w:p>
      <w:pPr>
        <w:spacing w:line="240" w:lineRule="auto" w:before="11"/>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672"/>
        <w:gridCol w:w="1930"/>
        <w:gridCol w:w="1796"/>
        <w:gridCol w:w="1934"/>
        <w:gridCol w:w="2326"/>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98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1672" w:type="dxa"/>
            <w:vMerge/>
            <w:tcBorders>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78"/>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183,000,000.00</w:t>
            </w:r>
          </w:p>
        </w:tc>
        <w:tc>
          <w:tcPr>
            <w:tcW w:w="1796"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183,000,000.00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15,192,758.08</w:t>
            </w:r>
          </w:p>
        </w:tc>
        <w:tc>
          <w:tcPr>
            <w:tcW w:w="1796"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15,192,758.08</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98,760,909.62</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spacing w:val="-1"/>
                <w:sz w:val="18"/>
              </w:rPr>
              <w:t>68,418,502.86</w:t>
            </w:r>
          </w:p>
        </w:tc>
        <w:tc>
          <w:tcPr>
            <w:tcW w:w="193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167,179,412.48</w:t>
            </w:r>
          </w:p>
        </w:tc>
      </w:tr>
    </w:tbl>
    <w:p>
      <w:pPr>
        <w:spacing w:line="240" w:lineRule="auto" w:before="2"/>
        <w:rPr>
          <w:rFonts w:ascii="宋体" w:hAnsi="宋体" w:cs="宋体" w:eastAsia="宋体" w:hint="default"/>
          <w:sz w:val="18"/>
          <w:szCs w:val="18"/>
        </w:rPr>
      </w:pPr>
    </w:p>
    <w:p>
      <w:pPr>
        <w:spacing w:line="506" w:lineRule="auto" w:before="26"/>
        <w:ind w:left="154" w:right="5238" w:firstLine="0"/>
        <w:jc w:val="left"/>
        <w:rPr>
          <w:rFonts w:ascii="宋体" w:hAnsi="宋体" w:cs="宋体" w:eastAsia="宋体" w:hint="default"/>
          <w:sz w:val="18"/>
          <w:szCs w:val="18"/>
        </w:rPr>
      </w:pPr>
      <w:r>
        <w:rPr>
          <w:rFonts w:ascii="宋体" w:hAnsi="宋体" w:cs="宋体" w:eastAsia="宋体" w:hint="default"/>
          <w:b/>
          <w:bCs/>
          <w:sz w:val="24"/>
          <w:szCs w:val="24"/>
        </w:rPr>
        <w:t>十一、公允价值的披露</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52"/>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3、</w:t>
      </w:r>
      <w:r>
        <w:rPr>
          <w:spacing w:val="-71"/>
        </w:rPr>
        <w:t> </w:t>
      </w:r>
      <w:r>
        <w:rPr/>
        <w:t>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t>4、</w:t>
      </w:r>
      <w:r>
        <w:rPr>
          <w:spacing w:val="-71"/>
        </w:rPr>
        <w:t> </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5、</w:t>
      </w:r>
      <w:r>
        <w:rPr>
          <w:spacing w:val="-73"/>
        </w:rPr>
        <w:t> </w:t>
      </w:r>
      <w:r>
        <w:rPr/>
        <w:t>持续的第三层次公允价值计量项目，期初与期末账面价值间的调节信息及不可观察参数敏感性分析</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6、</w:t>
      </w:r>
      <w:r>
        <w:rPr>
          <w:spacing w:val="-74"/>
        </w:rPr>
        <w:t> </w:t>
      </w:r>
      <w:r>
        <w:rPr/>
        <w:t>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7、</w:t>
      </w:r>
      <w:r>
        <w:rPr>
          <w:spacing w:val="-68"/>
        </w:rPr>
        <w:t> </w:t>
      </w:r>
      <w:r>
        <w:rPr/>
        <w:t>本期内发生的估值技术变更及变更原因</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8、</w:t>
      </w:r>
      <w:r>
        <w:rPr>
          <w:spacing w:val="-70"/>
        </w:rPr>
        <w:t> </w:t>
      </w:r>
      <w:r>
        <w:rPr/>
        <w:t>不以公允价值计量的金融资产和金融负债的公允价值情况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491"/>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公允价值计量结果所属的层次，由对公允价值计量整体而言具有重要意义的输入值所属的最低层次决定。</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本企业的母公司情况的说明</w:t>
      </w:r>
    </w:p>
    <w:p>
      <w:pPr>
        <w:pStyle w:val="BodyText"/>
        <w:spacing w:line="300" w:lineRule="auto" w:before="116"/>
        <w:ind w:left="153" w:right="6351"/>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日，本公司无母公司。 本公司实际控制人是范建震和陈迪清先生。</w:t>
      </w:r>
    </w:p>
    <w:p>
      <w:pPr>
        <w:pStyle w:val="BodyText"/>
        <w:spacing w:line="357" w:lineRule="auto" w:before="72"/>
        <w:ind w:left="153" w:right="7430"/>
        <w:jc w:val="left"/>
      </w:pPr>
      <w:r>
        <w:rPr/>
        <w:t>本企业最终控制方是。 其他说明：</w:t>
      </w:r>
    </w:p>
    <w:p>
      <w:pPr>
        <w:spacing w:line="240" w:lineRule="auto" w:before="1"/>
        <w:rPr>
          <w:rFonts w:ascii="宋体" w:hAnsi="宋体" w:cs="宋体" w:eastAsia="宋体" w:hint="default"/>
          <w:sz w:val="20"/>
          <w:szCs w:val="20"/>
        </w:rPr>
      </w:pPr>
    </w:p>
    <w:p>
      <w:pPr>
        <w:spacing w:line="547" w:lineRule="auto" w:before="0"/>
        <w:ind w:left="154" w:right="40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七、在其他主体中的权益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1310"/>
        <w:jc w:val="left"/>
      </w:pPr>
      <w:r>
        <w:rPr>
          <w:spacing w:val="-3"/>
        </w:rPr>
        <w:t>本企业重要的合营或联营企业详见附注</w:t>
      </w:r>
      <w:r>
        <w:rPr>
          <w:rFonts w:ascii="Times New Roman" w:hAnsi="Times New Roman" w:cs="Times New Roman" w:eastAsia="Times New Roman" w:hint="default"/>
          <w:spacing w:val="-3"/>
        </w:rPr>
        <w:t>“</w:t>
      </w:r>
      <w:r>
        <w:rPr>
          <w:spacing w:val="-3"/>
        </w:rPr>
        <w:t>七、在其他主体中的权益</w:t>
      </w:r>
      <w:r>
        <w:rPr>
          <w:rFonts w:ascii="Times New Roman" w:hAnsi="Times New Roman" w:cs="Times New Roman" w:eastAsia="Times New Roman" w:hint="default"/>
          <w:spacing w:val="-3"/>
        </w:rPr>
        <w:t>”</w:t>
      </w:r>
      <w:r>
        <w:rPr>
          <w:spacing w:val="-3"/>
        </w:rPr>
        <w:t>。。</w:t>
      </w:r>
      <w:r>
        <w:rPr>
          <w:spacing w:val="-84"/>
        </w:rPr>
        <w:t> </w:t>
      </w:r>
      <w:r>
        <w:rPr>
          <w:spacing w:val="-84"/>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知云软件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受同一实际控制人控制的联营企业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甄汇科技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上海甄实建筑科技有限公司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上海甄实建筑科技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1,981,132.07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3,011,400.00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本期与最终控制人范建震、陈迪清共同投资知云软件公司。</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上海甄汇信息科技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10,948,901.18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547,445.06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1,811,789.34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上海甄实建筑科技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上海汉得知云软件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16,615,060.24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830,753.01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14,927,436.73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上海甄汇信息科技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3,265,997.09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上海甄汇信息科技有限公司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787,460.00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798,813.66</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十三、股份支付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26"/>
        <w:gridCol w:w="4141"/>
      </w:tblGrid>
      <w:tr>
        <w:trPr>
          <w:trHeight w:val="402" w:hRule="exact"/>
        </w:trPr>
        <w:tc>
          <w:tcPr>
            <w:tcW w:w="5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20,310,038.00</w:t>
            </w:r>
          </w:p>
        </w:tc>
      </w:tr>
      <w:tr>
        <w:trPr>
          <w:trHeight w:val="402" w:hRule="exact"/>
        </w:trPr>
        <w:tc>
          <w:tcPr>
            <w:tcW w:w="5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48" w:lineRule="auto" w:before="51"/>
        <w:ind w:left="153" w:right="6437"/>
        <w:jc w:val="left"/>
      </w:pPr>
      <w:r>
        <w:rPr/>
        <w:t>其他说明 公司本期授予的各项权益工具总额：</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 公司本期行权的各项权益工具总额：</w:t>
      </w:r>
    </w:p>
    <w:p>
      <w:pPr>
        <w:pStyle w:val="BodyText"/>
        <w:spacing w:line="240" w:lineRule="auto" w:before="35"/>
        <w:ind w:left="153" w:right="91"/>
        <w:jc w:val="left"/>
      </w:pPr>
      <w:r>
        <w:rPr>
          <w:rFonts w:ascii="Times New Roman" w:hAnsi="Times New Roman" w:cs="Times New Roman" w:eastAsia="Times New Roman" w:hint="default"/>
        </w:rPr>
        <w:t>2016 </w:t>
      </w:r>
      <w:r>
        <w:rPr/>
        <w:t>年度  </w:t>
      </w:r>
      <w:r>
        <w:rPr>
          <w:rFonts w:ascii="Times New Roman" w:hAnsi="Times New Roman" w:cs="Times New Roman" w:eastAsia="Times New Roman" w:hint="default"/>
        </w:rPr>
        <w:t>7,380,600</w:t>
      </w:r>
      <w:r>
        <w:rPr>
          <w:rFonts w:ascii="Times New Roman" w:hAnsi="Times New Roman" w:cs="Times New Roman" w:eastAsia="Times New Roman" w:hint="default"/>
          <w:spacing w:val="-2"/>
        </w:rPr>
        <w:t> </w:t>
      </w:r>
      <w:r>
        <w:rPr/>
        <w:t>股；</w:t>
      </w:r>
    </w:p>
    <w:p>
      <w:pPr>
        <w:pStyle w:val="BodyText"/>
        <w:spacing w:line="240" w:lineRule="auto" w:before="102"/>
        <w:ind w:left="153" w:right="91"/>
        <w:jc w:val="left"/>
      </w:pPr>
      <w:r>
        <w:rPr>
          <w:rFonts w:ascii="Times New Roman" w:hAnsi="Times New Roman" w:cs="Times New Roman" w:eastAsia="Times New Roman" w:hint="default"/>
        </w:rPr>
        <w:t>2015 </w:t>
      </w:r>
      <w:r>
        <w:rPr/>
        <w:t>年度  </w:t>
      </w:r>
      <w:r>
        <w:rPr>
          <w:rFonts w:ascii="Times New Roman" w:hAnsi="Times New Roman" w:cs="Times New Roman" w:eastAsia="Times New Roman" w:hint="default"/>
        </w:rPr>
        <w:t>1,059,300</w:t>
      </w:r>
      <w:r>
        <w:rPr>
          <w:rFonts w:ascii="Times New Roman" w:hAnsi="Times New Roman" w:cs="Times New Roman" w:eastAsia="Times New Roman" w:hint="default"/>
          <w:spacing w:val="-2"/>
        </w:rPr>
        <w:t> </w:t>
      </w:r>
      <w:r>
        <w:rPr/>
        <w:t>股；</w:t>
      </w:r>
    </w:p>
    <w:p>
      <w:pPr>
        <w:pStyle w:val="BodyText"/>
        <w:spacing w:line="240" w:lineRule="auto" w:before="103"/>
        <w:ind w:left="153" w:right="91"/>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 </w:t>
      </w:r>
      <w:r>
        <w:rPr>
          <w:rFonts w:ascii="Times New Roman" w:hAnsi="Times New Roman" w:cs="Times New Roman" w:eastAsia="Times New Roman" w:hint="default"/>
        </w:rPr>
        <w:t>6,000,600</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4,000,400</w:t>
      </w:r>
      <w:r>
        <w:rPr>
          <w:rFonts w:ascii="Times New Roman" w:hAnsi="Times New Roman" w:cs="Times New Roman" w:eastAsia="Times New Roman" w:hint="default"/>
          <w:spacing w:val="-1"/>
        </w:rPr>
        <w:t> </w:t>
      </w:r>
      <w:r>
        <w:rPr/>
        <w:t>股</w:t>
      </w:r>
      <w:r>
        <w:rPr>
          <w:spacing w:val="-90"/>
        </w:rPr>
        <w:t>）</w:t>
      </w:r>
      <w:r>
        <w:rPr/>
        <w:t>；</w:t>
      </w:r>
    </w:p>
    <w:p>
      <w:pPr>
        <w:pStyle w:val="BodyText"/>
        <w:spacing w:line="240" w:lineRule="auto" w:before="102"/>
        <w:ind w:left="153" w:right="91"/>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 </w:t>
      </w:r>
      <w:r>
        <w:rPr>
          <w:rFonts w:ascii="Times New Roman" w:hAnsi="Times New Roman" w:cs="Times New Roman" w:eastAsia="Times New Roman" w:hint="default"/>
        </w:rPr>
        <w:t>5,869,538</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1,983,200</w:t>
      </w:r>
      <w:r>
        <w:rPr>
          <w:rFonts w:ascii="Times New Roman" w:hAnsi="Times New Roman" w:cs="Times New Roman" w:eastAsia="Times New Roman" w:hint="default"/>
          <w:spacing w:val="-1"/>
        </w:rPr>
        <w:t> </w:t>
      </w:r>
      <w:r>
        <w:rPr/>
        <w:t>股</w:t>
      </w:r>
      <w:r>
        <w:rPr>
          <w:spacing w:val="-90"/>
        </w:rPr>
        <w:t>）</w:t>
      </w:r>
      <w:r>
        <w:rPr/>
        <w:t>；</w:t>
      </w:r>
    </w:p>
    <w:p>
      <w:pPr>
        <w:pStyle w:val="BodyText"/>
        <w:spacing w:line="338" w:lineRule="auto" w:before="102"/>
        <w:ind w:left="153" w:right="4193"/>
        <w:jc w:val="left"/>
        <w:rPr>
          <w:sz w:val="21"/>
          <w:szCs w:val="21"/>
        </w:rPr>
      </w:pPr>
      <w:r>
        <w:rPr/>
        <w:pict>
          <v:shape style="position:absolute;margin-left:55.860001pt;margin-top:108.133522pt;width:483.75pt;height:36.45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2086"/>
                    <w:gridCol w:w="2434"/>
                    <w:gridCol w:w="1472"/>
                    <w:gridCol w:w="2105"/>
                  </w:tblGrid>
                  <w:tr>
                    <w:trPr>
                      <w:trHeight w:val="355" w:hRule="exact"/>
                    </w:trPr>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限制性股票数量（股）</w:t>
                        </w:r>
                      </w:p>
                    </w:tc>
                    <w:tc>
                      <w:tcPr>
                        <w:tcW w:w="2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pacing w:val="-4"/>
                            <w:sz w:val="18"/>
                            <w:szCs w:val="18"/>
                          </w:rPr>
                          <w:t>限制性股票数量（股）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转增后</w:t>
                        </w:r>
                        <w:r>
                          <w:rPr>
                            <w:rFonts w:ascii="Times New Roman" w:hAnsi="Times New Roman" w:cs="Times New Roman" w:eastAsia="Times New Roman" w:hint="default"/>
                            <w:spacing w:val="-4"/>
                            <w:sz w:val="18"/>
                            <w:szCs w:val="18"/>
                          </w:rPr>
                          <w:t>)</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授予价格</w:t>
                        </w:r>
                      </w:p>
                    </w:tc>
                    <w:tc>
                      <w:tcPr>
                        <w:tcW w:w="210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合同（解锁）剩余期限</w:t>
                        </w:r>
                      </w:p>
                    </w:tc>
                  </w:tr>
                  <w:tr>
                    <w:trPr>
                      <w:trHeight w:val="352"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第三期解禁</w:t>
                        </w:r>
                      </w:p>
                    </w:tc>
                    <w:tc>
                      <w:tcPr>
                        <w:tcW w:w="2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124" w:right="0"/>
                          <w:jc w:val="left"/>
                          <w:rPr>
                            <w:rFonts w:ascii="Times New Roman" w:hAnsi="Times New Roman" w:cs="Times New Roman" w:eastAsia="Times New Roman" w:hint="default"/>
                            <w:sz w:val="18"/>
                            <w:szCs w:val="18"/>
                          </w:rPr>
                        </w:pPr>
                        <w:r>
                          <w:rPr>
                            <w:rFonts w:ascii="Times New Roman"/>
                            <w:sz w:val="18"/>
                          </w:rPr>
                          <w:t>1,380,400.00</w:t>
                        </w:r>
                      </w:p>
                    </w:tc>
                    <w:tc>
                      <w:tcPr>
                        <w:tcW w:w="2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1,380,400.00</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11.01</w:t>
                        </w:r>
                      </w:p>
                    </w:tc>
                    <w:tc>
                      <w:tcPr>
                        <w:tcW w:w="21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个月</w:t>
                        </w:r>
                      </w:p>
                    </w:tc>
                  </w:tr>
                </w:tbl>
                <w:p>
                  <w:pPr/>
                </w:p>
              </w:txbxContent>
            </v:textbox>
            <w10:wrap type="none"/>
          </v:shape>
        </w:pict>
      </w:r>
      <w:r>
        <w:rPr/>
        <w:t>本期行权的各项权益工具合计</w:t>
      </w:r>
      <w:r>
        <w:rPr>
          <w:spacing w:val="-46"/>
        </w:rPr>
        <w:t> </w:t>
      </w:r>
      <w:r>
        <w:rPr>
          <w:rFonts w:ascii="Times New Roman" w:hAnsi="Times New Roman" w:cs="Times New Roman" w:eastAsia="Times New Roman" w:hint="default"/>
        </w:rPr>
        <w:t>20,310,038</w:t>
      </w:r>
      <w:r>
        <w:rPr>
          <w:rFonts w:ascii="Times New Roman" w:hAnsi="Times New Roman" w:cs="Times New Roman" w:eastAsia="Times New Roman" w:hint="default"/>
          <w:spacing w:val="-1"/>
        </w:rPr>
        <w:t> </w:t>
      </w:r>
      <w:r>
        <w:rPr/>
        <w:t>股。 </w:t>
      </w:r>
      <w:r>
        <w:rPr>
          <w:spacing w:val="-1"/>
        </w:rPr>
        <w:t>公司本期回购的限制性股票总额：</w:t>
      </w:r>
      <w:r>
        <w:rPr>
          <w:rFonts w:ascii="Times New Roman" w:hAnsi="Times New Roman" w:cs="Times New Roman" w:eastAsia="Times New Roman" w:hint="default"/>
          <w:spacing w:val="-1"/>
        </w:rPr>
        <w:t>4,018,024</w:t>
      </w:r>
      <w:r>
        <w:rPr>
          <w:rFonts w:ascii="Times New Roman" w:hAnsi="Times New Roman" w:cs="Times New Roman" w:eastAsia="Times New Roman" w:hint="default"/>
        </w:rPr>
        <w:t> </w:t>
      </w:r>
      <w:r>
        <w:rPr/>
        <w:t>股（转增前 </w:t>
      </w:r>
      <w:r>
        <w:rPr>
          <w:rFonts w:ascii="Times New Roman" w:hAnsi="Times New Roman" w:cs="Times New Roman" w:eastAsia="Times New Roman" w:hint="default"/>
        </w:rPr>
        <w:t>3,680,599</w:t>
      </w:r>
      <w:r>
        <w:rPr>
          <w:rFonts w:ascii="Times New Roman" w:hAnsi="Times New Roman" w:cs="Times New Roman" w:eastAsia="Times New Roman" w:hint="default"/>
          <w:spacing w:val="-28"/>
        </w:rPr>
        <w:t> </w:t>
      </w:r>
      <w:r>
        <w:rPr>
          <w:spacing w:val="-30"/>
        </w:rPr>
        <w:t>股）。</w:t>
      </w:r>
      <w:r>
        <w:rPr/>
        <w:t> 公司本期注销的回购股票总额：</w:t>
      </w:r>
      <w:r>
        <w:rPr>
          <w:rFonts w:ascii="Times New Roman" w:hAnsi="Times New Roman" w:cs="Times New Roman" w:eastAsia="Times New Roman" w:hint="default"/>
        </w:rPr>
        <w:t>8,560,545</w:t>
      </w:r>
      <w:r>
        <w:rPr>
          <w:rFonts w:ascii="Times New Roman" w:hAnsi="Times New Roman" w:cs="Times New Roman" w:eastAsia="Times New Roman" w:hint="default"/>
          <w:spacing w:val="-2"/>
        </w:rPr>
        <w:t> </w:t>
      </w:r>
      <w:r>
        <w:rPr/>
        <w:t>股。 公司本期失效的各项权益工具总额：</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 公司期末发行在外的限制性股票行权价格的范围和合同剩余期限： </w:t>
      </w:r>
      <w:r>
        <w:rPr>
          <w:rFonts w:ascii="Times New Roman" w:hAnsi="Times New Roman" w:cs="Times New Roman" w:eastAsia="Times New Roman" w:hint="default"/>
          <w:sz w:val="21"/>
          <w:szCs w:val="21"/>
        </w:rPr>
        <w:t>2015</w:t>
      </w:r>
      <w:r>
        <w:rPr>
          <w:sz w:val="21"/>
          <w:szCs w:val="21"/>
        </w:rPr>
        <w:t>年度股权激励</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6"/>
        <w:spacing w:line="240" w:lineRule="auto"/>
        <w:ind w:left="154" w:right="91"/>
        <w:jc w:val="left"/>
      </w:pPr>
      <w:r>
        <w:rPr>
          <w:rFonts w:ascii="Times New Roman" w:hAnsi="Times New Roman" w:cs="Times New Roman" w:eastAsia="Times New Roman" w:hint="default"/>
        </w:rPr>
        <w:t>2016</w:t>
      </w:r>
      <w:r>
        <w:rPr/>
        <w:t>年度股权激励</w:t>
      </w:r>
    </w:p>
    <w:p>
      <w:pPr>
        <w:spacing w:line="240" w:lineRule="auto" w:before="10"/>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649"/>
        <w:gridCol w:w="2494"/>
        <w:gridCol w:w="2480"/>
        <w:gridCol w:w="3035"/>
      </w:tblGrid>
      <w:tr>
        <w:trPr>
          <w:trHeight w:val="356" w:hRule="exact"/>
        </w:trPr>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限制性股票数量（股）</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授予价格</w:t>
            </w:r>
          </w:p>
        </w:tc>
        <w:tc>
          <w:tcPr>
            <w:tcW w:w="30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合同（解锁）剩余期限</w:t>
            </w:r>
          </w:p>
        </w:tc>
      </w:tr>
      <w:tr>
        <w:trPr>
          <w:trHeight w:val="352"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第二期解禁</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7,142,100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7.27</w:t>
            </w:r>
          </w:p>
        </w:tc>
        <w:tc>
          <w:tcPr>
            <w:tcW w:w="303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个月</w:t>
            </w:r>
          </w:p>
        </w:tc>
      </w:tr>
      <w:tr>
        <w:trPr>
          <w:trHeight w:val="352"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第三期解禁</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9,178,000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7.27</w:t>
            </w:r>
          </w:p>
        </w:tc>
        <w:tc>
          <w:tcPr>
            <w:tcW w:w="303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个月</w:t>
            </w:r>
          </w:p>
        </w:tc>
      </w:tr>
      <w:tr>
        <w:trPr>
          <w:trHeight w:val="353"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16,320,100</w:t>
            </w:r>
          </w:p>
        </w:tc>
        <w:tc>
          <w:tcPr>
            <w:tcW w:w="2480" w:type="dxa"/>
            <w:tcBorders>
              <w:top w:val="single" w:sz="12" w:space="0" w:color="000000"/>
              <w:left w:val="single" w:sz="6" w:space="0" w:color="000000"/>
              <w:bottom w:val="single" w:sz="12" w:space="0" w:color="000000"/>
              <w:right w:val="single" w:sz="6" w:space="0" w:color="000000"/>
            </w:tcBorders>
          </w:tcPr>
          <w:p>
            <w:pPr/>
          </w:p>
        </w:tc>
        <w:tc>
          <w:tcPr>
            <w:tcW w:w="3035"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360" w:lineRule="auto" w:before="10"/>
        <w:ind w:right="5057"/>
        <w:jc w:val="left"/>
      </w:pPr>
      <w:r>
        <w:rPr/>
        <w:t>公司期末其他权益工具行权价格的范围和合同剩余期限：</w:t>
      </w:r>
      <w:r>
        <w:rPr>
          <w:spacing w:val="-17"/>
        </w:rPr>
        <w:t> </w:t>
      </w:r>
      <w:r>
        <w:rPr/>
        <w:t>无</w:t>
      </w:r>
      <w:r>
        <w:rPr/>
        <w:t> 其他说明：</w:t>
      </w:r>
    </w:p>
    <w:p>
      <w:pPr>
        <w:pStyle w:val="Heading7"/>
        <w:spacing w:line="240" w:lineRule="auto" w:before="26"/>
        <w:ind w:right="0"/>
        <w:jc w:val="both"/>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年度股权激励</w:t>
      </w:r>
      <w:r>
        <w:rPr>
          <w:b w:val="0"/>
          <w:bCs w:val="0"/>
        </w:rPr>
      </w:r>
    </w:p>
    <w:p>
      <w:pPr>
        <w:pStyle w:val="BodyText"/>
        <w:spacing w:line="240" w:lineRule="auto" w:before="102"/>
        <w:ind w:left="153" w:right="0"/>
        <w:jc w:val="both"/>
        <w:rPr>
          <w:rFonts w:ascii="Times New Roman" w:hAnsi="Times New Roman" w:cs="Times New Roman" w:eastAsia="Times New Roman" w:hint="default"/>
        </w:rPr>
      </w:pPr>
      <w:r>
        <w:rPr/>
        <w:t>经本公司股东大会</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  </w:t>
      </w:r>
      <w:r>
        <w:rPr/>
        <w:t>日审议批准，本公司以定向发行的方式向</w:t>
      </w:r>
      <w:r>
        <w:rPr>
          <w:spacing w:val="-46"/>
        </w:rPr>
        <w:t> </w:t>
      </w:r>
      <w:r>
        <w:rPr>
          <w:rFonts w:ascii="Times New Roman" w:hAnsi="Times New Roman" w:cs="Times New Roman" w:eastAsia="Times New Roman" w:hint="default"/>
        </w:rPr>
        <w:t>231</w:t>
      </w:r>
      <w:r>
        <w:rPr>
          <w:rFonts w:ascii="Times New Roman" w:hAnsi="Times New Roman" w:cs="Times New Roman" w:eastAsia="Times New Roman" w:hint="default"/>
          <w:spacing w:val="-1"/>
        </w:rPr>
        <w:t> </w:t>
      </w:r>
      <w:r>
        <w:rPr/>
        <w:t>名激励对象授予限制性人民币普通股（</w:t>
      </w:r>
      <w:r>
        <w:rPr>
          <w:rFonts w:ascii="Times New Roman" w:hAnsi="Times New Roman" w:cs="Times New Roman" w:eastAsia="Times New Roman" w:hint="default"/>
        </w:rPr>
        <w:t>A</w:t>
      </w:r>
    </w:p>
    <w:p>
      <w:pPr>
        <w:pStyle w:val="BodyText"/>
        <w:spacing w:line="240" w:lineRule="auto" w:before="63"/>
        <w:ind w:right="0"/>
        <w:jc w:val="both"/>
      </w:pPr>
      <w:r>
        <w:rPr/>
        <w:t>股）</w:t>
      </w:r>
      <w:r>
        <w:rPr>
          <w:rFonts w:ascii="Times New Roman" w:hAnsi="Times New Roman" w:cs="Times New Roman" w:eastAsia="Times New Roman" w:hint="default"/>
        </w:rPr>
        <w:t>5,526,000</w:t>
      </w:r>
      <w:r>
        <w:rPr>
          <w:rFonts w:ascii="Times New Roman" w:hAnsi="Times New Roman" w:cs="Times New Roman" w:eastAsia="Times New Roman" w:hint="default"/>
          <w:spacing w:val="-2"/>
        </w:rPr>
        <w:t> </w:t>
      </w: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，授予价格</w:t>
      </w:r>
      <w:r>
        <w:rPr>
          <w:spacing w:val="-46"/>
        </w:rPr>
        <w:t> </w:t>
      </w:r>
      <w:r>
        <w:rPr>
          <w:rFonts w:ascii="Times New Roman" w:hAnsi="Times New Roman" w:cs="Times New Roman" w:eastAsia="Times New Roman" w:hint="default"/>
        </w:rPr>
        <w:t>7.82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股。募集资金总额为</w:t>
      </w:r>
      <w:r>
        <w:rPr>
          <w:spacing w:val="-46"/>
        </w:rPr>
        <w:t> </w:t>
      </w:r>
      <w:r>
        <w:rPr>
          <w:rFonts w:ascii="Times New Roman" w:hAnsi="Times New Roman" w:cs="Times New Roman" w:eastAsia="Times New Roman" w:hint="default"/>
        </w:rPr>
        <w:t>43,213,320.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元，其中，记入股本</w:t>
      </w:r>
      <w:r>
        <w:rPr>
          <w:spacing w:val="-46"/>
        </w:rPr>
        <w:t> </w:t>
      </w:r>
      <w:r>
        <w:rPr>
          <w:rFonts w:ascii="Times New Roman" w:hAnsi="Times New Roman" w:cs="Times New Roman" w:eastAsia="Times New Roman" w:hint="default"/>
        </w:rPr>
        <w:t>5,526,0</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spacing w:val="1"/>
        </w:rPr>
        <w:t>元，</w:t>
      </w:r>
      <w:r>
        <w:rPr/>
      </w:r>
    </w:p>
    <w:p>
      <w:pPr>
        <w:pStyle w:val="BodyText"/>
        <w:spacing w:line="240" w:lineRule="auto" w:before="64"/>
        <w:ind w:right="0"/>
        <w:jc w:val="both"/>
      </w:pPr>
      <w:r>
        <w:rPr/>
        <w:t>记入资本公积（股本溢价）</w:t>
      </w:r>
      <w:r>
        <w:rPr>
          <w:rFonts w:ascii="Times New Roman" w:hAnsi="Times New Roman" w:cs="Times New Roman" w:eastAsia="Times New Roman" w:hint="default"/>
        </w:rPr>
        <w:t>37,687,320.00</w:t>
      </w:r>
      <w:r>
        <w:rPr>
          <w:rFonts w:ascii="Times New Roman" w:hAnsi="Times New Roman" w:cs="Times New Roman" w:eastAsia="Times New Roman" w:hint="default"/>
          <w:spacing w:val="-2"/>
        </w:rPr>
        <w:t> </w:t>
      </w:r>
      <w:r>
        <w:rPr/>
        <w:t>元。同时记入库存股</w:t>
      </w:r>
      <w:r>
        <w:rPr>
          <w:spacing w:val="-47"/>
        </w:rPr>
        <w:t> </w:t>
      </w:r>
      <w:r>
        <w:rPr>
          <w:rFonts w:ascii="Times New Roman" w:hAnsi="Times New Roman" w:cs="Times New Roman" w:eastAsia="Times New Roman" w:hint="default"/>
        </w:rPr>
        <w:t>43,213,320.00</w:t>
      </w:r>
      <w:r>
        <w:rPr>
          <w:rFonts w:ascii="Times New Roman" w:hAnsi="Times New Roman" w:cs="Times New Roman" w:eastAsia="Times New Roman" w:hint="default"/>
          <w:spacing w:val="-2"/>
        </w:rPr>
        <w:t> </w:t>
      </w:r>
      <w:r>
        <w:rPr/>
        <w:t>元，记入其他应付款</w:t>
      </w:r>
      <w:r>
        <w:rPr>
          <w:spacing w:val="-47"/>
        </w:rPr>
        <w:t> </w:t>
      </w:r>
      <w:r>
        <w:rPr>
          <w:rFonts w:ascii="Times New Roman" w:hAnsi="Times New Roman" w:cs="Times New Roman" w:eastAsia="Times New Roman" w:hint="default"/>
        </w:rPr>
        <w:t>43,213,320.00</w:t>
      </w:r>
      <w:r>
        <w:rPr>
          <w:rFonts w:ascii="Times New Roman" w:hAnsi="Times New Roman" w:cs="Times New Roman" w:eastAsia="Times New Roman" w:hint="default"/>
          <w:spacing w:val="-2"/>
        </w:rPr>
        <w:t> </w:t>
      </w:r>
      <w:r>
        <w:rPr/>
        <w:t>元。</w:t>
      </w:r>
    </w:p>
    <w:p>
      <w:pPr>
        <w:pStyle w:val="BodyText"/>
        <w:spacing w:line="300" w:lineRule="auto" w:before="101"/>
        <w:ind w:right="189"/>
        <w:jc w:val="both"/>
      </w:pPr>
      <w:r>
        <w:rPr/>
        <w:t>根据公司股权激励计划，激励对象获授限制性股票之日起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6"/>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5"/>
        </w:rPr>
        <w:t>个月后、</w:t>
      </w:r>
      <w:r>
        <w:rPr>
          <w:rFonts w:ascii="Times New Roman" w:hAnsi="Times New Roman" w:cs="Times New Roman" w:eastAsia="Times New Roman" w:hint="default"/>
          <w:spacing w:val="-5"/>
        </w:rPr>
        <w:t>24</w:t>
      </w:r>
      <w:r>
        <w:rPr>
          <w:rFonts w:ascii="Times New Roman" w:hAnsi="Times New Roman" w:cs="Times New Roman" w:eastAsia="Times New Roman" w:hint="default"/>
          <w:spacing w:val="-7"/>
        </w:rPr>
        <w:t> </w:t>
      </w:r>
      <w:r>
        <w:rPr>
          <w:spacing w:val="-5"/>
        </w:rPr>
        <w:t>个月后、</w:t>
      </w:r>
      <w:r>
        <w:rPr>
          <w:rFonts w:ascii="Times New Roman" w:hAnsi="Times New Roman" w:cs="Times New Roman" w:eastAsia="Times New Roman" w:hint="default"/>
          <w:spacing w:val="-5"/>
        </w:rPr>
        <w:t>36</w:t>
      </w:r>
      <w:r>
        <w:rPr>
          <w:rFonts w:ascii="Times New Roman" w:hAnsi="Times New Roman" w:cs="Times New Roman" w:eastAsia="Times New Roman" w:hint="default"/>
          <w:spacing w:val="-7"/>
        </w:rPr>
        <w:t>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2"/>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年，公司按照股权激励计划的规定回购了</w:t>
      </w:r>
      <w:r>
        <w:rPr>
          <w:spacing w:val="-42"/>
        </w:rPr>
        <w:t> </w:t>
      </w:r>
      <w:r>
        <w:rPr>
          <w:rFonts w:ascii="Times New Roman" w:hAnsi="Times New Roman" w:cs="Times New Roman" w:eastAsia="Times New Roman" w:hint="default"/>
        </w:rPr>
        <w:t>353,348</w:t>
      </w:r>
      <w:r>
        <w:rPr>
          <w:rFonts w:ascii="Times New Roman" w:hAnsi="Times New Roman" w:cs="Times New Roman" w:eastAsia="Times New Roman" w:hint="default"/>
          <w:spacing w:val="3"/>
        </w:rPr>
        <w:t> </w:t>
      </w:r>
      <w:r>
        <w:rPr>
          <w:spacing w:val="-3"/>
        </w:rPr>
        <w:t>股已授予的限制性股票，共计出资</w:t>
      </w:r>
      <w:r>
        <w:rPr>
          <w:spacing w:val="-42"/>
        </w:rPr>
        <w:t> </w:t>
      </w:r>
      <w:r>
        <w:rPr>
          <w:rFonts w:ascii="Times New Roman" w:hAnsi="Times New Roman" w:cs="Times New Roman" w:eastAsia="Times New Roman" w:hint="default"/>
        </w:rPr>
        <w:t>1,368,614.00</w:t>
      </w:r>
      <w:r>
        <w:rPr>
          <w:rFonts w:ascii="Times New Roman" w:hAnsi="Times New Roman" w:cs="Times New Roman" w:eastAsia="Times New Roman" w:hint="default"/>
          <w:spacing w:val="2"/>
        </w:rPr>
        <w:t> </w:t>
      </w:r>
      <w:r>
        <w:rPr>
          <w:spacing w:val="-5"/>
        </w:rPr>
        <w:t>元，冲减其他应付款。</w:t>
      </w:r>
    </w:p>
    <w:p>
      <w:pPr>
        <w:pStyle w:val="BodyText"/>
        <w:spacing w:line="240" w:lineRule="auto" w:before="103"/>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30 </w:t>
      </w:r>
      <w:r>
        <w:rPr/>
        <w:t>日，公司按照股权激励计划的规定解锁第一期限制性股票，共</w:t>
      </w:r>
      <w:r>
        <w:rPr>
          <w:spacing w:val="-46"/>
        </w:rPr>
        <w:t> </w:t>
      </w:r>
      <w:r>
        <w:rPr>
          <w:rFonts w:ascii="Times New Roman" w:hAnsi="Times New Roman" w:cs="Times New Roman" w:eastAsia="Times New Roman" w:hint="default"/>
        </w:rPr>
        <w:t>3,161,1</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1,592,400</w:t>
      </w:r>
      <w:r>
        <w:rPr>
          <w:rFonts w:ascii="Times New Roman" w:hAnsi="Times New Roman" w:cs="Times New Roman" w:eastAsia="Times New Roman" w:hint="default"/>
          <w:spacing w:val="-1"/>
        </w:rPr>
        <w:t> </w:t>
      </w:r>
      <w:r>
        <w:rPr/>
        <w:t>股</w:t>
      </w:r>
      <w:r>
        <w:rPr>
          <w:spacing w:val="-90"/>
        </w:rPr>
        <w:t>）</w:t>
      </w:r>
      <w:r>
        <w:rPr/>
        <w:t>。</w:t>
      </w:r>
    </w:p>
    <w:p>
      <w:pPr>
        <w:pStyle w:val="BodyText"/>
        <w:spacing w:line="302" w:lineRule="auto" w:before="101"/>
        <w:ind w:right="1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年，公司按照股权激励计划的规定回购了</w:t>
      </w:r>
      <w:r>
        <w:rPr>
          <w:spacing w:val="-47"/>
        </w:rPr>
        <w:t> </w:t>
      </w:r>
      <w:r>
        <w:rPr>
          <w:rFonts w:ascii="Times New Roman" w:hAnsi="Times New Roman" w:cs="Times New Roman" w:eastAsia="Times New Roman" w:hint="default"/>
        </w:rPr>
        <w:t>246,151</w:t>
      </w:r>
      <w:r>
        <w:rPr>
          <w:rFonts w:ascii="Times New Roman" w:hAnsi="Times New Roman" w:cs="Times New Roman" w:eastAsia="Times New Roman" w:hint="default"/>
          <w:spacing w:val="-2"/>
        </w:rPr>
        <w:t> </w:t>
      </w:r>
      <w:r>
        <w:rPr>
          <w:spacing w:val="-3"/>
        </w:rPr>
        <w:t>股（转增前）已授予的限制性股票，共计出资</w:t>
      </w:r>
      <w:r>
        <w:rPr>
          <w:spacing w:val="-47"/>
        </w:rPr>
        <w:t> </w:t>
      </w:r>
      <w:r>
        <w:rPr>
          <w:rFonts w:ascii="Times New Roman" w:hAnsi="Times New Roman" w:cs="Times New Roman" w:eastAsia="Times New Roman" w:hint="default"/>
        </w:rPr>
        <w:t>736,141.42</w:t>
      </w:r>
      <w:r>
        <w:rPr>
          <w:rFonts w:ascii="Times New Roman" w:hAnsi="Times New Roman" w:cs="Times New Roman" w:eastAsia="Times New Roman" w:hint="default"/>
          <w:spacing w:val="-2"/>
        </w:rPr>
        <w:t> </w:t>
      </w:r>
      <w:r>
        <w:rPr>
          <w:spacing w:val="-4"/>
        </w:rPr>
        <w:t>元，冲减其</w:t>
      </w:r>
      <w:r>
        <w:rPr/>
        <w:t> 他应付款。</w:t>
      </w:r>
    </w:p>
    <w:p>
      <w:pPr>
        <w:pStyle w:val="BodyText"/>
        <w:spacing w:line="240" w:lineRule="auto" w:before="69"/>
        <w:ind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日，公司按照股权激励计划的规定解锁第二期限制性股票，共</w:t>
      </w:r>
      <w:r>
        <w:rPr>
          <w:spacing w:val="-47"/>
        </w:rPr>
        <w:t> </w:t>
      </w:r>
      <w:r>
        <w:rPr>
          <w:rFonts w:ascii="Times New Roman" w:hAnsi="Times New Roman" w:cs="Times New Roman" w:eastAsia="Times New Roman" w:hint="default"/>
        </w:rPr>
        <w:t>4,670,167</w:t>
      </w:r>
      <w:r>
        <w:rPr>
          <w:rFonts w:ascii="Times New Roman" w:hAnsi="Times New Roman" w:cs="Times New Roman" w:eastAsia="Times New Roman" w:hint="default"/>
          <w:spacing w:val="-2"/>
        </w:rPr>
        <w:t> </w:t>
      </w:r>
      <w:r>
        <w:rPr/>
        <w:t>股（转增前</w:t>
      </w:r>
      <w:r>
        <w:rPr>
          <w:spacing w:val="-47"/>
        </w:rPr>
        <w:t> </w:t>
      </w:r>
      <w:r>
        <w:rPr>
          <w:rFonts w:ascii="Times New Roman" w:hAnsi="Times New Roman" w:cs="Times New Roman" w:eastAsia="Times New Roman" w:hint="default"/>
        </w:rPr>
        <w:t>1,568,400</w:t>
      </w:r>
      <w:r>
        <w:rPr>
          <w:rFonts w:ascii="Times New Roman" w:hAnsi="Times New Roman" w:cs="Times New Roman" w:eastAsia="Times New Roman" w:hint="default"/>
          <w:spacing w:val="-2"/>
        </w:rPr>
        <w:t> </w:t>
      </w:r>
      <w:r>
        <w:rPr/>
        <w:t>股）</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right="185"/>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年，公司按照股权激励计划的规定回购了</w:t>
      </w:r>
      <w:r>
        <w:rPr>
          <w:spacing w:val="-46"/>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
        </w:rPr>
        <w:t> </w:t>
      </w:r>
      <w:r>
        <w:rPr/>
        <w:t>股（转增前）已授予的限制性股票，共计出资</w:t>
      </w:r>
      <w:r>
        <w:rPr>
          <w:spacing w:val="-46"/>
        </w:rPr>
        <w:t> </w:t>
      </w:r>
      <w:r>
        <w:rPr>
          <w:rFonts w:ascii="Times New Roman" w:hAnsi="Times New Roman" w:cs="Times New Roman" w:eastAsia="Times New Roman" w:hint="default"/>
        </w:rPr>
        <w:t>454,967.16</w:t>
      </w:r>
      <w:r>
        <w:rPr>
          <w:rFonts w:ascii="Times New Roman" w:hAnsi="Times New Roman" w:cs="Times New Roman" w:eastAsia="Times New Roman" w:hint="default"/>
          <w:spacing w:val="-1"/>
        </w:rPr>
        <w:t> </w:t>
      </w:r>
      <w:r>
        <w:rPr/>
        <w:t>元，冲减其 他应付款。</w:t>
      </w:r>
    </w:p>
    <w:p>
      <w:pPr>
        <w:pStyle w:val="BodyText"/>
        <w:spacing w:line="240" w:lineRule="auto" w:before="69"/>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月，公司按照股权激励计划的规定解锁第三期限制性股票，共</w:t>
      </w:r>
      <w:r>
        <w:rPr>
          <w:spacing w:val="-46"/>
        </w:rPr>
        <w:t> </w:t>
      </w:r>
      <w:r>
        <w:rPr>
          <w:rFonts w:ascii="Times New Roman" w:hAnsi="Times New Roman" w:cs="Times New Roman" w:eastAsia="Times New Roman" w:hint="default"/>
        </w:rPr>
        <w:t>5,869,538</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1,983,200</w:t>
      </w:r>
      <w:r>
        <w:rPr>
          <w:rFonts w:ascii="Times New Roman" w:hAnsi="Times New Roman" w:cs="Times New Roman" w:eastAsia="Times New Roman" w:hint="default"/>
          <w:spacing w:val="-1"/>
        </w:rPr>
        <w:t> </w:t>
      </w:r>
      <w:r>
        <w:rPr/>
        <w:t>股）</w:t>
      </w:r>
    </w:p>
    <w:p>
      <w:pPr>
        <w:pStyle w:val="BodyText"/>
        <w:spacing w:line="240" w:lineRule="auto" w:before="102"/>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年，公司按照股权激励计划的规定回购了</w:t>
      </w:r>
      <w:r>
        <w:rPr>
          <w:spacing w:val="-47"/>
        </w:rPr>
        <w:t> </w:t>
      </w:r>
      <w:r>
        <w:rPr>
          <w:rFonts w:ascii="Times New Roman" w:hAnsi="Times New Roman" w:cs="Times New Roman" w:eastAsia="Times New Roman" w:hint="default"/>
        </w:rPr>
        <w:t>142,924.00</w:t>
      </w:r>
      <w:r>
        <w:rPr>
          <w:rFonts w:ascii="Times New Roman" w:hAnsi="Times New Roman" w:cs="Times New Roman" w:eastAsia="Times New Roman" w:hint="default"/>
          <w:spacing w:val="-2"/>
        </w:rPr>
        <w:t> </w:t>
      </w:r>
      <w:r>
        <w:rPr/>
        <w:t>股已授予的限制性股票，共计出资</w:t>
      </w:r>
      <w:r>
        <w:rPr>
          <w:spacing w:val="-47"/>
        </w:rPr>
        <w:t> </w:t>
      </w:r>
      <w:r>
        <w:rPr>
          <w:rFonts w:ascii="Times New Roman" w:hAnsi="Times New Roman" w:cs="Times New Roman" w:eastAsia="Times New Roman" w:hint="default"/>
        </w:rPr>
        <w:t>454,967.16</w:t>
      </w:r>
      <w:r>
        <w:rPr>
          <w:rFonts w:ascii="Times New Roman" w:hAnsi="Times New Roman" w:cs="Times New Roman" w:eastAsia="Times New Roman" w:hint="default"/>
          <w:spacing w:val="-2"/>
        </w:rPr>
        <w:t> </w:t>
      </w:r>
      <w:r>
        <w:rPr/>
        <w:t>元，冲减其他应付</w:t>
      </w:r>
    </w:p>
    <w:p>
      <w:pPr>
        <w:pStyle w:val="BodyText"/>
        <w:spacing w:line="240" w:lineRule="auto" w:before="64"/>
        <w:ind w:right="0"/>
        <w:jc w:val="both"/>
      </w:pPr>
      <w:r>
        <w:rPr/>
        <w:t>款。本期共计注销以前年度回购的库存股</w:t>
      </w:r>
      <w:r>
        <w:rPr>
          <w:spacing w:val="-46"/>
        </w:rPr>
        <w:t> </w:t>
      </w:r>
      <w:r>
        <w:rPr>
          <w:rFonts w:ascii="Times New Roman" w:hAnsi="Times New Roman" w:cs="Times New Roman" w:eastAsia="Times New Roman" w:hint="default"/>
        </w:rPr>
        <w:t>1,137,457</w:t>
      </w:r>
      <w:r>
        <w:rPr>
          <w:rFonts w:ascii="Times New Roman" w:hAnsi="Times New Roman" w:cs="Times New Roman" w:eastAsia="Times New Roman" w:hint="default"/>
          <w:spacing w:val="-1"/>
        </w:rPr>
        <w:t> </w:t>
      </w:r>
      <w:r>
        <w:rPr/>
        <w:t>股。</w:t>
      </w:r>
    </w:p>
    <w:p>
      <w:pPr>
        <w:pStyle w:val="Heading7"/>
        <w:spacing w:line="240" w:lineRule="auto" w:before="102"/>
        <w:ind w:right="0"/>
        <w:jc w:val="both"/>
        <w:rPr>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年度股权激励</w:t>
      </w:r>
      <w:r>
        <w:rPr>
          <w:b w:val="0"/>
          <w:bCs w:val="0"/>
        </w:rPr>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4"/>
        </w:rPr>
        <w:t> </w:t>
      </w:r>
      <w:r>
        <w:rPr>
          <w:rFonts w:ascii="Times New Roman" w:hAnsi="Times New Roman" w:cs="Times New Roman" w:eastAsia="Times New Roman" w:hint="default"/>
        </w:rPr>
        <w:t>2014 </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10 </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30 </w:t>
      </w:r>
      <w:r>
        <w:rPr>
          <w:rFonts w:ascii="Times New Roman" w:hAnsi="Times New Roman" w:cs="Times New Roman" w:eastAsia="Times New Roman" w:hint="default"/>
          <w:spacing w:val="5"/>
        </w:rPr>
        <w:t> </w:t>
      </w:r>
      <w:r>
        <w:rPr>
          <w:spacing w:val="-3"/>
        </w:rPr>
        <w:t>日审议批准，本公司以定向发行的方式向</w:t>
      </w:r>
      <w:r>
        <w:rPr>
          <w:spacing w:val="-44"/>
        </w:rPr>
        <w:t> </w:t>
      </w:r>
      <w:r>
        <w:rPr>
          <w:rFonts w:ascii="Times New Roman" w:hAnsi="Times New Roman" w:cs="Times New Roman" w:eastAsia="Times New Roman" w:hint="default"/>
        </w:rPr>
        <w:t>556</w:t>
      </w:r>
      <w:r>
        <w:rPr>
          <w:rFonts w:ascii="Times New Roman" w:hAnsi="Times New Roman" w:cs="Times New Roman" w:eastAsia="Times New Roman" w:hint="default"/>
          <w:spacing w:val="1"/>
        </w:rPr>
        <w:t> </w:t>
      </w:r>
      <w:r>
        <w:rPr>
          <w:spacing w:val="-3"/>
        </w:rPr>
        <w:t>名激励对象授予限制性人民币普通股（</w:t>
      </w:r>
      <w:r>
        <w:rPr>
          <w:rFonts w:ascii="Times New Roman" w:hAnsi="Times New Roman" w:cs="Times New Roman" w:eastAsia="Times New Roman" w:hint="default"/>
          <w:spacing w:val="-3"/>
        </w:rPr>
        <w:t>A</w:t>
      </w:r>
    </w:p>
    <w:p>
      <w:pPr>
        <w:pStyle w:val="BodyText"/>
        <w:spacing w:line="240" w:lineRule="auto" w:before="63"/>
        <w:ind w:right="0"/>
        <w:jc w:val="both"/>
        <w:rPr>
          <w:rFonts w:ascii="Times New Roman" w:hAnsi="Times New Roman" w:cs="Times New Roman" w:eastAsia="Times New Roman" w:hint="default"/>
        </w:rPr>
      </w:pPr>
      <w:r>
        <w:rPr/>
        <w:t>股）</w:t>
      </w:r>
      <w:r>
        <w:rPr>
          <w:rFonts w:ascii="Times New Roman" w:hAnsi="Times New Roman" w:cs="Times New Roman" w:eastAsia="Times New Roman" w:hint="default"/>
        </w:rPr>
        <w:t>12,696,000</w:t>
      </w:r>
      <w:r>
        <w:rPr>
          <w:rFonts w:ascii="Times New Roman" w:hAnsi="Times New Roman" w:cs="Times New Roman" w:eastAsia="Times New Roman" w:hint="default"/>
          <w:spacing w:val="-2"/>
        </w:rPr>
        <w:t> </w:t>
      </w: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，授予价格</w:t>
      </w:r>
      <w:r>
        <w:rPr>
          <w:spacing w:val="-46"/>
        </w:rPr>
        <w:t> </w:t>
      </w:r>
      <w:r>
        <w:rPr>
          <w:rFonts w:ascii="Times New Roman" w:hAnsi="Times New Roman" w:cs="Times New Roman" w:eastAsia="Times New Roman" w:hint="default"/>
        </w:rPr>
        <w:t>6.50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股。募集资金总额为</w:t>
      </w:r>
      <w:r>
        <w:rPr>
          <w:spacing w:val="-46"/>
        </w:rPr>
        <w:t> </w:t>
      </w:r>
      <w:r>
        <w:rPr>
          <w:rFonts w:ascii="Times New Roman" w:hAnsi="Times New Roman" w:cs="Times New Roman" w:eastAsia="Times New Roman" w:hint="default"/>
        </w:rPr>
        <w:t>82,524,000.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元，其中，记入股本</w:t>
      </w:r>
      <w:r>
        <w:rPr>
          <w:spacing w:val="-46"/>
        </w:rPr>
        <w:t> </w:t>
      </w:r>
      <w:r>
        <w:rPr>
          <w:rFonts w:ascii="Times New Roman" w:hAnsi="Times New Roman" w:cs="Times New Roman" w:eastAsia="Times New Roman" w:hint="default"/>
        </w:rPr>
        <w:t>12,696,</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p>
    <w:p>
      <w:pPr>
        <w:pStyle w:val="BodyText"/>
        <w:spacing w:line="240" w:lineRule="auto" w:before="64"/>
        <w:ind w:right="0"/>
        <w:jc w:val="both"/>
      </w:pPr>
      <w:r>
        <w:rPr/>
        <w:t>元，记入资本公积（股本溢价）</w:t>
      </w:r>
      <w:r>
        <w:rPr>
          <w:rFonts w:ascii="Times New Roman" w:hAnsi="Times New Roman" w:cs="Times New Roman" w:eastAsia="Times New Roman" w:hint="default"/>
        </w:rPr>
        <w:t>69,828,000.00</w:t>
      </w:r>
      <w:r>
        <w:rPr>
          <w:rFonts w:ascii="Times New Roman" w:hAnsi="Times New Roman" w:cs="Times New Roman" w:eastAsia="Times New Roman" w:hint="default"/>
          <w:spacing w:val="-3"/>
        </w:rPr>
        <w:t> </w:t>
      </w:r>
      <w:r>
        <w:rPr/>
        <w:t>元。同时记入库存股</w:t>
      </w:r>
      <w:r>
        <w:rPr>
          <w:spacing w:val="-48"/>
        </w:rPr>
        <w:t> </w:t>
      </w:r>
      <w:r>
        <w:rPr>
          <w:rFonts w:ascii="Times New Roman" w:hAnsi="Times New Roman" w:cs="Times New Roman" w:eastAsia="Times New Roman" w:hint="default"/>
        </w:rPr>
        <w:t>82,524,000.00</w:t>
      </w:r>
      <w:r>
        <w:rPr>
          <w:rFonts w:ascii="Times New Roman" w:hAnsi="Times New Roman" w:cs="Times New Roman" w:eastAsia="Times New Roman" w:hint="default"/>
          <w:spacing w:val="-3"/>
        </w:rPr>
        <w:t> </w:t>
      </w:r>
      <w:r>
        <w:rPr/>
        <w:t>元，记入其他应付款</w:t>
      </w:r>
      <w:r>
        <w:rPr>
          <w:spacing w:val="-48"/>
        </w:rPr>
        <w:t> </w:t>
      </w:r>
      <w:r>
        <w:rPr>
          <w:rFonts w:ascii="Times New Roman" w:hAnsi="Times New Roman" w:cs="Times New Roman" w:eastAsia="Times New Roman" w:hint="default"/>
        </w:rPr>
        <w:t>82,524,000.00</w:t>
      </w:r>
      <w:r>
        <w:rPr>
          <w:rFonts w:ascii="Times New Roman" w:hAnsi="Times New Roman" w:cs="Times New Roman" w:eastAsia="Times New Roman" w:hint="default"/>
          <w:spacing w:val="-3"/>
        </w:rPr>
        <w:t> </w:t>
      </w:r>
      <w:r>
        <w:rPr/>
        <w:t>元。</w:t>
      </w:r>
    </w:p>
    <w:p>
      <w:pPr>
        <w:pStyle w:val="BodyText"/>
        <w:spacing w:line="300" w:lineRule="auto" w:before="102"/>
        <w:ind w:right="189"/>
        <w:jc w:val="both"/>
      </w:pPr>
      <w:r>
        <w:rPr/>
        <w:t>根据公司股权激励计划，激励对象获授限制性股票之日起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6"/>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5"/>
        </w:rPr>
        <w:t>个月后、</w:t>
      </w:r>
      <w:r>
        <w:rPr>
          <w:rFonts w:ascii="Times New Roman" w:hAnsi="Times New Roman" w:cs="Times New Roman" w:eastAsia="Times New Roman" w:hint="default"/>
          <w:spacing w:val="-5"/>
        </w:rPr>
        <w:t>24</w:t>
      </w:r>
      <w:r>
        <w:rPr>
          <w:rFonts w:ascii="Times New Roman" w:hAnsi="Times New Roman" w:cs="Times New Roman" w:eastAsia="Times New Roman" w:hint="default"/>
          <w:spacing w:val="-7"/>
        </w:rPr>
        <w:t> </w:t>
      </w:r>
      <w:r>
        <w:rPr>
          <w:spacing w:val="-5"/>
        </w:rPr>
        <w:t>个月后、</w:t>
      </w:r>
      <w:r>
        <w:rPr>
          <w:rFonts w:ascii="Times New Roman" w:hAnsi="Times New Roman" w:cs="Times New Roman" w:eastAsia="Times New Roman" w:hint="default"/>
          <w:spacing w:val="-5"/>
        </w:rPr>
        <w:t>36</w:t>
      </w:r>
      <w:r>
        <w:rPr>
          <w:rFonts w:ascii="Times New Roman" w:hAnsi="Times New Roman" w:cs="Times New Roman" w:eastAsia="Times New Roman" w:hint="default"/>
          <w:spacing w:val="-7"/>
        </w:rPr>
        <w:t>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2"/>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年，公司按照股权激励计划的规定回购了</w:t>
      </w:r>
      <w:r>
        <w:rPr>
          <w:spacing w:val="-47"/>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
        </w:rPr>
        <w:t> </w:t>
      </w:r>
      <w:r>
        <w:rPr/>
        <w:t>股已授予的限制性股票，共计出资</w:t>
      </w:r>
      <w:r>
        <w:rPr>
          <w:spacing w:val="-47"/>
        </w:rPr>
        <w:t> </w:t>
      </w:r>
      <w:r>
        <w:rPr>
          <w:rFonts w:ascii="Times New Roman" w:hAnsi="Times New Roman" w:cs="Times New Roman" w:eastAsia="Times New Roman" w:hint="default"/>
        </w:rPr>
        <w:t>195,000.00</w:t>
      </w:r>
      <w:r>
        <w:rPr>
          <w:rFonts w:ascii="Times New Roman" w:hAnsi="Times New Roman" w:cs="Times New Roman" w:eastAsia="Times New Roman" w:hint="default"/>
          <w:spacing w:val="-2"/>
        </w:rPr>
        <w:t> </w:t>
      </w:r>
      <w:r>
        <w:rPr/>
        <w:t>元，冲减其他应付款。</w:t>
      </w:r>
    </w:p>
    <w:p>
      <w:pPr>
        <w:pStyle w:val="BodyText"/>
        <w:spacing w:line="240" w:lineRule="auto" w:before="102"/>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 </w:t>
      </w:r>
      <w:r>
        <w:rPr/>
        <w:t>日，公司按照股权激励计划的规定解锁第一期限制性股票，共</w:t>
      </w:r>
      <w:r>
        <w:rPr>
          <w:spacing w:val="-46"/>
        </w:rPr>
        <w:t> </w:t>
      </w:r>
      <w:r>
        <w:rPr>
          <w:rFonts w:ascii="Times New Roman" w:hAnsi="Times New Roman" w:cs="Times New Roman" w:eastAsia="Times New Roman" w:hint="default"/>
        </w:rPr>
        <w:t>4,293,0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3,691,800</w:t>
      </w:r>
      <w:r>
        <w:rPr>
          <w:rFonts w:ascii="Times New Roman" w:hAnsi="Times New Roman" w:cs="Times New Roman" w:eastAsia="Times New Roman" w:hint="default"/>
          <w:spacing w:val="-1"/>
        </w:rPr>
        <w:t> </w:t>
      </w:r>
      <w:r>
        <w:rPr/>
        <w:t>股</w:t>
      </w:r>
      <w:r>
        <w:rPr>
          <w:spacing w:val="-90"/>
        </w:rPr>
        <w:t>）</w:t>
      </w:r>
      <w:r>
        <w:rPr/>
        <w:t>。</w:t>
      </w:r>
    </w:p>
    <w:p>
      <w:pPr>
        <w:pStyle w:val="BodyText"/>
        <w:spacing w:line="302" w:lineRule="auto" w:before="102"/>
        <w:ind w:right="18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年，公司按照股权激励计划的规定回购了</w:t>
      </w:r>
      <w:r>
        <w:rPr>
          <w:spacing w:val="-54"/>
        </w:rPr>
        <w:t> </w:t>
      </w:r>
      <w:r>
        <w:rPr>
          <w:rFonts w:ascii="Times New Roman" w:hAnsi="Times New Roman" w:cs="Times New Roman" w:eastAsia="Times New Roman" w:hint="default"/>
        </w:rPr>
        <w:t>507,250</w:t>
      </w:r>
      <w:r>
        <w:rPr>
          <w:rFonts w:ascii="Times New Roman" w:hAnsi="Times New Roman" w:cs="Times New Roman" w:eastAsia="Times New Roman" w:hint="default"/>
          <w:spacing w:val="-9"/>
        </w:rPr>
        <w:t> </w:t>
      </w:r>
      <w:r>
        <w:rPr/>
        <w:t>股（转增前）已授予的限制性股票，共计出资</w:t>
      </w:r>
      <w:r>
        <w:rPr>
          <w:spacing w:val="-54"/>
        </w:rPr>
        <w:t> </w:t>
      </w:r>
      <w:r>
        <w:rPr>
          <w:rFonts w:ascii="Times New Roman" w:hAnsi="Times New Roman" w:cs="Times New Roman" w:eastAsia="Times New Roman" w:hint="default"/>
        </w:rPr>
        <w:t>2,934,750.00</w:t>
      </w:r>
      <w:r>
        <w:rPr>
          <w:rFonts w:ascii="Times New Roman" w:hAnsi="Times New Roman" w:cs="Times New Roman" w:eastAsia="Times New Roman" w:hint="default"/>
          <w:spacing w:val="-10"/>
        </w:rPr>
        <w:t> </w:t>
      </w:r>
      <w:r>
        <w:rPr/>
        <w:t>元，冲减 其他应付款。</w:t>
      </w:r>
    </w:p>
    <w:p>
      <w:pPr>
        <w:pStyle w:val="BodyText"/>
        <w:spacing w:line="240" w:lineRule="auto" w:before="69"/>
        <w:ind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日，公司按照股权激励计划的规定解锁第二期限制性股票，共</w:t>
      </w:r>
      <w:r>
        <w:rPr>
          <w:spacing w:val="-46"/>
        </w:rPr>
        <w:t> </w:t>
      </w:r>
      <w:r>
        <w:rPr>
          <w:rFonts w:ascii="Times New Roman" w:hAnsi="Times New Roman" w:cs="Times New Roman" w:eastAsia="Times New Roman" w:hint="default"/>
        </w:rPr>
        <w:t>5,096,7</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3,397,800</w:t>
      </w:r>
      <w:r>
        <w:rPr>
          <w:rFonts w:ascii="Times New Roman" w:hAnsi="Times New Roman" w:cs="Times New Roman" w:eastAsia="Times New Roman" w:hint="default"/>
          <w:spacing w:val="-1"/>
        </w:rPr>
        <w:t> </w:t>
      </w:r>
      <w:r>
        <w:rPr/>
        <w:t>股</w:t>
      </w:r>
      <w:r>
        <w:rPr>
          <w:spacing w:val="-90"/>
        </w:rPr>
        <w:t>）</w:t>
      </w:r>
      <w:r>
        <w:rPr/>
        <w:t>。</w:t>
      </w:r>
    </w:p>
    <w:p>
      <w:pPr>
        <w:pStyle w:val="BodyText"/>
        <w:spacing w:line="240" w:lineRule="auto" w:before="102"/>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月，公司按照股权激励计划的规定解锁第三期限制性股票，共</w:t>
      </w:r>
      <w:r>
        <w:rPr>
          <w:spacing w:val="-46"/>
        </w:rPr>
        <w:t> </w:t>
      </w:r>
      <w:r>
        <w:rPr>
          <w:rFonts w:ascii="Times New Roman" w:hAnsi="Times New Roman" w:cs="Times New Roman" w:eastAsia="Times New Roman" w:hint="default"/>
        </w:rPr>
        <w:t>6,000,600</w:t>
      </w:r>
      <w:r>
        <w:rPr>
          <w:rFonts w:ascii="Times New Roman" w:hAnsi="Times New Roman" w:cs="Times New Roman" w:eastAsia="Times New Roman" w:hint="default"/>
          <w:spacing w:val="-1"/>
        </w:rPr>
        <w:t> </w:t>
      </w:r>
      <w:r>
        <w:rPr/>
        <w:t>股（转增前</w:t>
      </w:r>
      <w:r>
        <w:rPr>
          <w:spacing w:val="-46"/>
        </w:rPr>
        <w:t> </w:t>
      </w:r>
      <w:r>
        <w:rPr>
          <w:rFonts w:ascii="Times New Roman" w:hAnsi="Times New Roman" w:cs="Times New Roman" w:eastAsia="Times New Roman" w:hint="default"/>
        </w:rPr>
        <w:t>4,000,400</w:t>
      </w:r>
      <w:r>
        <w:rPr>
          <w:rFonts w:ascii="Times New Roman" w:hAnsi="Times New Roman" w:cs="Times New Roman" w:eastAsia="Times New Roman" w:hint="default"/>
          <w:spacing w:val="-1"/>
        </w:rPr>
        <w:t> </w:t>
      </w:r>
      <w:r>
        <w:rPr/>
        <w:t>股）</w:t>
      </w:r>
    </w:p>
    <w:p>
      <w:pPr>
        <w:pStyle w:val="BodyText"/>
        <w:spacing w:line="240" w:lineRule="auto" w:before="102"/>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年，公司按照股权激励计划的规定回购了</w:t>
      </w:r>
      <w:r>
        <w:rPr>
          <w:spacing w:val="-57"/>
        </w:rPr>
        <w:t> </w:t>
      </w:r>
      <w:r>
        <w:rPr>
          <w:rFonts w:ascii="Times New Roman" w:hAnsi="Times New Roman" w:cs="Times New Roman" w:eastAsia="Times New Roman" w:hint="default"/>
        </w:rPr>
        <w:t>727,500.00</w:t>
      </w:r>
      <w:r>
        <w:rPr>
          <w:rFonts w:ascii="Times New Roman" w:hAnsi="Times New Roman" w:cs="Times New Roman" w:eastAsia="Times New Roman" w:hint="default"/>
          <w:spacing w:val="-12"/>
        </w:rPr>
        <w:t> </w:t>
      </w:r>
      <w:r>
        <w:rPr/>
        <w:t>股已授予的限制性股票，共计出资</w:t>
      </w:r>
      <w:r>
        <w:rPr>
          <w:spacing w:val="-57"/>
        </w:rPr>
        <w:t> </w:t>
      </w:r>
      <w:r>
        <w:rPr>
          <w:rFonts w:ascii="Times New Roman" w:hAnsi="Times New Roman" w:cs="Times New Roman" w:eastAsia="Times New Roman" w:hint="default"/>
        </w:rPr>
        <w:t>3,064,200.00</w:t>
      </w:r>
      <w:r>
        <w:rPr>
          <w:rFonts w:ascii="Times New Roman" w:hAnsi="Times New Roman" w:cs="Times New Roman" w:eastAsia="Times New Roman" w:hint="default"/>
          <w:spacing w:val="-12"/>
        </w:rPr>
        <w:t> </w:t>
      </w:r>
      <w:r>
        <w:rPr>
          <w:spacing w:val="-4"/>
        </w:rPr>
        <w:t>元，冲减其他应付</w:t>
      </w:r>
    </w:p>
    <w:p>
      <w:pPr>
        <w:pStyle w:val="BodyText"/>
        <w:spacing w:line="240" w:lineRule="auto" w:before="64"/>
        <w:ind w:right="0"/>
        <w:jc w:val="both"/>
      </w:pPr>
      <w:r>
        <w:rPr/>
        <w:t>款。本期共计注销以前年度回购的库存股</w:t>
      </w:r>
      <w:r>
        <w:rPr>
          <w:spacing w:val="-46"/>
        </w:rPr>
        <w:t> </w:t>
      </w:r>
      <w:r>
        <w:rPr>
          <w:rFonts w:ascii="Times New Roman" w:hAnsi="Times New Roman" w:cs="Times New Roman" w:eastAsia="Times New Roman" w:hint="default"/>
        </w:rPr>
        <w:t>2,398,500</w:t>
      </w:r>
      <w:r>
        <w:rPr>
          <w:rFonts w:ascii="Times New Roman" w:hAnsi="Times New Roman" w:cs="Times New Roman" w:eastAsia="Times New Roman" w:hint="default"/>
          <w:spacing w:val="-1"/>
        </w:rPr>
        <w:t> </w:t>
      </w:r>
      <w:r>
        <w:rPr/>
        <w:t>股。</w:t>
      </w:r>
    </w:p>
    <w:p>
      <w:pPr>
        <w:pStyle w:val="Heading7"/>
        <w:spacing w:line="240" w:lineRule="auto" w:before="102"/>
        <w:ind w:right="0"/>
        <w:jc w:val="both"/>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年度股权激励</w:t>
      </w:r>
      <w:r>
        <w:rPr>
          <w:b w:val="0"/>
          <w:bCs w:val="0"/>
        </w:rPr>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 </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3  </w:t>
      </w:r>
      <w:r>
        <w:rPr/>
        <w:t>日审议批准，本公司以定向发行的方式向</w:t>
      </w:r>
      <w:r>
        <w:rPr>
          <w:spacing w:val="-46"/>
        </w:rPr>
        <w:t> </w:t>
      </w:r>
      <w:r>
        <w:rPr>
          <w:rFonts w:ascii="Times New Roman" w:hAnsi="Times New Roman" w:cs="Times New Roman" w:eastAsia="Times New Roman" w:hint="default"/>
        </w:rPr>
        <w:t>251</w:t>
      </w:r>
      <w:r>
        <w:rPr>
          <w:rFonts w:ascii="Times New Roman" w:hAnsi="Times New Roman" w:cs="Times New Roman" w:eastAsia="Times New Roman" w:hint="default"/>
          <w:spacing w:val="-1"/>
        </w:rPr>
        <w:t> </w:t>
      </w:r>
      <w:r>
        <w:rPr/>
        <w:t>名激励对象授予限制性人民币普通股（</w:t>
      </w:r>
      <w:r>
        <w:rPr>
          <w:rFonts w:ascii="Times New Roman" w:hAnsi="Times New Roman" w:cs="Times New Roman" w:eastAsia="Times New Roman" w:hint="default"/>
        </w:rPr>
        <w:t>A</w:t>
      </w:r>
    </w:p>
    <w:p>
      <w:pPr>
        <w:pStyle w:val="BodyText"/>
        <w:spacing w:line="240" w:lineRule="auto" w:before="63"/>
        <w:ind w:right="0"/>
        <w:jc w:val="both"/>
      </w:pPr>
      <w:r>
        <w:rPr/>
        <w:t>股</w:t>
      </w:r>
      <w:r>
        <w:rPr>
          <w:spacing w:val="-14"/>
        </w:rPr>
        <w:t>）</w:t>
      </w:r>
      <w:r>
        <w:rPr>
          <w:rFonts w:ascii="Times New Roman" w:hAnsi="Times New Roman" w:cs="Times New Roman" w:eastAsia="Times New Roman" w:hint="default"/>
        </w:rPr>
        <w:t>5,026,000</w:t>
      </w:r>
      <w:r>
        <w:rPr>
          <w:rFonts w:ascii="Times New Roman" w:hAnsi="Times New Roman" w:cs="Times New Roman" w:eastAsia="Times New Roman" w:hint="default"/>
          <w:spacing w:val="-2"/>
        </w:rPr>
        <w:t> </w:t>
      </w:r>
      <w:r>
        <w:rPr>
          <w:spacing w:val="-14"/>
        </w:rPr>
        <w:t>股</w:t>
      </w:r>
      <w:r>
        <w:rPr/>
        <w:t>（每股面值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spacing w:val="-14"/>
        </w:rPr>
        <w:t>，</w:t>
      </w:r>
      <w:r>
        <w:rPr/>
        <w:t>授予价格</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spacing w:val="1"/>
        </w:rPr>
        <w:t>股</w:t>
      </w:r>
      <w:r>
        <w:rPr>
          <w:spacing w:val="-14"/>
        </w:rPr>
        <w:t>。</w:t>
      </w:r>
      <w:r>
        <w:rPr/>
        <w:t>募集资金总额为</w:t>
      </w:r>
      <w:r>
        <w:rPr>
          <w:spacing w:val="-46"/>
        </w:rPr>
        <w:t> </w:t>
      </w:r>
      <w:r>
        <w:rPr>
          <w:rFonts w:ascii="Times New Roman" w:hAnsi="Times New Roman" w:cs="Times New Roman" w:eastAsia="Times New Roman" w:hint="default"/>
        </w:rPr>
        <w:t>55,336,26</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w:t>
      </w:r>
      <w:r>
        <w:rPr>
          <w:spacing w:val="-14"/>
        </w:rPr>
        <w:t>，</w:t>
      </w:r>
      <w:r>
        <w:rPr/>
        <w:t>其中</w:t>
      </w:r>
      <w:r>
        <w:rPr>
          <w:spacing w:val="-14"/>
        </w:rPr>
        <w:t>，</w:t>
      </w:r>
      <w:r>
        <w:rPr/>
        <w:t>记入股本</w:t>
      </w:r>
      <w:r>
        <w:rPr>
          <w:spacing w:val="-46"/>
        </w:rPr>
        <w:t> </w:t>
      </w:r>
      <w:r>
        <w:rPr>
          <w:rFonts w:ascii="Times New Roman" w:hAnsi="Times New Roman" w:cs="Times New Roman" w:eastAsia="Times New Roman" w:hint="default"/>
        </w:rPr>
        <w:t>5,026,000</w:t>
      </w:r>
      <w:r>
        <w:rPr>
          <w:rFonts w:ascii="Times New Roman" w:hAnsi="Times New Roman" w:cs="Times New Roman" w:eastAsia="Times New Roman" w:hint="default"/>
          <w:spacing w:val="-1"/>
        </w:rPr>
        <w:t> </w:t>
      </w:r>
      <w:r>
        <w:rPr>
          <w:spacing w:val="1"/>
        </w:rPr>
        <w:t>元，</w:t>
      </w:r>
      <w:r>
        <w:rPr/>
      </w:r>
    </w:p>
    <w:p>
      <w:pPr>
        <w:pStyle w:val="BodyText"/>
        <w:spacing w:line="240" w:lineRule="auto" w:before="64"/>
        <w:ind w:right="0"/>
        <w:jc w:val="both"/>
      </w:pPr>
      <w:r>
        <w:rPr/>
        <w:t>记入资本公积（股本溢价）</w:t>
      </w:r>
      <w:r>
        <w:rPr>
          <w:rFonts w:ascii="Times New Roman" w:hAnsi="Times New Roman" w:cs="Times New Roman" w:eastAsia="Times New Roman" w:hint="default"/>
        </w:rPr>
        <w:t>50,310,260.00</w:t>
      </w:r>
      <w:r>
        <w:rPr>
          <w:rFonts w:ascii="Times New Roman" w:hAnsi="Times New Roman" w:cs="Times New Roman" w:eastAsia="Times New Roman" w:hint="default"/>
          <w:spacing w:val="-2"/>
        </w:rPr>
        <w:t> </w:t>
      </w:r>
      <w:r>
        <w:rPr/>
        <w:t>元，同时记入库存股</w:t>
      </w:r>
      <w:r>
        <w:rPr>
          <w:spacing w:val="-47"/>
        </w:rPr>
        <w:t> </w:t>
      </w:r>
      <w:r>
        <w:rPr>
          <w:rFonts w:ascii="Times New Roman" w:hAnsi="Times New Roman" w:cs="Times New Roman" w:eastAsia="Times New Roman" w:hint="default"/>
        </w:rPr>
        <w:t>55,336,260.00</w:t>
      </w:r>
      <w:r>
        <w:rPr>
          <w:rFonts w:ascii="Times New Roman" w:hAnsi="Times New Roman" w:cs="Times New Roman" w:eastAsia="Times New Roman" w:hint="default"/>
          <w:spacing w:val="-2"/>
        </w:rPr>
        <w:t> </w:t>
      </w:r>
      <w:r>
        <w:rPr/>
        <w:t>元，记入其他应付款</w:t>
      </w:r>
      <w:r>
        <w:rPr>
          <w:spacing w:val="-47"/>
        </w:rPr>
        <w:t> </w:t>
      </w:r>
      <w:r>
        <w:rPr>
          <w:rFonts w:ascii="Times New Roman" w:hAnsi="Times New Roman" w:cs="Times New Roman" w:eastAsia="Times New Roman" w:hint="default"/>
        </w:rPr>
        <w:t>55,336,260.00</w:t>
      </w:r>
      <w:r>
        <w:rPr>
          <w:rFonts w:ascii="Times New Roman" w:hAnsi="Times New Roman" w:cs="Times New Roman" w:eastAsia="Times New Roman" w:hint="default"/>
          <w:spacing w:val="-2"/>
        </w:rPr>
        <w:t> </w:t>
      </w:r>
      <w:r>
        <w:rPr/>
        <w:t>元。</w:t>
      </w:r>
    </w:p>
    <w:p>
      <w:pPr>
        <w:pStyle w:val="BodyText"/>
        <w:spacing w:line="300" w:lineRule="auto" w:before="102"/>
        <w:ind w:right="189"/>
        <w:jc w:val="both"/>
      </w:pPr>
      <w:r>
        <w:rPr/>
        <w:t>根据公司股权激励计划，激励对象获授限制性股票之日起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6"/>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5"/>
        </w:rPr>
        <w:t>个月后、</w:t>
      </w:r>
      <w:r>
        <w:rPr>
          <w:rFonts w:ascii="Times New Roman" w:hAnsi="Times New Roman" w:cs="Times New Roman" w:eastAsia="Times New Roman" w:hint="default"/>
          <w:spacing w:val="-5"/>
        </w:rPr>
        <w:t>24</w:t>
      </w:r>
      <w:r>
        <w:rPr>
          <w:rFonts w:ascii="Times New Roman" w:hAnsi="Times New Roman" w:cs="Times New Roman" w:eastAsia="Times New Roman" w:hint="default"/>
          <w:spacing w:val="-7"/>
        </w:rPr>
        <w:t> </w:t>
      </w:r>
      <w:r>
        <w:rPr>
          <w:spacing w:val="-5"/>
        </w:rPr>
        <w:t>个月后、</w:t>
      </w:r>
      <w:r>
        <w:rPr>
          <w:rFonts w:ascii="Times New Roman" w:hAnsi="Times New Roman" w:cs="Times New Roman" w:eastAsia="Times New Roman" w:hint="default"/>
          <w:spacing w:val="-5"/>
        </w:rPr>
        <w:t>36</w:t>
      </w:r>
      <w:r>
        <w:rPr>
          <w:rFonts w:ascii="Times New Roman" w:hAnsi="Times New Roman" w:cs="Times New Roman" w:eastAsia="Times New Roman" w:hint="default"/>
          <w:spacing w:val="-7"/>
        </w:rPr>
        <w:t>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2"/>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年，公司按照股权激励计划的规定回购了</w:t>
      </w:r>
      <w:r>
        <w:rPr>
          <w:spacing w:val="-47"/>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2"/>
        </w:rPr>
        <w:t> </w:t>
      </w:r>
      <w:r>
        <w:rPr/>
        <w:t>股已授予的限制性股票，共计出资</w:t>
      </w:r>
      <w:r>
        <w:rPr>
          <w:spacing w:val="-47"/>
        </w:rPr>
        <w:t> </w:t>
      </w:r>
      <w:r>
        <w:rPr>
          <w:rFonts w:ascii="Times New Roman" w:hAnsi="Times New Roman" w:cs="Times New Roman" w:eastAsia="Times New Roman" w:hint="default"/>
        </w:rPr>
        <w:t>550,500.00</w:t>
      </w:r>
      <w:r>
        <w:rPr>
          <w:rFonts w:ascii="Times New Roman" w:hAnsi="Times New Roman" w:cs="Times New Roman" w:eastAsia="Times New Roman" w:hint="default"/>
          <w:spacing w:val="-2"/>
        </w:rPr>
        <w:t> </w:t>
      </w:r>
      <w:r>
        <w:rPr/>
        <w:t>元，冲减其他应付款。</w:t>
      </w:r>
    </w:p>
    <w:p>
      <w:pPr>
        <w:pStyle w:val="BodyText"/>
        <w:spacing w:line="240" w:lineRule="auto" w:before="102"/>
        <w:ind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日，公司按照股权激励计划的规定解锁第一期限制性股票，共</w:t>
      </w:r>
      <w:r>
        <w:rPr>
          <w:spacing w:val="-47"/>
        </w:rPr>
        <w:t> </w:t>
      </w:r>
      <w:r>
        <w:rPr>
          <w:rFonts w:ascii="Times New Roman" w:hAnsi="Times New Roman" w:cs="Times New Roman" w:eastAsia="Times New Roman" w:hint="default"/>
        </w:rPr>
        <w:t>1,217,100</w:t>
      </w:r>
      <w:r>
        <w:rPr>
          <w:rFonts w:ascii="Times New Roman" w:hAnsi="Times New Roman" w:cs="Times New Roman" w:eastAsia="Times New Roman" w:hint="default"/>
          <w:spacing w:val="-2"/>
        </w:rPr>
        <w:t> </w:t>
      </w:r>
      <w:r>
        <w:rPr/>
        <w:t>股（转增前</w:t>
      </w:r>
      <w:r>
        <w:rPr>
          <w:spacing w:val="-47"/>
        </w:rPr>
        <w:t> </w:t>
      </w:r>
      <w:r>
        <w:rPr>
          <w:rFonts w:ascii="Times New Roman" w:hAnsi="Times New Roman" w:cs="Times New Roman" w:eastAsia="Times New Roman" w:hint="default"/>
        </w:rPr>
        <w:t>1,217,100</w:t>
      </w:r>
      <w:r>
        <w:rPr>
          <w:rFonts w:ascii="Times New Roman" w:hAnsi="Times New Roman" w:cs="Times New Roman" w:eastAsia="Times New Roman" w:hint="default"/>
          <w:spacing w:val="-2"/>
        </w:rPr>
        <w:t> </w:t>
      </w:r>
      <w:r>
        <w:rPr/>
        <w:t>股）</w:t>
      </w:r>
    </w:p>
    <w:p>
      <w:pPr>
        <w:pStyle w:val="BodyText"/>
        <w:spacing w:line="302" w:lineRule="auto" w:before="102"/>
        <w:ind w:right="235"/>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年，公司按照股权激励计划的规定回购了</w:t>
      </w:r>
      <w:r>
        <w:rPr>
          <w:spacing w:val="-47"/>
        </w:rPr>
        <w:t> </w:t>
      </w:r>
      <w:r>
        <w:rPr>
          <w:rFonts w:ascii="Times New Roman" w:hAnsi="Times New Roman" w:cs="Times New Roman" w:eastAsia="Times New Roman" w:hint="default"/>
        </w:rPr>
        <w:t>919,000</w:t>
      </w:r>
      <w:r>
        <w:rPr>
          <w:rFonts w:ascii="Times New Roman" w:hAnsi="Times New Roman" w:cs="Times New Roman" w:eastAsia="Times New Roman" w:hint="default"/>
          <w:spacing w:val="-2"/>
        </w:rPr>
        <w:t> </w:t>
      </w:r>
      <w:r>
        <w:rPr/>
        <w:t>股（转增前）已授予的限制性股票，共计出资</w:t>
      </w:r>
      <w:r>
        <w:rPr>
          <w:spacing w:val="-47"/>
        </w:rPr>
        <w:t> </w:t>
      </w:r>
      <w:r>
        <w:rPr>
          <w:rFonts w:ascii="Times New Roman" w:hAnsi="Times New Roman" w:cs="Times New Roman" w:eastAsia="Times New Roman" w:hint="default"/>
        </w:rPr>
        <w:t>10,098,870.00</w:t>
      </w:r>
      <w:r>
        <w:rPr>
          <w:rFonts w:ascii="Times New Roman" w:hAnsi="Times New Roman" w:cs="Times New Roman" w:eastAsia="Times New Roman" w:hint="default"/>
          <w:spacing w:val="-2"/>
        </w:rPr>
        <w:t> </w:t>
      </w:r>
      <w:r>
        <w:rPr/>
        <w:t>元，冲 减其他应付款。</w:t>
      </w:r>
    </w:p>
    <w:p>
      <w:pPr>
        <w:pStyle w:val="BodyText"/>
        <w:spacing w:line="240" w:lineRule="auto" w:before="69"/>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月，公司按照股权激励计划的规定解锁第一期限制性股票，共</w:t>
      </w:r>
      <w:r>
        <w:rPr>
          <w:spacing w:val="-46"/>
        </w:rPr>
        <w:t> </w:t>
      </w:r>
      <w:r>
        <w:rPr>
          <w:rFonts w:ascii="Times New Roman" w:hAnsi="Times New Roman" w:cs="Times New Roman" w:eastAsia="Times New Roman" w:hint="default"/>
        </w:rPr>
        <w:t>1,059,300</w:t>
      </w:r>
      <w:r>
        <w:rPr>
          <w:rFonts w:ascii="Times New Roman" w:hAnsi="Times New Roman" w:cs="Times New Roman" w:eastAsia="Times New Roman" w:hint="default"/>
          <w:spacing w:val="-1"/>
        </w:rPr>
        <w:t> </w:t>
      </w:r>
      <w:r>
        <w:rPr/>
        <w:t>股。</w:t>
      </w:r>
    </w:p>
    <w:p>
      <w:pPr>
        <w:pStyle w:val="BodyText"/>
        <w:spacing w:line="240" w:lineRule="auto" w:before="101"/>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年，公司按照股权激励计划的规定回购了</w:t>
      </w:r>
      <w:r>
        <w:rPr>
          <w:spacing w:val="-57"/>
        </w:rPr>
        <w:t> </w:t>
      </w:r>
      <w:r>
        <w:rPr>
          <w:rFonts w:ascii="Times New Roman" w:hAnsi="Times New Roman" w:cs="Times New Roman" w:eastAsia="Times New Roman" w:hint="default"/>
        </w:rPr>
        <w:t>368,200.00</w:t>
      </w:r>
      <w:r>
        <w:rPr>
          <w:rFonts w:ascii="Times New Roman" w:hAnsi="Times New Roman" w:cs="Times New Roman" w:eastAsia="Times New Roman" w:hint="default"/>
          <w:spacing w:val="-12"/>
        </w:rPr>
        <w:t> </w:t>
      </w:r>
      <w:r>
        <w:rPr/>
        <w:t>股已授予的限制性股票，共计出资</w:t>
      </w:r>
      <w:r>
        <w:rPr>
          <w:spacing w:val="-57"/>
        </w:rPr>
        <w:t> </w:t>
      </w:r>
      <w:r>
        <w:rPr>
          <w:rFonts w:ascii="Times New Roman" w:hAnsi="Times New Roman" w:cs="Times New Roman" w:eastAsia="Times New Roman" w:hint="default"/>
        </w:rPr>
        <w:t>4,034,331.00</w:t>
      </w:r>
      <w:r>
        <w:rPr>
          <w:rFonts w:ascii="Times New Roman" w:hAnsi="Times New Roman" w:cs="Times New Roman" w:eastAsia="Times New Roman" w:hint="default"/>
          <w:spacing w:val="-12"/>
        </w:rPr>
        <w:t> </w:t>
      </w:r>
      <w:r>
        <w:rPr>
          <w:spacing w:val="-4"/>
        </w:rPr>
        <w:t>元，冲减其他应付</w:t>
      </w:r>
    </w:p>
    <w:p>
      <w:pPr>
        <w:pStyle w:val="BodyText"/>
        <w:spacing w:line="240" w:lineRule="auto" w:before="64"/>
        <w:ind w:right="0"/>
        <w:jc w:val="both"/>
      </w:pPr>
      <w:r>
        <w:rPr/>
        <w:t>款。本期共计注销以前年度回购的库存股</w:t>
      </w:r>
      <w:r>
        <w:rPr>
          <w:spacing w:val="-46"/>
        </w:rPr>
        <w:t> </w:t>
      </w:r>
      <w:r>
        <w:rPr>
          <w:rFonts w:ascii="Times New Roman" w:hAnsi="Times New Roman" w:cs="Times New Roman" w:eastAsia="Times New Roman" w:hint="default"/>
        </w:rPr>
        <w:t>1,337,200</w:t>
      </w:r>
      <w:r>
        <w:rPr>
          <w:rFonts w:ascii="Times New Roman" w:hAnsi="Times New Roman" w:cs="Times New Roman" w:eastAsia="Times New Roman" w:hint="default"/>
          <w:spacing w:val="-1"/>
        </w:rPr>
        <w:t> </w:t>
      </w:r>
      <w:r>
        <w:rPr/>
        <w:t>股。</w:t>
      </w:r>
    </w:p>
    <w:p>
      <w:pPr>
        <w:pStyle w:val="Heading7"/>
        <w:spacing w:line="240" w:lineRule="auto" w:before="103"/>
        <w:ind w:right="0"/>
        <w:jc w:val="both"/>
        <w:rPr>
          <w:b w:val="0"/>
          <w:bCs w:val="0"/>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年度股权激励</w:t>
      </w:r>
      <w:r>
        <w:rPr>
          <w:b w:val="0"/>
          <w:bCs w:val="0"/>
        </w:rPr>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日审议批准，本公司以定向发行的方式向</w:t>
      </w:r>
      <w:r>
        <w:rPr>
          <w:spacing w:val="-46"/>
        </w:rPr>
        <w:t> </w:t>
      </w:r>
      <w:r>
        <w:rPr>
          <w:rFonts w:ascii="Times New Roman" w:hAnsi="Times New Roman" w:cs="Times New Roman" w:eastAsia="Times New Roman" w:hint="default"/>
        </w:rPr>
        <w:t>1039</w:t>
      </w:r>
      <w:r>
        <w:rPr>
          <w:rFonts w:ascii="Times New Roman" w:hAnsi="Times New Roman" w:cs="Times New Roman" w:eastAsia="Times New Roman" w:hint="default"/>
          <w:spacing w:val="-1"/>
        </w:rPr>
        <w:t> </w:t>
      </w:r>
      <w:r>
        <w:rPr/>
        <w:t>名激励对象授予限制性人民币普通股（</w:t>
      </w:r>
      <w:r>
        <w:rPr>
          <w:rFonts w:ascii="Times New Roman" w:hAnsi="Times New Roman" w:cs="Times New Roman" w:eastAsia="Times New Roman" w:hint="default"/>
        </w:rPr>
        <w:t>A</w:t>
      </w:r>
    </w:p>
    <w:p>
      <w:pPr>
        <w:pStyle w:val="BodyText"/>
        <w:spacing w:line="240" w:lineRule="auto" w:before="63"/>
        <w:ind w:right="0"/>
        <w:jc w:val="both"/>
        <w:rPr>
          <w:rFonts w:ascii="Times New Roman" w:hAnsi="Times New Roman" w:cs="Times New Roman" w:eastAsia="Times New Roman" w:hint="default"/>
        </w:rPr>
      </w:pPr>
      <w:r>
        <w:rPr/>
        <w:t>股</w:t>
      </w:r>
      <w:r>
        <w:rPr>
          <w:spacing w:val="-30"/>
        </w:rPr>
        <w:t>）</w:t>
      </w:r>
      <w:r>
        <w:rPr>
          <w:rFonts w:ascii="Times New Roman" w:hAnsi="Times New Roman" w:cs="Times New Roman" w:eastAsia="Times New Roman" w:hint="default"/>
        </w:rPr>
        <w:t>27,095,500</w:t>
      </w:r>
      <w:r>
        <w:rPr>
          <w:rFonts w:ascii="Times New Roman" w:hAnsi="Times New Roman" w:cs="Times New Roman" w:eastAsia="Times New Roman" w:hint="default"/>
          <w:spacing w:val="-1"/>
        </w:rPr>
        <w:t>.</w:t>
      </w:r>
      <w:r>
        <w:rPr>
          <w:spacing w:val="-30"/>
        </w:rPr>
        <w:t>股</w:t>
      </w:r>
      <w:r>
        <w:rPr/>
        <w:t>（每股面值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spacing w:val="-30"/>
        </w:rPr>
        <w:t>，</w:t>
      </w:r>
      <w:r>
        <w:rPr/>
        <w:t>授予</w:t>
      </w:r>
      <w:r>
        <w:rPr>
          <w:spacing w:val="1"/>
        </w:rPr>
        <w:t>价</w:t>
      </w:r>
      <w:r>
        <w:rPr/>
        <w:t>格</w:t>
      </w:r>
      <w:r>
        <w:rPr>
          <w:spacing w:val="-46"/>
        </w:rPr>
        <w:t> </w:t>
      </w:r>
      <w:r>
        <w:rPr>
          <w:rFonts w:ascii="Times New Roman" w:hAnsi="Times New Roman" w:cs="Times New Roman" w:eastAsia="Times New Roman" w:hint="default"/>
        </w:rPr>
        <w:t>7.27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r>
        <w:rPr>
          <w:spacing w:val="-29"/>
        </w:rPr>
        <w:t>。</w:t>
      </w:r>
      <w:r>
        <w:rPr/>
        <w:t>募集资金总额为</w:t>
      </w:r>
      <w:r>
        <w:rPr>
          <w:spacing w:val="-46"/>
        </w:rPr>
        <w:t> </w:t>
      </w:r>
      <w:r>
        <w:rPr>
          <w:rFonts w:ascii="Times New Roman" w:hAnsi="Times New Roman" w:cs="Times New Roman" w:eastAsia="Times New Roman" w:hint="default"/>
        </w:rPr>
        <w:t>196,984,285.00</w:t>
      </w:r>
      <w:r>
        <w:rPr>
          <w:rFonts w:ascii="Times New Roman" w:hAnsi="Times New Roman" w:cs="Times New Roman" w:eastAsia="Times New Roman" w:hint="default"/>
          <w:spacing w:val="-1"/>
        </w:rPr>
        <w:t> </w:t>
      </w:r>
      <w:r>
        <w:rPr/>
        <w:t>元</w:t>
      </w:r>
      <w:r>
        <w:rPr>
          <w:spacing w:val="-30"/>
        </w:rPr>
        <w:t>，</w:t>
      </w:r>
      <w:r>
        <w:rPr/>
        <w:t>其中</w:t>
      </w:r>
      <w:r>
        <w:rPr>
          <w:spacing w:val="-29"/>
        </w:rPr>
        <w:t>，</w:t>
      </w:r>
      <w:r>
        <w:rPr/>
        <w:t>记入股本</w:t>
      </w:r>
      <w:r>
        <w:rPr>
          <w:spacing w:val="-46"/>
        </w:rPr>
        <w:t> </w:t>
      </w:r>
      <w:r>
        <w:rPr>
          <w:rFonts w:ascii="Times New Roman" w:hAnsi="Times New Roman" w:cs="Times New Roman" w:eastAsia="Times New Roman" w:hint="default"/>
        </w:rPr>
        <w:t>27,095,500.00</w:t>
      </w:r>
    </w:p>
    <w:p>
      <w:pPr>
        <w:pStyle w:val="BodyText"/>
        <w:spacing w:line="240" w:lineRule="auto" w:before="64"/>
        <w:ind w:right="0"/>
        <w:jc w:val="both"/>
      </w:pPr>
      <w:r>
        <w:rPr/>
        <w:t>元，记入资本公积（股本溢价）</w:t>
      </w:r>
      <w:r>
        <w:rPr>
          <w:rFonts w:ascii="Times New Roman" w:hAnsi="Times New Roman" w:cs="Times New Roman" w:eastAsia="Times New Roman" w:hint="default"/>
        </w:rPr>
        <w:t>169,888,785.00</w:t>
      </w:r>
      <w:r>
        <w:rPr>
          <w:rFonts w:ascii="Times New Roman" w:hAnsi="Times New Roman" w:cs="Times New Roman" w:eastAsia="Times New Roman" w:hint="default"/>
          <w:spacing w:val="-3"/>
        </w:rPr>
        <w:t> </w:t>
      </w:r>
      <w:r>
        <w:rPr/>
        <w:t>元，同时记入库存股</w:t>
      </w:r>
      <w:r>
        <w:rPr>
          <w:spacing w:val="-48"/>
        </w:rPr>
        <w:t> </w:t>
      </w:r>
      <w:r>
        <w:rPr>
          <w:rFonts w:ascii="Times New Roman" w:hAnsi="Times New Roman" w:cs="Times New Roman" w:eastAsia="Times New Roman" w:hint="default"/>
        </w:rPr>
        <w:t>196,984,285.00</w:t>
      </w:r>
      <w:r>
        <w:rPr>
          <w:rFonts w:ascii="Times New Roman" w:hAnsi="Times New Roman" w:cs="Times New Roman" w:eastAsia="Times New Roman" w:hint="default"/>
          <w:spacing w:val="-3"/>
        </w:rPr>
        <w:t> </w:t>
      </w:r>
      <w:r>
        <w:rPr/>
        <w:t>元，记入其他应付款</w:t>
      </w:r>
      <w:r>
        <w:rPr>
          <w:spacing w:val="-48"/>
        </w:rPr>
        <w:t> </w:t>
      </w:r>
      <w:r>
        <w:rPr>
          <w:rFonts w:ascii="Times New Roman" w:hAnsi="Times New Roman" w:cs="Times New Roman" w:eastAsia="Times New Roman" w:hint="default"/>
        </w:rPr>
        <w:t>196,984,285.00</w:t>
      </w:r>
      <w:r>
        <w:rPr>
          <w:rFonts w:ascii="Times New Roman" w:hAnsi="Times New Roman" w:cs="Times New Roman" w:eastAsia="Times New Roman" w:hint="default"/>
          <w:spacing w:val="-3"/>
        </w:rPr>
        <w:t> </w:t>
      </w:r>
      <w:r>
        <w:rPr/>
        <w:t>元。</w:t>
      </w:r>
    </w:p>
    <w:p>
      <w:pPr>
        <w:pStyle w:val="BodyText"/>
        <w:spacing w:line="300" w:lineRule="auto" w:before="101"/>
        <w:ind w:right="189"/>
        <w:jc w:val="both"/>
      </w:pPr>
      <w:r>
        <w:rPr/>
        <w:t>根据公司股权激励计划，激励对象获授限制性股票之日起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6"/>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5"/>
        </w:rPr>
        <w:t>个月后、</w:t>
      </w:r>
      <w:r>
        <w:rPr>
          <w:rFonts w:ascii="Times New Roman" w:hAnsi="Times New Roman" w:cs="Times New Roman" w:eastAsia="Times New Roman" w:hint="default"/>
          <w:spacing w:val="-5"/>
        </w:rPr>
        <w:t>24</w:t>
      </w:r>
      <w:r>
        <w:rPr>
          <w:rFonts w:ascii="Times New Roman" w:hAnsi="Times New Roman" w:cs="Times New Roman" w:eastAsia="Times New Roman" w:hint="default"/>
          <w:spacing w:val="-7"/>
        </w:rPr>
        <w:t> </w:t>
      </w:r>
      <w:r>
        <w:rPr>
          <w:spacing w:val="-5"/>
        </w:rPr>
        <w:t>个月后、</w:t>
      </w:r>
      <w:r>
        <w:rPr>
          <w:rFonts w:ascii="Times New Roman" w:hAnsi="Times New Roman" w:cs="Times New Roman" w:eastAsia="Times New Roman" w:hint="default"/>
          <w:spacing w:val="-5"/>
        </w:rPr>
        <w:t>36</w:t>
      </w:r>
      <w:r>
        <w:rPr>
          <w:rFonts w:ascii="Times New Roman" w:hAnsi="Times New Roman" w:cs="Times New Roman" w:eastAsia="Times New Roman" w:hint="default"/>
          <w:spacing w:val="-7"/>
        </w:rPr>
        <w:t>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spacing w:after="0" w:line="300"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3"/>
        </w:rPr>
        <w:t>年，公司按照股权激励计划的规定回购了</w:t>
      </w:r>
      <w:r>
        <w:rPr>
          <w:spacing w:val="-42"/>
        </w:rPr>
        <w:t> </w:t>
      </w:r>
      <w:r>
        <w:rPr>
          <w:rFonts w:ascii="Times New Roman" w:hAnsi="Times New Roman" w:cs="Times New Roman" w:eastAsia="Times New Roman" w:hint="default"/>
        </w:rPr>
        <w:t>475,000</w:t>
      </w:r>
      <w:r>
        <w:rPr>
          <w:rFonts w:ascii="Times New Roman" w:hAnsi="Times New Roman" w:cs="Times New Roman" w:eastAsia="Times New Roman" w:hint="default"/>
          <w:spacing w:val="3"/>
        </w:rPr>
        <w:t> </w:t>
      </w:r>
      <w:r>
        <w:rPr>
          <w:spacing w:val="-3"/>
        </w:rPr>
        <w:t>股已授予的限制性股票，共计出资</w:t>
      </w:r>
      <w:r>
        <w:rPr>
          <w:spacing w:val="-42"/>
        </w:rPr>
        <w:t> </w:t>
      </w:r>
      <w:r>
        <w:rPr>
          <w:rFonts w:ascii="Times New Roman" w:hAnsi="Times New Roman" w:cs="Times New Roman" w:eastAsia="Times New Roman" w:hint="default"/>
        </w:rPr>
        <w:t>3,453,250.00</w:t>
      </w:r>
      <w:r>
        <w:rPr>
          <w:rFonts w:ascii="Times New Roman" w:hAnsi="Times New Roman" w:cs="Times New Roman" w:eastAsia="Times New Roman" w:hint="default"/>
          <w:spacing w:val="2"/>
        </w:rPr>
        <w:t> </w:t>
      </w:r>
      <w:r>
        <w:rPr>
          <w:spacing w:val="-5"/>
        </w:rPr>
        <w:t>元，冲减其他应付款。</w:t>
      </w:r>
    </w:p>
    <w:p>
      <w:pPr>
        <w:pStyle w:val="BodyText"/>
        <w:spacing w:line="240" w:lineRule="auto" w:before="102"/>
        <w:ind w:left="153" w:right="9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月，公司按照股权激励计划的规定解锁第一期限制性股票，共</w:t>
      </w:r>
      <w:r>
        <w:rPr>
          <w:spacing w:val="-46"/>
        </w:rPr>
        <w:t> </w:t>
      </w:r>
      <w:r>
        <w:rPr>
          <w:rFonts w:ascii="Times New Roman" w:hAnsi="Times New Roman" w:cs="Times New Roman" w:eastAsia="Times New Roman" w:hint="default"/>
        </w:rPr>
        <w:t>7,380,600</w:t>
      </w:r>
      <w:r>
        <w:rPr>
          <w:rFonts w:ascii="Times New Roman" w:hAnsi="Times New Roman" w:cs="Times New Roman" w:eastAsia="Times New Roman" w:hint="default"/>
          <w:spacing w:val="-1"/>
        </w:rPr>
        <w:t> </w:t>
      </w:r>
      <w:r>
        <w:rPr/>
        <w:t>股。</w:t>
      </w:r>
    </w:p>
    <w:p>
      <w:pPr>
        <w:pStyle w:val="BodyText"/>
        <w:spacing w:line="240" w:lineRule="auto" w:before="102"/>
        <w:ind w:left="15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年，公司按照股权激励计划的规定回购了</w:t>
      </w:r>
      <w:r>
        <w:rPr>
          <w:spacing w:val="-54"/>
        </w:rPr>
        <w:t> </w:t>
      </w:r>
      <w:r>
        <w:rPr>
          <w:rFonts w:ascii="Times New Roman" w:hAnsi="Times New Roman" w:cs="Times New Roman" w:eastAsia="Times New Roman" w:hint="default"/>
        </w:rPr>
        <w:t>2,779,400.00</w:t>
      </w:r>
      <w:r>
        <w:rPr>
          <w:rFonts w:ascii="Times New Roman" w:hAnsi="Times New Roman" w:cs="Times New Roman" w:eastAsia="Times New Roman" w:hint="default"/>
          <w:spacing w:val="-9"/>
        </w:rPr>
        <w:t> </w:t>
      </w:r>
      <w:r>
        <w:rPr/>
        <w:t>股（转增前）已授予的限制性股票，共计出资</w:t>
      </w:r>
      <w:r>
        <w:rPr>
          <w:spacing w:val="-54"/>
        </w:rPr>
        <w:t> </w:t>
      </w:r>
      <w:r>
        <w:rPr>
          <w:rFonts w:ascii="Times New Roman" w:hAnsi="Times New Roman" w:cs="Times New Roman" w:eastAsia="Times New Roman" w:hint="default"/>
        </w:rPr>
        <w:t>20,141,693.00</w:t>
      </w:r>
      <w:r>
        <w:rPr>
          <w:rFonts w:ascii="Times New Roman" w:hAnsi="Times New Roman" w:cs="Times New Roman" w:eastAsia="Times New Roman" w:hint="default"/>
          <w:spacing w:val="-9"/>
        </w:rPr>
        <w:t> </w:t>
      </w:r>
      <w:r>
        <w:rPr/>
        <w:t>元，</w:t>
      </w:r>
    </w:p>
    <w:p>
      <w:pPr>
        <w:pStyle w:val="BodyText"/>
        <w:spacing w:line="240" w:lineRule="auto" w:before="64"/>
        <w:ind w:left="153" w:right="91"/>
        <w:jc w:val="left"/>
      </w:pPr>
      <w:r>
        <w:rPr/>
        <w:t>冲减其他应付款。本期共计注销以前年度回购的库存股</w:t>
      </w:r>
      <w:r>
        <w:rPr>
          <w:spacing w:val="-46"/>
        </w:rPr>
        <w:t> </w:t>
      </w:r>
      <w:r>
        <w:rPr>
          <w:rFonts w:ascii="Times New Roman" w:hAnsi="Times New Roman" w:cs="Times New Roman" w:eastAsia="Times New Roman" w:hint="default"/>
        </w:rPr>
        <w:t>2,493,500</w:t>
      </w:r>
      <w:r>
        <w:rPr>
          <w:rFonts w:ascii="Times New Roman" w:hAnsi="Times New Roman" w:cs="Times New Roman" w:eastAsia="Times New Roman" w:hint="default"/>
          <w:spacing w:val="-1"/>
        </w:rPr>
        <w:t> </w:t>
      </w:r>
      <w:r>
        <w:rPr/>
        <w:t>股。</w:t>
      </w:r>
    </w:p>
    <w:p>
      <w:pPr>
        <w:spacing w:line="240" w:lineRule="auto" w:before="9"/>
        <w:rPr>
          <w:rFonts w:ascii="宋体" w:hAnsi="宋体" w:cs="宋体" w:eastAsia="宋体" w:hint="default"/>
          <w:sz w:val="25"/>
          <w:szCs w:val="25"/>
        </w:rPr>
      </w:pPr>
    </w:p>
    <w:p>
      <w:pPr>
        <w:pStyle w:val="Heading5"/>
        <w:spacing w:line="240" w:lineRule="auto"/>
        <w:ind w:right="9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363" w:hRule="exact"/>
        </w:trPr>
        <w:tc>
          <w:tcPr>
            <w:tcW w:w="4983" w:type="dxa"/>
            <w:tcBorders>
              <w:top w:val="single" w:sz="4" w:space="0" w:color="000000"/>
              <w:left w:val="single" w:sz="4" w:space="0" w:color="000000"/>
              <w:bottom w:val="nil" w:sz="6" w:space="0" w:color="auto"/>
              <w:right w:val="single" w:sz="4" w:space="0" w:color="000000"/>
            </w:tcBorders>
            <w:shd w:val="clear" w:color="auto" w:fill="D3D3D3"/>
          </w:tcPr>
          <w:p>
            <w:pPr/>
          </w:p>
        </w:tc>
        <w:tc>
          <w:tcPr>
            <w:tcW w:w="45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1"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元）为基础，考虑由限售期间股价波动</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导致的限制性股票的收益风险，在市场价格的基础上扣减</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模型计算得出的流通性折扣后得到授予日限制性</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股票的公允价值。银信资产评估有限公司对上述本公司授</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予的限制性股票公允价值作了评估，在授予日起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后、</w:t>
            </w:r>
            <w:r>
              <w:rPr>
                <w:rFonts w:ascii="Times New Roman" w:hAnsi="Times New Roman" w:cs="Times New Roman" w:eastAsia="Times New Roman" w:hint="default"/>
                <w:spacing w:val="-8"/>
                <w:sz w:val="18"/>
                <w:szCs w:val="18"/>
              </w:rPr>
              <w:t>24 </w:t>
            </w:r>
            <w:r>
              <w:rPr>
                <w:rFonts w:ascii="宋体" w:hAnsi="宋体" w:cs="宋体" w:eastAsia="宋体" w:hint="default"/>
                <w:spacing w:val="-5"/>
                <w:sz w:val="18"/>
                <w:szCs w:val="18"/>
              </w:rPr>
              <w:t>个月后、</w:t>
            </w:r>
            <w:r>
              <w:rPr>
                <w:rFonts w:ascii="Times New Roman" w:hAnsi="Times New Roman" w:cs="Times New Roman" w:eastAsia="Times New Roman" w:hint="default"/>
                <w:spacing w:val="-5"/>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个月后解锁的限制性股票的公允价值分</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别为每股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10.94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元，并出具银信评财</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号评估报告。授予日限制性股票的公允</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价值扣除授予价格（</w:t>
            </w:r>
            <w:r>
              <w:rPr>
                <w:rFonts w:ascii="Times New Roman" w:hAnsi="Times New Roman" w:cs="Times New Roman" w:eastAsia="Times New Roman" w:hint="default"/>
                <w:sz w:val="18"/>
                <w:szCs w:val="18"/>
              </w:rPr>
              <w:t>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元）即授予日权益工具单位公允</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价值。授予日权益工具单位公允价值乘以限制性股票数量</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即授予日权益工具公允价值总额。具体如下：类别</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公允价值第一期（授予日起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5,818,878.00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第二期（授予日起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个月后解锁）</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5,172,336.00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第三期（授予日起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个月后解锁）</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5,106,024.00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合计</w:t>
            </w:r>
          </w:p>
        </w:tc>
      </w:tr>
      <w:tr>
        <w:trPr>
          <w:trHeight w:val="30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16,097,238.002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年度股权激励以授予日的市场价格</w:t>
            </w:r>
          </w:p>
        </w:tc>
      </w:tr>
      <w:tr>
        <w:trPr>
          <w:trHeight w:val="32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元）为基础，考虑由限</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售期间股价波动导致的限制性股票的收益风险，在市场价</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格的基础上扣减参照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模型计算得出的流通性折扣后得</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到授予日限制性股票的公允价值。银信资产评估有限公司</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对上述本公司授予的限制性股票公允价值作了评估，在授</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个月后解锁的限制性股</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票的公允价值分别为每股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9.79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元，并出</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具银信评财字（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号评估报告。授予日限制性</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股票的公允价值扣除授予价格（</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元）即授予日权益工</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具单位公允价值。授予日权益工具单位公允价值乘以限制</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性股票数量即授予日权益工具公允价值总额。具体如下：</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tabs>
                <w:tab w:pos="4313" w:val="left" w:leader="none"/>
              </w:tabs>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类别</w:t>
              <w:tab/>
              <w:t>公</w:t>
            </w:r>
          </w:p>
        </w:tc>
      </w:tr>
      <w:tr>
        <w:trPr>
          <w:trHeight w:val="317"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允价值第一期（授予日起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12,530,952.00</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tabs>
                <w:tab w:pos="3173"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第二期（授予日起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6,589,224.00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第三</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期（授予日起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 </w:t>
            </w:r>
            <w:r>
              <w:rPr>
                <w:rFonts w:ascii="Times New Roman" w:hAnsi="Times New Roman" w:cs="Times New Roman" w:eastAsia="Times New Roman" w:hint="default"/>
                <w:sz w:val="18"/>
                <w:szCs w:val="18"/>
              </w:rPr>
              <w:t>5,789,376.00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合计</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24,909,552.003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年度股权激励以授予日的市场价格</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日收盘价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17.35 </w:t>
            </w:r>
            <w:r>
              <w:rPr>
                <w:rFonts w:ascii="宋体" w:hAnsi="宋体" w:cs="宋体" w:eastAsia="宋体" w:hint="default"/>
                <w:spacing w:val="-6"/>
                <w:sz w:val="18"/>
                <w:szCs w:val="18"/>
              </w:rPr>
              <w:t>元）为基础，考虑由限售</w:t>
            </w:r>
          </w:p>
        </w:tc>
      </w:tr>
      <w:tr>
        <w:trPr>
          <w:trHeight w:val="312" w:hRule="exact"/>
        </w:trPr>
        <w:tc>
          <w:tcPr>
            <w:tcW w:w="4983" w:type="dxa"/>
            <w:tcBorders>
              <w:top w:val="nil" w:sz="6" w:space="0" w:color="auto"/>
              <w:left w:val="single" w:sz="4" w:space="0" w:color="000000"/>
              <w:bottom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期间股价波动导致的限制性股票的收益风险，在市场价格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57"/>
        <w:jc w:val="right"/>
      </w:pPr>
      <w:r>
        <w:rPr/>
        <w:pict>
          <v:shape style="position:absolute;margin-left:56.459999pt;margin-top:-217.207993pt;width:479.1pt;height:473.4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3"/>
                    <w:gridCol w:w="4585"/>
                  </w:tblGrid>
                  <w:tr>
                    <w:trPr>
                      <w:trHeight w:val="322" w:hRule="exact"/>
                    </w:trPr>
                    <w:tc>
                      <w:tcPr>
                        <w:tcW w:w="4983" w:type="dxa"/>
                        <w:vMerge w:val="restart"/>
                        <w:tcBorders>
                          <w:top w:val="single" w:sz="4" w:space="0" w:color="000000"/>
                          <w:left w:val="single" w:sz="4" w:space="0" w:color="000000"/>
                          <w:right w:val="single" w:sz="4" w:space="0" w:color="000000"/>
                        </w:tcBorders>
                        <w:shd w:val="clear" w:color="auto" w:fill="D3D3D3"/>
                      </w:tcPr>
                      <w:p>
                        <w:pPr/>
                      </w:p>
                    </w:tc>
                    <w:tc>
                      <w:tcPr>
                        <w:tcW w:w="45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的基础上扣减参照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模型计算得出的流通性折扣后得到</w:t>
                        </w:r>
                      </w:p>
                    </w:tc>
                  </w:tr>
                  <w:tr>
                    <w:trPr>
                      <w:trHeight w:val="30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授予日限制性股票的公允价值。银信资产评估有限公司对</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上述本公司授予的限制性股票公允价值作了评估，在授予</w:t>
                        </w:r>
                      </w:p>
                    </w:tc>
                  </w:tr>
                  <w:tr>
                    <w:trPr>
                      <w:trHeight w:val="31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个月后解锁的限制性股票</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的公允价值分别为每股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元，并出具</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银信财报字（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号评估报告。授予日限制性股</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票的公允价值扣除授予价格（</w:t>
                        </w:r>
                        <w:r>
                          <w:rPr>
                            <w:rFonts w:ascii="Times New Roman" w:hAnsi="Times New Roman" w:cs="Times New Roman" w:eastAsia="Times New Roman" w:hint="default"/>
                            <w:spacing w:val="-2"/>
                            <w:sz w:val="18"/>
                            <w:szCs w:val="18"/>
                          </w:rPr>
                          <w:t>11.01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元）已低于授予日权益</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工具单位公允价值，按零计算。</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年度股权激励以</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授予日的市场价格（</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日收盘价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14.89 </w:t>
                        </w:r>
                        <w:r>
                          <w:rPr>
                            <w:rFonts w:ascii="宋体" w:hAnsi="宋体" w:cs="宋体" w:eastAsia="宋体" w:hint="default"/>
                            <w:spacing w:val="-10"/>
                            <w:sz w:val="18"/>
                            <w:szCs w:val="18"/>
                          </w:rPr>
                          <w:t>元）为</w:t>
                        </w:r>
                      </w:p>
                    </w:tc>
                  </w:tr>
                  <w:tr>
                    <w:trPr>
                      <w:trHeight w:val="30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基础，考虑由限售期间股价波动导致的限制性股票的收益</w:t>
                        </w:r>
                      </w:p>
                    </w:tc>
                  </w:tr>
                  <w:tr>
                    <w:trPr>
                      <w:trHeight w:val="31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风险，在市场价格的基础上扣减参照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模型计算得出的</w:t>
                        </w:r>
                      </w:p>
                    </w:tc>
                  </w:tr>
                  <w:tr>
                    <w:trPr>
                      <w:trHeight w:val="30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流通性折扣后得到授予日限制性股票的公允价值。银信资</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产评估有限公司对上述本公司授予的限制性股票公允价值</w:t>
                        </w:r>
                      </w:p>
                    </w:tc>
                  </w:tr>
                  <w:tr>
                    <w:trPr>
                      <w:trHeight w:val="31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作了评估，在授予日起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解锁的限制性股票的公允价值分别为每股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7.58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元，并出具银信财报字（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号评估报告。</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授予日限制性股票的公允价值扣除授予价格（</w:t>
                        </w:r>
                        <w:r>
                          <w:rPr>
                            <w:rFonts w:ascii="Times New Roman" w:hAnsi="Times New Roman" w:cs="Times New Roman" w:eastAsia="Times New Roman" w:hint="default"/>
                            <w:sz w:val="18"/>
                            <w:szCs w:val="18"/>
                          </w:rPr>
                          <w:t>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w:t>
                        </w:r>
                      </w:p>
                    </w:tc>
                  </w:tr>
                  <w:tr>
                    <w:trPr>
                      <w:trHeight w:val="30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授予日权益工具公允价值总额。授予日权益工具单位公允</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价值乘以限制性股票数量即授予日权益工具公允价值总</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额。具体如下：类别</w:t>
                        </w:r>
                      </w:p>
                    </w:tc>
                  </w:tr>
                  <w:tr>
                    <w:trPr>
                      <w:trHeight w:val="317"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公允价值第一期（授予日起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16,257,300.00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第二期（授予日起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个月后解锁）</w:t>
                        </w:r>
                      </w:p>
                    </w:tc>
                  </w:tr>
                  <w:tr>
                    <w:trPr>
                      <w:trHeight w:val="312"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tabs>
                            <w:tab w:pos="4223" w:val="left" w:leader="none"/>
                          </w:tabs>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2,519,881.50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第三期（授予日起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个月后解锁）</w:t>
                          <w:tab/>
                          <w:t>合</w:t>
                        </w:r>
                      </w:p>
                    </w:tc>
                  </w:tr>
                  <w:tr>
                    <w:trPr>
                      <w:trHeight w:val="311" w:hRule="exact"/>
                    </w:trPr>
                    <w:tc>
                      <w:tcPr>
                        <w:tcW w:w="4983" w:type="dxa"/>
                        <w:vMerge/>
                        <w:tcBorders>
                          <w:left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w:t>
                        </w:r>
                      </w:p>
                    </w:tc>
                  </w:tr>
                  <w:tr>
                    <w:trPr>
                      <w:trHeight w:val="353" w:hRule="exact"/>
                    </w:trPr>
                    <w:tc>
                      <w:tcPr>
                        <w:tcW w:w="4983" w:type="dxa"/>
                        <w:vMerge/>
                        <w:tcBorders>
                          <w:left w:val="single" w:sz="4" w:space="0" w:color="000000"/>
                          <w:bottom w:val="single" w:sz="4" w:space="0" w:color="000000"/>
                          <w:right w:val="single" w:sz="4" w:space="0" w:color="000000"/>
                        </w:tcBorders>
                        <w:shd w:val="clear" w:color="auto" w:fill="D3D3D3"/>
                      </w:tcPr>
                      <w:p>
                        <w:pPr/>
                      </w:p>
                    </w:tc>
                    <w:tc>
                      <w:tcPr>
                        <w:tcW w:w="45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18,777,181.50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84,597,320.17</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8,916,295.69</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十四、</w:t>
      </w:r>
      <w:r>
        <w:rPr>
          <w:spacing w:val="-5"/>
        </w:rPr>
        <w:t> </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、与资产相关的政府补助</w:t>
      </w:r>
      <w:r>
        <w:rPr>
          <w:b w:val="0"/>
          <w:bCs w:val="0"/>
        </w:rPr>
      </w:r>
    </w:p>
    <w:p>
      <w:pPr>
        <w:spacing w:line="240" w:lineRule="auto" w:before="11"/>
        <w:rPr>
          <w:rFonts w:ascii="宋体" w:hAnsi="宋体" w:cs="宋体" w:eastAsia="宋体" w:hint="default"/>
          <w:b/>
          <w:bCs/>
          <w:sz w:val="2"/>
          <w:szCs w:val="2"/>
        </w:rPr>
      </w:pPr>
    </w:p>
    <w:tbl>
      <w:tblPr>
        <w:tblW w:w="0" w:type="auto"/>
        <w:jc w:val="left"/>
        <w:tblInd w:w="139" w:type="dxa"/>
        <w:tblLayout w:type="fixed"/>
        <w:tblCellMar>
          <w:top w:w="0" w:type="dxa"/>
          <w:left w:w="0" w:type="dxa"/>
          <w:bottom w:w="0" w:type="dxa"/>
          <w:right w:w="0" w:type="dxa"/>
        </w:tblCellMar>
        <w:tblLook w:val="01E0"/>
      </w:tblPr>
      <w:tblGrid>
        <w:gridCol w:w="1736"/>
        <w:gridCol w:w="1031"/>
        <w:gridCol w:w="1204"/>
        <w:gridCol w:w="1561"/>
        <w:gridCol w:w="1561"/>
        <w:gridCol w:w="2564"/>
      </w:tblGrid>
      <w:tr>
        <w:trPr>
          <w:trHeight w:val="653" w:hRule="exact"/>
        </w:trPr>
        <w:tc>
          <w:tcPr>
            <w:tcW w:w="17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03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16" w:lineRule="auto"/>
              <w:ind w:left="327" w:right="54" w:hanging="270"/>
              <w:jc w:val="left"/>
              <w:rPr>
                <w:rFonts w:ascii="宋体" w:hAnsi="宋体" w:cs="宋体" w:eastAsia="宋体" w:hint="default"/>
                <w:sz w:val="18"/>
                <w:szCs w:val="18"/>
              </w:rPr>
            </w:pPr>
            <w:r>
              <w:rPr>
                <w:rFonts w:ascii="宋体" w:hAnsi="宋体" w:cs="宋体" w:eastAsia="宋体" w:hint="default"/>
                <w:sz w:val="18"/>
                <w:szCs w:val="18"/>
              </w:rPr>
              <w:t>资产负债表列 报项目</w:t>
            </w:r>
          </w:p>
        </w:tc>
        <w:tc>
          <w:tcPr>
            <w:tcW w:w="312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1285" w:right="25" w:hanging="126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计入当期损益或冲减相关成本费用损失 的金额</w:t>
            </w:r>
          </w:p>
        </w:tc>
        <w:tc>
          <w:tcPr>
            <w:tcW w:w="25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16" w:lineRule="auto"/>
              <w:ind w:left="736" w:right="17" w:hanging="72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 用损失的项目</w:t>
            </w:r>
          </w:p>
        </w:tc>
      </w:tr>
      <w:tr>
        <w:trPr>
          <w:trHeight w:val="342" w:hRule="exact"/>
        </w:trPr>
        <w:tc>
          <w:tcPr>
            <w:tcW w:w="1736" w:type="dxa"/>
            <w:vMerge/>
            <w:tcBorders>
              <w:left w:val="single" w:sz="4" w:space="0" w:color="000000"/>
              <w:bottom w:val="single" w:sz="4" w:space="0" w:color="000000"/>
              <w:right w:val="single" w:sz="4" w:space="0" w:color="000000"/>
            </w:tcBorders>
            <w:shd w:val="clear" w:color="auto" w:fill="D9D9D9"/>
          </w:tcPr>
          <w:p>
            <w:pPr/>
          </w:p>
        </w:tc>
        <w:tc>
          <w:tcPr>
            <w:tcW w:w="1031" w:type="dxa"/>
            <w:vMerge/>
            <w:tcBorders>
              <w:left w:val="single" w:sz="4" w:space="0" w:color="000000"/>
              <w:bottom w:val="single" w:sz="4" w:space="0" w:color="000000"/>
              <w:right w:val="single" w:sz="4" w:space="0" w:color="000000"/>
            </w:tcBorders>
            <w:shd w:val="clear" w:color="auto" w:fill="D9D9D9"/>
          </w:tcPr>
          <w:p>
            <w:pPr/>
          </w:p>
        </w:tc>
        <w:tc>
          <w:tcPr>
            <w:tcW w:w="1204" w:type="dxa"/>
            <w:vMerge/>
            <w:tcBorders>
              <w:left w:val="single" w:sz="4" w:space="0" w:color="000000"/>
              <w:bottom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64" w:type="dxa"/>
            <w:vMerge/>
            <w:tcBorders>
              <w:left w:val="single" w:sz="4" w:space="0" w:color="000000"/>
              <w:bottom w:val="single" w:sz="4" w:space="0" w:color="000000"/>
              <w:right w:val="single" w:sz="4" w:space="0" w:color="000000"/>
            </w:tcBorders>
            <w:shd w:val="clear" w:color="auto" w:fill="D9D9D9"/>
          </w:tcPr>
          <w:p>
            <w:pPr/>
          </w:p>
        </w:tc>
      </w:tr>
      <w:tr>
        <w:trPr>
          <w:trHeight w:val="342" w:hRule="exact"/>
        </w:trPr>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10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2,300,000.00</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5" w:right="0"/>
              <w:jc w:val="left"/>
              <w:rPr>
                <w:rFonts w:ascii="Times New Roman" w:hAnsi="Times New Roman" w:cs="Times New Roman" w:eastAsia="Times New Roman" w:hint="default"/>
                <w:sz w:val="18"/>
                <w:szCs w:val="18"/>
              </w:rPr>
            </w:pPr>
            <w:r>
              <w:rPr>
                <w:rFonts w:ascii="Times New Roman"/>
                <w:sz w:val="18"/>
              </w:rPr>
              <w:t>410,000.00</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2" w:hRule="exact"/>
        </w:trPr>
        <w:tc>
          <w:tcPr>
            <w:tcW w:w="1736" w:type="dxa"/>
            <w:vMerge/>
            <w:tcBorders>
              <w:left w:val="single" w:sz="4" w:space="0" w:color="000000"/>
              <w:bottom w:val="single" w:sz="4" w:space="0" w:color="000000"/>
              <w:right w:val="single" w:sz="4" w:space="0" w:color="000000"/>
            </w:tcBorders>
          </w:tcPr>
          <w:p>
            <w:pPr/>
          </w:p>
        </w:tc>
        <w:tc>
          <w:tcPr>
            <w:tcW w:w="1031"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5" w:right="0"/>
              <w:jc w:val="left"/>
              <w:rPr>
                <w:rFonts w:ascii="Times New Roman" w:hAnsi="Times New Roman" w:cs="Times New Roman" w:eastAsia="Times New Roman" w:hint="default"/>
                <w:sz w:val="18"/>
                <w:szCs w:val="18"/>
              </w:rPr>
            </w:pPr>
            <w:r>
              <w:rPr>
                <w:rFonts w:ascii="Times New Roman"/>
                <w:sz w:val="18"/>
              </w:rPr>
              <w:t>210,000.00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14"/>
              <w:jc w:val="left"/>
              <w:rPr>
                <w:rFonts w:ascii="宋体" w:hAnsi="宋体" w:cs="宋体" w:eastAsia="宋体" w:hint="default"/>
                <w:sz w:val="18"/>
                <w:szCs w:val="18"/>
              </w:rPr>
            </w:pPr>
            <w:r>
              <w:rPr>
                <w:rFonts w:ascii="宋体" w:hAnsi="宋体" w:cs="宋体" w:eastAsia="宋体" w:hint="default"/>
                <w:spacing w:val="12"/>
                <w:sz w:val="18"/>
                <w:szCs w:val="18"/>
              </w:rPr>
              <w:t>高端</w:t>
            </w:r>
            <w:r>
              <w:rPr>
                <w:rFonts w:ascii="Times New Roman" w:hAnsi="Times New Roman" w:cs="Times New Roman" w:eastAsia="Times New Roman" w:hint="default"/>
                <w:spacing w:val="12"/>
                <w:sz w:val="18"/>
                <w:szCs w:val="18"/>
              </w:rPr>
              <w:t>ERP</w:t>
            </w:r>
            <w:r>
              <w:rPr>
                <w:rFonts w:ascii="宋体" w:hAnsi="宋体" w:cs="宋体" w:eastAsia="宋体" w:hint="default"/>
                <w:spacing w:val="12"/>
                <w:sz w:val="18"/>
                <w:szCs w:val="18"/>
              </w:rPr>
              <w:t>软件生产线</w:t>
            </w:r>
            <w:r>
              <w:rPr>
                <w:rFonts w:ascii="宋体" w:hAnsi="宋体" w:cs="宋体" w:eastAsia="宋体" w:hint="default"/>
                <w:spacing w:val="-72"/>
                <w:sz w:val="18"/>
                <w:szCs w:val="18"/>
              </w:rPr>
              <w:t> </w:t>
            </w:r>
            <w:r>
              <w:rPr>
                <w:rFonts w:ascii="宋体" w:hAnsi="宋体" w:cs="宋体" w:eastAsia="宋体" w:hint="default"/>
                <w:sz w:val="18"/>
                <w:szCs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 w:right="0"/>
              <w:jc w:val="left"/>
              <w:rPr>
                <w:rFonts w:ascii="Times New Roman" w:hAnsi="Times New Roman" w:cs="Times New Roman" w:eastAsia="Times New Roman" w:hint="default"/>
                <w:sz w:val="18"/>
                <w:szCs w:val="18"/>
              </w:rPr>
            </w:pPr>
            <w:r>
              <w:rPr>
                <w:rFonts w:ascii="Times New Roman"/>
                <w:sz w:val="18"/>
              </w:rPr>
              <w:t>5,630,000.00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9" w:type="dxa"/>
        <w:tblLayout w:type="fixed"/>
        <w:tblCellMar>
          <w:top w:w="0" w:type="dxa"/>
          <w:left w:w="0" w:type="dxa"/>
          <w:bottom w:w="0" w:type="dxa"/>
          <w:right w:w="0" w:type="dxa"/>
        </w:tblCellMar>
        <w:tblLook w:val="01E0"/>
      </w:tblPr>
      <w:tblGrid>
        <w:gridCol w:w="1736"/>
        <w:gridCol w:w="1031"/>
        <w:gridCol w:w="1204"/>
        <w:gridCol w:w="1561"/>
        <w:gridCol w:w="1561"/>
        <w:gridCol w:w="2564"/>
      </w:tblGrid>
      <w:tr>
        <w:trPr>
          <w:trHeight w:val="34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技术改造</w:t>
            </w:r>
          </w:p>
        </w:tc>
        <w:tc>
          <w:tcPr>
            <w:tcW w:w="103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智能制造云项目</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12"/>
                <w:sz w:val="18"/>
                <w:szCs w:val="18"/>
              </w:rPr>
              <w:t>汉得融合云治理平台 </w:t>
            </w:r>
            <w:r>
              <w:rPr>
                <w:rFonts w:ascii="宋体" w:hAnsi="宋体" w:cs="宋体" w:eastAsia="宋体" w:hint="default"/>
                <w:sz w:val="18"/>
                <w:szCs w:val="18"/>
              </w:rPr>
              <w:t>项目</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76" w:lineRule="exact"/>
        <w:ind w:right="0"/>
        <w:jc w:val="left"/>
        <w:rPr>
          <w:b w:val="0"/>
          <w:bCs w:val="0"/>
        </w:rPr>
      </w:pPr>
      <w:r>
        <w:rPr>
          <w:rFonts w:ascii="Times New Roman" w:hAnsi="Times New Roman" w:cs="Times New Roman" w:eastAsia="Times New Roman" w:hint="default"/>
        </w:rPr>
        <w:t>2</w:t>
      </w:r>
      <w:r>
        <w:rPr/>
        <w:t>、与收益相关的政府补助</w:t>
      </w:r>
      <w:r>
        <w:rPr>
          <w:b w:val="0"/>
          <w:bCs w:val="0"/>
        </w:rPr>
      </w:r>
    </w:p>
    <w:p>
      <w:pPr>
        <w:spacing w:line="240" w:lineRule="auto" w:before="8"/>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2053"/>
        <w:gridCol w:w="1753"/>
        <w:gridCol w:w="1583"/>
        <w:gridCol w:w="1752"/>
        <w:gridCol w:w="2516"/>
      </w:tblGrid>
      <w:tr>
        <w:trPr>
          <w:trHeight w:val="667" w:hRule="exact"/>
        </w:trPr>
        <w:tc>
          <w:tcPr>
            <w:tcW w:w="205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75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335" w:type="dxa"/>
            <w:gridSpan w:val="2"/>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480" w:right="37" w:hanging="144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计入当期损益或冲减相关成本费用损失的 金额</w:t>
            </w:r>
          </w:p>
        </w:tc>
        <w:tc>
          <w:tcPr>
            <w:tcW w:w="2516" w:type="dxa"/>
            <w:vMerge w:val="restart"/>
            <w:tcBorders>
              <w:top w:val="single" w:sz="6" w:space="0" w:color="000000"/>
              <w:left w:val="single" w:sz="6" w:space="0" w:color="000000"/>
              <w:right w:val="single" w:sz="4" w:space="0" w:color="000000"/>
            </w:tcBorders>
          </w:tcPr>
          <w:p>
            <w:pPr>
              <w:pStyle w:val="TableParagraph"/>
              <w:spacing w:line="316" w:lineRule="auto" w:before="21"/>
              <w:ind w:left="620" w:right="83" w:hanging="540"/>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费用损失的项目</w:t>
            </w:r>
          </w:p>
        </w:tc>
      </w:tr>
      <w:tr>
        <w:trPr>
          <w:trHeight w:val="353" w:hRule="exact"/>
        </w:trPr>
        <w:tc>
          <w:tcPr>
            <w:tcW w:w="2053" w:type="dxa"/>
            <w:vMerge/>
            <w:tcBorders>
              <w:left w:val="single" w:sz="6" w:space="0" w:color="000000"/>
              <w:bottom w:val="single" w:sz="12" w:space="0" w:color="000000"/>
              <w:right w:val="single" w:sz="6" w:space="0" w:color="000000"/>
            </w:tcBorders>
          </w:tcPr>
          <w:p>
            <w:pPr/>
          </w:p>
        </w:tc>
        <w:tc>
          <w:tcPr>
            <w:tcW w:w="1753" w:type="dxa"/>
            <w:vMerge/>
            <w:tcBorders>
              <w:left w:val="single" w:sz="6" w:space="0" w:color="000000"/>
              <w:bottom w:val="single" w:sz="12" w:space="0" w:color="000000"/>
              <w:right w:val="single" w:sz="6" w:space="0" w:color="000000"/>
            </w:tcBorders>
          </w:tcPr>
          <w:p>
            <w:pP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16" w:type="dxa"/>
            <w:vMerge/>
            <w:tcBorders>
              <w:left w:val="single" w:sz="6" w:space="0" w:color="000000"/>
              <w:bottom w:val="single" w:sz="12" w:space="0" w:color="000000"/>
              <w:right w:val="single" w:sz="4" w:space="0" w:color="000000"/>
            </w:tcBorders>
          </w:tcPr>
          <w:p>
            <w:pP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49,546,207.44</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24,781,100.00</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24,765,107.44</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4"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4"/>
              <w:jc w:val="left"/>
              <w:rPr>
                <w:rFonts w:ascii="宋体" w:hAnsi="宋体" w:cs="宋体" w:eastAsia="宋体" w:hint="default"/>
                <w:sz w:val="18"/>
                <w:szCs w:val="18"/>
              </w:rPr>
            </w:pPr>
            <w:r>
              <w:rPr>
                <w:rFonts w:ascii="宋体" w:hAnsi="宋体" w:cs="宋体" w:eastAsia="宋体" w:hint="default"/>
                <w:sz w:val="18"/>
                <w:szCs w:val="18"/>
              </w:rPr>
              <w:t>软件和集成电路设计人员 专项奖励</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2,576,800.00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1,712,800.00</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864,000.00</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5"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4"/>
              <w:jc w:val="left"/>
              <w:rPr>
                <w:rFonts w:ascii="宋体" w:hAnsi="宋体" w:cs="宋体" w:eastAsia="宋体" w:hint="default"/>
                <w:sz w:val="18"/>
                <w:szCs w:val="18"/>
              </w:rPr>
            </w:pPr>
            <w:r>
              <w:rPr>
                <w:rFonts w:ascii="宋体" w:hAnsi="宋体" w:cs="宋体" w:eastAsia="宋体" w:hint="default"/>
                <w:sz w:val="18"/>
                <w:szCs w:val="18"/>
              </w:rPr>
              <w:t>国家服务外包专项资金财 政补贴</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2,812,600.00</w:t>
            </w:r>
          </w:p>
        </w:tc>
        <w:tc>
          <w:tcPr>
            <w:tcW w:w="1583" w:type="dxa"/>
            <w:tcBorders>
              <w:top w:val="single" w:sz="12" w:space="0" w:color="000000"/>
              <w:left w:val="single" w:sz="6" w:space="0" w:color="000000"/>
              <w:bottom w:val="single" w:sz="12" w:space="0" w:color="000000"/>
              <w:right w:val="single" w:sz="6" w:space="0" w:color="000000"/>
            </w:tcBorders>
          </w:tcPr>
          <w:p>
            <w:pP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2,812,600.00</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青浦区财政奖励</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1,047,817.06</w:t>
            </w:r>
          </w:p>
        </w:tc>
        <w:tc>
          <w:tcPr>
            <w:tcW w:w="1583" w:type="dxa"/>
            <w:tcBorders>
              <w:top w:val="single" w:sz="12" w:space="0" w:color="000000"/>
              <w:left w:val="single" w:sz="6" w:space="0" w:color="000000"/>
              <w:bottom w:val="single" w:sz="12" w:space="0" w:color="000000"/>
              <w:right w:val="single" w:sz="6" w:space="0" w:color="000000"/>
            </w:tcBorders>
          </w:tcPr>
          <w:p>
            <w:pP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1,047,817.06</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1753" w:type="dxa"/>
            <w:vMerge w:val="restart"/>
            <w:tcBorders>
              <w:top w:val="single" w:sz="12" w:space="0" w:color="000000"/>
              <w:left w:val="single" w:sz="6" w:space="0" w:color="000000"/>
              <w:right w:val="single" w:sz="6" w:space="0" w:color="000000"/>
            </w:tcBorders>
          </w:tcPr>
          <w:p>
            <w:pPr>
              <w:pStyle w:val="TableParagraph"/>
              <w:spacing w:line="240" w:lineRule="auto" w:before="50"/>
              <w:ind w:left="791" w:right="0"/>
              <w:jc w:val="left"/>
              <w:rPr>
                <w:rFonts w:ascii="Times New Roman" w:hAnsi="Times New Roman" w:cs="Times New Roman" w:eastAsia="Times New Roman" w:hint="default"/>
                <w:sz w:val="18"/>
                <w:szCs w:val="18"/>
              </w:rPr>
            </w:pPr>
            <w:r>
              <w:rPr>
                <w:rFonts w:ascii="Times New Roman"/>
                <w:sz w:val="18"/>
              </w:rPr>
              <w:t>2,779,166.67</w:t>
            </w:r>
          </w:p>
        </w:tc>
        <w:tc>
          <w:tcPr>
            <w:tcW w:w="1583" w:type="dxa"/>
            <w:tcBorders>
              <w:top w:val="single" w:sz="12" w:space="0" w:color="000000"/>
              <w:left w:val="single" w:sz="6" w:space="0" w:color="000000"/>
              <w:bottom w:val="single" w:sz="12" w:space="0" w:color="000000"/>
              <w:right w:val="single" w:sz="6" w:space="0" w:color="000000"/>
            </w:tcBorders>
          </w:tcPr>
          <w:p>
            <w:pP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277,916.68</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3" w:hRule="exact"/>
        </w:trPr>
        <w:tc>
          <w:tcPr>
            <w:tcW w:w="2053" w:type="dxa"/>
            <w:vMerge/>
            <w:tcBorders>
              <w:left w:val="single" w:sz="6" w:space="0" w:color="000000"/>
              <w:bottom w:val="single" w:sz="12" w:space="0" w:color="000000"/>
              <w:right w:val="single" w:sz="6" w:space="0" w:color="000000"/>
            </w:tcBorders>
          </w:tcPr>
          <w:p>
            <w:pPr/>
          </w:p>
        </w:tc>
        <w:tc>
          <w:tcPr>
            <w:tcW w:w="1753" w:type="dxa"/>
            <w:vMerge/>
            <w:tcBorders>
              <w:left w:val="single" w:sz="6" w:space="0" w:color="000000"/>
              <w:bottom w:val="single" w:sz="12" w:space="0" w:color="000000"/>
              <w:right w:val="single" w:sz="6" w:space="0" w:color="000000"/>
            </w:tcBorders>
          </w:tcPr>
          <w:p>
            <w:pP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277,916.68</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976"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4"/>
              <w:jc w:val="both"/>
              <w:rPr>
                <w:rFonts w:ascii="宋体" w:hAnsi="宋体" w:cs="宋体" w:eastAsia="宋体" w:hint="default"/>
                <w:sz w:val="18"/>
                <w:szCs w:val="18"/>
              </w:rPr>
            </w:pPr>
            <w:r>
              <w:rPr>
                <w:rFonts w:ascii="宋体" w:hAnsi="宋体" w:cs="宋体" w:eastAsia="宋体" w:hint="default"/>
                <w:sz w:val="18"/>
                <w:szCs w:val="18"/>
              </w:rPr>
              <w:t>上海青浦工业园区管理委 员会技改园区配套资金补 贴收入</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高新技术研发中心补贴</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3"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纳税百强补贴收入</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科技创新基金补贴</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3"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902,450.56</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902,450.56</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1,121,733.77</w:t>
            </w:r>
          </w:p>
        </w:tc>
        <w:tc>
          <w:tcPr>
            <w:tcW w:w="1583" w:type="dxa"/>
            <w:tcBorders>
              <w:top w:val="single" w:sz="12" w:space="0" w:color="000000"/>
              <w:left w:val="single" w:sz="6" w:space="0" w:color="000000"/>
              <w:bottom w:val="single" w:sz="12" w:space="0" w:color="000000"/>
              <w:right w:val="single" w:sz="6" w:space="0" w:color="000000"/>
            </w:tcBorders>
          </w:tcPr>
          <w:p>
            <w:pP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1,121,733.77</w:t>
            </w: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科创资金</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3" w:hRule="exact"/>
        </w:trPr>
        <w:tc>
          <w:tcPr>
            <w:tcW w:w="2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房租及开办费补贴</w:t>
            </w:r>
          </w:p>
        </w:tc>
        <w:tc>
          <w:tcPr>
            <w:tcW w:w="1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475,100.00</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475,100.00</w:t>
            </w:r>
          </w:p>
        </w:tc>
        <w:tc>
          <w:tcPr>
            <w:tcW w:w="1752"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十五、承诺及或有事项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Heading7"/>
        <w:spacing w:line="240" w:lineRule="auto" w:before="115"/>
        <w:ind w:left="153" w:right="0"/>
        <w:jc w:val="left"/>
        <w:rPr>
          <w:b w:val="0"/>
          <w:bCs w:val="0"/>
        </w:rPr>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日，公司已签订尚未到期的保函如下：</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1645"/>
        <w:gridCol w:w="1589"/>
        <w:gridCol w:w="2228"/>
        <w:gridCol w:w="2230"/>
        <w:gridCol w:w="1966"/>
      </w:tblGrid>
      <w:tr>
        <w:trPr>
          <w:trHeight w:val="355" w:hRule="exact"/>
        </w:trPr>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保函号码</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保函种类</w:t>
            </w:r>
          </w:p>
        </w:tc>
        <w:tc>
          <w:tcPr>
            <w:tcW w:w="2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66" w:right="0"/>
              <w:jc w:val="left"/>
              <w:rPr>
                <w:rFonts w:ascii="宋体" w:hAnsi="宋体" w:cs="宋体" w:eastAsia="宋体" w:hint="default"/>
                <w:sz w:val="18"/>
                <w:szCs w:val="18"/>
              </w:rPr>
            </w:pPr>
            <w:r>
              <w:rPr>
                <w:rFonts w:ascii="宋体" w:hAnsi="宋体" w:cs="宋体" w:eastAsia="宋体" w:hint="default"/>
                <w:sz w:val="18"/>
                <w:szCs w:val="18"/>
              </w:rPr>
              <w:t>保函开立日期</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56" w:right="0"/>
              <w:jc w:val="left"/>
              <w:rPr>
                <w:rFonts w:ascii="宋体" w:hAnsi="宋体" w:cs="宋体" w:eastAsia="宋体" w:hint="default"/>
                <w:sz w:val="18"/>
                <w:szCs w:val="18"/>
              </w:rPr>
            </w:pPr>
            <w:r>
              <w:rPr>
                <w:rFonts w:ascii="宋体" w:hAnsi="宋体" w:cs="宋体" w:eastAsia="宋体" w:hint="default"/>
                <w:sz w:val="18"/>
                <w:szCs w:val="18"/>
              </w:rPr>
              <w:t>保函到期日</w:t>
            </w:r>
          </w:p>
        </w:tc>
        <w:tc>
          <w:tcPr>
            <w:tcW w:w="19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615" w:right="0"/>
              <w:jc w:val="left"/>
              <w:rPr>
                <w:rFonts w:ascii="宋体" w:hAnsi="宋体" w:cs="宋体" w:eastAsia="宋体" w:hint="default"/>
                <w:sz w:val="18"/>
                <w:szCs w:val="18"/>
              </w:rPr>
            </w:pPr>
            <w:r>
              <w:rPr>
                <w:rFonts w:ascii="宋体" w:hAnsi="宋体" w:cs="宋体" w:eastAsia="宋体" w:hint="default"/>
                <w:sz w:val="18"/>
                <w:szCs w:val="18"/>
              </w:rPr>
              <w:t>保函余额</w:t>
            </w:r>
          </w:p>
        </w:tc>
      </w:tr>
      <w:tr>
        <w:trPr>
          <w:trHeight w:val="353" w:hRule="exact"/>
        </w:trPr>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3805171201</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2017-12-6</w:t>
            </w:r>
          </w:p>
        </w:tc>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2018-4-28</w:t>
            </w: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465,000.00</w:t>
            </w:r>
          </w:p>
        </w:tc>
      </w:tr>
      <w:tr>
        <w:trPr>
          <w:trHeight w:val="352" w:hRule="exact"/>
        </w:trPr>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3805161008</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2016-10-28</w:t>
            </w:r>
          </w:p>
        </w:tc>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2018-3-31</w:t>
            </w: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678,000.00</w:t>
            </w:r>
          </w:p>
        </w:tc>
      </w:tr>
      <w:tr>
        <w:trPr>
          <w:trHeight w:val="352" w:hRule="exact"/>
        </w:trPr>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3805170108</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2017-2-10</w:t>
            </w:r>
          </w:p>
        </w:tc>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2018-6-30</w:t>
            </w: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370,000.00</w:t>
            </w:r>
          </w:p>
        </w:tc>
      </w:tr>
      <w:tr>
        <w:trPr>
          <w:trHeight w:val="353" w:hRule="exact"/>
        </w:trPr>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3805170401</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2017-4-11</w:t>
            </w:r>
          </w:p>
        </w:tc>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2018-4-8</w:t>
            </w: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96,000.00</w:t>
            </w:r>
          </w:p>
        </w:tc>
      </w:tr>
      <w:tr>
        <w:trPr>
          <w:trHeight w:val="352" w:hRule="exact"/>
        </w:trPr>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3805170404</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2017-5-11</w:t>
            </w:r>
          </w:p>
        </w:tc>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2019-8-31</w:t>
            </w: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1645"/>
        <w:gridCol w:w="1589"/>
        <w:gridCol w:w="2228"/>
        <w:gridCol w:w="2230"/>
        <w:gridCol w:w="1966"/>
      </w:tblGrid>
      <w:tr>
        <w:trPr>
          <w:trHeight w:val="355" w:hRule="exact"/>
        </w:trPr>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3805170901</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2017-9-15</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2018-12-1</w:t>
            </w:r>
          </w:p>
        </w:tc>
        <w:tc>
          <w:tcPr>
            <w:tcW w:w="19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1,093,000.00</w:t>
            </w:r>
          </w:p>
        </w:tc>
      </w:tr>
      <w:tr>
        <w:trPr>
          <w:trHeight w:val="352" w:hRule="exact"/>
        </w:trPr>
        <w:tc>
          <w:tcPr>
            <w:tcW w:w="1645" w:type="dxa"/>
            <w:tcBorders>
              <w:top w:val="single" w:sz="12" w:space="0" w:color="000000"/>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single" w:sz="12" w:space="0" w:color="000000"/>
              <w:left w:val="single" w:sz="6" w:space="0" w:color="000000"/>
              <w:bottom w:val="single" w:sz="12" w:space="0" w:color="000000"/>
              <w:right w:val="single" w:sz="6" w:space="0" w:color="000000"/>
            </w:tcBorders>
          </w:tcPr>
          <w:p>
            <w:pPr/>
          </w:p>
        </w:tc>
        <w:tc>
          <w:tcPr>
            <w:tcW w:w="2230" w:type="dxa"/>
            <w:tcBorders>
              <w:top w:val="single" w:sz="12" w:space="0" w:color="000000"/>
              <w:left w:val="single" w:sz="6" w:space="0" w:color="000000"/>
              <w:bottom w:val="single" w:sz="12" w:space="0" w:color="000000"/>
              <w:right w:val="single" w:sz="6" w:space="0" w:color="000000"/>
            </w:tcBorders>
          </w:tcPr>
          <w:p>
            <w:pPr/>
          </w:p>
        </w:tc>
        <w:tc>
          <w:tcPr>
            <w:tcW w:w="19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3,892,800.00</w:t>
            </w:r>
          </w:p>
        </w:tc>
      </w:tr>
    </w:tbl>
    <w:p>
      <w:pPr>
        <w:spacing w:line="240" w:lineRule="auto" w:before="2"/>
        <w:rPr>
          <w:rFonts w:ascii="宋体" w:hAnsi="宋体" w:cs="宋体" w:eastAsia="宋体" w:hint="default"/>
          <w:b/>
          <w:bCs/>
          <w:sz w:val="19"/>
          <w:szCs w:val="19"/>
        </w:rPr>
      </w:pPr>
    </w:p>
    <w:p>
      <w:pPr>
        <w:pStyle w:val="Heading5"/>
        <w:spacing w:line="240" w:lineRule="auto" w:before="35"/>
        <w:ind w:right="91"/>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pStyle w:val="Heading7"/>
        <w:spacing w:line="240" w:lineRule="auto"/>
        <w:ind w:right="91"/>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18"/>
          <w:szCs w:val="18"/>
        </w:rPr>
      </w:pPr>
    </w:p>
    <w:p>
      <w:pPr>
        <w:pStyle w:val="BodyText"/>
        <w:spacing w:line="304" w:lineRule="auto" w:before="127"/>
        <w:ind w:left="229" w:right="13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日委托上海瑞富律师事务所陆炜律师就丰联酒业控股集团有限公司所拖欠的服务费人民币 </w:t>
      </w:r>
      <w:r>
        <w:rPr>
          <w:rFonts w:ascii="Times New Roman" w:hAnsi="Times New Roman" w:cs="Times New Roman" w:eastAsia="Times New Roman" w:hint="default"/>
        </w:rPr>
        <w:t>2,882,383.00</w:t>
      </w:r>
      <w:r>
        <w:rPr/>
        <w:t>元向北京市海淀区人民法院提起诉讼，请求丰联酒业控股集团有限公司支付拖欠的《实施咨询服务框架合同》 服务费用。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月因增加诉讼主体的案情需要，本案变更为两个诉讼案件，分别为：案件一为本公司诉丰联酒业控股 集团有限公司和承德聚鑫贸易有限责任公司技术服务合同纠纷案，诉讼请求是要求两被告向本公司支付拖欠的技术服务费 </w:t>
      </w:r>
      <w:r>
        <w:rPr>
          <w:spacing w:val="-2"/>
        </w:rPr>
        <w:t>用人民币</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405</w:t>
      </w:r>
      <w:r>
        <w:rPr>
          <w:spacing w:val="-2"/>
        </w:rPr>
        <w:t>，</w:t>
      </w:r>
      <w:r>
        <w:rPr>
          <w:rFonts w:ascii="Times New Roman" w:hAnsi="Times New Roman" w:cs="Times New Roman" w:eastAsia="Times New Roman" w:hint="default"/>
          <w:spacing w:val="-2"/>
        </w:rPr>
        <w:t>480</w:t>
      </w:r>
      <w:r>
        <w:rPr>
          <w:spacing w:val="-2"/>
        </w:rPr>
        <w:t>元。案件二为本公司诉丰联酒业控股集团有限公司、安徽省临泉县文王酒类有限公司和湖南武陵酒有</w:t>
      </w:r>
      <w:r>
        <w:rPr>
          <w:spacing w:val="-44"/>
        </w:rPr>
        <w:t> </w:t>
      </w:r>
      <w:r>
        <w:rPr>
          <w:spacing w:val="-44"/>
        </w:rPr>
      </w:r>
      <w:r>
        <w:rPr>
          <w:spacing w:val="-2"/>
        </w:rPr>
        <w:t>限公司技术服务合同纠纷案。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月，因案情需要，案件二又拆分为两个案件，案件二（新）本公司诉丰联酒业控股集</w:t>
      </w:r>
      <w:r>
        <w:rPr>
          <w:spacing w:val="-46"/>
        </w:rPr>
        <w:t> </w:t>
      </w:r>
      <w:r>
        <w:rPr>
          <w:spacing w:val="-46"/>
        </w:rPr>
      </w:r>
      <w:r>
        <w:rPr/>
        <w:t>团有限公司和安徽省临泉县文王酒类有限公司技术服务合同纠纷案，诉讼请求是要求两被告向本公司支付拖欠的技术服务 </w:t>
      </w:r>
      <w:r>
        <w:rPr>
          <w:spacing w:val="-2"/>
        </w:rPr>
        <w:t>费用人民币</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102</w:t>
      </w:r>
      <w:r>
        <w:rPr>
          <w:spacing w:val="-2"/>
        </w:rPr>
        <w:t>，</w:t>
      </w:r>
      <w:r>
        <w:rPr>
          <w:rFonts w:ascii="Times New Roman" w:hAnsi="Times New Roman" w:cs="Times New Roman" w:eastAsia="Times New Roman" w:hint="default"/>
          <w:spacing w:val="-2"/>
        </w:rPr>
        <w:t>168</w:t>
      </w:r>
      <w:r>
        <w:rPr>
          <w:spacing w:val="-2"/>
        </w:rPr>
        <w:t>元。案件三本公司诉丰联酒业控股集团有限公司和湖南武陵酒有限公司技术服务合同纠纷案，诉讼</w:t>
      </w:r>
      <w:r>
        <w:rPr>
          <w:spacing w:val="-44"/>
        </w:rPr>
        <w:t> </w:t>
      </w:r>
      <w:r>
        <w:rPr>
          <w:spacing w:val="-44"/>
        </w:rPr>
      </w:r>
      <w:r>
        <w:rPr>
          <w:spacing w:val="-2"/>
        </w:rPr>
        <w:t>请求是要求两被告向本公司支付拖欠的技术服务费用人民币</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102</w:t>
      </w:r>
      <w:r>
        <w:rPr>
          <w:spacing w:val="-2"/>
        </w:rPr>
        <w:t>，</w:t>
      </w:r>
      <w:r>
        <w:rPr>
          <w:rFonts w:ascii="Times New Roman" w:hAnsi="Times New Roman" w:cs="Times New Roman" w:eastAsia="Times New Roman" w:hint="default"/>
          <w:spacing w:val="-2"/>
        </w:rPr>
        <w:t>168</w:t>
      </w:r>
      <w:r>
        <w:rPr>
          <w:spacing w:val="-2"/>
        </w:rPr>
        <w:t>元。截止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日，上述三个诉讼尚在审理</w:t>
      </w:r>
      <w:r>
        <w:rPr>
          <w:spacing w:val="-36"/>
        </w:rPr>
        <w:t> </w:t>
      </w:r>
      <w:r>
        <w:rPr>
          <w:spacing w:val="-36"/>
        </w:rPr>
      </w:r>
      <w:r>
        <w:rPr/>
        <w:t>中，公司账面应收该项目款项为</w:t>
      </w:r>
      <w:r>
        <w:rPr>
          <w:rFonts w:ascii="Times New Roman" w:hAnsi="Times New Roman" w:cs="Times New Roman" w:eastAsia="Times New Roman" w:hint="default"/>
        </w:rPr>
        <w:t>3,055,225.00</w:t>
      </w:r>
      <w:r>
        <w:rPr/>
        <w:t>，已全额计提坏账准备。</w:t>
      </w:r>
    </w:p>
    <w:p>
      <w:pPr>
        <w:pStyle w:val="BodyText"/>
        <w:spacing w:line="300" w:lineRule="auto" w:before="9"/>
        <w:ind w:left="229" w:right="169"/>
        <w:jc w:val="left"/>
      </w:pPr>
      <w:r>
        <w:rPr/>
        <w:t>（</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日委托上海金茂凯德事务所田孝明律师就埃森哲（中国）有限公司所拖欠的服务费人民币 </w:t>
      </w:r>
      <w:r>
        <w:rPr>
          <w:rFonts w:ascii="Times New Roman" w:hAnsi="Times New Roman" w:cs="Times New Roman" w:eastAsia="Times New Roman" w:hint="default"/>
        </w:rPr>
        <w:t>12,011,522.40</w:t>
      </w:r>
      <w:r>
        <w:rPr/>
        <w:t>元向中国国际经济贸易仲裁委员会申请仲裁，请求埃森哲（中国）有限公司支付拖欠的《埃森哲</w:t>
      </w:r>
      <w:r>
        <w:rPr>
          <w:rFonts w:ascii="Times New Roman" w:hAnsi="Times New Roman" w:cs="Times New Roman" w:eastAsia="Times New Roman" w:hint="default"/>
        </w:rPr>
        <w:t>-</w:t>
      </w:r>
      <w:r>
        <w:rPr/>
        <w:t>华润雪花啤 酒</w:t>
      </w:r>
      <w:r>
        <w:rPr>
          <w:rFonts w:ascii="Times New Roman" w:hAnsi="Times New Roman" w:cs="Times New Roman" w:eastAsia="Times New Roman" w:hint="default"/>
        </w:rPr>
        <w:t>ERP</w:t>
      </w:r>
      <w:r>
        <w:rPr/>
        <w:t>（基础阶段）试点及推广项目》及补充协议的服务费用及办理本案支出的相关费用。该案已分别于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日二次开庭审理，目前尚未作出裁决，公司账面应收该项目款项</w:t>
      </w:r>
      <w:r>
        <w:rPr>
          <w:rFonts w:ascii="Times New Roman" w:hAnsi="Times New Roman" w:cs="Times New Roman" w:eastAsia="Times New Roman" w:hint="default"/>
          <w:spacing w:val="-4"/>
        </w:rPr>
        <w:t>11,505,150.40</w:t>
      </w:r>
      <w:r>
        <w:rPr>
          <w:spacing w:val="-4"/>
        </w:rPr>
        <w:t>元，已计提坏账准备</w:t>
      </w:r>
      <w:r>
        <w:rPr>
          <w:rFonts w:ascii="Times New Roman" w:hAnsi="Times New Roman" w:cs="Times New Roman" w:eastAsia="Times New Roman" w:hint="default"/>
          <w:spacing w:val="-4"/>
        </w:rPr>
        <w:t>11,237,174.20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w:t>
      </w:r>
    </w:p>
    <w:p>
      <w:pPr>
        <w:pStyle w:val="BodyText"/>
        <w:spacing w:line="300" w:lineRule="auto" w:before="31"/>
        <w:ind w:left="229" w:right="102"/>
        <w:jc w:val="left"/>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日委托北京市盈科（福州）律师事务所陈斌律师就明一国际营养品集团有限公司所拖欠的《明 </w:t>
      </w:r>
      <w:r>
        <w:rPr>
          <w:spacing w:val="-2"/>
        </w:rPr>
        <w:t>一集团</w:t>
      </w:r>
      <w:r>
        <w:rPr>
          <w:rFonts w:ascii="Times New Roman" w:hAnsi="Times New Roman" w:cs="Times New Roman" w:eastAsia="Times New Roman" w:hint="default"/>
          <w:spacing w:val="-2"/>
        </w:rPr>
        <w:t>-ORACLE</w:t>
      </w:r>
      <w:r>
        <w:rPr>
          <w:spacing w:val="-2"/>
        </w:rPr>
        <w:t>软件销售合同》的软件销售款及维护费用</w:t>
      </w:r>
      <w:r>
        <w:rPr>
          <w:rFonts w:ascii="Times New Roman" w:hAnsi="Times New Roman" w:cs="Times New Roman" w:eastAsia="Times New Roman" w:hint="default"/>
          <w:spacing w:val="-2"/>
        </w:rPr>
        <w:t>1,200,000.00</w:t>
      </w:r>
      <w:r>
        <w:rPr>
          <w:spacing w:val="-2"/>
        </w:rPr>
        <w:t>元向福建省长乐市人民法院提起诉讼，请求明一国际</w:t>
      </w:r>
      <w:r>
        <w:rPr>
          <w:spacing w:val="-57"/>
        </w:rPr>
        <w:t> </w:t>
      </w:r>
      <w:r>
        <w:rPr>
          <w:spacing w:val="-57"/>
        </w:rPr>
      </w:r>
      <w:r>
        <w:rPr/>
        <w:t>营养品集团有限公司支付所拖欠的软件销售款及逾期付款的违约金共计</w:t>
      </w:r>
      <w:r>
        <w:rPr>
          <w:rFonts w:ascii="Times New Roman" w:hAnsi="Times New Roman" w:cs="Times New Roman" w:eastAsia="Times New Roman" w:hint="default"/>
        </w:rPr>
        <w:t>1,560,000.00</w:t>
      </w:r>
      <w:r>
        <w:rPr/>
        <w:t>元。该案件受理法院已于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 </w:t>
      </w:r>
      <w:r>
        <w:rPr/>
        <w:t>日作出民事判决（</w:t>
      </w:r>
      <w:r>
        <w:rPr>
          <w:rFonts w:ascii="Times New Roman" w:hAnsi="Times New Roman" w:cs="Times New Roman" w:eastAsia="Times New Roman" w:hint="default"/>
        </w:rPr>
        <w:t>2016</w:t>
      </w:r>
      <w:r>
        <w:rPr/>
        <w:t>）闽</w:t>
      </w:r>
      <w:r>
        <w:rPr>
          <w:rFonts w:ascii="Times New Roman" w:hAnsi="Times New Roman" w:cs="Times New Roman" w:eastAsia="Times New Roman" w:hint="default"/>
        </w:rPr>
        <w:t>0182</w:t>
      </w:r>
      <w:r>
        <w:rPr/>
        <w:t>民初</w:t>
      </w:r>
      <w:r>
        <w:rPr>
          <w:rFonts w:ascii="Times New Roman" w:hAnsi="Times New Roman" w:cs="Times New Roman" w:eastAsia="Times New Roman" w:hint="default"/>
        </w:rPr>
        <w:t>2680</w:t>
      </w:r>
      <w:r>
        <w:rPr/>
        <w:t>号，判令明一公司应向本公司支付违约金</w:t>
      </w:r>
      <w:r>
        <w:rPr>
          <w:rFonts w:ascii="Times New Roman" w:hAnsi="Times New Roman" w:cs="Times New Roman" w:eastAsia="Times New Roman" w:hint="default"/>
        </w:rPr>
        <w:t>196,721.31</w:t>
      </w:r>
      <w:r>
        <w:rPr/>
        <w:t>元，其余诉讼请求不予支持。 明一国际营养品集团有限公司不服长乐市人民法院的一审判决，于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日向福州市中级人民法院提起上诉，福州 市中级人民法院于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日作出民事判决（</w:t>
      </w:r>
      <w:r>
        <w:rPr>
          <w:rFonts w:ascii="Times New Roman" w:hAnsi="Times New Roman" w:cs="Times New Roman" w:eastAsia="Times New Roman" w:hint="default"/>
        </w:rPr>
        <w:t>2017</w:t>
      </w:r>
      <w:r>
        <w:rPr/>
        <w:t>）闽</w:t>
      </w:r>
      <w:r>
        <w:rPr>
          <w:rFonts w:ascii="Times New Roman" w:hAnsi="Times New Roman" w:cs="Times New Roman" w:eastAsia="Times New Roman" w:hint="default"/>
        </w:rPr>
        <w:t>01</w:t>
      </w:r>
      <w:r>
        <w:rPr/>
        <w:t>民终</w:t>
      </w:r>
      <w:r>
        <w:rPr>
          <w:rFonts w:ascii="Times New Roman" w:hAnsi="Times New Roman" w:cs="Times New Roman" w:eastAsia="Times New Roman" w:hint="default"/>
        </w:rPr>
        <w:t>304</w:t>
      </w:r>
      <w:r>
        <w:rPr/>
        <w:t>号，撤销福建省长乐市人民法院（</w:t>
      </w:r>
      <w:r>
        <w:rPr>
          <w:rFonts w:ascii="Times New Roman" w:hAnsi="Times New Roman" w:cs="Times New Roman" w:eastAsia="Times New Roman" w:hint="default"/>
        </w:rPr>
        <w:t>2016</w:t>
      </w:r>
      <w:r>
        <w:rPr/>
        <w:t>）闽</w:t>
      </w:r>
      <w:r>
        <w:rPr>
          <w:rFonts w:ascii="Times New Roman" w:hAnsi="Times New Roman" w:cs="Times New Roman" w:eastAsia="Times New Roman" w:hint="default"/>
        </w:rPr>
        <w:t>0182</w:t>
      </w:r>
      <w:r>
        <w:rPr/>
        <w:t>民初 </w:t>
      </w:r>
      <w:r>
        <w:rPr>
          <w:rFonts w:ascii="Times New Roman" w:hAnsi="Times New Roman" w:cs="Times New Roman" w:eastAsia="Times New Roman" w:hint="default"/>
          <w:spacing w:val="-2"/>
        </w:rPr>
        <w:t>2680</w:t>
      </w:r>
      <w:r>
        <w:rPr>
          <w:spacing w:val="-2"/>
        </w:rPr>
        <w:t>号民事判决，驳回公司一审全部诉讼请求。公司不服福州市中级人民法院（</w:t>
      </w:r>
      <w:r>
        <w:rPr>
          <w:rFonts w:ascii="Times New Roman" w:hAnsi="Times New Roman" w:cs="Times New Roman" w:eastAsia="Times New Roman" w:hint="default"/>
          <w:spacing w:val="-2"/>
        </w:rPr>
        <w:t>2017</w:t>
      </w:r>
      <w:r>
        <w:rPr>
          <w:spacing w:val="-2"/>
        </w:rPr>
        <w:t>）闽</w:t>
      </w:r>
      <w:r>
        <w:rPr>
          <w:rFonts w:ascii="Times New Roman" w:hAnsi="Times New Roman" w:cs="Times New Roman" w:eastAsia="Times New Roman" w:hint="default"/>
          <w:spacing w:val="-2"/>
        </w:rPr>
        <w:t>01</w:t>
      </w:r>
      <w:r>
        <w:rPr>
          <w:spacing w:val="-2"/>
        </w:rPr>
        <w:t>民终</w:t>
      </w:r>
      <w:r>
        <w:rPr>
          <w:rFonts w:ascii="Times New Roman" w:hAnsi="Times New Roman" w:cs="Times New Roman" w:eastAsia="Times New Roman" w:hint="default"/>
          <w:spacing w:val="-2"/>
        </w:rPr>
        <w:t>304</w:t>
      </w:r>
      <w:r>
        <w:rPr>
          <w:spacing w:val="-2"/>
        </w:rPr>
        <w:t>号民事判决书，于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日向福建省申请再审，现委托福建建达律师事务所跟进该案，目前案件正在审理当中。截止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w:t>
      </w:r>
      <w:r>
        <w:rPr>
          <w:spacing w:val="-40"/>
        </w:rPr>
        <w:t> </w:t>
      </w:r>
      <w:r>
        <w:rPr>
          <w:spacing w:val="-40"/>
        </w:rPr>
      </w:r>
      <w:r>
        <w:rPr/>
        <w:t>目账面应收款余额为零。</w:t>
      </w:r>
    </w:p>
    <w:p>
      <w:pPr>
        <w:pStyle w:val="BodyText"/>
        <w:spacing w:line="300" w:lineRule="auto" w:before="31"/>
        <w:ind w:left="229" w:right="91"/>
        <w:jc w:val="left"/>
      </w:pPr>
      <w:r>
        <w:rPr/>
        <w:t>（</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日委托上海金茂凯德事务所田孝明律师就集怡嘉数码科技（深圳）有限公司所拖欠的服务费人 </w:t>
      </w:r>
      <w:r>
        <w:rPr>
          <w:spacing w:val="-1"/>
        </w:rPr>
        <w:t>民币</w:t>
      </w:r>
      <w:r>
        <w:rPr>
          <w:rFonts w:ascii="Times New Roman" w:hAnsi="Times New Roman" w:cs="Times New Roman" w:eastAsia="Times New Roman" w:hint="default"/>
          <w:spacing w:val="-1"/>
        </w:rPr>
        <w:t>1,350,000.00</w:t>
      </w:r>
      <w:r>
        <w:rPr>
          <w:spacing w:val="-1"/>
        </w:rPr>
        <w:t>元向中国国际经济贸易仲裁委员会申请仲裁，请求集怡嘉数码科技（深圳）有限公司支付拖欠的《集怡嘉</w:t>
      </w:r>
    </w:p>
    <w:p>
      <w:pPr>
        <w:pStyle w:val="BodyText"/>
        <w:spacing w:line="312" w:lineRule="auto" w:before="13"/>
        <w:ind w:left="229" w:right="175"/>
        <w:jc w:val="left"/>
      </w:pPr>
      <w:r>
        <w:rPr>
          <w:rFonts w:ascii="Times New Roman" w:hAnsi="Times New Roman" w:cs="Times New Roman" w:eastAsia="Times New Roman" w:hint="default"/>
        </w:rPr>
        <w:t>-SAP</w:t>
      </w:r>
      <w:r>
        <w:rPr/>
        <w:t>实施项目》服务费及办理本案的相关费用。中国国际经济贸易仲裁委员会于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日作出裁决，裁决集怡嘉数 码科技（深圳）有限公司向公司支付标的金额款项。目前公司尚未收到标的金额款项，已进入执行阶段，由深圳市中级人 民法院受理，经法院查证，集怡嘉数码科技（深圳）有限公司名下无可执行财产，现已终结执行。本公司账面应收该项目 款项</w:t>
      </w:r>
      <w:r>
        <w:rPr>
          <w:rFonts w:ascii="Times New Roman" w:hAnsi="Times New Roman" w:cs="Times New Roman" w:eastAsia="Times New Roman" w:hint="default"/>
        </w:rPr>
        <w:t>1,440,000.00</w:t>
      </w:r>
      <w:r>
        <w:rPr/>
        <w:t>元，已计提坏账准备</w:t>
      </w:r>
      <w:r>
        <w:rPr>
          <w:rFonts w:ascii="Times New Roman" w:hAnsi="Times New Roman" w:cs="Times New Roman" w:eastAsia="Times New Roman" w:hint="default"/>
        </w:rPr>
        <w:t>1,379,700.5</w:t>
      </w:r>
      <w:r>
        <w:rPr/>
        <w:t>元。</w:t>
      </w:r>
    </w:p>
    <w:p>
      <w:pPr>
        <w:pStyle w:val="BodyText"/>
        <w:spacing w:line="300" w:lineRule="auto" w:before="3"/>
        <w:ind w:left="229" w:right="130"/>
        <w:jc w:val="left"/>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日委托上海金茂凯德事务所潘金涛律师就久泰能源内蒙古有限公司所拖欠的服务费人民币 </w:t>
      </w:r>
      <w:r>
        <w:rPr>
          <w:rFonts w:ascii="Times New Roman" w:hAnsi="Times New Roman" w:cs="Times New Roman" w:eastAsia="Times New Roman" w:hint="default"/>
        </w:rPr>
        <w:t>5,525,113.33</w:t>
      </w:r>
      <w:r>
        <w:rPr/>
        <w:t>元向中国国际经济贸易仲裁委员会申请仲裁，请求久泰能源内蒙古有限公司支付拖欠的《咨询实施服务合同》 </w:t>
      </w:r>
      <w:r>
        <w:rPr>
          <w:spacing w:val="-2"/>
        </w:rPr>
        <w:t>服务费及办理本案的相关费用。中国国际经济贸易仲裁委员会于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日作出裁决，裁决久泰能源内蒙古有限公司向</w:t>
      </w:r>
      <w:r>
        <w:rPr>
          <w:spacing w:val="-44"/>
        </w:rPr>
        <w:t> </w:t>
      </w:r>
      <w:r>
        <w:rPr>
          <w:spacing w:val="-44"/>
        </w:rPr>
      </w:r>
      <w:r>
        <w:rPr>
          <w:spacing w:val="-1"/>
        </w:rPr>
        <w:t>公司支付</w:t>
      </w:r>
      <w:r>
        <w:rPr>
          <w:rFonts w:ascii="Times New Roman" w:hAnsi="Times New Roman" w:cs="Times New Roman" w:eastAsia="Times New Roman" w:hint="default"/>
          <w:spacing w:val="-1"/>
        </w:rPr>
        <w:t>5,525,113.33</w:t>
      </w:r>
      <w:r>
        <w:rPr>
          <w:spacing w:val="-1"/>
        </w:rPr>
        <w:t>元及办理本案的相关费用，目前公司尚未收到标的金额款项。本期应收账款余额</w:t>
      </w:r>
      <w:r>
        <w:rPr>
          <w:rFonts w:ascii="Times New Roman" w:hAnsi="Times New Roman" w:cs="Times New Roman" w:eastAsia="Times New Roman" w:hint="default"/>
          <w:spacing w:val="-1"/>
        </w:rPr>
        <w:t>5,221,000</w:t>
      </w:r>
      <w:r>
        <w:rPr>
          <w:spacing w:val="-1"/>
        </w:rPr>
        <w:t>元，已全额</w:t>
      </w:r>
      <w:r>
        <w:rPr>
          <w:spacing w:val="-53"/>
        </w:rPr>
        <w:t> </w:t>
      </w:r>
      <w:r>
        <w:rPr>
          <w:spacing w:val="-53"/>
        </w:rPr>
      </w:r>
      <w:r>
        <w:rPr/>
        <w:t>计提坏账。</w:t>
      </w:r>
    </w:p>
    <w:p>
      <w:pPr>
        <w:pStyle w:val="BodyText"/>
        <w:spacing w:line="300" w:lineRule="auto" w:before="31"/>
        <w:ind w:left="229" w:right="91"/>
        <w:jc w:val="left"/>
      </w:pPr>
      <w:r>
        <w:rPr>
          <w:spacing w:val="-2"/>
        </w:rPr>
        <w:t>（</w:t>
      </w:r>
      <w:r>
        <w:rPr>
          <w:rFonts w:ascii="Times New Roman" w:hAnsi="Times New Roman" w:cs="Times New Roman" w:eastAsia="Times New Roman" w:hint="default"/>
          <w:spacing w:val="-2"/>
        </w:rPr>
        <w:t>6</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日委托上海金茂凯德事务所潘金涛律师就久泰能源（准格尔）有限公司所拖欠《系统集成销售</w:t>
      </w:r>
      <w:r>
        <w:rPr>
          <w:spacing w:val="-42"/>
        </w:rPr>
        <w:t> </w:t>
      </w:r>
      <w:r>
        <w:rPr>
          <w:spacing w:val="-42"/>
        </w:rPr>
      </w:r>
      <w:r>
        <w:rPr>
          <w:spacing w:val="-1"/>
        </w:rPr>
        <w:t>合同》的设备款项中的</w:t>
      </w:r>
      <w:r>
        <w:rPr>
          <w:rFonts w:ascii="Times New Roman" w:hAnsi="Times New Roman" w:cs="Times New Roman" w:eastAsia="Times New Roman" w:hint="default"/>
          <w:spacing w:val="-1"/>
        </w:rPr>
        <w:t>8,350,000.00</w:t>
      </w:r>
      <w:r>
        <w:rPr>
          <w:spacing w:val="-1"/>
        </w:rPr>
        <w:t>元向内蒙古鄂尔多斯市准格尔旗人民法院提起诉讼，请求久泰能源（准格尔）有限公司</w:t>
      </w:r>
    </w:p>
    <w:p>
      <w:pPr>
        <w:spacing w:after="0" w:line="300" w:lineRule="auto"/>
        <w:jc w:val="left"/>
        <w:sectPr>
          <w:pgSz w:w="11910" w:h="16840"/>
          <w:pgMar w:header="747" w:footer="982" w:top="1060" w:bottom="1180" w:left="980" w:right="960"/>
        </w:sectPr>
      </w:pPr>
    </w:p>
    <w:p>
      <w:pPr>
        <w:spacing w:line="240" w:lineRule="auto" w:before="12"/>
        <w:rPr>
          <w:rFonts w:ascii="宋体" w:hAnsi="宋体" w:cs="宋体" w:eastAsia="宋体" w:hint="default"/>
          <w:sz w:val="25"/>
          <w:szCs w:val="25"/>
        </w:rPr>
      </w:pPr>
    </w:p>
    <w:p>
      <w:pPr>
        <w:pStyle w:val="BodyText"/>
        <w:spacing w:line="300" w:lineRule="auto" w:before="44"/>
        <w:ind w:left="229" w:right="151"/>
        <w:jc w:val="both"/>
      </w:pPr>
      <w:r>
        <w:rPr/>
        <w:t>支付拖欠的《系统集成销售合同》设备款及办理本案的相关费用。内蒙古鄂尔多斯市准格尔旗人民法院于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日作 </w:t>
      </w:r>
      <w:r>
        <w:rPr>
          <w:spacing w:val="-1"/>
        </w:rPr>
        <w:t>出判决，判令久泰能源（准格尔）有限公司向公司支付</w:t>
      </w:r>
      <w:r>
        <w:rPr>
          <w:rFonts w:ascii="Times New Roman" w:hAnsi="Times New Roman" w:cs="Times New Roman" w:eastAsia="Times New Roman" w:hint="default"/>
          <w:spacing w:val="-1"/>
        </w:rPr>
        <w:t>8,350,000.00</w:t>
      </w:r>
      <w:r>
        <w:rPr>
          <w:spacing w:val="-1"/>
        </w:rPr>
        <w:t>元及办理本案的相关费用，目前公司尚未收到标的金额</w:t>
      </w:r>
      <w:r>
        <w:rPr>
          <w:spacing w:val="-55"/>
        </w:rPr>
        <w:t> </w:t>
      </w:r>
      <w:r>
        <w:rPr>
          <w:spacing w:val="-55"/>
        </w:rPr>
      </w:r>
      <w:r>
        <w:rPr/>
        <w:t>款项。截止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日，该项目账面应收款余额为零。</w:t>
      </w:r>
    </w:p>
    <w:p>
      <w:pPr>
        <w:pStyle w:val="BodyText"/>
        <w:spacing w:line="307" w:lineRule="auto" w:before="13"/>
        <w:ind w:left="229" w:right="151"/>
        <w:jc w:val="both"/>
      </w:pPr>
      <w:r>
        <w:rPr/>
        <w:t>（</w:t>
      </w:r>
      <w:r>
        <w:rPr>
          <w:rFonts w:ascii="Times New Roman" w:hAnsi="Times New Roman" w:cs="Times New Roman" w:eastAsia="Times New Roman" w:hint="default"/>
        </w:rPr>
        <w:t>7</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日委托上海金茂凯德事务所潘金涛律师就中融民信资本管理有限公司服务费人民币</w:t>
      </w:r>
      <w:r>
        <w:rPr>
          <w:rFonts w:ascii="Times New Roman" w:hAnsi="Times New Roman" w:cs="Times New Roman" w:eastAsia="Times New Roman" w:hint="default"/>
        </w:rPr>
        <w:t>1,533,278.00 </w:t>
      </w:r>
      <w:r>
        <w:rPr/>
        <w:t>元向北京市朝阳区人民法院提起诉讼，请求中融民信资本管理有限公司支付拖欠的《咨询实施服务合同》已实施部分的服 </w:t>
      </w:r>
      <w:r>
        <w:rPr>
          <w:spacing w:val="-2"/>
        </w:rPr>
        <w:t>务费用及办理本案的相关费用。该案已于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日两次开庭审理，目前尚未作出判决。本期应收账</w:t>
      </w:r>
      <w:r>
        <w:rPr>
          <w:spacing w:val="-36"/>
        </w:rPr>
        <w:t> </w:t>
      </w:r>
      <w:r>
        <w:rPr>
          <w:spacing w:val="-36"/>
        </w:rPr>
      </w:r>
      <w:r>
        <w:rPr/>
        <w:t>款余额</w:t>
      </w:r>
      <w:r>
        <w:rPr>
          <w:rFonts w:ascii="Times New Roman" w:hAnsi="Times New Roman" w:cs="Times New Roman" w:eastAsia="Times New Roman" w:hint="default"/>
        </w:rPr>
        <w:t>1,533,278.00</w:t>
      </w:r>
      <w:r>
        <w:rPr/>
        <w:t>元，计提坏账</w:t>
      </w:r>
      <w:r>
        <w:rPr>
          <w:rFonts w:ascii="Times New Roman" w:hAnsi="Times New Roman" w:cs="Times New Roman" w:eastAsia="Times New Roman" w:hint="default"/>
        </w:rPr>
        <w:t>766,639.00</w:t>
      </w:r>
      <w:r>
        <w:rPr/>
        <w:t>元。</w:t>
      </w:r>
    </w:p>
    <w:p>
      <w:pPr>
        <w:pStyle w:val="BodyText"/>
        <w:spacing w:line="300" w:lineRule="auto" w:before="7"/>
        <w:ind w:left="153" w:right="150"/>
        <w:jc w:val="both"/>
      </w:pPr>
      <w:r>
        <w:rPr>
          <w:spacing w:val="-2"/>
        </w:rPr>
        <w:t>（</w:t>
      </w:r>
      <w:r>
        <w:rPr>
          <w:rFonts w:ascii="Times New Roman" w:hAnsi="Times New Roman" w:cs="Times New Roman" w:eastAsia="Times New Roman" w:hint="default"/>
          <w:spacing w:val="-2"/>
        </w:rPr>
        <w:t>9</w:t>
      </w:r>
      <w:r>
        <w:rPr>
          <w:spacing w:val="-2"/>
        </w:rPr>
        <w:t>）北京信利恒丰科技发展有限公司以公司为被申请人，于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日向北京仲裁委员会提起仲裁，要求公司支付《软</w:t>
      </w:r>
      <w:r>
        <w:rPr>
          <w:spacing w:val="-58"/>
        </w:rPr>
        <w:t> </w:t>
      </w:r>
      <w:r>
        <w:rPr>
          <w:spacing w:val="-58"/>
        </w:rPr>
      </w:r>
      <w:r>
        <w:rPr/>
        <w:t>件产品购销合同》约定的软件款</w:t>
      </w:r>
      <w:r>
        <w:rPr>
          <w:rFonts w:ascii="Times New Roman" w:hAnsi="Times New Roman" w:cs="Times New Roman" w:eastAsia="Times New Roman" w:hint="default"/>
        </w:rPr>
        <w:t>1,150,000.00</w:t>
      </w:r>
      <w:r>
        <w:rPr/>
        <w:t>元。北京仲裁委员会于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日作出裁决，裁决公司向北京信利恒丰科技 </w:t>
      </w:r>
      <w:r>
        <w:rPr>
          <w:spacing w:val="-1"/>
        </w:rPr>
        <w:t>发展有限公司支付标的金额款项。</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日，公司披露预计负债</w:t>
      </w:r>
      <w:r>
        <w:rPr>
          <w:rFonts w:ascii="Times New Roman" w:hAnsi="Times New Roman" w:cs="Times New Roman" w:eastAsia="Times New Roman" w:hint="default"/>
          <w:spacing w:val="-1"/>
        </w:rPr>
        <w:t>1,150,000.00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日，本公司已付讫该笔</w:t>
      </w:r>
      <w:r>
        <w:rPr>
          <w:spacing w:val="-62"/>
        </w:rPr>
        <w:t> </w:t>
      </w:r>
      <w:r>
        <w:rPr>
          <w:spacing w:val="-62"/>
        </w:rPr>
      </w:r>
      <w:r>
        <w:rPr/>
        <w:t>费用。</w:t>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r>
        <w:rPr/>
        <w:t>十六、资产负债表日后事项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976;top:16;width:2;height:392" coordorigin="4976,16" coordsize="2,392">
              <v:shape style="position:absolute;left:4976;top:16;width:2;height:392" coordorigin="4976,16" coordsize="0,392" path="m4976,16l4976,407e" filled="false" stroked="true" strokeweight="1.140pt" strokecolor="#d3d3d3">
                <v:path arrowok="t"/>
              </v:shape>
            </v:group>
            <v:group style="position:absolute;left:37;top:16;width:4928;height:392" coordorigin="37,16" coordsize="4928,392">
              <v:shape style="position:absolute;left:37;top:16;width:4928;height:392" coordorigin="37,16" coordsize="4928,392" path="m37,407l4964,407,4964,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984;height:2" coordorigin="5,413" coordsize="4984,2">
              <v:shape style="position:absolute;left:5;top:413;width:4984;height:2" coordorigin="5,413" coordsize="4984,0" path="m5,413l4988,413e" filled="false" stroked="true" strokeweight=".48001pt" strokecolor="#000000">
                <v:path arrowok="t"/>
              </v:shape>
            </v:group>
            <v:group style="position:absolute;left:4993;top:14;width:2;height:404" coordorigin="4993,14" coordsize="2,404">
              <v:shape style="position:absolute;left:4993;top:14;width:2;height:404" coordorigin="4993,14" coordsize="0,404" path="m4993,14l4993,418e" filled="false" stroked="true" strokeweight=".47998pt" strokecolor="#000000">
                <v:path arrowok="t"/>
              </v:shape>
            </v:group>
            <v:group style="position:absolute;left:4998;top:413;width:4575;height:2" coordorigin="4998,413" coordsize="4575,2">
              <v:shape style="position:absolute;left:4998;top:413;width:4575;height:2" coordorigin="4998,413" coordsize="4575,0" path="m4998,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983;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4" type="#_x0000_t202" filled="false" stroked="false">
                <v:textbox inset="0,0,0,0">
                  <w:txbxContent>
                    <w:p>
                      <w:pPr>
                        <w:spacing w:before="97"/>
                        <w:ind w:left="0" w:right="24" w:firstLine="0"/>
                        <w:jc w:val="right"/>
                        <w:rPr>
                          <w:rFonts w:ascii="Times New Roman" w:hAnsi="Times New Roman" w:cs="Times New Roman" w:eastAsia="Times New Roman" w:hint="default"/>
                          <w:sz w:val="18"/>
                          <w:szCs w:val="18"/>
                        </w:rPr>
                      </w:pPr>
                      <w:r>
                        <w:rPr>
                          <w:rFonts w:ascii="Times New Roman"/>
                          <w:spacing w:val="-1"/>
                          <w:sz w:val="18"/>
                        </w:rPr>
                        <w:t>26,189,837.67</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1"/>
        <w:jc w:val="both"/>
      </w:pP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日第三届董事会第二十四次（临时）会议关于授予限制性股票的决议、第三届董事会第二十六次（临 </w:t>
      </w:r>
      <w:r>
        <w:rPr>
          <w:spacing w:val="-2"/>
        </w:rPr>
        <w:t>时）会议通过的《关于调整公司</w:t>
      </w:r>
      <w:r>
        <w:rPr>
          <w:rFonts w:ascii="Times New Roman" w:hAnsi="Times New Roman" w:cs="Times New Roman" w:eastAsia="Times New Roman" w:hint="default"/>
          <w:spacing w:val="-2"/>
        </w:rPr>
        <w:t>2017</w:t>
      </w:r>
      <w:r>
        <w:rPr>
          <w:spacing w:val="-2"/>
        </w:rPr>
        <w:t>年限制性股票激励计划的议案》对授予股数和人数的调整及《上海汉得信息技术股份有</w:t>
      </w:r>
      <w:r>
        <w:rPr>
          <w:spacing w:val="-62"/>
        </w:rPr>
        <w:t> </w:t>
      </w:r>
      <w:r>
        <w:rPr>
          <w:spacing w:val="-62"/>
        </w:rPr>
      </w:r>
      <w:r>
        <w:rPr/>
        <w:t>限公司</w:t>
      </w:r>
      <w:r>
        <w:rPr>
          <w:spacing w:val="20"/>
        </w:rPr>
        <w:t> </w:t>
      </w:r>
      <w:r>
        <w:rPr>
          <w:rFonts w:ascii="Times New Roman" w:hAnsi="Times New Roman" w:cs="Times New Roman" w:eastAsia="Times New Roman" w:hint="default"/>
          <w:spacing w:val="-2"/>
        </w:rPr>
        <w:t>2017</w:t>
      </w:r>
      <w:r>
        <w:rPr>
          <w:spacing w:val="-2"/>
        </w:rPr>
        <w:t>年限制性股票激励计划（草案）修订稿》相关要求，公司董事会于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月实施并完成了限制性股票的授予工</w:t>
      </w:r>
      <w:r>
        <w:rPr>
          <w:spacing w:val="-85"/>
        </w:rPr>
        <w:t> </w:t>
      </w:r>
      <w:r>
        <w:rPr/>
        <w:t>作，向激励对象定向发行</w:t>
      </w:r>
      <w:r>
        <w:rPr>
          <w:rFonts w:ascii="Times New Roman" w:hAnsi="Times New Roman" w:cs="Times New Roman" w:eastAsia="Times New Roman" w:hint="default"/>
        </w:rPr>
        <w:t>19,085,000</w:t>
      </w:r>
      <w:r>
        <w:rPr/>
        <w:t>股限制性股票。本次增发后，公司股本增至</w:t>
      </w:r>
      <w:r>
        <w:rPr>
          <w:rFonts w:ascii="Times New Roman" w:hAnsi="Times New Roman" w:cs="Times New Roman" w:eastAsia="Times New Roman" w:hint="default"/>
        </w:rPr>
        <w:t>872,994,589</w:t>
      </w:r>
      <w:r>
        <w:rPr/>
        <w:t>万股。</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1,456,29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9,883.44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259,347,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409.03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17.81%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1,196,952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,474.41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943,598</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,588.00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186,995,1</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47.18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756,603,44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0.82</w:t>
            </w:r>
          </w:p>
        </w:tc>
      </w:tr>
      <w:tr>
        <w:trPr>
          <w:trHeight w:val="162"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1,456,29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9,883.44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259,347,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409.03</w:t>
            </w:r>
          </w:p>
        </w:tc>
        <w:tc>
          <w:tcPr>
            <w:tcW w:w="762" w:type="dxa"/>
            <w:vMerge w:val="restart"/>
            <w:tcBorders>
              <w:top w:val="single" w:sz="4" w:space="0" w:color="000000"/>
              <w:left w:val="single" w:sz="4" w:space="0" w:color="000000"/>
              <w:right w:val="single" w:sz="4" w:space="0" w:color="000000"/>
            </w:tcBorders>
          </w:tcPr>
          <w:p>
            <w:pP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1,196,952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,474.41</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943,598</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,588.00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186,995,1</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47.18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756,603,44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0.82</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0"/>
        <w:gridCol w:w="2390"/>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1,010,088,945.57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50,504,447.28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1,010,088,945.57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50,504,447.28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137,781,280.64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68,890,640.32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68,689,451.47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68,689,451.47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71,262,869.96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71,262,869.96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1,287,822,547.64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259,347,409.03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5451"/>
        <w:jc w:val="left"/>
      </w:pPr>
      <w:r>
        <w:rPr/>
        <w:t>确定该组合依据的说明： 组合中，采用余额百分比法计提坏账准备的应收账款：</w:t>
      </w:r>
    </w:p>
    <w:p>
      <w:pPr>
        <w:pStyle w:val="BodyText"/>
        <w:spacing w:line="338" w:lineRule="auto" w:before="29"/>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7"/>
        </w:rPr>
        <w:t> </w:t>
      </w:r>
      <w:r>
        <w:rPr>
          <w:rFonts w:ascii="Times New Roman" w:hAnsi="Times New Roman" w:cs="Times New Roman" w:eastAsia="Times New Roman" w:hint="default"/>
        </w:rPr>
        <w:t>72,352,261.85</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139" w:space="268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631"/>
        <w:gridCol w:w="2075"/>
        <w:gridCol w:w="1832"/>
        <w:gridCol w:w="2119"/>
      </w:tblGrid>
      <w:tr>
        <w:trPr>
          <w:trHeight w:val="356" w:hRule="exact"/>
        </w:trPr>
        <w:tc>
          <w:tcPr>
            <w:tcW w:w="363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26"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64" w:hRule="exact"/>
        </w:trPr>
        <w:tc>
          <w:tcPr>
            <w:tcW w:w="3631" w:type="dxa"/>
            <w:vMerge/>
            <w:tcBorders>
              <w:left w:val="single" w:sz="6" w:space="0" w:color="000000"/>
              <w:bottom w:val="single" w:sz="12" w:space="0" w:color="000000"/>
              <w:right w:val="single" w:sz="6" w:space="0" w:color="000000"/>
            </w:tcBorders>
          </w:tcPr>
          <w:p>
            <w:pP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83" w:right="7"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22,550,125.37</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1.55</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19,219,155.37</w:t>
            </w:r>
          </w:p>
        </w:tc>
      </w:tr>
      <w:tr>
        <w:trPr>
          <w:trHeight w:val="353"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21,714,064.24</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1.49</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1,085,703.21</w:t>
            </w:r>
          </w:p>
        </w:tc>
      </w:tr>
      <w:tr>
        <w:trPr>
          <w:trHeight w:val="352"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21,113,463.91</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1.45</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1,055,673.20</w:t>
            </w:r>
          </w:p>
        </w:tc>
      </w:tr>
      <w:tr>
        <w:trPr>
          <w:trHeight w:val="352"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15,667,801.89</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1.08</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783,390.09</w:t>
            </w:r>
          </w:p>
        </w:tc>
      </w:tr>
      <w:tr>
        <w:trPr>
          <w:trHeight w:val="353"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15,497,025.50</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1.06</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774,851.28</w:t>
            </w:r>
          </w:p>
        </w:tc>
      </w:tr>
      <w:tr>
        <w:trPr>
          <w:trHeight w:val="352"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96,542,480.91</w:t>
            </w:r>
          </w:p>
        </w:tc>
        <w:tc>
          <w:tcPr>
            <w:tcW w:w="1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6.63</w:t>
            </w:r>
          </w:p>
        </w:tc>
        <w:tc>
          <w:tcPr>
            <w:tcW w:w="2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22,918,773.15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4"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34"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4"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34"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450,632,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306.07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16,344,9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434,287,3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80.24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356,612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8,307,464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348,305,49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4.19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13" w:space="0" w:color="D3D3D3"/>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27,520,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328.37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4,230,235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23,290,092.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62"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450,632,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306.07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16,344,9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25.83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434,287,3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80.24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384,133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,286.66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12,537,69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9.85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371,595,58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6.81</w:t>
            </w:r>
          </w:p>
        </w:tc>
      </w:tr>
      <w:tr>
        <w:trPr>
          <w:trHeight w:val="392" w:hRule="exact"/>
        </w:trPr>
        <w:tc>
          <w:tcPr>
            <w:tcW w:w="16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0"/>
        <w:gridCol w:w="2390"/>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54,394,246.32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2,719,712.32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54,394,246.32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2,719,712.32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8,570,605.41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4,285,302.71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1,535,886.35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1,535,886.35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3,429,867.40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3,429,867.40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67,930,605.48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11,970,768.78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38"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9"/>
        <w:jc w:val="left"/>
      </w:pPr>
      <w:r>
        <w:rPr/>
        <w:t>本期计提坏账准备金额</w:t>
      </w:r>
      <w:r>
        <w:rPr>
          <w:spacing w:val="-46"/>
        </w:rPr>
        <w:t> </w:t>
      </w:r>
      <w:r>
        <w:rPr>
          <w:rFonts w:ascii="Times New Roman" w:hAnsi="Times New Roman" w:cs="Times New Roman" w:eastAsia="Times New Roman" w:hint="default"/>
        </w:rPr>
        <w:t>3,807,225.98</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399,345,988.83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346,124,613.27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5,218,205.96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3,831,402.68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149,328.99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43,224,210.27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31,673,996.10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2,843,901.01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2,353,945.62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450,632,306.07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384,133,286.66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上海汉得商业保理有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267,185,011.26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上海汉得融晶信息科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56,270,274.12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上海汉得欧俊信息技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31,261,766.09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上海汉得知云软件有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16,615,060.24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830,753.01</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上海汉得微扬信息技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12,368,463.70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383,700,575.41</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830,753.01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500,978,666.90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500,978,666.90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25,352,537.55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25,352,537.55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526,331,204.45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526,331,204.45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上海夏尔软件有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61,873,283.21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61,873,283.21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sz w:val="18"/>
              </w:rPr>
              <w:t> </w:t>
            </w:r>
            <w:r>
              <w:rPr>
                <w:rFonts w:ascii="Times New Roman"/>
                <w:sz w:val="18"/>
              </w:rPr>
              <w:t>ENTERPRISE</w:t>
            </w:r>
            <w:r>
              <w:rPr>
                <w:rFonts w:ascii="Times New Roman"/>
                <w:sz w:val="18"/>
              </w:rPr>
              <w:t> SOLUTIONS(SIN </w:t>
            </w:r>
            <w:r>
              <w:rPr>
                <w:rFonts w:ascii="Times New Roman"/>
                <w:spacing w:val="-3"/>
                <w:sz w:val="18"/>
              </w:rPr>
              <w:t>GAPORE)PTE.LT</w:t>
            </w:r>
            <w:r>
              <w:rPr>
                <w:rFonts w:ascii="Times New Roman"/>
                <w:spacing w:val="-33"/>
                <w:sz w:val="18"/>
              </w:rPr>
              <w:t> </w:t>
            </w:r>
            <w:r>
              <w:rPr>
                <w:rFonts w:ascii="Times New Roman"/>
                <w:spacing w:val="-33"/>
                <w:sz w:val="18"/>
              </w:rPr>
            </w:r>
            <w:r>
              <w:rPr>
                <w:rFonts w:ascii="Times New Roman"/>
                <w:sz w:val="18"/>
              </w:rPr>
              <w: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43,532,695.00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43,532,695.00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随身科技（上海）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5,000,002.00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5,000,002.00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上海汉得融晶信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汉得日本株式会 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574,886.68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574,886.68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2"/>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sz w:val="18"/>
              </w:rPr>
              <w:t> </w:t>
            </w:r>
            <w:r>
              <w:rPr>
                <w:rFonts w:ascii="Times New Roman"/>
                <w:sz w:val="18"/>
              </w:rPr>
              <w:t>ENTERPRISE</w:t>
            </w:r>
            <w:r>
              <w:rPr>
                <w:rFonts w:ascii="Times New Roman"/>
                <w:sz w:val="18"/>
              </w:rPr>
              <w:t> SOLUTIONS</w:t>
            </w:r>
            <w:r>
              <w:rPr>
                <w:rFonts w:ascii="Times New Roman"/>
                <w:spacing w:val="-1"/>
                <w:sz w:val="18"/>
              </w:rPr>
              <w:t> </w:t>
            </w:r>
            <w:r>
              <w:rPr>
                <w:rFonts w:ascii="Times New Roman"/>
                <w:spacing w:val="-3"/>
                <w:sz w:val="18"/>
              </w:rPr>
              <w:t>USA.LTD.</w:t>
            </w:r>
            <w:r>
              <w:rPr>
                <w:rFonts w:ascii="Times New Roman"/>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6,462,925.00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6,462,925.00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上海汉得欧俊信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上海汉得商业保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上海汉得微扬信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上海汉得知云软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13,350,264.72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13,350,264.72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上海汉得信息技 术股份有限公司 美国子公司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64,356,800.00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67,615,300.00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上海甄汇信息科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上海达美信息技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扬州达美投资管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55,282,500.01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55,282,500.01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上海甄云信息科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455,960,856.62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65,556,800.00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20,538,989.72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500,978,666.90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上海汉得 知云软件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13,350,26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-10,230,9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6,767,472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-11,341,0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13,357,39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15,164,61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上海甄实 建筑科技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3,420,451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17,976,06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-22,051,4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17,005,53</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25,352,53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17,976,06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-22,051,4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17,005,53</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25,352,53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6"/>
        <w:gridCol w:w="1825"/>
        <w:gridCol w:w="1913"/>
        <w:gridCol w:w="1913"/>
        <w:gridCol w:w="1902"/>
      </w:tblGrid>
      <w:tr>
        <w:trPr>
          <w:trHeight w:val="207" w:hRule="exact"/>
        </w:trPr>
        <w:tc>
          <w:tcPr>
            <w:tcW w:w="200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20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3D3D3"/>
          </w:tcPr>
          <w:p>
            <w:pPr/>
          </w:p>
        </w:tc>
        <w:tc>
          <w:tcPr>
            <w:tcW w:w="381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006" w:type="dxa"/>
            <w:vMerge/>
            <w:tcBorders>
              <w:left w:val="single" w:sz="4" w:space="0" w:color="000000"/>
              <w:bottom w:val="nil" w:sz="6" w:space="0" w:color="auto"/>
              <w:right w:val="single" w:sz="4" w:space="0" w:color="000000"/>
            </w:tcBorders>
            <w:shd w:val="clear" w:color="auto" w:fill="D3D3D3"/>
          </w:tcPr>
          <w:p>
            <w:pPr/>
          </w:p>
        </w:tc>
        <w:tc>
          <w:tcPr>
            <w:tcW w:w="18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20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82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527" w:right="0"/>
              <w:jc w:val="left"/>
              <w:rPr>
                <w:rFonts w:ascii="Times New Roman" w:hAnsi="Times New Roman" w:cs="Times New Roman" w:eastAsia="Times New Roman" w:hint="default"/>
                <w:sz w:val="18"/>
                <w:szCs w:val="18"/>
              </w:rPr>
            </w:pPr>
            <w:r>
              <w:rPr>
                <w:rFonts w:ascii="Times New Roman"/>
                <w:sz w:val="18"/>
              </w:rPr>
              <w:t>2,150,493,504.11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1,379,360,662.28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1,530,654,597.02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955,991,865.23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11,387,053.79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484,855.87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3,723,699.19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2,161,880,557.90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1,379,845,518.15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1,534,378,296.21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955,991,865.23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-16,246,151.92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14,898,039.53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97,461.00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-4,773,999.81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-1,348,112.39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-4,676,538.81</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55,892,953.46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29,476,916.67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2,184,213.22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13,280,859.80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198,990.02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74,074,233.53</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401"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50"/>
        <w:gridCol w:w="3092"/>
        <w:gridCol w:w="1913"/>
        <w:gridCol w:w="1913"/>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10"/>
        <w:rPr>
          <w:rFonts w:ascii="宋体" w:hAnsi="宋体" w:cs="宋体" w:eastAsia="宋体" w:hint="default"/>
          <w:b/>
          <w:bCs/>
          <w:sz w:val="44"/>
          <w:szCs w:val="44"/>
        </w:rPr>
      </w:pPr>
    </w:p>
    <w:p>
      <w:pPr>
        <w:pStyle w:val="Heading4"/>
        <w:spacing w:line="381" w:lineRule="auto" w:before="0"/>
        <w:ind w:right="0"/>
        <w:jc w:val="left"/>
      </w:pPr>
      <w:r>
        <w:rPr/>
        <w:t>一、载有法定代表人陈迪清先生、主管会计工作负责人、会计机构负责人沈雁冰先生签名并</w:t>
      </w:r>
      <w:r>
        <w:rPr>
          <w:spacing w:val="-83"/>
        </w:rPr>
        <w:t> </w:t>
      </w:r>
      <w:r>
        <w:rPr>
          <w:spacing w:val="-83"/>
        </w:rPr>
      </w:r>
      <w:r>
        <w:rPr/>
        <w:t>盖章的财务报告文本；</w:t>
      </w:r>
      <w:r>
        <w:rPr/>
        <w:t> 二、载有会计师事务所盖章、注册会计师签名并盖章的审计报告原件； 三、报告期内在中国证监会指定网站上公开披露过的所有公司文件的正本及公告的原稿； 四、经公司法定代表人陈迪清先生签名的</w:t>
      </w:r>
      <w:r>
        <w:rPr>
          <w:rFonts w:ascii="Times New Roman" w:hAnsi="Times New Roman" w:cs="Times New Roman" w:eastAsia="Times New Roman" w:hint="default"/>
        </w:rPr>
        <w:t>2017</w:t>
      </w:r>
      <w:r>
        <w:rPr/>
        <w:t>年年度报告原件；</w:t>
      </w:r>
    </w:p>
    <w:p>
      <w:pPr>
        <w:pStyle w:val="Heading4"/>
        <w:spacing w:line="240" w:lineRule="auto" w:before="18"/>
        <w:ind w:left="154" w:right="0"/>
        <w:jc w:val="left"/>
      </w:pPr>
      <w:r>
        <w:rPr/>
        <w:t>五、其他有关资料。</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Heading4"/>
        <w:spacing w:line="240" w:lineRule="auto" w:before="0"/>
        <w:ind w:left="0" w:right="151"/>
        <w:jc w:val="right"/>
      </w:pPr>
      <w:r>
        <w:rPr/>
        <w:t>上海汉得信息技术股份有限公司</w:t>
      </w:r>
    </w:p>
    <w:p>
      <w:pPr>
        <w:pStyle w:val="Heading4"/>
        <w:spacing w:line="388" w:lineRule="auto" w:before="193"/>
        <w:ind w:left="7392" w:right="151" w:firstLine="240"/>
        <w:jc w:val="right"/>
      </w:pPr>
      <w:r>
        <w:rPr/>
        <w:t>法定代表人：陈迪清 二〇一八年四月十九日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95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5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95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95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995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95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995272" type="#_x0000_t202" filled="false" stroked="false">
          <v:textbox inset="0,0,0,0">
            <w:txbxContent>
              <w:p>
                <w:pPr>
                  <w:pStyle w:val="BodyText"/>
                  <w:spacing w:line="214" w:lineRule="exact"/>
                  <w:ind w:left="20" w:right="0"/>
                  <w:jc w:val="left"/>
                </w:pPr>
                <w:r>
                  <w:rPr/>
                  <w:t>上海汉得信息技术股份有限公司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36"/>
      <w:ind w:left="153"/>
      <w:outlineLvl w:val="4"/>
    </w:pPr>
    <w:rPr>
      <w:rFonts w:ascii="宋体" w:hAnsi="宋体" w:eastAsia="宋体"/>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spacing w:before="35"/>
      <w:outlineLvl w:val="6"/>
    </w:pPr>
    <w:rPr>
      <w:rFonts w:ascii="宋体" w:hAnsi="宋体" w:eastAsia="宋体"/>
      <w:sz w:val="21"/>
      <w:szCs w:val="21"/>
    </w:rPr>
  </w:style>
  <w:style w:styleId="Heading7" w:type="paragraph">
    <w:name w:val="Heading 7"/>
    <w:basedOn w:val="Normal"/>
    <w:uiPriority w:val="1"/>
    <w:qFormat/>
    <w:pPr>
      <w:ind w:left="154"/>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sherry.li@hand-china.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dc:title>&lt;4D6963726F736F667420576F7264202D2032303137C4EAC4EAB6C8B1A8B8E6C8ABCEC42E646F63&gt;</dc:title>
  <dcterms:created xsi:type="dcterms:W3CDTF">2020-05-03T00:05:25Z</dcterms:created>
  <dcterms:modified xsi:type="dcterms:W3CDTF">2020-05-03T00:05:25Z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PScript5.dll Version 5.2.2</vt:lpwstr>
  </property>
  <property fmtid="{D5CDD505-2E9C-101B-9397-08002B2CF9AE}" pid="4" name="LastSaved">
    <vt:filetime>2020-05-02T00:00:00Z</vt:filetime>
  </property>
</Properties>
</file>