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上海汉得信息技术股份有限公司</w:t>
      </w:r>
    </w:p>
    <w:p>
      <w:pPr>
        <w:pStyle w:val="Style8"/>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71" w:right="1109" w:bottom="2871"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公司负责人陈迪清、主管会计工作负责人沈雁冰及会计机构负责人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沈雁冰声明：保证本年度报告中财务报告的真实、准确、完整。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认识，并且应当理解计划、预测与承诺之间的差异。公司在经营中可能存在的 风险因素内容已在本报告第四节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 展望</w:t>
      </w:r>
      <w:r>
        <w:rPr>
          <w:rFonts w:ascii="Times New Roman" w:eastAsia="Times New Roman" w:hAnsi="Times New Roman" w:cs="Times New Roman"/>
          <w:color w:val="000000"/>
          <w:spacing w:val="0"/>
          <w:w w:val="100"/>
          <w:position w:val="0"/>
        </w:rPr>
        <w:t>”</w:t>
      </w:r>
      <w:r>
        <w:rPr>
          <w:color w:val="000000"/>
          <w:spacing w:val="0"/>
          <w:w w:val="100"/>
          <w:position w:val="0"/>
        </w:rPr>
        <w:t>部分予以描述。敬请广大投资者注意投资风险。</w:t>
      </w:r>
    </w:p>
    <w:p>
      <w:pPr>
        <w:pStyle w:val="Style16"/>
        <w:keepNext w:val="0"/>
        <w:keepLines w:val="0"/>
        <w:widowControl w:val="0"/>
        <w:shd w:val="clear" w:color="auto" w:fill="auto"/>
        <w:bidi w:val="0"/>
        <w:spacing w:before="0" w:line="624" w:lineRule="exact"/>
        <w:ind w:left="0" w:right="0"/>
        <w:jc w:val="both"/>
        <w:sectPr>
          <w:headerReference w:type="default" r:id="rId7"/>
          <w:footerReference w:type="default" r:id="rId8"/>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877,016,921</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20" w:after="160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9"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95"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20</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285"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55"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18"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83</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22"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42"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87</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73"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94</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654"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101</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658"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102</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1704"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231</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公司、本公司、汉得信息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上海汉得信息技术股份有限公司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证监会、中国证监会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交易所、深交所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公司股票获准在交易所上市</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上海汉得信息技术股份有限公司章程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股东大会、董事会、监事会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上海汉得信息技术股份有限公司股东大会、董事会、监事会</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融合中台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汉得融合中台，整合多种开箱即用的业务组件与技术组件，通过组件 化、低耦合方式，轻松实现前端应用与融合中台的快速连接，减少重 复构建，提高迭代速率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Oracle</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美国甲骨文软件系统股份有限公司，</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sz w:val="17"/>
                <w:szCs w:val="17"/>
              </w:rPr>
              <w:t>年正式进入中国市场成立甲 骨文（中国）软件系统有限公司</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SAP</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总部位于德国的</w:t>
            </w:r>
            <w:r>
              <w:rPr>
                <w:rFonts w:ascii="Times New Roman" w:eastAsia="Times New Roman" w:hAnsi="Times New Roman" w:cs="Times New Roman"/>
                <w:color w:val="000000"/>
                <w:spacing w:val="0"/>
                <w:w w:val="100"/>
                <w:position w:val="0"/>
                <w:sz w:val="18"/>
                <w:szCs w:val="18"/>
              </w:rPr>
              <w:t>SAP</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SAP</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Systems Applications and Products</w:t>
            </w:r>
            <w:r>
              <w:rPr>
                <w:color w:val="000000"/>
                <w:spacing w:val="0"/>
                <w:w w:val="100"/>
                <w:position w:val="0"/>
                <w:sz w:val="17"/>
                <w:szCs w:val="17"/>
              </w:rPr>
              <w:t>的缩写，既是其公司简称，也是其主要</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软件产品的简 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ERP</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Enterprises Resource Planning</w:t>
            </w:r>
            <w:r>
              <w:rPr>
                <w:color w:val="000000"/>
                <w:spacing w:val="0"/>
                <w:w w:val="100"/>
                <w:position w:val="0"/>
                <w:sz w:val="17"/>
                <w:szCs w:val="17"/>
              </w:rPr>
              <w:t>的缩写，中文意思为企业资源计划</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Software-as-a-Service </w:t>
            </w:r>
            <w:r>
              <w:rPr>
                <w:color w:val="000000"/>
                <w:spacing w:val="0"/>
                <w:w w:val="100"/>
                <w:position w:val="0"/>
                <w:sz w:val="17"/>
                <w:szCs w:val="17"/>
              </w:rPr>
              <w:t>（软件即服务）的简称。它是一种通过</w:t>
            </w:r>
            <w:r>
              <w:rPr>
                <w:rFonts w:ascii="Times New Roman" w:eastAsia="Times New Roman" w:hAnsi="Times New Roman" w:cs="Times New Roman"/>
                <w:color w:val="000000"/>
                <w:spacing w:val="0"/>
                <w:w w:val="100"/>
                <w:position w:val="0"/>
                <w:sz w:val="18"/>
                <w:szCs w:val="18"/>
              </w:rPr>
              <w:t xml:space="preserve">Internet </w:t>
            </w:r>
            <w:r>
              <w:rPr>
                <w:color w:val="000000"/>
                <w:spacing w:val="0"/>
                <w:w w:val="100"/>
                <w:position w:val="0"/>
                <w:sz w:val="17"/>
                <w:szCs w:val="17"/>
              </w:rPr>
              <w:t>提供软件的模式，厂商将应用软件统一部署在自己的服务器上，客户 通过互联网向厂商定购所需的应用软件服务，按定购的服务多少和时 间长短向厂商支付费用，并通过互联网获得厂商提供的服务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Manufacturing Execution System</w:t>
            </w:r>
            <w:r>
              <w:rPr>
                <w:color w:val="000000"/>
                <w:spacing w:val="0"/>
                <w:w w:val="100"/>
                <w:position w:val="0"/>
                <w:sz w:val="17"/>
                <w:szCs w:val="17"/>
              </w:rPr>
              <w:t>即制造执行系统。是面向制造企业的 生产信息化管理系统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Product lifecycle management</w:t>
            </w:r>
            <w:r>
              <w:rPr>
                <w:color w:val="000000"/>
                <w:spacing w:val="0"/>
                <w:w w:val="100"/>
                <w:position w:val="0"/>
                <w:sz w:val="17"/>
                <w:szCs w:val="17"/>
              </w:rPr>
              <w:t>的缩写，即产品生命周期管理系统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WMS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Warehouse Management System</w:t>
            </w:r>
            <w:r>
              <w:rPr>
                <w:color w:val="000000"/>
                <w:spacing w:val="0"/>
                <w:w w:val="100"/>
                <w:position w:val="0"/>
                <w:sz w:val="17"/>
                <w:szCs w:val="17"/>
              </w:rPr>
              <w:t>的缩写，即仓储管理系统</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TMS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Transportation Management System </w:t>
            </w:r>
            <w:r>
              <w:rPr>
                <w:color w:val="000000"/>
                <w:spacing w:val="0"/>
                <w:w w:val="100"/>
                <w:position w:val="0"/>
                <w:sz w:val="17"/>
                <w:szCs w:val="17"/>
              </w:rPr>
              <w:t>的缩写，即运输管理系统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Customer Relationship Management</w:t>
            </w:r>
            <w:r>
              <w:rPr>
                <w:color w:val="000000"/>
                <w:spacing w:val="0"/>
                <w:w w:val="100"/>
                <w:position w:val="0"/>
                <w:sz w:val="17"/>
                <w:szCs w:val="17"/>
              </w:rPr>
              <w:t>的缩写，即客户关系管理系统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Enterprise Performance Management</w:t>
            </w:r>
            <w:r>
              <w:rPr>
                <w:color w:val="000000"/>
                <w:spacing w:val="0"/>
                <w:w w:val="100"/>
                <w:position w:val="0"/>
                <w:sz w:val="17"/>
                <w:szCs w:val="17"/>
              </w:rPr>
              <w:t>的缩写，即企业绩效管理系统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Business Intelligence</w:t>
            </w:r>
            <w:r>
              <w:rPr>
                <w:color w:val="000000"/>
                <w:spacing w:val="0"/>
                <w:w w:val="100"/>
                <w:position w:val="0"/>
                <w:sz w:val="17"/>
                <w:szCs w:val="17"/>
              </w:rPr>
              <w:t>的缩写，即商务智能分析系统</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NetSuite</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一套基于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理念，集</w:t>
            </w:r>
            <w:r>
              <w:rPr>
                <w:rFonts w:ascii="Times New Roman" w:eastAsia="Times New Roman" w:hAnsi="Times New Roman" w:cs="Times New Roman"/>
                <w:color w:val="000000"/>
                <w:spacing w:val="0"/>
                <w:w w:val="100"/>
                <w:position w:val="0"/>
                <w:sz w:val="18"/>
                <w:szCs w:val="18"/>
              </w:rPr>
              <w:t xml:space="preserve">CRM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ERP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Ecommerce</w:t>
            </w:r>
            <w:r>
              <w:rPr>
                <w:color w:val="000000"/>
                <w:spacing w:val="0"/>
                <w:w w:val="100"/>
                <w:position w:val="0"/>
                <w:sz w:val="17"/>
                <w:szCs w:val="17"/>
              </w:rPr>
              <w:t>于一体的综合性产 品</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Hyperion</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Oracle</w:t>
            </w:r>
            <w:r>
              <w:rPr>
                <w:color w:val="000000"/>
                <w:spacing w:val="0"/>
                <w:w w:val="100"/>
                <w:position w:val="0"/>
                <w:sz w:val="17"/>
                <w:szCs w:val="17"/>
              </w:rPr>
              <w:t>旗下的全面预算管理系统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Dynamics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微软旗下的智能业务应用程序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汉得智慧营销产品套件，可为企业提供营销数字化转型的整体解决方 案。</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HCM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汉得协同制造中台</w:t>
            </w:r>
            <w:r>
              <w:rPr>
                <w:rFonts w:ascii="Times New Roman" w:eastAsia="Times New Roman" w:hAnsi="Times New Roman" w:cs="Times New Roman"/>
                <w:color w:val="000000"/>
                <w:spacing w:val="0"/>
                <w:w w:val="100"/>
                <w:position w:val="0"/>
                <w:sz w:val="18"/>
                <w:szCs w:val="18"/>
              </w:rPr>
              <w:t>Hand Collaborative Manufacturing</w:t>
            </w:r>
            <w:r>
              <w:rPr>
                <w:color w:val="000000"/>
                <w:spacing w:val="0"/>
                <w:w w:val="100"/>
                <w:position w:val="0"/>
                <w:sz w:val="17"/>
                <w:szCs w:val="17"/>
              </w:rPr>
              <w:t>，帮助制造业客户 建立从个性化定制、协同供应链到智能制造的一整套落地方案</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HFINs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汉得智享财务套件，由汉得财务报账管控系统、汉得智能共享运营系 统、汉得电子档案影像系统三大模块构成</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HSCS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Hand Settlement and Clearing System</w:t>
            </w:r>
            <w:r>
              <w:rPr>
                <w:color w:val="000000"/>
                <w:spacing w:val="0"/>
                <w:w w:val="100"/>
                <w:position w:val="0"/>
                <w:sz w:val="17"/>
                <w:szCs w:val="17"/>
              </w:rPr>
              <w:t>汉得清分结算软件，帮助企业实 现业财资源的整合与共享、财务中台能力的沉淀，通过建立统一结算 平台，帮助企业实现清分结算自动化</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One Contract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公司自主研发的一诺智能合同管理软件，致力于合同全生命周期管 理。</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HLS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公司自主研发的汉得融资租赁系统，主要面向融资租赁公司提供核心 业务管理系统的信息化服务</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HRP</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公司自主研发的鼎医医院智慧管理平台(</w:t>
            </w:r>
            <w:r>
              <w:rPr>
                <w:rFonts w:ascii="Times New Roman" w:eastAsia="Times New Roman" w:hAnsi="Times New Roman" w:cs="Times New Roman"/>
                <w:color w:val="000000"/>
                <w:spacing w:val="0"/>
                <w:w w:val="100"/>
                <w:position w:val="0"/>
                <w:sz w:val="18"/>
                <w:szCs w:val="18"/>
              </w:rPr>
              <w:t>Hospital Resource Planning</w:t>
            </w:r>
            <w:r>
              <w:rPr>
                <w:color w:val="000000"/>
                <w:spacing w:val="0"/>
                <w:w w:val="100"/>
                <w:position w:val="0"/>
                <w:sz w:val="17"/>
                <w:szCs w:val="17"/>
              </w:rPr>
              <w:t>)， 主要面向医院行业的客户提供运营管理的信息化服务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HAAS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汉得私有云平台，为各种规模企业提供最佳实践的一站式私有云搭建 服务平台</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HCMP</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Hand Cloud Management Platform</w:t>
            </w:r>
            <w:r>
              <w:rPr>
                <w:color w:val="000000"/>
                <w:spacing w:val="0"/>
                <w:w w:val="100"/>
                <w:position w:val="0"/>
                <w:sz w:val="17"/>
                <w:szCs w:val="17"/>
              </w:rPr>
              <w:t>的缩写，即汉得融合云治理平台， 主要帮助提高企业跨云资源管理的效率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HONE</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汉得业务中台</w:t>
            </w:r>
            <w:r>
              <w:rPr>
                <w:rFonts w:ascii="Times New Roman" w:eastAsia="Times New Roman" w:hAnsi="Times New Roman" w:cs="Times New Roman"/>
                <w:color w:val="000000"/>
                <w:spacing w:val="0"/>
                <w:w w:val="100"/>
                <w:position w:val="0"/>
                <w:sz w:val="18"/>
                <w:szCs w:val="18"/>
              </w:rPr>
              <w:t>HONE</w:t>
            </w:r>
            <w:r>
              <w:rPr>
                <w:color w:val="000000"/>
                <w:spacing w:val="0"/>
                <w:w w:val="100"/>
                <w:position w:val="0"/>
                <w:sz w:val="17"/>
                <w:szCs w:val="17"/>
              </w:rPr>
              <w:t>，</w:t>
            </w:r>
            <w:r>
              <w:rPr>
                <w:color w:val="000000"/>
                <w:spacing w:val="0"/>
                <w:w w:val="100"/>
                <w:position w:val="0"/>
                <w:sz w:val="17"/>
                <w:szCs w:val="17"/>
              </w:rPr>
              <w:t>是集基础服务、前台呈现、协同复用等于一体 的企业管理和运营的一体化信息管理平台</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HZERO</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汉得技术中台</w:t>
            </w:r>
            <w:r>
              <w:rPr>
                <w:rFonts w:ascii="Times New Roman" w:eastAsia="Times New Roman" w:hAnsi="Times New Roman" w:cs="Times New Roman"/>
                <w:color w:val="000000"/>
                <w:spacing w:val="0"/>
                <w:w w:val="100"/>
                <w:position w:val="0"/>
                <w:sz w:val="18"/>
                <w:szCs w:val="18"/>
              </w:rPr>
              <w:t>HZERO</w:t>
            </w:r>
            <w:r>
              <w:rPr>
                <w:color w:val="000000"/>
                <w:spacing w:val="0"/>
                <w:w w:val="100"/>
                <w:position w:val="0"/>
                <w:sz w:val="17"/>
                <w:szCs w:val="17"/>
              </w:rPr>
              <w:t>，是一款基于微服务架构的企业级</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sz w:val="17"/>
                <w:szCs w:val="17"/>
              </w:rPr>
              <w:t>平台， 可支持企业各类系统搭建、产品研发，帮助企业快速构架业务应用。</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HDSP</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汉得数据中台</w:t>
            </w:r>
            <w:r>
              <w:rPr>
                <w:rFonts w:ascii="Times New Roman" w:eastAsia="Times New Roman" w:hAnsi="Times New Roman" w:cs="Times New Roman"/>
                <w:color w:val="000000"/>
                <w:spacing w:val="0"/>
                <w:w w:val="100"/>
                <w:position w:val="0"/>
                <w:sz w:val="18"/>
                <w:szCs w:val="18"/>
              </w:rPr>
              <w:t>HDSP</w:t>
            </w:r>
            <w:r>
              <w:rPr>
                <w:color w:val="000000"/>
                <w:spacing w:val="0"/>
                <w:w w:val="100"/>
                <w:position w:val="0"/>
                <w:sz w:val="17"/>
                <w:szCs w:val="17"/>
              </w:rPr>
              <w:t>，可为企业提供各类大数据处理、分析、应用与 治理等全生命周期管理一站式服务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Hippius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汉得移动中台</w:t>
            </w:r>
            <w:r>
              <w:rPr>
                <w:rFonts w:ascii="Times New Roman" w:eastAsia="Times New Roman" w:hAnsi="Times New Roman" w:cs="Times New Roman"/>
                <w:color w:val="000000"/>
                <w:spacing w:val="0"/>
                <w:w w:val="100"/>
                <w:position w:val="0"/>
                <w:sz w:val="18"/>
                <w:szCs w:val="18"/>
              </w:rPr>
              <w:t>Hippius</w:t>
            </w:r>
            <w:r>
              <w:rPr>
                <w:color w:val="000000"/>
                <w:spacing w:val="0"/>
                <w:w w:val="100"/>
                <w:position w:val="0"/>
                <w:sz w:val="17"/>
                <w:szCs w:val="17"/>
              </w:rPr>
              <w:t>海马汇，是企业移动办公云</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sz w:val="17"/>
                <w:szCs w:val="17"/>
              </w:rPr>
              <w:t>产品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Hi-IoT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汉得物联网中台</w:t>
            </w:r>
            <w:r>
              <w:rPr>
                <w:rFonts w:ascii="Times New Roman" w:eastAsia="Times New Roman" w:hAnsi="Times New Roman" w:cs="Times New Roman"/>
                <w:color w:val="000000"/>
                <w:spacing w:val="0"/>
                <w:w w:val="100"/>
                <w:position w:val="0"/>
                <w:sz w:val="18"/>
                <w:szCs w:val="18"/>
              </w:rPr>
              <w:t>Hi-IoT</w:t>
            </w:r>
            <w:r>
              <w:rPr>
                <w:color w:val="000000"/>
                <w:spacing w:val="0"/>
                <w:w w:val="100"/>
                <w:position w:val="0"/>
                <w:sz w:val="17"/>
                <w:szCs w:val="17"/>
              </w:rPr>
              <w:t>，是一个基于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边，云，智，用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的一体化物 联网中台</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Choerodon</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汉得能效中台</w:t>
            </w:r>
            <w:r>
              <w:rPr>
                <w:rFonts w:ascii="Times New Roman" w:eastAsia="Times New Roman" w:hAnsi="Times New Roman" w:cs="Times New Roman"/>
                <w:color w:val="000000"/>
                <w:spacing w:val="0"/>
                <w:w w:val="100"/>
                <w:position w:val="0"/>
                <w:sz w:val="18"/>
                <w:szCs w:val="18"/>
              </w:rPr>
              <w:t>Choerodon</w:t>
            </w:r>
            <w:r>
              <w:rPr>
                <w:color w:val="000000"/>
                <w:spacing w:val="0"/>
                <w:w w:val="100"/>
                <w:position w:val="0"/>
                <w:sz w:val="17"/>
                <w:szCs w:val="17"/>
              </w:rPr>
              <w:t>猪齿鱼，是开源全价值链多云敏捷协作平 台，能帮助组织团队完成软件的生命周期管理</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6"/>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上海汉得信息技术股份有限公司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汉得信息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 ENTERPRISE SOLUTIONS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上海市青浦工业园区外青松公路</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303</w:t>
            </w:r>
            <w:r>
              <w:rPr>
                <w:color w:val="000000"/>
                <w:spacing w:val="0"/>
                <w:w w:val="100"/>
                <w:position w:val="0"/>
                <w:sz w:val="17"/>
                <w:szCs w:val="17"/>
              </w:rPr>
              <w:t>室</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上海市青浦区汇联路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"http://www.hand-china.com/" </w:instrText>
            </w:r>
            <w:r>
              <w:fldChar w:fldCharType="separate"/>
            </w:r>
            <w:r>
              <w:rPr>
                <w:rFonts w:ascii="Times New Roman" w:eastAsia="Times New Roman" w:hAnsi="Times New Roman" w:cs="Times New Roman"/>
                <w:color w:val="000000"/>
                <w:spacing w:val="0"/>
                <w:w w:val="100"/>
                <w:position w:val="0"/>
                <w:sz w:val="18"/>
                <w:szCs w:val="18"/>
              </w:rPr>
              <w:t>http://www.hand-china.com/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"mailto:investors@vip.hand-china.com" </w:instrText>
            </w:r>
            <w:r>
              <w:fldChar w:fldCharType="separate"/>
            </w:r>
            <w:r>
              <w:rPr>
                <w:rFonts w:ascii="Times New Roman" w:eastAsia="Times New Roman" w:hAnsi="Times New Roman" w:cs="Times New Roman"/>
                <w:color w:val="000000"/>
                <w:spacing w:val="0"/>
                <w:w w:val="100"/>
                <w:position w:val="0"/>
                <w:sz w:val="18"/>
                <w:szCs w:val="18"/>
              </w:rPr>
              <w:t>investors@vip.hand-china.com</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沈雁冰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于培培、卢娅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上海市青浦区汇联路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上海市青浦区汇联路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021-67002300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021-50177372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021-59800969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021-59800969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motton. </w:t>
            </w:r>
            <w:r>
              <w:fldChar w:fldCharType="begin"/>
            </w:r>
            <w:r>
              <w:rPr/>
              <w:instrText> HYPERLINK "mailto:shen@hand-china.com" </w:instrText>
            </w:r>
            <w:r>
              <w:fldChar w:fldCharType="separate"/>
            </w:r>
            <w:r>
              <w:rPr>
                <w:rFonts w:ascii="Times New Roman" w:eastAsia="Times New Roman" w:hAnsi="Times New Roman" w:cs="Times New Roman"/>
                <w:color w:val="000000"/>
                <w:spacing w:val="0"/>
                <w:w w:val="100"/>
                <w:position w:val="0"/>
                <w:sz w:val="18"/>
                <w:szCs w:val="18"/>
              </w:rPr>
              <w:t>shen@hand-china.com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"mailto:investors@vip.hand-china.com" </w:instrText>
            </w:r>
            <w:r>
              <w:fldChar w:fldCharType="separate"/>
            </w:r>
            <w:r>
              <w:rPr>
                <w:rFonts w:ascii="Times New Roman" w:eastAsia="Times New Roman" w:hAnsi="Times New Roman" w:cs="Times New Roman"/>
                <w:color w:val="000000"/>
                <w:spacing w:val="0"/>
                <w:w w:val="100"/>
                <w:position w:val="0"/>
                <w:sz w:val="18"/>
                <w:szCs w:val="18"/>
              </w:rPr>
              <w:t>investors@vip.hand-china.com</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《证券时报》、《中国证券报》、《上海证券报》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上海市青浦区汇联路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号</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、其他有关资料</w:t>
      </w:r>
      <w:bookmarkEnd w:id="20"/>
      <w:bookmarkEnd w:id="21"/>
      <w:bookmarkEnd w:id="23"/>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上海市四川中路</w:t>
            </w:r>
            <w:r>
              <w:rPr>
                <w:rFonts w:ascii="Times New Roman" w:eastAsia="Times New Roman" w:hAnsi="Times New Roman" w:cs="Times New Roman"/>
                <w:color w:val="000000"/>
                <w:spacing w:val="0"/>
                <w:w w:val="100"/>
                <w:position w:val="0"/>
                <w:sz w:val="18"/>
                <w:szCs w:val="18"/>
              </w:rPr>
              <w:t>213</w:t>
            </w:r>
            <w:r>
              <w:rPr>
                <w:color w:val="000000"/>
                <w:spacing w:val="0"/>
                <w:w w:val="100"/>
                <w:position w:val="0"/>
                <w:sz w:val="17"/>
                <w:szCs w:val="17"/>
              </w:rPr>
              <w:t>号久事商务大厦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林伟、戴金燕</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国泰君安证券股份有限公司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上海市自由贸易试验区商城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路</w:t>
            </w:r>
            <w:r>
              <w:rPr>
                <w:rFonts w:ascii="Times New Roman" w:eastAsia="Times New Roman" w:hAnsi="Times New Roman" w:cs="Times New Roman"/>
                <w:color w:val="000000"/>
                <w:spacing w:val="0"/>
                <w:w w:val="100"/>
                <w:position w:val="0"/>
                <w:sz w:val="18"/>
                <w:szCs w:val="18"/>
              </w:rPr>
              <w:t>618</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梁昌红、李宁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、主要会计数据和财务指标</w:t>
      </w:r>
      <w:bookmarkEnd w:id="24"/>
      <w:bookmarkEnd w:id="25"/>
      <w:bookmarkEnd w:id="2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2,723,440,576.81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2,865,327,512.52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65,709,488.68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86,114,201.71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386,875,076.87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42,927,593.73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51,648,839.11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270,785,816.43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446,512,710.61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66,258,554.41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201,993,338.91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5,217,577,254.22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4,192,989,403.08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3,818,462,915.42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3,311,530,422.44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3,066,901,427.19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2,943,598,950.44</w:t>
            </w:r>
          </w:p>
        </w:tc>
      </w:tr>
    </w:tbl>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6"/>
        <w:keepNext/>
        <w:keepLines/>
        <w:widowControl w:val="0"/>
        <w:shd w:val="clear" w:color="auto" w:fill="auto"/>
        <w:bidi w:val="0"/>
        <w:spacing w:before="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、分季度主要财务指标</w:t>
      </w:r>
      <w:bookmarkEnd w:id="28"/>
      <w:bookmarkEnd w:id="29"/>
      <w:bookmarkEnd w:id="3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589,325,380.28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599,791,395.42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672,530,464.48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631,437,727.34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12,130,733.38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13,421,870.56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15,360,334.28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24,796,550.46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1,074,201.89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7,972,670.21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11,891,826.60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21,988,895.03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-153,471,273.96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223,792,387.76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9,113,452.41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367,078,144.40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22" w:val="left"/>
        </w:tabs>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w:t>
        <w:tab/>
        <w:t>境内外会计准则下会计数据差异</w:t>
      </w:r>
      <w:bookmarkEnd w:id="32"/>
      <w:bookmarkEnd w:id="33"/>
      <w:bookmarkEnd w:id="35"/>
    </w:p>
    <w:p>
      <w:pPr>
        <w:pStyle w:val="Style32"/>
        <w:keepNext/>
        <w:keepLines/>
        <w:widowControl w:val="0"/>
        <w:shd w:val="clear" w:color="auto" w:fill="auto"/>
        <w:tabs>
          <w:tab w:pos="403" w:val="left"/>
        </w:tabs>
        <w:bidi w:val="0"/>
        <w:spacing w:before="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非经常性损益项目及金额</w:t>
      </w:r>
      <w:bookmarkEnd w:id="44"/>
      <w:bookmarkEnd w:id="45"/>
      <w:bookmarkEnd w:id="47"/>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96,085,304.97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38,374,170.88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39,158,838.92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41,210,505.44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2,965,410.07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1,769,598.32</w:t>
            </w: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-7,604,190.00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-979,506.18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-739,520.38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-1,430,537.25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6,268,915.26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6,538,244.93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21,091,658.42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1,010,776.15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453,370.18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453,952.62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22,781,894.95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34,465,362.60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116,089,260.44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2" w:bottom="1532" w:left="108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80" w:after="360"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6"/>
        <w:keepNext/>
        <w:keepLines/>
        <w:widowControl w:val="0"/>
        <w:shd w:val="clear" w:color="auto" w:fill="auto"/>
        <w:bidi w:val="0"/>
        <w:spacing w:before="0" w:after="360" w:line="471" w:lineRule="exact"/>
        <w:ind w:left="0" w:right="0" w:firstLine="0"/>
        <w:jc w:val="left"/>
      </w:pPr>
      <w:bookmarkStart w:id="51" w:name="bookmark51"/>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、报告期内公司从事的主要业务</w:t>
      </w:r>
      <w:bookmarkEnd w:id="52"/>
      <w:bookmarkEnd w:id="53"/>
      <w:bookmarkEnd w:id="55"/>
      <w:bookmarkEnd w:id="51"/>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0" w:line="471" w:lineRule="exact"/>
        <w:ind w:left="0" w:right="0" w:firstLine="480"/>
        <w:jc w:val="both"/>
      </w:pPr>
      <w:bookmarkStart w:id="56" w:name="bookmark56"/>
      <w:r>
        <w:rPr>
          <w:color w:val="000000"/>
          <w:spacing w:val="0"/>
          <w:w w:val="100"/>
          <w:position w:val="0"/>
        </w:rPr>
        <w:t>（</w:t>
      </w:r>
      <w:bookmarkEnd w:id="56"/>
      <w:r>
        <w:rPr>
          <w:color w:val="000000"/>
          <w:spacing w:val="0"/>
          <w:w w:val="100"/>
          <w:position w:val="0"/>
        </w:rPr>
        <w:t>一）公司的主要产品和服务：</w:t>
      </w:r>
    </w:p>
    <w:p>
      <w:pPr>
        <w:pStyle w:val="Style35"/>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公司作为一家企业数字化转型综合服务商，致力于成为连接企业管理与信息技术的桥梁, 帮助企业实现数字化转型，以信息化手段帮助客户提高组织的运营效率、效益与竞争能力， 实现客户价值。公司由最初的信息化产品实施商，历经解决方案提供商阶段，发展为数字化 生态综合服务商，目前业务领域已扩展至全面的企业信息化应用产品研发、咨询实施与技术 服务。</w:t>
      </w:r>
    </w:p>
    <w:p>
      <w:pPr>
        <w:pStyle w:val="Style35"/>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公司是国内最早从事高端</w:t>
      </w:r>
      <w:r>
        <w:rPr>
          <w:color w:val="000000"/>
          <w:spacing w:val="0"/>
          <w:w w:val="100"/>
          <w:position w:val="0"/>
          <w:sz w:val="24"/>
          <w:szCs w:val="24"/>
        </w:rPr>
        <w:t>ERP</w:t>
      </w:r>
      <w:r>
        <w:rPr>
          <w:color w:val="000000"/>
          <w:spacing w:val="0"/>
          <w:w w:val="100"/>
          <w:position w:val="0"/>
        </w:rPr>
        <w:t>实施服务的专业咨询公司之一，多年来公司除了在传统</w:t>
      </w:r>
      <w:r>
        <w:rPr>
          <w:color w:val="000000"/>
          <w:spacing w:val="0"/>
          <w:w w:val="100"/>
          <w:position w:val="0"/>
          <w:sz w:val="24"/>
          <w:szCs w:val="24"/>
        </w:rPr>
        <w:t>IT</w:t>
      </w:r>
      <w:r>
        <w:rPr>
          <w:color w:val="000000"/>
          <w:spacing w:val="0"/>
          <w:w w:val="100"/>
          <w:position w:val="0"/>
        </w:rPr>
        <w:t>领 域不断精益求精，也积极跟踪和研究云计算、大数据、物联网、人工智能、工业互联网等技 术的发展和应用，充分与全球</w:t>
      </w:r>
      <w:r>
        <w:rPr>
          <w:color w:val="000000"/>
          <w:spacing w:val="0"/>
          <w:w w:val="100"/>
          <w:position w:val="0"/>
          <w:sz w:val="24"/>
          <w:szCs w:val="24"/>
        </w:rPr>
        <w:t>IT</w:t>
      </w:r>
      <w:r>
        <w:rPr>
          <w:color w:val="000000"/>
          <w:spacing w:val="0"/>
          <w:w w:val="100"/>
          <w:position w:val="0"/>
        </w:rPr>
        <w:t>生态圈的合作伙伴们共同推动包括云、大数据、智能制造、 智慧营销、物联网等新业务在企业服务领域的应用拓展。与此同时，公司为适应企业客户不 断发展的</w:t>
      </w:r>
      <w:r>
        <w:rPr>
          <w:color w:val="000000"/>
          <w:spacing w:val="0"/>
          <w:w w:val="100"/>
          <w:position w:val="0"/>
          <w:sz w:val="24"/>
          <w:szCs w:val="24"/>
        </w:rPr>
        <w:t>IT</w:t>
      </w:r>
      <w:r>
        <w:rPr>
          <w:color w:val="000000"/>
          <w:spacing w:val="0"/>
          <w:w w:val="100"/>
          <w:position w:val="0"/>
        </w:rPr>
        <w:t>需求而持续丰富完善企业信息化整体解决方案咨询服务能力，积极研发自主产品 和解决方案，使得公司的服务领域也随之不断延伸。报告期内，公司提供的主要产品及服务 如下：</w:t>
      </w:r>
    </w:p>
    <w:p>
      <w:pPr>
        <w:pStyle w:val="Style35"/>
        <w:keepNext w:val="0"/>
        <w:keepLines w:val="0"/>
        <w:widowControl w:val="0"/>
        <w:shd w:val="clear" w:color="auto" w:fill="auto"/>
        <w:tabs>
          <w:tab w:pos="824" w:val="left"/>
        </w:tabs>
        <w:bidi w:val="0"/>
        <w:spacing w:before="0" w:after="0" w:line="471" w:lineRule="exact"/>
        <w:ind w:left="0" w:right="0" w:firstLine="480"/>
        <w:jc w:val="both"/>
      </w:pPr>
      <w:bookmarkStart w:id="57" w:name="bookmark57"/>
      <w:r>
        <w:rPr>
          <w:color w:val="000000"/>
          <w:spacing w:val="0"/>
          <w:w w:val="100"/>
          <w:position w:val="0"/>
          <w:sz w:val="24"/>
          <w:szCs w:val="24"/>
        </w:rPr>
        <w:t>1</w:t>
      </w:r>
      <w:bookmarkEnd w:id="57"/>
      <w:r>
        <w:rPr>
          <w:color w:val="000000"/>
          <w:spacing w:val="0"/>
          <w:w w:val="100"/>
          <w:position w:val="0"/>
        </w:rPr>
        <w:t>、</w:t>
        <w:tab/>
        <w:t>套装软件实施业务。软件实施服务是在企业信息系统建设过程中，由专业的咨询顾问 和企业项目人员协同运作，按照企业的实际需求，提供的专业化和个性化服务。</w:t>
      </w:r>
    </w:p>
    <w:p>
      <w:pPr>
        <w:pStyle w:val="Style35"/>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套装软件实施服务，主要是以</w:t>
      </w:r>
      <w:r>
        <w:rPr>
          <w:color w:val="000000"/>
          <w:spacing w:val="0"/>
          <w:w w:val="100"/>
          <w:position w:val="0"/>
          <w:sz w:val="24"/>
          <w:szCs w:val="24"/>
        </w:rPr>
        <w:t>Oracle</w:t>
      </w:r>
      <w:r>
        <w:rPr>
          <w:color w:val="000000"/>
          <w:spacing w:val="0"/>
          <w:w w:val="100"/>
          <w:position w:val="0"/>
        </w:rPr>
        <w:t>、</w:t>
      </w:r>
      <w:r>
        <w:rPr>
          <w:color w:val="000000"/>
          <w:spacing w:val="0"/>
          <w:w w:val="100"/>
          <w:position w:val="0"/>
          <w:sz w:val="24"/>
          <w:szCs w:val="24"/>
        </w:rPr>
        <w:t>SAP</w:t>
      </w:r>
      <w:r>
        <w:rPr>
          <w:color w:val="000000"/>
          <w:spacing w:val="0"/>
          <w:w w:val="100"/>
          <w:position w:val="0"/>
        </w:rPr>
        <w:t>、</w:t>
      </w:r>
      <w:r>
        <w:rPr>
          <w:color w:val="000000"/>
          <w:spacing w:val="0"/>
          <w:w w:val="100"/>
          <w:position w:val="0"/>
          <w:sz w:val="24"/>
          <w:szCs w:val="24"/>
        </w:rPr>
        <w:t>Microsoft</w:t>
      </w:r>
      <w:r>
        <w:rPr>
          <w:color w:val="000000"/>
          <w:spacing w:val="0"/>
          <w:w w:val="100"/>
          <w:position w:val="0"/>
        </w:rPr>
        <w:t>、</w:t>
      </w:r>
      <w:r>
        <w:rPr>
          <w:color w:val="000000"/>
          <w:spacing w:val="0"/>
          <w:w w:val="100"/>
          <w:position w:val="0"/>
          <w:sz w:val="24"/>
          <w:szCs w:val="24"/>
        </w:rPr>
        <w:t>Siemens</w:t>
      </w:r>
      <w:r>
        <w:rPr>
          <w:color w:val="000000"/>
          <w:spacing w:val="0"/>
          <w:w w:val="100"/>
          <w:position w:val="0"/>
        </w:rPr>
        <w:t>等厂商为代表的传统</w:t>
      </w:r>
      <w:r>
        <w:rPr>
          <w:color w:val="000000"/>
          <w:spacing w:val="0"/>
          <w:w w:val="100"/>
          <w:position w:val="0"/>
          <w:sz w:val="24"/>
          <w:szCs w:val="24"/>
        </w:rPr>
        <w:t xml:space="preserve">ERP </w:t>
      </w:r>
      <w:r>
        <w:rPr>
          <w:color w:val="000000"/>
          <w:spacing w:val="0"/>
          <w:w w:val="100"/>
          <w:position w:val="0"/>
          <w:sz w:val="24"/>
          <w:szCs w:val="24"/>
        </w:rPr>
        <w:t xml:space="preserve">/ </w:t>
      </w:r>
      <w:r>
        <w:rPr>
          <w:color w:val="000000"/>
          <w:spacing w:val="0"/>
          <w:w w:val="100"/>
          <w:position w:val="0"/>
          <w:sz w:val="24"/>
          <w:szCs w:val="24"/>
        </w:rPr>
        <w:t xml:space="preserve">CRM </w:t>
      </w:r>
      <w:r>
        <w:rPr>
          <w:color w:val="000000"/>
          <w:spacing w:val="0"/>
          <w:w w:val="100"/>
          <w:position w:val="0"/>
          <w:sz w:val="24"/>
          <w:szCs w:val="24"/>
        </w:rPr>
        <w:t xml:space="preserve">/ </w:t>
      </w:r>
      <w:r>
        <w:rPr>
          <w:color w:val="000000"/>
          <w:spacing w:val="0"/>
          <w:w w:val="100"/>
          <w:position w:val="0"/>
          <w:sz w:val="24"/>
          <w:szCs w:val="24"/>
        </w:rPr>
        <w:t xml:space="preserve">EPM </w:t>
      </w:r>
      <w:r>
        <w:rPr>
          <w:color w:val="000000"/>
          <w:spacing w:val="0"/>
          <w:w w:val="100"/>
          <w:position w:val="0"/>
          <w:sz w:val="24"/>
          <w:szCs w:val="24"/>
        </w:rPr>
        <w:t xml:space="preserve">/ </w:t>
      </w:r>
      <w:r>
        <w:rPr>
          <w:color w:val="000000"/>
          <w:spacing w:val="0"/>
          <w:w w:val="100"/>
          <w:position w:val="0"/>
          <w:sz w:val="24"/>
          <w:szCs w:val="24"/>
        </w:rPr>
        <w:t xml:space="preserve">BI </w:t>
      </w:r>
      <w:r>
        <w:rPr>
          <w:color w:val="000000"/>
          <w:spacing w:val="0"/>
          <w:w w:val="100"/>
          <w:position w:val="0"/>
          <w:sz w:val="24"/>
          <w:szCs w:val="24"/>
        </w:rPr>
        <w:t xml:space="preserve">/ </w:t>
      </w:r>
      <w:r>
        <w:rPr>
          <w:color w:val="000000"/>
          <w:spacing w:val="0"/>
          <w:w w:val="100"/>
          <w:position w:val="0"/>
          <w:sz w:val="24"/>
          <w:szCs w:val="24"/>
        </w:rPr>
        <w:t xml:space="preserve">WMS </w:t>
      </w:r>
      <w:r>
        <w:rPr>
          <w:color w:val="000000"/>
          <w:spacing w:val="0"/>
          <w:w w:val="100"/>
          <w:position w:val="0"/>
          <w:sz w:val="24"/>
          <w:szCs w:val="24"/>
        </w:rPr>
        <w:t xml:space="preserve">/ </w:t>
      </w:r>
      <w:r>
        <w:rPr>
          <w:color w:val="000000"/>
          <w:spacing w:val="0"/>
          <w:w w:val="100"/>
          <w:position w:val="0"/>
          <w:sz w:val="24"/>
          <w:szCs w:val="24"/>
        </w:rPr>
        <w:t xml:space="preserve">TMS </w:t>
      </w:r>
      <w:r>
        <w:rPr>
          <w:color w:val="000000"/>
          <w:spacing w:val="0"/>
          <w:w w:val="100"/>
          <w:position w:val="0"/>
          <w:sz w:val="24"/>
          <w:szCs w:val="24"/>
        </w:rPr>
        <w:t xml:space="preserve">/ </w:t>
      </w:r>
      <w:r>
        <w:rPr>
          <w:color w:val="000000"/>
          <w:spacing w:val="0"/>
          <w:w w:val="100"/>
          <w:position w:val="0"/>
          <w:sz w:val="24"/>
          <w:szCs w:val="24"/>
        </w:rPr>
        <w:t xml:space="preserve">Peoplesoft/NetSuite </w:t>
      </w:r>
      <w:r>
        <w:rPr>
          <w:color w:val="000000"/>
          <w:spacing w:val="0"/>
          <w:w w:val="100"/>
          <w:position w:val="0"/>
          <w:sz w:val="24"/>
          <w:szCs w:val="24"/>
        </w:rPr>
        <w:t xml:space="preserve">/ </w:t>
      </w:r>
      <w:r>
        <w:rPr>
          <w:color w:val="000000"/>
          <w:spacing w:val="0"/>
          <w:w w:val="100"/>
          <w:position w:val="0"/>
          <w:sz w:val="24"/>
          <w:szCs w:val="24"/>
        </w:rPr>
        <w:t xml:space="preserve">Hyperion </w:t>
      </w:r>
      <w:r>
        <w:rPr>
          <w:color w:val="000000"/>
          <w:spacing w:val="0"/>
          <w:w w:val="100"/>
          <w:position w:val="0"/>
          <w:sz w:val="24"/>
          <w:szCs w:val="24"/>
        </w:rPr>
        <w:t xml:space="preserve">/ </w:t>
      </w:r>
      <w:r>
        <w:rPr>
          <w:color w:val="000000"/>
          <w:spacing w:val="0"/>
          <w:w w:val="100"/>
          <w:position w:val="0"/>
          <w:sz w:val="24"/>
          <w:szCs w:val="24"/>
        </w:rPr>
        <w:t>Dynamics/PLM</w:t>
      </w:r>
      <w:r>
        <w:rPr>
          <w:color w:val="000000"/>
          <w:spacing w:val="0"/>
          <w:w w:val="100"/>
          <w:position w:val="0"/>
        </w:rPr>
        <w:t>等企业信息 化套装软件的实施服务，提供涵盖企业信息化建设全生命周期（业务咨询、系统规划、流程 梳理、蓝图设计、软件部署、系统上线等）的交付服务，以及实施过程中的用户培训、系统 配置、定制开发、系统优化等服务。</w:t>
      </w:r>
    </w:p>
    <w:p>
      <w:pPr>
        <w:pStyle w:val="Style35"/>
        <w:keepNext w:val="0"/>
        <w:keepLines w:val="0"/>
        <w:widowControl w:val="0"/>
        <w:shd w:val="clear" w:color="auto" w:fill="auto"/>
        <w:tabs>
          <w:tab w:pos="824" w:val="left"/>
        </w:tabs>
        <w:bidi w:val="0"/>
        <w:spacing w:before="0" w:after="360" w:line="471" w:lineRule="exact"/>
        <w:ind w:left="0" w:right="0" w:firstLine="480"/>
        <w:jc w:val="both"/>
      </w:pPr>
      <w:bookmarkStart w:id="58" w:name="bookmark58"/>
      <w:r>
        <w:rPr>
          <w:color w:val="000000"/>
          <w:spacing w:val="0"/>
          <w:w w:val="100"/>
          <w:position w:val="0"/>
          <w:sz w:val="24"/>
          <w:szCs w:val="24"/>
        </w:rPr>
        <w:t>2</w:t>
      </w:r>
      <w:bookmarkEnd w:id="58"/>
      <w:r>
        <w:rPr>
          <w:color w:val="000000"/>
          <w:spacing w:val="0"/>
          <w:w w:val="100"/>
          <w:position w:val="0"/>
        </w:rPr>
        <w:t>、</w:t>
        <w:tab/>
        <w:t>融合中台产品及解决方案的实施服务。随着我国企业信息化水平的提升、信息化意识 的增强，和各类新技术、新产品的蓬勃发展，我国企业客户的信息化需求变得更加多样化、 个性化。公司多年来聚焦我国企业特色，基于对客户业务的深入理解，以及多年来企业信息 化实施服务的经验，研发了大量自主产品及解决方案，如：</w:t>
      </w:r>
    </w:p>
    <w:p>
      <w:pPr>
        <w:pStyle w:val="Style35"/>
        <w:keepNext w:val="0"/>
        <w:keepLines w:val="0"/>
        <w:widowControl w:val="0"/>
        <w:shd w:val="clear" w:color="auto" w:fill="auto"/>
        <w:tabs>
          <w:tab w:pos="836" w:val="left"/>
        </w:tabs>
        <w:bidi w:val="0"/>
        <w:spacing w:before="0" w:after="0" w:line="470" w:lineRule="exact"/>
        <w:ind w:left="0" w:right="0" w:firstLine="480"/>
        <w:jc w:val="both"/>
      </w:pPr>
      <w:bookmarkStart w:id="59" w:name="bookmark59"/>
      <w:r>
        <w:rPr>
          <w:color w:val="000000"/>
          <w:spacing w:val="0"/>
          <w:w w:val="100"/>
          <w:position w:val="0"/>
          <w:sz w:val="24"/>
          <w:szCs w:val="24"/>
        </w:rPr>
        <w:t>1</w:t>
      </w:r>
      <w:bookmarkEnd w:id="59"/>
      <w:r>
        <w:rPr>
          <w:color w:val="000000"/>
          <w:spacing w:val="0"/>
          <w:w w:val="100"/>
          <w:position w:val="0"/>
          <w:sz w:val="24"/>
          <w:szCs w:val="24"/>
        </w:rPr>
        <w:t>）</w:t>
        <w:tab/>
      </w:r>
      <w:r>
        <w:rPr>
          <w:color w:val="000000"/>
          <w:spacing w:val="0"/>
          <w:w w:val="100"/>
          <w:position w:val="0"/>
        </w:rPr>
        <w:t>融合中台业务。为降低中台化应用交付成本和准入门槛，致力于为内外部用户提供更 高效、更便捷的一站式服务平台，公司将技术中台、业务中台、数据中台等概念、技术和组 件进行融合，统一为融合中台，作为承接前台业务需求和用户体验、后台套装软件的核心。 汉得融合中台作为企业级数字化平台，包括业务中台</w:t>
      </w:r>
      <w:r>
        <w:rPr>
          <w:color w:val="000000"/>
          <w:spacing w:val="0"/>
          <w:w w:val="100"/>
          <w:position w:val="0"/>
          <w:sz w:val="24"/>
          <w:szCs w:val="24"/>
        </w:rPr>
        <w:t>HONE</w:t>
      </w:r>
      <w:r>
        <w:rPr>
          <w:color w:val="000000"/>
          <w:spacing w:val="0"/>
          <w:w w:val="100"/>
          <w:position w:val="0"/>
        </w:rPr>
        <w:t>、技术中台</w:t>
      </w:r>
      <w:r>
        <w:rPr>
          <w:color w:val="000000"/>
          <w:spacing w:val="0"/>
          <w:w w:val="100"/>
          <w:position w:val="0"/>
          <w:sz w:val="24"/>
          <w:szCs w:val="24"/>
        </w:rPr>
        <w:t>HZERO</w:t>
      </w:r>
      <w:r>
        <w:rPr>
          <w:color w:val="000000"/>
          <w:spacing w:val="0"/>
          <w:w w:val="100"/>
          <w:position w:val="0"/>
        </w:rPr>
        <w:t xml:space="preserve">、能效中台 </w:t>
      </w:r>
      <w:r>
        <w:rPr>
          <w:color w:val="000000"/>
          <w:spacing w:val="0"/>
          <w:w w:val="100"/>
          <w:position w:val="0"/>
          <w:sz w:val="24"/>
          <w:szCs w:val="24"/>
        </w:rPr>
        <w:t>Choerodon</w:t>
      </w:r>
      <w:r>
        <w:rPr>
          <w:color w:val="000000"/>
          <w:spacing w:val="0"/>
          <w:w w:val="100"/>
          <w:position w:val="0"/>
        </w:rPr>
        <w:t>和组件市场</w:t>
      </w:r>
      <w:r>
        <w:rPr>
          <w:color w:val="000000"/>
          <w:spacing w:val="0"/>
          <w:w w:val="100"/>
          <w:position w:val="0"/>
          <w:sz w:val="24"/>
          <w:szCs w:val="24"/>
        </w:rPr>
        <w:t>HMKT</w:t>
      </w:r>
      <w:r>
        <w:rPr>
          <w:color w:val="000000"/>
          <w:spacing w:val="0"/>
          <w:w w:val="100"/>
          <w:position w:val="0"/>
        </w:rPr>
        <w:t>等，融合了业务、技术、数据、方法论、组件等资源，打造了一个 专业、通用、组件丰富且可开放开源的中台，帮助企业沉淀业务能力，服务企业数字化转型， 赋能业务创新，构建企业信息化生态，进而提升核心竞争力。</w:t>
      </w:r>
    </w:p>
    <w:p>
      <w:pPr>
        <w:pStyle w:val="Style35"/>
        <w:keepNext w:val="0"/>
        <w:keepLines w:val="0"/>
        <w:widowControl w:val="0"/>
        <w:shd w:val="clear" w:color="auto" w:fill="auto"/>
        <w:tabs>
          <w:tab w:pos="836" w:val="left"/>
        </w:tabs>
        <w:bidi w:val="0"/>
        <w:spacing w:before="0" w:after="0" w:line="470" w:lineRule="exact"/>
        <w:ind w:left="0" w:right="0" w:firstLine="480"/>
        <w:jc w:val="both"/>
      </w:pPr>
      <w:bookmarkStart w:id="60" w:name="bookmark60"/>
      <w:r>
        <w:rPr>
          <w:color w:val="000000"/>
          <w:spacing w:val="0"/>
          <w:w w:val="100"/>
          <w:position w:val="0"/>
          <w:sz w:val="24"/>
          <w:szCs w:val="24"/>
        </w:rPr>
        <w:t>2</w:t>
      </w:r>
      <w:bookmarkEnd w:id="60"/>
      <w:r>
        <w:rPr>
          <w:color w:val="000000"/>
          <w:spacing w:val="0"/>
          <w:w w:val="100"/>
          <w:position w:val="0"/>
          <w:sz w:val="24"/>
          <w:szCs w:val="24"/>
        </w:rPr>
        <w:t>）</w:t>
        <w:tab/>
      </w:r>
      <w:r>
        <w:rPr>
          <w:color w:val="000000"/>
          <w:spacing w:val="0"/>
          <w:w w:val="100"/>
          <w:position w:val="0"/>
        </w:rPr>
        <w:t>智慧营销领域：公司多年来在企业营销信息化、数字化转型上积累了丰富经验，为帮 助企业面向顾客构建数字化的吸引、转换、成交、运营场景，公司结合行业最佳实践，开发 汉得智慧营销套件</w:t>
      </w:r>
      <w:r>
        <w:rPr>
          <w:color w:val="000000"/>
          <w:spacing w:val="0"/>
          <w:w w:val="100"/>
          <w:position w:val="0"/>
          <w:sz w:val="24"/>
          <w:szCs w:val="24"/>
        </w:rPr>
        <w:t>02,</w:t>
      </w:r>
      <w:r>
        <w:rPr>
          <w:color w:val="000000"/>
          <w:spacing w:val="0"/>
          <w:w w:val="100"/>
          <w:position w:val="0"/>
        </w:rPr>
        <w:t>为企业提供营销数字化转型的整体解决方案，其中包括面向于前端外 部客户的消费者数字化、终端数字化、渠道数字化，以及面向于企业内部形成内部管理整合、 数据沉淀营销运营平台。</w:t>
      </w:r>
    </w:p>
    <w:p>
      <w:pPr>
        <w:pStyle w:val="Style35"/>
        <w:keepNext w:val="0"/>
        <w:keepLines w:val="0"/>
        <w:widowControl w:val="0"/>
        <w:shd w:val="clear" w:color="auto" w:fill="auto"/>
        <w:tabs>
          <w:tab w:pos="836" w:val="left"/>
        </w:tabs>
        <w:bidi w:val="0"/>
        <w:spacing w:before="0" w:after="0" w:line="470" w:lineRule="exact"/>
        <w:ind w:left="0" w:right="0" w:firstLine="480"/>
        <w:jc w:val="both"/>
      </w:pPr>
      <w:bookmarkStart w:id="61" w:name="bookmark61"/>
      <w:r>
        <w:rPr>
          <w:color w:val="000000"/>
          <w:spacing w:val="0"/>
          <w:w w:val="100"/>
          <w:position w:val="0"/>
          <w:sz w:val="24"/>
          <w:szCs w:val="24"/>
        </w:rPr>
        <w:t>3</w:t>
      </w:r>
      <w:bookmarkEnd w:id="61"/>
      <w:r>
        <w:rPr>
          <w:color w:val="000000"/>
          <w:spacing w:val="0"/>
          <w:w w:val="100"/>
          <w:position w:val="0"/>
          <w:sz w:val="24"/>
          <w:szCs w:val="24"/>
        </w:rPr>
        <w:t>）</w:t>
        <w:tab/>
      </w:r>
      <w:r>
        <w:rPr>
          <w:color w:val="000000"/>
          <w:spacing w:val="0"/>
          <w:w w:val="100"/>
          <w:position w:val="0"/>
        </w:rPr>
        <w:t>智能制造领域：为响应当前中国制造业转型升级的重要战略，公司围绕制造业的智能 制造转型，以精细化生产制造为核心，积极整合各专业领域的资源，依托汉得融合中台，推 出汉得协同制造中台</w:t>
      </w:r>
      <w:r>
        <w:rPr>
          <w:color w:val="000000"/>
          <w:spacing w:val="0"/>
          <w:w w:val="100"/>
          <w:position w:val="0"/>
          <w:sz w:val="24"/>
          <w:szCs w:val="24"/>
        </w:rPr>
        <w:t>（Hand Collaborative Manufacturing，HCM），</w:t>
      </w:r>
      <w:r>
        <w:rPr>
          <w:color w:val="000000"/>
          <w:spacing w:val="0"/>
          <w:w w:val="100"/>
          <w:position w:val="0"/>
        </w:rPr>
        <w:t>为客户提供基于</w:t>
      </w:r>
      <w:r>
        <w:rPr>
          <w:color w:val="000000"/>
          <w:spacing w:val="0"/>
          <w:w w:val="100"/>
          <w:position w:val="0"/>
          <w:sz w:val="24"/>
          <w:szCs w:val="24"/>
        </w:rPr>
        <w:t xml:space="preserve">MES </w:t>
      </w:r>
      <w:r>
        <w:rPr>
          <w:color w:val="000000"/>
          <w:spacing w:val="0"/>
          <w:w w:val="100"/>
          <w:position w:val="0"/>
        </w:rPr>
        <w:t>（制 造执行）、</w:t>
      </w:r>
      <w:r>
        <w:rPr>
          <w:color w:val="000000"/>
          <w:spacing w:val="0"/>
          <w:w w:val="100"/>
          <w:position w:val="0"/>
          <w:sz w:val="24"/>
          <w:szCs w:val="24"/>
        </w:rPr>
        <w:t xml:space="preserve">APS </w:t>
      </w:r>
      <w:r>
        <w:rPr>
          <w:color w:val="000000"/>
          <w:spacing w:val="0"/>
          <w:w w:val="100"/>
          <w:position w:val="0"/>
        </w:rPr>
        <w:t>（计划排程）、</w:t>
      </w:r>
      <w:r>
        <w:rPr>
          <w:color w:val="000000"/>
          <w:spacing w:val="0"/>
          <w:w w:val="100"/>
          <w:position w:val="0"/>
          <w:sz w:val="24"/>
          <w:szCs w:val="24"/>
        </w:rPr>
        <w:t xml:space="preserve">SCM </w:t>
      </w:r>
      <w:r>
        <w:rPr>
          <w:color w:val="000000"/>
          <w:spacing w:val="0"/>
          <w:w w:val="100"/>
          <w:position w:val="0"/>
        </w:rPr>
        <w:t>（供应链管理）、</w:t>
      </w:r>
      <w:r>
        <w:rPr>
          <w:color w:val="000000"/>
          <w:spacing w:val="0"/>
          <w:w w:val="100"/>
          <w:position w:val="0"/>
          <w:sz w:val="24"/>
          <w:szCs w:val="24"/>
        </w:rPr>
        <w:t xml:space="preserve">QMS </w:t>
      </w:r>
      <w:r>
        <w:rPr>
          <w:color w:val="000000"/>
          <w:spacing w:val="0"/>
          <w:w w:val="100"/>
          <w:position w:val="0"/>
        </w:rPr>
        <w:t>（质量管理）、</w:t>
      </w:r>
      <w:r>
        <w:rPr>
          <w:color w:val="000000"/>
          <w:spacing w:val="0"/>
          <w:w w:val="100"/>
          <w:position w:val="0"/>
          <w:sz w:val="24"/>
          <w:szCs w:val="24"/>
        </w:rPr>
        <w:t xml:space="preserve">PCS </w:t>
      </w:r>
      <w:r>
        <w:rPr>
          <w:color w:val="000000"/>
          <w:spacing w:val="0"/>
          <w:w w:val="100"/>
          <w:position w:val="0"/>
        </w:rPr>
        <w:t>（过程控制）等 软件平台的智能制造解决方案，帮助制造业客户建立具备个性化定制、协同供应链、远程协 作和智能分析等功能的一整套落地方案。</w:t>
      </w:r>
    </w:p>
    <w:p>
      <w:pPr>
        <w:pStyle w:val="Style35"/>
        <w:keepNext w:val="0"/>
        <w:keepLines w:val="0"/>
        <w:widowControl w:val="0"/>
        <w:shd w:val="clear" w:color="auto" w:fill="auto"/>
        <w:tabs>
          <w:tab w:pos="836" w:val="left"/>
        </w:tabs>
        <w:bidi w:val="0"/>
        <w:spacing w:before="0" w:after="0" w:line="470" w:lineRule="exact"/>
        <w:ind w:left="0" w:right="0" w:firstLine="480"/>
        <w:jc w:val="both"/>
      </w:pPr>
      <w:bookmarkStart w:id="62" w:name="bookmark62"/>
      <w:r>
        <w:rPr>
          <w:color w:val="000000"/>
          <w:spacing w:val="0"/>
          <w:w w:val="100"/>
          <w:position w:val="0"/>
          <w:sz w:val="24"/>
          <w:szCs w:val="24"/>
        </w:rPr>
        <w:t>4</w:t>
      </w:r>
      <w:bookmarkEnd w:id="62"/>
      <w:r>
        <w:rPr>
          <w:color w:val="000000"/>
          <w:spacing w:val="0"/>
          <w:w w:val="100"/>
          <w:position w:val="0"/>
          <w:sz w:val="24"/>
          <w:szCs w:val="24"/>
        </w:rPr>
        <w:t>）</w:t>
        <w:tab/>
      </w:r>
      <w:r>
        <w:rPr>
          <w:color w:val="000000"/>
          <w:spacing w:val="0"/>
          <w:w w:val="100"/>
          <w:position w:val="0"/>
        </w:rPr>
        <w:t>智协供应链领域：智协供应链，包括</w:t>
      </w:r>
      <w:r>
        <w:rPr>
          <w:color w:val="000000"/>
          <w:spacing w:val="0"/>
          <w:w w:val="100"/>
          <w:position w:val="0"/>
          <w:sz w:val="24"/>
          <w:szCs w:val="24"/>
        </w:rPr>
        <w:t xml:space="preserve">HTMS </w:t>
      </w:r>
      <w:r>
        <w:rPr>
          <w:color w:val="000000"/>
          <w:spacing w:val="0"/>
          <w:w w:val="100"/>
          <w:position w:val="0"/>
        </w:rPr>
        <w:t>（汉得物流运输管理系统）、</w:t>
      </w:r>
      <w:r>
        <w:rPr>
          <w:color w:val="000000"/>
          <w:spacing w:val="0"/>
          <w:w w:val="100"/>
          <w:position w:val="0"/>
          <w:sz w:val="24"/>
          <w:szCs w:val="24"/>
        </w:rPr>
        <w:t xml:space="preserve">HWMS </w:t>
      </w:r>
      <w:r>
        <w:rPr>
          <w:color w:val="000000"/>
          <w:spacing w:val="0"/>
          <w:w w:val="100"/>
          <w:position w:val="0"/>
        </w:rPr>
        <w:t>（汉得智 协仓储管理中台）、</w:t>
      </w:r>
      <w:r>
        <w:rPr>
          <w:color w:val="000000"/>
          <w:spacing w:val="0"/>
          <w:w w:val="100"/>
          <w:position w:val="0"/>
          <w:sz w:val="24"/>
          <w:szCs w:val="24"/>
        </w:rPr>
        <w:t xml:space="preserve">HALM </w:t>
      </w:r>
      <w:r>
        <w:rPr>
          <w:color w:val="000000"/>
          <w:spacing w:val="0"/>
          <w:w w:val="100"/>
          <w:position w:val="0"/>
        </w:rPr>
        <w:t>（汉得资产管理软件）、</w:t>
      </w:r>
      <w:r>
        <w:rPr>
          <w:color w:val="000000"/>
          <w:spacing w:val="0"/>
          <w:w w:val="100"/>
          <w:position w:val="0"/>
          <w:sz w:val="24"/>
          <w:szCs w:val="24"/>
        </w:rPr>
        <w:t xml:space="preserve">HSLM </w:t>
      </w:r>
      <w:r>
        <w:rPr>
          <w:color w:val="000000"/>
          <w:spacing w:val="0"/>
          <w:w w:val="100"/>
          <w:position w:val="0"/>
        </w:rPr>
        <w:t>（汉得服务管理软件），分别为企业 提供从计划到交付的全链条物流一体化能力建设、企业仓储业务全面跟踪管理、资产的全生 命周期管理、服务全生命周期支持平台，通过模块化产品设计方便企业按需选用，加速构建 企业专属特色中台。</w:t>
      </w:r>
    </w:p>
    <w:p>
      <w:pPr>
        <w:pStyle w:val="Style35"/>
        <w:keepNext w:val="0"/>
        <w:keepLines w:val="0"/>
        <w:widowControl w:val="0"/>
        <w:shd w:val="clear" w:color="auto" w:fill="auto"/>
        <w:tabs>
          <w:tab w:pos="841" w:val="left"/>
        </w:tabs>
        <w:bidi w:val="0"/>
        <w:spacing w:before="0" w:after="0" w:line="470" w:lineRule="exact"/>
        <w:ind w:left="0" w:right="0" w:firstLine="480"/>
        <w:jc w:val="both"/>
      </w:pPr>
      <w:bookmarkStart w:id="63" w:name="bookmark63"/>
      <w:r>
        <w:rPr>
          <w:color w:val="000000"/>
          <w:spacing w:val="0"/>
          <w:w w:val="100"/>
          <w:position w:val="0"/>
          <w:sz w:val="24"/>
          <w:szCs w:val="24"/>
        </w:rPr>
        <w:t>5</w:t>
      </w:r>
      <w:bookmarkEnd w:id="63"/>
      <w:r>
        <w:rPr>
          <w:color w:val="000000"/>
          <w:spacing w:val="0"/>
          <w:w w:val="100"/>
          <w:position w:val="0"/>
          <w:sz w:val="24"/>
          <w:szCs w:val="24"/>
        </w:rPr>
        <w:t>）</w:t>
        <w:tab/>
      </w:r>
      <w:r>
        <w:rPr>
          <w:color w:val="000000"/>
          <w:spacing w:val="0"/>
          <w:w w:val="100"/>
          <w:position w:val="0"/>
        </w:rPr>
        <w:t>智享财务领域：快速发展变化的市场环境使得企业实现收入和盈利目标难度增加，越 来越多的企业为了提升财务管理，以数字化转型整体驱动企业发展变革而进行了大量的财务 智能化投资。公司整合先进的技术和管理理念，推出汉得智享财务套件</w:t>
      </w:r>
      <w:r>
        <w:rPr>
          <w:color w:val="000000"/>
          <w:spacing w:val="0"/>
          <w:w w:val="100"/>
          <w:position w:val="0"/>
          <w:sz w:val="24"/>
          <w:szCs w:val="24"/>
        </w:rPr>
        <w:t>（HFINs）</w:t>
      </w:r>
      <w:r>
        <w:rPr>
          <w:color w:val="000000"/>
          <w:spacing w:val="0"/>
          <w:w w:val="100"/>
          <w:position w:val="0"/>
        </w:rPr>
        <w:t>帮助企业实 现业、财、税深度融合的智能报账和财务共享服务；汉得清分结算软件</w:t>
      </w:r>
      <w:r>
        <w:rPr>
          <w:color w:val="000000"/>
          <w:spacing w:val="0"/>
          <w:w w:val="100"/>
          <w:position w:val="0"/>
          <w:sz w:val="24"/>
          <w:szCs w:val="24"/>
        </w:rPr>
        <w:t>（HSCS）</w:t>
      </w:r>
      <w:r>
        <w:rPr>
          <w:color w:val="000000"/>
          <w:spacing w:val="0"/>
          <w:w w:val="100"/>
          <w:position w:val="0"/>
        </w:rPr>
        <w:t>帮助企业实 现清分结算自动化；优易联</w:t>
      </w:r>
      <w:r>
        <w:rPr>
          <w:color w:val="000000"/>
          <w:spacing w:val="0"/>
          <w:w w:val="100"/>
          <w:position w:val="0"/>
          <w:sz w:val="24"/>
          <w:szCs w:val="24"/>
        </w:rPr>
        <w:t>RPA</w:t>
      </w:r>
      <w:r>
        <w:rPr>
          <w:color w:val="000000"/>
          <w:spacing w:val="0"/>
          <w:w w:val="100"/>
          <w:position w:val="0"/>
        </w:rPr>
        <w:t>自动化产品帮助企业优化内部管理流程的自动化程度，提高生 产力。</w:t>
      </w:r>
    </w:p>
    <w:p>
      <w:pPr>
        <w:pStyle w:val="Style35"/>
        <w:keepNext w:val="0"/>
        <w:keepLines w:val="0"/>
        <w:widowControl w:val="0"/>
        <w:shd w:val="clear" w:color="auto" w:fill="auto"/>
        <w:tabs>
          <w:tab w:pos="836" w:val="left"/>
        </w:tabs>
        <w:bidi w:val="0"/>
        <w:spacing w:before="0" w:after="0" w:line="468" w:lineRule="exact"/>
        <w:ind w:left="0" w:right="0" w:firstLine="480"/>
        <w:jc w:val="both"/>
      </w:pPr>
      <w:bookmarkStart w:id="64" w:name="bookmark64"/>
      <w:r>
        <w:rPr>
          <w:color w:val="000000"/>
          <w:spacing w:val="0"/>
          <w:w w:val="100"/>
          <w:position w:val="0"/>
          <w:sz w:val="24"/>
          <w:szCs w:val="24"/>
        </w:rPr>
        <w:t>6</w:t>
      </w:r>
      <w:bookmarkEnd w:id="64"/>
      <w:r>
        <w:rPr>
          <w:color w:val="000000"/>
          <w:spacing w:val="0"/>
          <w:w w:val="100"/>
          <w:position w:val="0"/>
          <w:sz w:val="24"/>
          <w:szCs w:val="24"/>
        </w:rPr>
        <w:t>）</w:t>
        <w:tab/>
      </w:r>
      <w:r>
        <w:rPr>
          <w:color w:val="000000"/>
          <w:spacing w:val="0"/>
          <w:w w:val="100"/>
          <w:position w:val="0"/>
        </w:rPr>
        <w:t>智通应用领域：为提升企业合同管理水平，降低管理成本，同时加强企业风险防范能 力，公司推出一诺智能合同管理软件</w:t>
      </w:r>
      <w:r>
        <w:rPr>
          <w:color w:val="000000"/>
          <w:spacing w:val="0"/>
          <w:w w:val="100"/>
          <w:position w:val="0"/>
          <w:sz w:val="24"/>
          <w:szCs w:val="24"/>
        </w:rPr>
        <w:t>（</w:t>
      </w:r>
      <w:r>
        <w:rPr>
          <w:color w:val="000000"/>
          <w:spacing w:val="0"/>
          <w:w w:val="100"/>
          <w:position w:val="0"/>
          <w:sz w:val="24"/>
          <w:szCs w:val="24"/>
        </w:rPr>
        <w:t>One Contract）</w:t>
      </w:r>
      <w:r>
        <w:rPr>
          <w:color w:val="000000"/>
          <w:spacing w:val="0"/>
          <w:w w:val="100"/>
          <w:position w:val="0"/>
        </w:rPr>
        <w:t>，基于可视化和智能化技术，致力于 合同全生命周期管理；随着信息技术的发展，企业信息化技术的复杂程度和管控难度正在呈 几何级数式增长，因此势必需要引入对</w:t>
      </w:r>
      <w:r>
        <w:rPr>
          <w:color w:val="000000"/>
          <w:spacing w:val="0"/>
          <w:w w:val="100"/>
          <w:position w:val="0"/>
          <w:sz w:val="24"/>
          <w:szCs w:val="24"/>
        </w:rPr>
        <w:t>IT</w:t>
      </w:r>
      <w:r>
        <w:rPr>
          <w:color w:val="000000"/>
          <w:spacing w:val="0"/>
          <w:w w:val="100"/>
          <w:position w:val="0"/>
        </w:rPr>
        <w:t>服务的管理手段，公司基于多年的服务管理经验， 结合最新的人工智能技术，带来了全新的燕千云智能服务管理平台，为企业提供全面的</w:t>
      </w:r>
      <w:r>
        <w:rPr>
          <w:color w:val="000000"/>
          <w:spacing w:val="0"/>
          <w:w w:val="100"/>
          <w:position w:val="0"/>
          <w:sz w:val="24"/>
          <w:szCs w:val="24"/>
        </w:rPr>
        <w:t>IT</w:t>
      </w:r>
      <w:r>
        <w:rPr>
          <w:color w:val="000000"/>
          <w:spacing w:val="0"/>
          <w:w w:val="100"/>
          <w:position w:val="0"/>
        </w:rPr>
        <w:t>服 务管理、</w:t>
      </w:r>
      <w:r>
        <w:rPr>
          <w:color w:val="000000"/>
          <w:spacing w:val="0"/>
          <w:w w:val="100"/>
          <w:position w:val="0"/>
          <w:sz w:val="24"/>
          <w:szCs w:val="24"/>
        </w:rPr>
        <w:t>IT</w:t>
      </w:r>
      <w:r>
        <w:rPr>
          <w:color w:val="000000"/>
          <w:spacing w:val="0"/>
          <w:w w:val="100"/>
          <w:position w:val="0"/>
        </w:rPr>
        <w:t>资产管理、</w:t>
      </w:r>
      <w:r>
        <w:rPr>
          <w:color w:val="000000"/>
          <w:spacing w:val="0"/>
          <w:w w:val="100"/>
          <w:position w:val="0"/>
          <w:sz w:val="24"/>
          <w:szCs w:val="24"/>
        </w:rPr>
        <w:t>IT</w:t>
      </w:r>
      <w:r>
        <w:rPr>
          <w:color w:val="000000"/>
          <w:spacing w:val="0"/>
          <w:w w:val="100"/>
          <w:position w:val="0"/>
        </w:rPr>
        <w:t>运营管理、</w:t>
      </w:r>
      <w:r>
        <w:rPr>
          <w:color w:val="000000"/>
          <w:spacing w:val="0"/>
          <w:w w:val="100"/>
          <w:position w:val="0"/>
          <w:sz w:val="24"/>
          <w:szCs w:val="24"/>
        </w:rPr>
        <w:t>IT</w:t>
      </w:r>
      <w:r>
        <w:rPr>
          <w:color w:val="000000"/>
          <w:spacing w:val="0"/>
          <w:w w:val="100"/>
          <w:position w:val="0"/>
        </w:rPr>
        <w:t>业务管理。</w:t>
      </w:r>
    </w:p>
    <w:p>
      <w:pPr>
        <w:pStyle w:val="Style35"/>
        <w:keepNext w:val="0"/>
        <w:keepLines w:val="0"/>
        <w:widowControl w:val="0"/>
        <w:shd w:val="clear" w:color="auto" w:fill="auto"/>
        <w:tabs>
          <w:tab w:pos="836" w:val="left"/>
        </w:tabs>
        <w:bidi w:val="0"/>
        <w:spacing w:before="0" w:after="0" w:line="468" w:lineRule="exact"/>
        <w:ind w:left="0" w:right="0" w:firstLine="480"/>
        <w:jc w:val="both"/>
        <w:rPr>
          <w:sz w:val="24"/>
          <w:szCs w:val="24"/>
        </w:rPr>
      </w:pPr>
      <w:bookmarkStart w:id="65" w:name="bookmark65"/>
      <w:r>
        <w:rPr>
          <w:color w:val="000000"/>
          <w:spacing w:val="0"/>
          <w:w w:val="100"/>
          <w:position w:val="0"/>
          <w:sz w:val="24"/>
          <w:szCs w:val="24"/>
        </w:rPr>
        <w:t>7</w:t>
      </w:r>
      <w:bookmarkEnd w:id="65"/>
      <w:r>
        <w:rPr>
          <w:color w:val="000000"/>
          <w:spacing w:val="0"/>
          <w:w w:val="100"/>
          <w:position w:val="0"/>
          <w:sz w:val="24"/>
          <w:szCs w:val="24"/>
        </w:rPr>
        <w:t>）</w:t>
        <w:tab/>
      </w:r>
      <w:r>
        <w:rPr>
          <w:color w:val="000000"/>
          <w:spacing w:val="0"/>
          <w:w w:val="100"/>
          <w:position w:val="0"/>
          <w:sz w:val="22"/>
          <w:szCs w:val="22"/>
        </w:rPr>
        <w:t>云计算领域：云计算是信息技术革命的核心之一，也是公司解决方案产品化的重要方 向。公司基于多年的信息化经验和能力，积极研究客户需求和市场趋势，研发了具有市场竞 争力的云计算产品，为客户提供基于自有云计算的独特解决方案和专业化实施服务，如</w:t>
      </w:r>
      <w:r>
        <w:rPr>
          <w:color w:val="000000"/>
          <w:spacing w:val="0"/>
          <w:w w:val="100"/>
          <w:position w:val="0"/>
          <w:sz w:val="24"/>
          <w:szCs w:val="24"/>
        </w:rPr>
        <w:t>HCMP</w:t>
      </w:r>
    </w:p>
    <w:p>
      <w:pPr>
        <w:pStyle w:val="Style35"/>
        <w:keepNext w:val="0"/>
        <w:keepLines w:val="0"/>
        <w:widowControl w:val="0"/>
        <w:shd w:val="clear" w:color="auto" w:fill="auto"/>
        <w:bidi w:val="0"/>
        <w:spacing w:before="0" w:after="0" w:line="468" w:lineRule="exact"/>
        <w:ind w:left="0" w:right="0" w:firstLine="0"/>
        <w:jc w:val="both"/>
      </w:pPr>
      <w:r>
        <w:rPr>
          <w:color w:val="000000"/>
          <w:spacing w:val="0"/>
          <w:w w:val="100"/>
          <w:position w:val="0"/>
        </w:rPr>
        <w:t>（汉得融合云治理平台，提高企业跨云资源管理的效率）、</w:t>
      </w:r>
      <w:r>
        <w:rPr>
          <w:color w:val="000000"/>
          <w:spacing w:val="0"/>
          <w:w w:val="100"/>
          <w:position w:val="0"/>
          <w:sz w:val="24"/>
          <w:szCs w:val="24"/>
        </w:rPr>
        <w:t xml:space="preserve">HAAS </w:t>
      </w:r>
      <w:r>
        <w:rPr>
          <w:color w:val="000000"/>
          <w:spacing w:val="0"/>
          <w:w w:val="100"/>
          <w:position w:val="0"/>
        </w:rPr>
        <w:t>（汉得私有云平台，为各种 规模企业提供最佳实践的一站式私有云搭建服务平台）等在内的多个产品推出，并服务于大 量企业客户。</w:t>
      </w:r>
    </w:p>
    <w:p>
      <w:pPr>
        <w:pStyle w:val="Style35"/>
        <w:keepNext w:val="0"/>
        <w:keepLines w:val="0"/>
        <w:widowControl w:val="0"/>
        <w:shd w:val="clear" w:color="auto" w:fill="auto"/>
        <w:tabs>
          <w:tab w:pos="831" w:val="left"/>
        </w:tabs>
        <w:bidi w:val="0"/>
        <w:spacing w:before="0" w:after="0" w:line="468" w:lineRule="exact"/>
        <w:ind w:left="0" w:right="0" w:firstLine="480"/>
        <w:jc w:val="both"/>
      </w:pPr>
      <w:bookmarkStart w:id="66" w:name="bookmark66"/>
      <w:r>
        <w:rPr>
          <w:color w:val="000000"/>
          <w:spacing w:val="0"/>
          <w:w w:val="100"/>
          <w:position w:val="0"/>
          <w:sz w:val="24"/>
          <w:szCs w:val="24"/>
        </w:rPr>
        <w:t>8</w:t>
      </w:r>
      <w:bookmarkEnd w:id="66"/>
      <w:r>
        <w:rPr>
          <w:color w:val="000000"/>
          <w:spacing w:val="0"/>
          <w:w w:val="100"/>
          <w:position w:val="0"/>
          <w:sz w:val="24"/>
          <w:szCs w:val="24"/>
        </w:rPr>
        <w:t>）</w:t>
        <w:tab/>
      </w:r>
      <w:r>
        <w:rPr>
          <w:color w:val="000000"/>
          <w:spacing w:val="0"/>
          <w:w w:val="100"/>
          <w:position w:val="0"/>
        </w:rPr>
        <w:t>其他自主研发产品及解决方案的实施服务：除以上智慧营销、智能制造等领域外，公 司还基于对客户业务的深入理解，自主研发了大量应用于各行业和领域的产品及解决方案， 如汉得布谷人力资源管理软件、融智汇产品、汉得供应链金融云平台、汉得融资租赁系统</w:t>
      </w:r>
    </w:p>
    <w:p>
      <w:pPr>
        <w:pStyle w:val="Style35"/>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（HLS）</w:t>
      </w:r>
      <w:r>
        <w:rPr>
          <w:color w:val="000000"/>
          <w:spacing w:val="0"/>
          <w:w w:val="100"/>
          <w:position w:val="0"/>
        </w:rPr>
        <w:t>、鼎医医院智慧管理平台</w:t>
      </w:r>
      <w:r>
        <w:rPr>
          <w:color w:val="000000"/>
          <w:spacing w:val="0"/>
          <w:w w:val="100"/>
          <w:position w:val="0"/>
          <w:sz w:val="24"/>
          <w:szCs w:val="24"/>
        </w:rPr>
        <w:t>（HRP）</w:t>
      </w:r>
      <w:r>
        <w:rPr>
          <w:color w:val="000000"/>
          <w:spacing w:val="0"/>
          <w:w w:val="100"/>
          <w:position w:val="0"/>
        </w:rPr>
        <w:t>、汉得质量合规管理系统</w:t>
      </w:r>
      <w:r>
        <w:rPr>
          <w:color w:val="000000"/>
          <w:spacing w:val="0"/>
          <w:w w:val="100"/>
          <w:position w:val="0"/>
          <w:sz w:val="24"/>
          <w:szCs w:val="24"/>
        </w:rPr>
        <w:t>（HGxP）</w:t>
      </w:r>
      <w:r>
        <w:rPr>
          <w:color w:val="000000"/>
          <w:spacing w:val="0"/>
          <w:w w:val="100"/>
          <w:position w:val="0"/>
        </w:rPr>
        <w:t>、</w:t>
      </w:r>
      <w:r>
        <w:rPr>
          <w:color w:val="000000"/>
          <w:spacing w:val="0"/>
          <w:w w:val="100"/>
          <w:position w:val="0"/>
          <w:sz w:val="24"/>
          <w:szCs w:val="24"/>
        </w:rPr>
        <w:t>1</w:t>
      </w:r>
      <w:r>
        <w:rPr>
          <w:color w:val="000000"/>
          <w:spacing w:val="0"/>
          <w:w w:val="100"/>
          <w:position w:val="0"/>
        </w:rPr>
        <w:t>米筑造数字化 解决方案、汉得电商业务平台</w:t>
      </w:r>
      <w:r>
        <w:rPr>
          <w:color w:val="000000"/>
          <w:spacing w:val="0"/>
          <w:w w:val="100"/>
          <w:position w:val="0"/>
          <w:sz w:val="24"/>
          <w:szCs w:val="24"/>
        </w:rPr>
        <w:t>（HOMS）</w:t>
      </w:r>
      <w:r>
        <w:rPr>
          <w:color w:val="000000"/>
          <w:spacing w:val="0"/>
          <w:w w:val="100"/>
          <w:position w:val="0"/>
        </w:rPr>
        <w:t>、汉得数据管理平台</w:t>
      </w:r>
      <w:r>
        <w:rPr>
          <w:color w:val="000000"/>
          <w:spacing w:val="0"/>
          <w:w w:val="100"/>
          <w:position w:val="0"/>
          <w:sz w:val="24"/>
          <w:szCs w:val="24"/>
        </w:rPr>
        <w:t>（HDM）</w:t>
      </w:r>
      <w:r>
        <w:rPr>
          <w:color w:val="000000"/>
          <w:spacing w:val="0"/>
          <w:w w:val="100"/>
          <w:position w:val="0"/>
        </w:rPr>
        <w:t>、汉得合并管理系统</w:t>
      </w:r>
      <w:r>
        <w:rPr>
          <w:color w:val="000000"/>
          <w:spacing w:val="0"/>
          <w:w w:val="100"/>
          <w:position w:val="0"/>
          <w:sz w:val="24"/>
          <w:szCs w:val="24"/>
        </w:rPr>
        <w:t xml:space="preserve">（HCS） </w:t>
      </w:r>
      <w:r>
        <w:rPr>
          <w:color w:val="000000"/>
          <w:spacing w:val="0"/>
          <w:w w:val="100"/>
          <w:position w:val="0"/>
        </w:rPr>
        <w:t>等在内的一大批自主研发产品，补充完善了部分细分领域的解决方案，为企业客户提供更优 质的适应企业特性的实施服务，帮助客户提高业务效率、优化资源配置，提高企业信息化治 理水平。</w:t>
      </w:r>
    </w:p>
    <w:p>
      <w:pPr>
        <w:pStyle w:val="Style35"/>
        <w:keepNext w:val="0"/>
        <w:keepLines w:val="0"/>
        <w:widowControl w:val="0"/>
        <w:shd w:val="clear" w:color="auto" w:fill="auto"/>
        <w:bidi w:val="0"/>
        <w:spacing w:before="0" w:after="0" w:line="470" w:lineRule="exact"/>
        <w:ind w:left="0" w:right="0" w:firstLine="480"/>
        <w:jc w:val="both"/>
      </w:pPr>
      <w:bookmarkStart w:id="67" w:name="bookmark67"/>
      <w:r>
        <w:rPr>
          <w:color w:val="000000"/>
          <w:spacing w:val="0"/>
          <w:w w:val="100"/>
          <w:position w:val="0"/>
          <w:sz w:val="24"/>
          <w:szCs w:val="24"/>
        </w:rPr>
        <w:t>3</w:t>
      </w:r>
      <w:bookmarkEnd w:id="67"/>
      <w:r>
        <w:rPr>
          <w:color w:val="000000"/>
          <w:spacing w:val="0"/>
          <w:w w:val="100"/>
          <w:position w:val="0"/>
        </w:rPr>
        <w:t>、客户支持业务。企业客户在进行了较大规模的</w:t>
      </w:r>
      <w:r>
        <w:rPr>
          <w:color w:val="000000"/>
          <w:spacing w:val="0"/>
          <w:w w:val="100"/>
          <w:position w:val="0"/>
          <w:sz w:val="24"/>
          <w:szCs w:val="24"/>
        </w:rPr>
        <w:t>ERP</w:t>
      </w:r>
      <w:r>
        <w:rPr>
          <w:color w:val="000000"/>
          <w:spacing w:val="0"/>
          <w:w w:val="100"/>
          <w:position w:val="0"/>
        </w:rPr>
        <w:t>及相关系统信息化建设后，由于</w:t>
      </w:r>
      <w:r>
        <w:rPr>
          <w:color w:val="000000"/>
          <w:spacing w:val="0"/>
          <w:w w:val="100"/>
          <w:position w:val="0"/>
          <w:sz w:val="24"/>
          <w:szCs w:val="24"/>
        </w:rPr>
        <w:t xml:space="preserve">ERP </w:t>
      </w:r>
      <w:r>
        <w:rPr>
          <w:color w:val="000000"/>
          <w:spacing w:val="0"/>
          <w:w w:val="100"/>
          <w:position w:val="0"/>
        </w:rPr>
        <w:t>等相关企业信息平台的专业性和复杂性，这些客户往往需要</w:t>
      </w:r>
      <w:r>
        <w:rPr>
          <w:color w:val="000000"/>
          <w:spacing w:val="0"/>
          <w:w w:val="100"/>
          <w:position w:val="0"/>
          <w:sz w:val="24"/>
          <w:szCs w:val="24"/>
        </w:rPr>
        <w:t>IT</w:t>
      </w:r>
      <w:r>
        <w:rPr>
          <w:color w:val="000000"/>
          <w:spacing w:val="0"/>
          <w:w w:val="100"/>
          <w:position w:val="0"/>
        </w:rPr>
        <w:t>服务商提供长期的高质量系统 运维支持，如系统日常维护、故障排除以及因企业业务调整而相应地需要进行系统升级维护 等。</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此外，技术的飞速发展带动着业务模式及运营模式不断地发生变化，企业内部</w:t>
      </w:r>
      <w:r>
        <w:rPr>
          <w:color w:val="000000"/>
          <w:spacing w:val="0"/>
          <w:w w:val="100"/>
          <w:position w:val="0"/>
          <w:sz w:val="24"/>
          <w:szCs w:val="24"/>
        </w:rPr>
        <w:t>IT</w:t>
      </w:r>
      <w:r>
        <w:rPr>
          <w:color w:val="000000"/>
          <w:spacing w:val="0"/>
          <w:w w:val="100"/>
          <w:position w:val="0"/>
        </w:rPr>
        <w:t>追逐和 聚焦核心技术和业务的意识越来越强烈，信息系统架构也呈现出单核心系统向多专业系统集 成的趋势，新技术新架构给</w:t>
      </w:r>
      <w:r>
        <w:rPr>
          <w:color w:val="000000"/>
          <w:spacing w:val="0"/>
          <w:w w:val="100"/>
          <w:position w:val="0"/>
          <w:sz w:val="24"/>
          <w:szCs w:val="24"/>
        </w:rPr>
        <w:t>IT</w:t>
      </w:r>
      <w:r>
        <w:rPr>
          <w:color w:val="000000"/>
          <w:spacing w:val="0"/>
          <w:w w:val="100"/>
          <w:position w:val="0"/>
        </w:rPr>
        <w:t>发展带来重大变革，对运维的专业化能力提出了更高的要求， 因此越来越多的企业选择运维服务外包。</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公司有专业的团队，以面向全球市场，提供</w:t>
      </w:r>
      <w:r>
        <w:rPr>
          <w:color w:val="000000"/>
          <w:spacing w:val="0"/>
          <w:w w:val="100"/>
          <w:position w:val="0"/>
          <w:sz w:val="24"/>
          <w:szCs w:val="24"/>
        </w:rPr>
        <w:t>7*24</w:t>
      </w:r>
      <w:r>
        <w:rPr>
          <w:color w:val="000000"/>
          <w:spacing w:val="0"/>
          <w:w w:val="100"/>
          <w:position w:val="0"/>
        </w:rPr>
        <w:t xml:space="preserve">小时的、基于服务级别的企业信息化运 </w:t>
      </w:r>
      <w:r>
        <w:rPr>
          <w:color w:val="000000"/>
          <w:spacing w:val="0"/>
          <w:w w:val="100"/>
          <w:position w:val="0"/>
        </w:rPr>
        <w:t>营和维护服务，满足企业客户在实施企业信息化后存在的大量系统运营维护需求。</w:t>
      </w:r>
    </w:p>
    <w:p>
      <w:pPr>
        <w:pStyle w:val="Style35"/>
        <w:keepNext w:val="0"/>
        <w:keepLines w:val="0"/>
        <w:widowControl w:val="0"/>
        <w:shd w:val="clear" w:color="auto" w:fill="auto"/>
        <w:bidi w:val="0"/>
        <w:spacing w:before="0" w:after="0" w:line="466" w:lineRule="exact"/>
        <w:ind w:left="0" w:right="0" w:firstLine="480"/>
        <w:jc w:val="both"/>
      </w:pPr>
      <w:bookmarkStart w:id="68" w:name="bookmark68"/>
      <w:r>
        <w:rPr>
          <w:color w:val="000000"/>
          <w:spacing w:val="0"/>
          <w:w w:val="100"/>
          <w:position w:val="0"/>
          <w:sz w:val="24"/>
          <w:szCs w:val="24"/>
        </w:rPr>
        <w:t>4</w:t>
      </w:r>
      <w:bookmarkEnd w:id="68"/>
      <w:r>
        <w:rPr>
          <w:color w:val="000000"/>
          <w:spacing w:val="0"/>
          <w:w w:val="100"/>
          <w:position w:val="0"/>
        </w:rPr>
        <w:t>、其他业务。公司的其他业务包括：</w:t>
      </w:r>
    </w:p>
    <w:p>
      <w:pPr>
        <w:pStyle w:val="Style35"/>
        <w:keepNext w:val="0"/>
        <w:keepLines w:val="0"/>
        <w:widowControl w:val="0"/>
        <w:shd w:val="clear" w:color="auto" w:fill="auto"/>
        <w:tabs>
          <w:tab w:pos="1071" w:val="left"/>
        </w:tabs>
        <w:bidi w:val="0"/>
        <w:spacing w:before="0" w:after="0" w:line="466" w:lineRule="exact"/>
        <w:ind w:left="0" w:right="0" w:firstLine="480"/>
        <w:jc w:val="both"/>
      </w:pPr>
      <w:bookmarkStart w:id="69" w:name="bookmark69"/>
      <w:r>
        <w:rPr>
          <w:color w:val="000000"/>
          <w:spacing w:val="0"/>
          <w:w w:val="100"/>
          <w:position w:val="0"/>
          <w:sz w:val="24"/>
          <w:szCs w:val="24"/>
        </w:rPr>
        <w:t>（</w:t>
      </w:r>
      <w:bookmarkEnd w:id="69"/>
      <w:r>
        <w:rPr>
          <w:color w:val="000000"/>
          <w:spacing w:val="0"/>
          <w:w w:val="100"/>
          <w:position w:val="0"/>
          <w:sz w:val="24"/>
          <w:szCs w:val="24"/>
        </w:rPr>
        <w:t>1）</w:t>
        <w:tab/>
      </w:r>
      <w:r>
        <w:rPr>
          <w:color w:val="000000"/>
          <w:spacing w:val="0"/>
          <w:w w:val="100"/>
          <w:position w:val="0"/>
        </w:rPr>
        <w:t>软件外包：软件外包服务业务是公司基于软件实施服务业务所积累的强大实施团队 与丰富实施经验而开拓的衍生业务领域。公司软件外包服务业务主要涉及软件实施服务中</w:t>
      </w:r>
      <w:r>
        <w:rPr>
          <w:color w:val="000000"/>
          <w:spacing w:val="0"/>
          <w:w w:val="100"/>
          <w:position w:val="0"/>
          <w:sz w:val="24"/>
          <w:szCs w:val="24"/>
        </w:rPr>
        <w:t xml:space="preserve">ERP </w:t>
      </w:r>
      <w:r>
        <w:rPr>
          <w:color w:val="000000"/>
          <w:spacing w:val="0"/>
          <w:w w:val="100"/>
          <w:position w:val="0"/>
        </w:rPr>
        <w:t>等软件二次开发与设计部分，以及一些为满足客户需求的技术开发外包工作等。</w:t>
      </w:r>
    </w:p>
    <w:p>
      <w:pPr>
        <w:pStyle w:val="Style35"/>
        <w:keepNext w:val="0"/>
        <w:keepLines w:val="0"/>
        <w:widowControl w:val="0"/>
        <w:shd w:val="clear" w:color="auto" w:fill="auto"/>
        <w:tabs>
          <w:tab w:pos="1076" w:val="left"/>
        </w:tabs>
        <w:bidi w:val="0"/>
        <w:spacing w:before="0" w:after="0" w:line="474" w:lineRule="exact"/>
        <w:ind w:left="0" w:right="0" w:firstLine="480"/>
        <w:jc w:val="both"/>
      </w:pPr>
      <w:bookmarkStart w:id="70" w:name="bookmark70"/>
      <w:r>
        <w:rPr>
          <w:color w:val="000000"/>
          <w:spacing w:val="0"/>
          <w:w w:val="100"/>
          <w:position w:val="0"/>
          <w:sz w:val="24"/>
          <w:szCs w:val="24"/>
        </w:rPr>
        <w:t>（</w:t>
      </w:r>
      <w:bookmarkEnd w:id="70"/>
      <w:r>
        <w:rPr>
          <w:color w:val="000000"/>
          <w:spacing w:val="0"/>
          <w:w w:val="100"/>
          <w:position w:val="0"/>
          <w:sz w:val="24"/>
          <w:szCs w:val="24"/>
        </w:rPr>
        <w:t>2）</w:t>
        <w:tab/>
      </w:r>
      <w:r>
        <w:rPr>
          <w:color w:val="000000"/>
          <w:spacing w:val="0"/>
          <w:w w:val="100"/>
          <w:position w:val="0"/>
        </w:rPr>
        <w:t>软硬件销售：公司从事的软件实施服务需要以对应的企业级软件以及一些配套的硬 件设施作为实施基础，因此公司在为客户提供实施服务前期会参考客户自身意愿、结合客户 的业务特点向客户销售相应的软硬件产品。公司软硬件销售业务仅是实施服务的衍生业务， 公司一般不单独销售软硬件产品。</w:t>
      </w:r>
    </w:p>
    <w:p>
      <w:pPr>
        <w:pStyle w:val="Style35"/>
        <w:keepNext w:val="0"/>
        <w:keepLines w:val="0"/>
        <w:widowControl w:val="0"/>
        <w:shd w:val="clear" w:color="auto" w:fill="auto"/>
        <w:tabs>
          <w:tab w:pos="1071" w:val="left"/>
        </w:tabs>
        <w:bidi w:val="0"/>
        <w:spacing w:before="0" w:after="0" w:line="490" w:lineRule="exact"/>
        <w:ind w:left="0" w:right="0" w:firstLine="480"/>
        <w:jc w:val="both"/>
      </w:pPr>
      <w:bookmarkStart w:id="71" w:name="bookmark71"/>
      <w:r>
        <w:rPr>
          <w:color w:val="000000"/>
          <w:spacing w:val="0"/>
          <w:w w:val="100"/>
          <w:position w:val="0"/>
          <w:sz w:val="24"/>
          <w:szCs w:val="24"/>
        </w:rPr>
        <w:t>（</w:t>
      </w:r>
      <w:bookmarkEnd w:id="71"/>
      <w:r>
        <w:rPr>
          <w:color w:val="000000"/>
          <w:spacing w:val="0"/>
          <w:w w:val="100"/>
          <w:position w:val="0"/>
          <w:sz w:val="24"/>
          <w:szCs w:val="24"/>
        </w:rPr>
        <w:t>3）</w:t>
        <w:tab/>
      </w:r>
      <w:r>
        <w:rPr>
          <w:color w:val="000000"/>
          <w:spacing w:val="0"/>
          <w:w w:val="100"/>
          <w:position w:val="0"/>
        </w:rPr>
        <w:t>数据处理：除前述为客户提供软件实施服务以外，根据部分客户的数据处理需求， 为其提供扫描加工、数据处理、存储和分析等服务。</w:t>
      </w:r>
    </w:p>
    <w:p>
      <w:pPr>
        <w:pStyle w:val="Style35"/>
        <w:keepNext w:val="0"/>
        <w:keepLines w:val="0"/>
        <w:widowControl w:val="0"/>
        <w:shd w:val="clear" w:color="auto" w:fill="auto"/>
        <w:tabs>
          <w:tab w:pos="1076" w:val="left"/>
        </w:tabs>
        <w:bidi w:val="0"/>
        <w:spacing w:before="0" w:after="0" w:line="469" w:lineRule="exact"/>
        <w:ind w:left="0" w:right="0" w:firstLine="480"/>
        <w:jc w:val="both"/>
      </w:pPr>
      <w:bookmarkStart w:id="72" w:name="bookmark72"/>
      <w:r>
        <w:rPr>
          <w:color w:val="000000"/>
          <w:spacing w:val="0"/>
          <w:w w:val="100"/>
          <w:position w:val="0"/>
          <w:sz w:val="24"/>
          <w:szCs w:val="24"/>
        </w:rPr>
        <w:t>（</w:t>
      </w:r>
      <w:bookmarkEnd w:id="72"/>
      <w:r>
        <w:rPr>
          <w:color w:val="000000"/>
          <w:spacing w:val="0"/>
          <w:w w:val="100"/>
          <w:position w:val="0"/>
          <w:sz w:val="24"/>
          <w:szCs w:val="24"/>
        </w:rPr>
        <w:t>4）</w:t>
        <w:tab/>
      </w:r>
      <w:r>
        <w:rPr>
          <w:color w:val="000000"/>
          <w:spacing w:val="0"/>
          <w:w w:val="100"/>
          <w:position w:val="0"/>
        </w:rPr>
        <w:t>商业保理：依托传统</w:t>
      </w:r>
      <w:r>
        <w:rPr>
          <w:color w:val="000000"/>
          <w:spacing w:val="0"/>
          <w:w w:val="100"/>
          <w:position w:val="0"/>
          <w:sz w:val="24"/>
          <w:szCs w:val="24"/>
        </w:rPr>
        <w:t>ERP</w:t>
      </w:r>
      <w:r>
        <w:rPr>
          <w:color w:val="000000"/>
          <w:spacing w:val="0"/>
          <w:w w:val="100"/>
          <w:position w:val="0"/>
        </w:rPr>
        <w:t>实施服务领域的核心客户资源，将公司自主研发的中小企 业供应链金融云平台，对接核心客户</w:t>
      </w:r>
      <w:r>
        <w:rPr>
          <w:color w:val="000000"/>
          <w:spacing w:val="0"/>
          <w:w w:val="100"/>
          <w:position w:val="0"/>
          <w:sz w:val="24"/>
          <w:szCs w:val="24"/>
        </w:rPr>
        <w:t>ERP</w:t>
      </w:r>
      <w:r>
        <w:rPr>
          <w:color w:val="000000"/>
          <w:spacing w:val="0"/>
          <w:w w:val="100"/>
          <w:position w:val="0"/>
        </w:rPr>
        <w:t>系统的供应链模块，以获取交易、采购、发货、开票 等真实数据，基于这些</w:t>
      </w:r>
      <w:r>
        <w:rPr>
          <w:color w:val="000000"/>
          <w:spacing w:val="0"/>
          <w:w w:val="100"/>
          <w:position w:val="0"/>
          <w:sz w:val="24"/>
          <w:szCs w:val="24"/>
        </w:rPr>
        <w:t>ERP</w:t>
      </w:r>
      <w:r>
        <w:rPr>
          <w:color w:val="000000"/>
          <w:spacing w:val="0"/>
          <w:w w:val="100"/>
          <w:position w:val="0"/>
        </w:rPr>
        <w:t>系统内真实的交易数据，以优质应收账款为依据，向核心企业客户 的上游供应商提供服务。公司通过开展商业保理业务，能提升公司核心企业客户的粘性，帮 助核心企业客户维护供应链的稳定性。</w:t>
      </w:r>
    </w:p>
    <w:p>
      <w:pPr>
        <w:pStyle w:val="Style35"/>
        <w:keepNext w:val="0"/>
        <w:keepLines w:val="0"/>
        <w:widowControl w:val="0"/>
        <w:shd w:val="clear" w:color="auto" w:fill="auto"/>
        <w:bidi w:val="0"/>
        <w:spacing w:before="0" w:after="0" w:line="469" w:lineRule="exact"/>
        <w:ind w:left="0" w:right="0" w:firstLine="480"/>
        <w:jc w:val="both"/>
      </w:pPr>
      <w:bookmarkStart w:id="73" w:name="bookmark73"/>
      <w:r>
        <w:rPr>
          <w:color w:val="000000"/>
          <w:spacing w:val="0"/>
          <w:w w:val="100"/>
          <w:position w:val="0"/>
        </w:rPr>
        <w:t>（</w:t>
      </w:r>
      <w:bookmarkEnd w:id="73"/>
      <w:r>
        <w:rPr>
          <w:color w:val="000000"/>
          <w:spacing w:val="0"/>
          <w:w w:val="100"/>
          <w:position w:val="0"/>
        </w:rPr>
        <w:t>二）报告期内发生的重大变化：</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市场需求方面，各类新技术、新产品蓬勃发展，尤其是云平台、</w:t>
      </w:r>
      <w:r>
        <w:rPr>
          <w:color w:val="000000"/>
          <w:spacing w:val="0"/>
          <w:w w:val="100"/>
          <w:position w:val="0"/>
          <w:sz w:val="24"/>
          <w:szCs w:val="24"/>
        </w:rPr>
        <w:t>SaaS</w:t>
      </w:r>
      <w:r>
        <w:rPr>
          <w:color w:val="000000"/>
          <w:spacing w:val="0"/>
          <w:w w:val="100"/>
          <w:position w:val="0"/>
        </w:rPr>
        <w:t>应用的发展，加速 了传统企业信息化和数字化转型，企业不再仅仅局限于传统的信息管理诉求，更多的关注新 技术、新产品的应用发展，由过去的“痛点驱动”升级为“愿景驱动”，过去企业寄希望于 通过信息化手段来解决管理痛点问题，而现在提出了更多诸如智能化发展等改革提升的愿景, 因此有更多涵盖企业前中后台的信息化和数字化的诉求，此外，企业对</w:t>
      </w:r>
      <w:r>
        <w:rPr>
          <w:color w:val="000000"/>
          <w:spacing w:val="0"/>
          <w:w w:val="100"/>
          <w:position w:val="0"/>
          <w:sz w:val="24"/>
          <w:szCs w:val="24"/>
        </w:rPr>
        <w:t>SaaS</w:t>
      </w:r>
      <w:r>
        <w:rPr>
          <w:color w:val="000000"/>
          <w:spacing w:val="0"/>
          <w:w w:val="100"/>
          <w:position w:val="0"/>
        </w:rPr>
        <w:t>服务的接受度变 得更高。这样的需求升级使得企业信息化从以往以</w:t>
      </w:r>
      <w:r>
        <w:rPr>
          <w:color w:val="000000"/>
          <w:spacing w:val="0"/>
          <w:w w:val="100"/>
          <w:position w:val="0"/>
          <w:sz w:val="24"/>
          <w:szCs w:val="24"/>
        </w:rPr>
        <w:t>ERP</w:t>
      </w:r>
      <w:r>
        <w:rPr>
          <w:color w:val="000000"/>
          <w:spacing w:val="0"/>
          <w:w w:val="100"/>
          <w:position w:val="0"/>
        </w:rPr>
        <w:t>、</w:t>
      </w:r>
      <w:r>
        <w:rPr>
          <w:color w:val="000000"/>
          <w:spacing w:val="0"/>
          <w:w w:val="100"/>
          <w:position w:val="0"/>
        </w:rPr>
        <w:t>财务、人事、制造等管理软件为主转 变为精细化管理软件、</w:t>
      </w:r>
      <w:r>
        <w:rPr>
          <w:color w:val="000000"/>
          <w:spacing w:val="0"/>
          <w:w w:val="100"/>
          <w:position w:val="0"/>
          <w:sz w:val="24"/>
          <w:szCs w:val="24"/>
        </w:rPr>
        <w:t>SaaS</w:t>
      </w:r>
      <w:r>
        <w:rPr>
          <w:color w:val="000000"/>
          <w:spacing w:val="0"/>
          <w:w w:val="100"/>
          <w:position w:val="0"/>
        </w:rPr>
        <w:t>软件以及数字信息转型所搭建的平台型软件，推动了公司所在行 业市场容量快速变大，并对服务商的服务能力覆盖面、对新技术的应用能力和整体解决方案 能力提出了更高的要求。此外，近年来部分国内企业在积极寻找“走出去”的机会或已经展 开国际化的发展方向，随之带来的国际化商机明显增多，公司伴随客户信息化需求的海外延 伸，逐渐积累起在海外市场为客户提供全球化实施和运维的经验和能力。</w:t>
      </w:r>
    </w:p>
    <w:p>
      <w:pPr>
        <w:pStyle w:val="Style35"/>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公司经营情况方面，受外部经济环境以及企业级</w:t>
      </w:r>
      <w:r>
        <w:rPr>
          <w:color w:val="000000"/>
          <w:spacing w:val="0"/>
          <w:w w:val="100"/>
          <w:position w:val="0"/>
          <w:sz w:val="24"/>
          <w:szCs w:val="24"/>
        </w:rPr>
        <w:t>IT</w:t>
      </w:r>
      <w:r>
        <w:rPr>
          <w:color w:val="000000"/>
          <w:spacing w:val="0"/>
          <w:w w:val="100"/>
          <w:position w:val="0"/>
        </w:rPr>
        <w:t>服务市场变化的影响，来自国内</w:t>
      </w:r>
      <w:r>
        <w:rPr>
          <w:color w:val="000000"/>
          <w:spacing w:val="0"/>
          <w:w w:val="100"/>
          <w:position w:val="0"/>
          <w:sz w:val="24"/>
          <w:szCs w:val="24"/>
        </w:rPr>
        <w:t xml:space="preserve">ERP </w:t>
      </w:r>
      <w:r>
        <w:rPr>
          <w:color w:val="000000"/>
          <w:spacing w:val="0"/>
          <w:w w:val="100"/>
          <w:position w:val="0"/>
        </w:rPr>
        <w:t>领域的需求出现了放缓的迹象，使得软件实施收入增速整体放缓。为适应企业客户不断发展 的</w:t>
      </w:r>
      <w:r>
        <w:rPr>
          <w:color w:val="000000"/>
          <w:spacing w:val="0"/>
          <w:w w:val="100"/>
          <w:position w:val="0"/>
          <w:sz w:val="24"/>
          <w:szCs w:val="24"/>
        </w:rPr>
        <w:t>IT</w:t>
      </w:r>
      <w:r>
        <w:rPr>
          <w:color w:val="000000"/>
          <w:spacing w:val="0"/>
          <w:w w:val="100"/>
          <w:position w:val="0"/>
        </w:rPr>
        <w:t>需求，公司持续丰富完善自身信息化咨询服务能力，对员工专业能力和综合素质提出了 更高的要求。报告期内，公司继续基于行业深度拓展，优化面向客户的服务架构，并针对性 发展融合中台和相关业务，其研发投入、营收占比进一步提高，解决方案能力和创新能力进 一步增强。公司品牌持续壮大以及龙头案例的积累，带来的行业影响力也有较大提升，产品 化以及解决方案的标准化，提升了公司整体的交付能力及实施效率。</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报告期内，新冠肺炎疫情在我国、亚洲、欧美等全球主要经济体爆发，疫情对公司以及 企业客户的生产经营、对公司各项业务的开展和获取造成了一定的不利影响，但相关影响不 构成持续重大影响，系非经常性、暂时性的影响。长期来看，随着本次疫情的控制和企业的 复工复产，公司所处的行业政策环境预计不会发生重大变化，公司预计各企业客户将会对进 一步提升企业信息化水平、生产经营信息化、发展远程办公和协同能力等产生更加深刻的需 求。这对于公司所从事的企业信息化服务行业将具有积极的促进作用，更将给公司融合中台 的发展带来机遇。</w:t>
      </w:r>
    </w:p>
    <w:p>
      <w:pPr>
        <w:pStyle w:val="Style35"/>
        <w:keepNext w:val="0"/>
        <w:keepLines w:val="0"/>
        <w:widowControl w:val="0"/>
        <w:shd w:val="clear" w:color="auto" w:fill="auto"/>
        <w:bidi w:val="0"/>
        <w:spacing w:before="0" w:after="0" w:line="468" w:lineRule="exact"/>
        <w:ind w:left="0" w:right="0" w:firstLine="480"/>
        <w:jc w:val="both"/>
      </w:pPr>
      <w:bookmarkStart w:id="74" w:name="bookmark74"/>
      <w:r>
        <w:rPr>
          <w:color w:val="000000"/>
          <w:spacing w:val="0"/>
          <w:w w:val="100"/>
          <w:position w:val="0"/>
        </w:rPr>
        <w:t>（</w:t>
      </w:r>
      <w:bookmarkEnd w:id="74"/>
      <w:r>
        <w:rPr>
          <w:color w:val="000000"/>
          <w:spacing w:val="0"/>
          <w:w w:val="100"/>
          <w:position w:val="0"/>
        </w:rPr>
        <w:t>三）行业基本情况及对公司的影响：</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公司属于软件和信息技术服务业，软件和信息技术服务业是关系国民经济和社会发展全 局的基础性、战略性、先导性产业，对经济社会发展具有重要的支撑和引领作用。企业信息 化行业的发展主要取决于国民经济的发展状况、国家对于企业信息化的支持力度、企业对于 信息化的重视程度等因素。目前，我国经济处于持续平稳较快增长、工业化和信息化融合、 智能制造、工业互联网、人工智能的快速发展阶段，我国对于企业信息化给予高度重视和政 策支持，不断加大投入力度，企业对于将新技术快速应用于业务场景，提升管理信息化水平 和经营效率的诉求也越来越强。因此，软件和信息技术服务业在可预见的相当长时期内将处 于较高景气的状态。</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企业信息化服务领域的竞争较为市场化，在行业内要取得竞争优势的关键在于是否有能 满足不同行业不同客户需求的服务能力。公司主要从事中高端客户的企业信息化综合服务， 在企业信息化领域经过多年的深耕，在行业内的国内厂商中已经具备较高的地位和影响力。 尽管如此，由于国内产业的快速增长，市场开始细分，竞争对手增多，且公司现在采取转型 为“服务+产品”的数字化综合服务供应商的战略，因此面临来自以咨询服务为主的竞争者和 以信息化产品为主的竞争者的双重竞争，公司需要保持产品和解决方案差异化能力，销售攻 坚能力，全面信息化服务能力，才能及时有效地应对市场竞争。</w:t>
      </w:r>
    </w:p>
    <w:p>
      <w:pPr>
        <w:pStyle w:val="Style26"/>
        <w:keepNext/>
        <w:keepLines/>
        <w:widowControl w:val="0"/>
        <w:shd w:val="clear" w:color="auto" w:fill="auto"/>
        <w:bidi w:val="0"/>
        <w:spacing w:before="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rPr>
        <w:t>二</w:t>
      </w:r>
      <w:bookmarkEnd w:id="77"/>
      <w:r>
        <w:rPr>
          <w:color w:val="000000"/>
          <w:spacing w:val="0"/>
          <w:w w:val="100"/>
          <w:position w:val="0"/>
        </w:rPr>
        <w:t>、主要资产重大变化情况</w:t>
      </w:r>
      <w:bookmarkEnd w:id="75"/>
      <w:bookmarkEnd w:id="76"/>
      <w:bookmarkEnd w:id="78"/>
    </w:p>
    <w:p>
      <w:pPr>
        <w:pStyle w:val="Style38"/>
        <w:keepNext w:val="0"/>
        <w:keepLines w:val="0"/>
        <w:widowControl w:val="0"/>
        <w:shd w:val="clear" w:color="auto" w:fill="auto"/>
        <w:bidi w:val="0"/>
        <w:spacing w:before="0" w:after="0" w:line="240" w:lineRule="auto"/>
        <w:ind w:left="0" w:right="0" w:firstLine="0"/>
        <w:jc w:val="left"/>
      </w:pPr>
      <w:bookmarkStart w:id="79" w:name="bookmark79"/>
      <w:r>
        <w:rPr>
          <w:rFonts w:ascii="Times New Roman" w:eastAsia="Times New Roman" w:hAnsi="Times New Roman" w:cs="Times New Roman"/>
          <w:color w:val="000000"/>
          <w:spacing w:val="0"/>
          <w:w w:val="100"/>
          <w:position w:val="0"/>
        </w:rPr>
        <w:t>1</w:t>
      </w:r>
      <w:r>
        <w:rPr>
          <w:color w:val="000000"/>
          <w:spacing w:val="0"/>
          <w:w w:val="100"/>
          <w:position w:val="0"/>
        </w:rPr>
        <w:t>、主要资产重大变化情况</w:t>
      </w:r>
      <w:bookmarkEnd w:id="79"/>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主要系上海甄汇信息科技有限公司其他股东增资，公司持股比例从</w:t>
            </w:r>
            <w:r>
              <w:rPr>
                <w:rFonts w:ascii="Times New Roman" w:eastAsia="Times New Roman" w:hAnsi="Times New Roman" w:cs="Times New Roman"/>
                <w:color w:val="000000"/>
                <w:spacing w:val="0"/>
                <w:w w:val="100"/>
                <w:position w:val="0"/>
                <w:sz w:val="18"/>
                <w:szCs w:val="18"/>
              </w:rPr>
              <w:t>31.5%</w:t>
            </w:r>
            <w:r>
              <w:rPr>
                <w:color w:val="000000"/>
                <w:spacing w:val="0"/>
                <w:w w:val="100"/>
                <w:position w:val="0"/>
                <w:sz w:val="17"/>
                <w:szCs w:val="17"/>
              </w:rPr>
              <w:t>降至</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21.7277%</w:t>
            </w:r>
            <w:r>
              <w:rPr>
                <w:color w:val="000000"/>
                <w:spacing w:val="0"/>
                <w:w w:val="100"/>
                <w:position w:val="0"/>
                <w:sz w:val="17"/>
                <w:szCs w:val="17"/>
              </w:rPr>
              <w:t>，长期股权投资中其他权益变动增加</w:t>
            </w:r>
            <w:r>
              <w:rPr>
                <w:rFonts w:ascii="Times New Roman" w:eastAsia="Times New Roman" w:hAnsi="Times New Roman" w:cs="Times New Roman"/>
                <w:color w:val="000000"/>
                <w:spacing w:val="0"/>
                <w:w w:val="100"/>
                <w:position w:val="0"/>
                <w:sz w:val="18"/>
                <w:szCs w:val="18"/>
              </w:rPr>
              <w:t>6,745.16</w:t>
            </w:r>
            <w:r>
              <w:rPr>
                <w:color w:val="000000"/>
                <w:spacing w:val="0"/>
                <w:w w:val="100"/>
                <w:position w:val="0"/>
                <w:sz w:val="17"/>
                <w:szCs w:val="17"/>
              </w:rPr>
              <w:t>万元；上海甄云信息科技有 限公司其他股东增资，公司股权比例从</w:t>
            </w:r>
            <w:r>
              <w:rPr>
                <w:rFonts w:ascii="Times New Roman" w:eastAsia="Times New Roman" w:hAnsi="Times New Roman" w:cs="Times New Roman"/>
                <w:color w:val="000000"/>
                <w:spacing w:val="0"/>
                <w:w w:val="100"/>
                <w:position w:val="0"/>
                <w:sz w:val="18"/>
                <w:szCs w:val="18"/>
              </w:rPr>
              <w:t>37.5%</w:t>
            </w:r>
            <w:r>
              <w:rPr>
                <w:color w:val="000000"/>
                <w:spacing w:val="0"/>
                <w:w w:val="100"/>
                <w:position w:val="0"/>
                <w:sz w:val="17"/>
                <w:szCs w:val="17"/>
              </w:rPr>
              <w:t>降至</w:t>
            </w:r>
            <w:r>
              <w:rPr>
                <w:rFonts w:ascii="Times New Roman" w:eastAsia="Times New Roman" w:hAnsi="Times New Roman" w:cs="Times New Roman"/>
                <w:color w:val="000000"/>
                <w:spacing w:val="0"/>
                <w:w w:val="100"/>
                <w:position w:val="0"/>
                <w:sz w:val="18"/>
                <w:szCs w:val="18"/>
              </w:rPr>
              <w:t>27.9069%</w:t>
            </w:r>
            <w:r>
              <w:rPr>
                <w:color w:val="000000"/>
                <w:spacing w:val="0"/>
                <w:w w:val="100"/>
                <w:position w:val="0"/>
                <w:sz w:val="17"/>
                <w:szCs w:val="17"/>
              </w:rPr>
              <w:t>,长期股权投资中其他 权益变动增加</w:t>
            </w:r>
            <w:r>
              <w:rPr>
                <w:rFonts w:ascii="Times New Roman" w:eastAsia="Times New Roman" w:hAnsi="Times New Roman" w:cs="Times New Roman"/>
                <w:color w:val="000000"/>
                <w:spacing w:val="0"/>
                <w:w w:val="100"/>
                <w:position w:val="0"/>
                <w:sz w:val="18"/>
                <w:szCs w:val="18"/>
              </w:rPr>
              <w:t>7,968.92</w:t>
            </w:r>
            <w:r>
              <w:rPr>
                <w:color w:val="000000"/>
                <w:spacing w:val="0"/>
                <w:w w:val="100"/>
                <w:position w:val="0"/>
                <w:sz w:val="17"/>
                <w:szCs w:val="17"/>
              </w:rPr>
              <w:t>万元；按权益法核算的联营公司本期按持股比例确认的净损 失</w:t>
            </w:r>
            <w:r>
              <w:rPr>
                <w:rFonts w:ascii="Times New Roman" w:eastAsia="Times New Roman" w:hAnsi="Times New Roman" w:cs="Times New Roman"/>
                <w:color w:val="000000"/>
                <w:spacing w:val="0"/>
                <w:w w:val="100"/>
                <w:position w:val="0"/>
                <w:sz w:val="18"/>
                <w:szCs w:val="18"/>
              </w:rPr>
              <w:t>6,636.85</w:t>
            </w:r>
            <w:r>
              <w:rPr>
                <w:color w:val="000000"/>
                <w:spacing w:val="0"/>
                <w:w w:val="100"/>
                <w:position w:val="0"/>
                <w:sz w:val="17"/>
                <w:szCs w:val="17"/>
              </w:rPr>
              <w:t>万元</w:t>
            </w:r>
          </w:p>
        </w:tc>
      </w:tr>
    </w:tbl>
    <w:p>
      <w:pPr>
        <w:pStyle w:val="Style38"/>
        <w:keepNext w:val="0"/>
        <w:keepLines w:val="0"/>
        <w:widowControl w:val="0"/>
        <w:shd w:val="clear" w:color="auto" w:fill="auto"/>
        <w:bidi w:val="0"/>
        <w:spacing w:before="0" w:after="0" w:line="240" w:lineRule="auto"/>
        <w:ind w:left="0" w:right="0" w:firstLine="0"/>
        <w:jc w:val="left"/>
      </w:pPr>
      <w:bookmarkStart w:id="80" w:name="bookmark80"/>
      <w:r>
        <w:rPr>
          <w:rFonts w:ascii="Times New Roman" w:eastAsia="Times New Roman" w:hAnsi="Times New Roman" w:cs="Times New Roman"/>
          <w:color w:val="000000"/>
          <w:spacing w:val="0"/>
          <w:w w:val="100"/>
          <w:position w:val="0"/>
        </w:rPr>
        <w:t>2</w:t>
      </w:r>
      <w:r>
        <w:rPr>
          <w:color w:val="000000"/>
          <w:spacing w:val="0"/>
          <w:w w:val="100"/>
          <w:position w:val="0"/>
        </w:rPr>
        <w:t>、主要境外资产情况</w:t>
      </w:r>
      <w:bookmarkEnd w:id="80"/>
    </w:p>
    <w:p>
      <w:pPr>
        <w:widowControl w:val="0"/>
        <w:spacing w:after="379" w:line="1" w:lineRule="exact"/>
      </w:pPr>
    </w:p>
    <w:p>
      <w:pPr>
        <w:pStyle w:val="Style2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180" w:line="469" w:lineRule="exact"/>
        <w:ind w:left="0" w:right="0" w:firstLine="0"/>
        <w:jc w:val="both"/>
      </w:pPr>
      <w:bookmarkStart w:id="81" w:name="bookmark81"/>
      <w:bookmarkStart w:id="82" w:name="bookmark82"/>
      <w:bookmarkStart w:id="83" w:name="bookmark83"/>
      <w:bookmarkStart w:id="84" w:name="bookmark84"/>
      <w:r>
        <w:rPr>
          <w:color w:val="000000"/>
          <w:spacing w:val="0"/>
          <w:w w:val="100"/>
          <w:position w:val="0"/>
        </w:rPr>
        <w:t>三</w:t>
      </w:r>
      <w:bookmarkEnd w:id="83"/>
      <w:r>
        <w:rPr>
          <w:color w:val="000000"/>
          <w:spacing w:val="0"/>
          <w:w w:val="100"/>
          <w:position w:val="0"/>
        </w:rPr>
        <w:t>、核心竞争力分析</w:t>
      </w:r>
      <w:bookmarkEnd w:id="81"/>
      <w:bookmarkEnd w:id="82"/>
      <w:bookmarkEnd w:id="84"/>
    </w:p>
    <w:p>
      <w:pPr>
        <w:pStyle w:val="Style35"/>
        <w:keepNext w:val="0"/>
        <w:keepLines w:val="0"/>
        <w:widowControl w:val="0"/>
        <w:shd w:val="clear" w:color="auto" w:fill="auto"/>
        <w:bidi w:val="0"/>
        <w:spacing w:before="0" w:after="0" w:line="469" w:lineRule="exact"/>
        <w:ind w:left="0" w:right="0" w:firstLine="500"/>
        <w:jc w:val="both"/>
      </w:pPr>
      <w:bookmarkStart w:id="85" w:name="bookmark85"/>
      <w:r>
        <w:rPr>
          <w:color w:val="000000"/>
          <w:spacing w:val="0"/>
          <w:w w:val="100"/>
          <w:position w:val="0"/>
        </w:rPr>
        <w:t>（</w:t>
      </w:r>
      <w:bookmarkEnd w:id="85"/>
      <w:r>
        <w:rPr>
          <w:color w:val="000000"/>
          <w:spacing w:val="0"/>
          <w:w w:val="100"/>
          <w:position w:val="0"/>
        </w:rPr>
        <w:t>一）丰富的实施服务经验和全面的信息化服务能力</w:t>
      </w:r>
    </w:p>
    <w:p>
      <w:pPr>
        <w:pStyle w:val="Style35"/>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在套装软件实施业务上，公司主要针对</w:t>
      </w:r>
      <w:r>
        <w:rPr>
          <w:color w:val="000000"/>
          <w:spacing w:val="0"/>
          <w:w w:val="100"/>
          <w:position w:val="0"/>
          <w:sz w:val="24"/>
          <w:szCs w:val="24"/>
        </w:rPr>
        <w:t>Oracle</w:t>
      </w:r>
      <w:r>
        <w:rPr>
          <w:color w:val="000000"/>
          <w:spacing w:val="0"/>
          <w:w w:val="100"/>
          <w:position w:val="0"/>
        </w:rPr>
        <w:t>、</w:t>
      </w:r>
      <w:r>
        <w:rPr>
          <w:color w:val="000000"/>
          <w:spacing w:val="0"/>
          <w:w w:val="100"/>
          <w:position w:val="0"/>
          <w:sz w:val="24"/>
          <w:szCs w:val="24"/>
        </w:rPr>
        <w:t>SAP</w:t>
      </w:r>
      <w:r>
        <w:rPr>
          <w:color w:val="000000"/>
          <w:spacing w:val="0"/>
          <w:w w:val="100"/>
          <w:position w:val="0"/>
        </w:rPr>
        <w:t>、</w:t>
      </w:r>
      <w:r>
        <w:rPr>
          <w:color w:val="000000"/>
          <w:spacing w:val="0"/>
          <w:w w:val="100"/>
          <w:position w:val="0"/>
          <w:sz w:val="24"/>
          <w:szCs w:val="24"/>
        </w:rPr>
        <w:t>Microsoft</w:t>
      </w:r>
      <w:r>
        <w:rPr>
          <w:color w:val="000000"/>
          <w:spacing w:val="0"/>
          <w:w w:val="100"/>
          <w:position w:val="0"/>
        </w:rPr>
        <w:t>、</w:t>
      </w:r>
      <w:r>
        <w:rPr>
          <w:color w:val="000000"/>
          <w:spacing w:val="0"/>
          <w:w w:val="100"/>
          <w:position w:val="0"/>
          <w:sz w:val="24"/>
          <w:szCs w:val="24"/>
        </w:rPr>
        <w:t>Siemens</w:t>
      </w:r>
      <w:r>
        <w:rPr>
          <w:color w:val="000000"/>
          <w:spacing w:val="0"/>
          <w:w w:val="100"/>
          <w:position w:val="0"/>
        </w:rPr>
        <w:t>等高端套装软 件提供实施服务，公司在长期的实施过程中经过不断的消化、提炼、整合和完善解决方案， 对其产品内容形成了十分深刻的理解，并在实施服务领域中积累了丰富的实战经验。与国内 同行相比，由于公司的客户众多，行业分布广泛，建立了快速应急响应机制，加之公司自身 的知识库和方法论整理及时有效，因此公司在套装软件实施服务的经验方面具有明显的优势。 公司服务的软件平台已扩展到了企业信息化的各个领域，比如</w:t>
      </w:r>
      <w:r>
        <w:rPr>
          <w:color w:val="000000"/>
          <w:spacing w:val="0"/>
          <w:w w:val="100"/>
          <w:position w:val="0"/>
          <w:sz w:val="24"/>
          <w:szCs w:val="24"/>
        </w:rPr>
        <w:t>ERP</w:t>
      </w:r>
      <w:r>
        <w:rPr>
          <w:color w:val="000000"/>
          <w:spacing w:val="0"/>
          <w:w w:val="100"/>
          <w:position w:val="0"/>
        </w:rPr>
        <w:t>企业管理系统、</w:t>
      </w:r>
      <w:r>
        <w:rPr>
          <w:color w:val="000000"/>
          <w:spacing w:val="0"/>
          <w:w w:val="100"/>
          <w:position w:val="0"/>
          <w:sz w:val="24"/>
          <w:szCs w:val="24"/>
        </w:rPr>
        <w:t>CRM</w:t>
      </w:r>
      <w:r>
        <w:rPr>
          <w:color w:val="000000"/>
          <w:spacing w:val="0"/>
          <w:w w:val="100"/>
          <w:position w:val="0"/>
        </w:rPr>
        <w:t>客户关 系管理、</w:t>
      </w:r>
      <w:r>
        <w:rPr>
          <w:color w:val="000000"/>
          <w:spacing w:val="0"/>
          <w:w w:val="100"/>
          <w:position w:val="0"/>
          <w:sz w:val="24"/>
          <w:szCs w:val="24"/>
        </w:rPr>
        <w:t>Peoplesoft</w:t>
      </w:r>
      <w:r>
        <w:rPr>
          <w:color w:val="000000"/>
          <w:spacing w:val="0"/>
          <w:w w:val="100"/>
          <w:position w:val="0"/>
        </w:rPr>
        <w:t>人力资源管理、</w:t>
      </w:r>
      <w:r>
        <w:rPr>
          <w:color w:val="000000"/>
          <w:spacing w:val="0"/>
          <w:w w:val="100"/>
          <w:position w:val="0"/>
          <w:sz w:val="24"/>
          <w:szCs w:val="24"/>
        </w:rPr>
        <w:t>EPM</w:t>
      </w:r>
      <w:r>
        <w:rPr>
          <w:color w:val="000000"/>
          <w:spacing w:val="0"/>
          <w:w w:val="100"/>
          <w:position w:val="0"/>
        </w:rPr>
        <w:t>企业绩效管理系统、</w:t>
      </w:r>
      <w:r>
        <w:rPr>
          <w:color w:val="000000"/>
          <w:spacing w:val="0"/>
          <w:w w:val="100"/>
          <w:position w:val="0"/>
          <w:sz w:val="24"/>
          <w:szCs w:val="24"/>
        </w:rPr>
        <w:t>BI</w:t>
      </w:r>
      <w:r>
        <w:rPr>
          <w:color w:val="000000"/>
          <w:spacing w:val="0"/>
          <w:w w:val="100"/>
          <w:position w:val="0"/>
        </w:rPr>
        <w:t>商务智能分析系统等专业领域, 公司通过自身的人才培养体系和方案整合能力、产品化能力、业务咨询服务能力、技术开发 能力，在项目实施过程中逐渐积累了这些专业产品的实施经验，形成了跨产品线、跨产品体 系的全面解决方案，能够为客户提供端到端的全面信息化服务。公司基于对不同软件产品内 容的理解，结合客户差异化的经营业务内容以及流程为国内大量企业提供量身定制的实施服 务，并通过大量成功实施服务经验的总结形成了自己的</w:t>
      </w:r>
      <w:r>
        <w:rPr>
          <w:color w:val="000000"/>
          <w:spacing w:val="0"/>
          <w:w w:val="100"/>
          <w:position w:val="0"/>
          <w:sz w:val="24"/>
          <w:szCs w:val="24"/>
        </w:rPr>
        <w:t>Quick-HAN D</w:t>
      </w:r>
      <w:r>
        <w:rPr>
          <w:color w:val="000000"/>
          <w:spacing w:val="0"/>
          <w:w w:val="100"/>
          <w:position w:val="0"/>
        </w:rPr>
        <w:t xml:space="preserve">实施方法论和多项业内领 先、适应性强的行业解决方案。公司积极改善交付模式，通过区域集中共享交付与远程交付 模式的逐渐应用，降低差旅成本，提升人员利用率，同时也有利于保障公司层面整体的交付 质量与实施效率。经过多年实施服务经验的积累，公司目前具备为客户提供全面而先进的企 </w:t>
      </w:r>
      <w:r>
        <w:rPr>
          <w:color w:val="000000"/>
          <w:spacing w:val="0"/>
          <w:w w:val="100"/>
          <w:position w:val="0"/>
        </w:rPr>
        <w:t>业信息化软件实施服务的能力，可有效保障企业管理信息化建设，提升企业的管理与经营效 率。</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多年来公司通过对客户业务的深化应用，对方案经验的积累沉淀，对技术能力的储备提 升，加大研发创新投入，自我积累了自主的融合中台系列产品和方案：包括汉得协同制造中 台（</w:t>
      </w:r>
      <w:r>
        <w:rPr>
          <w:color w:val="000000"/>
          <w:spacing w:val="0"/>
          <w:w w:val="100"/>
          <w:position w:val="0"/>
          <w:sz w:val="24"/>
          <w:szCs w:val="24"/>
        </w:rPr>
        <w:t>HCM）</w:t>
      </w:r>
      <w:r>
        <w:rPr>
          <w:color w:val="000000"/>
          <w:spacing w:val="0"/>
          <w:w w:val="100"/>
          <w:position w:val="0"/>
        </w:rPr>
        <w:t>、</w:t>
      </w:r>
      <w:r>
        <w:rPr>
          <w:color w:val="000000"/>
          <w:spacing w:val="0"/>
          <w:w w:val="100"/>
          <w:position w:val="0"/>
        </w:rPr>
        <w:t>汉得智享财务套件</w:t>
      </w:r>
      <w:r>
        <w:rPr>
          <w:color w:val="000000"/>
          <w:spacing w:val="0"/>
          <w:w w:val="100"/>
          <w:position w:val="0"/>
          <w:sz w:val="24"/>
          <w:szCs w:val="24"/>
        </w:rPr>
        <w:t>（HFINs）</w:t>
      </w:r>
      <w:r>
        <w:rPr>
          <w:color w:val="000000"/>
          <w:spacing w:val="0"/>
          <w:w w:val="100"/>
          <w:position w:val="0"/>
        </w:rPr>
        <w:t>、汉得融资租赁系统</w:t>
      </w:r>
      <w:r>
        <w:rPr>
          <w:color w:val="000000"/>
          <w:spacing w:val="0"/>
          <w:w w:val="100"/>
          <w:position w:val="0"/>
          <w:sz w:val="24"/>
          <w:szCs w:val="24"/>
        </w:rPr>
        <w:t>（HLS）</w:t>
      </w:r>
      <w:r>
        <w:rPr>
          <w:color w:val="000000"/>
          <w:spacing w:val="0"/>
          <w:w w:val="100"/>
          <w:position w:val="0"/>
        </w:rPr>
        <w:t xml:space="preserve">、鼎医医院智慧管理平台 </w:t>
      </w:r>
      <w:r>
        <w:rPr>
          <w:color w:val="000000"/>
          <w:spacing w:val="0"/>
          <w:w w:val="100"/>
          <w:position w:val="0"/>
          <w:sz w:val="24"/>
          <w:szCs w:val="24"/>
        </w:rPr>
        <w:t>（HRP）</w:t>
      </w:r>
      <w:r>
        <w:rPr>
          <w:color w:val="000000"/>
          <w:spacing w:val="0"/>
          <w:w w:val="100"/>
          <w:position w:val="0"/>
        </w:rPr>
        <w:t>、汉得物联网平台</w:t>
      </w:r>
      <w:r>
        <w:rPr>
          <w:color w:val="000000"/>
          <w:spacing w:val="0"/>
          <w:w w:val="100"/>
          <w:position w:val="0"/>
          <w:sz w:val="24"/>
          <w:szCs w:val="24"/>
        </w:rPr>
        <w:t>（HI-IOT）</w:t>
      </w:r>
      <w:r>
        <w:rPr>
          <w:color w:val="000000"/>
          <w:spacing w:val="0"/>
          <w:w w:val="100"/>
          <w:position w:val="0"/>
        </w:rPr>
        <w:t>、汉得电商业务平台</w:t>
      </w:r>
      <w:r>
        <w:rPr>
          <w:color w:val="000000"/>
          <w:spacing w:val="0"/>
          <w:w w:val="100"/>
          <w:position w:val="0"/>
          <w:sz w:val="24"/>
          <w:szCs w:val="24"/>
        </w:rPr>
        <w:t>（HOMS）</w:t>
      </w:r>
      <w:r>
        <w:rPr>
          <w:color w:val="000000"/>
          <w:spacing w:val="0"/>
          <w:w w:val="100"/>
          <w:position w:val="0"/>
        </w:rPr>
        <w:t>、汉得清分结算软件</w:t>
      </w:r>
      <w:r>
        <w:rPr>
          <w:color w:val="000000"/>
          <w:spacing w:val="0"/>
          <w:w w:val="100"/>
          <w:position w:val="0"/>
          <w:sz w:val="24"/>
          <w:szCs w:val="24"/>
        </w:rPr>
        <w:t>（HSCS）</w:t>
      </w:r>
      <w:r>
        <w:rPr>
          <w:color w:val="000000"/>
          <w:spacing w:val="0"/>
          <w:w w:val="100"/>
          <w:position w:val="0"/>
        </w:rPr>
        <w:t xml:space="preserve">、 </w:t>
      </w:r>
      <w:r>
        <w:rPr>
          <w:color w:val="000000"/>
          <w:spacing w:val="0"/>
          <w:w w:val="100"/>
          <w:position w:val="0"/>
        </w:rPr>
        <w:t>汉得数据服务平台</w:t>
      </w:r>
      <w:r>
        <w:rPr>
          <w:color w:val="000000"/>
          <w:spacing w:val="0"/>
          <w:w w:val="100"/>
          <w:position w:val="0"/>
          <w:sz w:val="24"/>
          <w:szCs w:val="24"/>
        </w:rPr>
        <w:t>（</w:t>
      </w:r>
      <w:r>
        <w:rPr>
          <w:color w:val="000000"/>
          <w:spacing w:val="0"/>
          <w:w w:val="100"/>
          <w:position w:val="0"/>
          <w:sz w:val="24"/>
          <w:szCs w:val="24"/>
        </w:rPr>
        <w:t xml:space="preserve">HDSP </w:t>
      </w:r>
      <w:r>
        <w:rPr>
          <w:color w:val="000000"/>
          <w:spacing w:val="0"/>
          <w:w w:val="100"/>
          <w:position w:val="0"/>
        </w:rPr>
        <w:t>）等一大批优秀的自主研发产品，可灵活定制的自主产品体系，不 仅补充完善了部分细分领域的解决方案，提供更优质的适应企业特性的实施服务，帮助客户 提高业务效率、优化资源配置，同时更关注企业的内部控制、风险管理等，提高了企业信息 化治理水平，目前这些产品已在众多客户处取得了良好的应用效果，不仅为公司开辟了新的 业务市场和利润增长点，更扩大了公司的综合实施服务能力。</w:t>
      </w:r>
    </w:p>
    <w:p>
      <w:pPr>
        <w:pStyle w:val="Style35"/>
        <w:keepNext w:val="0"/>
        <w:keepLines w:val="0"/>
        <w:widowControl w:val="0"/>
        <w:shd w:val="clear" w:color="auto" w:fill="auto"/>
        <w:bidi w:val="0"/>
        <w:spacing w:before="0" w:after="0" w:line="469" w:lineRule="exact"/>
        <w:ind w:left="0" w:right="0" w:firstLine="480"/>
        <w:jc w:val="both"/>
      </w:pPr>
      <w:bookmarkStart w:id="86" w:name="bookmark86"/>
      <w:r>
        <w:rPr>
          <w:color w:val="000000"/>
          <w:spacing w:val="0"/>
          <w:w w:val="100"/>
          <w:position w:val="0"/>
        </w:rPr>
        <w:t>（</w:t>
      </w:r>
      <w:bookmarkEnd w:id="86"/>
      <w:r>
        <w:rPr>
          <w:color w:val="000000"/>
          <w:spacing w:val="0"/>
          <w:w w:val="100"/>
          <w:position w:val="0"/>
        </w:rPr>
        <w:t>二）客户资源优势</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公司长期从事企业信息化咨询实施服务，已先后为数千家企业客户成功提供了信息化建 设服务，客户遍及制造、高科技、金融、贸易、快速消费品、互联网、公用事业和房地产等 诸多行业，涵盖诸多世界</w:t>
      </w:r>
      <w:r>
        <w:rPr>
          <w:color w:val="000000"/>
          <w:spacing w:val="0"/>
          <w:w w:val="100"/>
          <w:position w:val="0"/>
          <w:sz w:val="24"/>
          <w:szCs w:val="24"/>
        </w:rPr>
        <w:t>500</w:t>
      </w:r>
      <w:r>
        <w:rPr>
          <w:color w:val="000000"/>
          <w:spacing w:val="0"/>
          <w:w w:val="100"/>
          <w:position w:val="0"/>
        </w:rPr>
        <w:t>强企业、大型民营、国企集团等行业领军企业。目前，公司以国 内市场为主，并积极开拓全球市场，为大中型企业客户提供专业的信息化咨询服务，涉及到 了各行各业企业管理的主要领域。自公司成立以来，始终坚持以客户为中心的战略，高度关 注客户满意度和黏着度，通过整合多元化的信息化产品和服务能力，能够更好的帮助客户规 划落实众多信息化诉求，并做到更有匹配度的量身定制</w:t>
      </w:r>
      <w:r>
        <w:rPr>
          <w:color w:val="000000"/>
          <w:spacing w:val="0"/>
          <w:w w:val="100"/>
          <w:position w:val="0"/>
          <w:sz w:val="24"/>
          <w:szCs w:val="24"/>
        </w:rPr>
        <w:t>IT</w:t>
      </w:r>
      <w:r>
        <w:rPr>
          <w:color w:val="000000"/>
          <w:spacing w:val="0"/>
          <w:w w:val="100"/>
          <w:position w:val="0"/>
        </w:rPr>
        <w:t>规划、实施部署和系统运营维护的 服务，能够更有效的帮助客户降低整合外部服务资源的成本，提高运营效率，优质和全面的 服务使得公司与客户建立了长期稳定的合作关系，延长了公司与客户的服务周期，并更多呈 现可持续的合作态势。</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公司在</w:t>
      </w:r>
      <w:r>
        <w:rPr>
          <w:color w:val="000000"/>
          <w:spacing w:val="0"/>
          <w:w w:val="100"/>
          <w:position w:val="0"/>
          <w:sz w:val="24"/>
          <w:szCs w:val="24"/>
        </w:rPr>
        <w:t>Oracle</w:t>
      </w:r>
      <w:r>
        <w:rPr>
          <w:color w:val="000000"/>
          <w:spacing w:val="0"/>
          <w:w w:val="100"/>
          <w:position w:val="0"/>
        </w:rPr>
        <w:t>和</w:t>
      </w:r>
      <w:r>
        <w:rPr>
          <w:color w:val="000000"/>
          <w:spacing w:val="0"/>
          <w:w w:val="100"/>
          <w:position w:val="0"/>
          <w:sz w:val="24"/>
          <w:szCs w:val="24"/>
        </w:rPr>
        <w:t>SAP</w:t>
      </w:r>
      <w:r>
        <w:rPr>
          <w:color w:val="000000"/>
          <w:spacing w:val="0"/>
          <w:w w:val="100"/>
          <w:position w:val="0"/>
        </w:rPr>
        <w:t>等高端企业信息化套装软件实施服务市场中拥有稳定的客户基础和 持久的客户关系，在行业内形成了较好的口碑和较强的品牌影响力，较高的客户黏性是保持 公司主营业务收入稳定的重要因素，同时，公司高黏性的客户也是其他新的业务方向潜在的 优质客户资源，公司将在这些老客户上深耕细作，推出更多的创新产品和创新服务，建立长 期友好合作的机制。随着企业信息化的不断深入，原有的客户资源为公司的业务扩展和创新 提供了良好的平台，充分的信任及合作基础有助于公司推动战略转型。</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公司在为客户提供信息化服务过程中，坚持以客户为中心，形成了较好的实施服务效果, </w:t>
      </w:r>
      <w:r>
        <w:rPr>
          <w:color w:val="000000"/>
          <w:spacing w:val="0"/>
          <w:w w:val="100"/>
          <w:position w:val="0"/>
        </w:rPr>
        <w:t>得到了市场较高的认可。近年来，为进一步提升服务能力和服务价值，公司在常规的项目制 服务之外，还提供主动的诊断分析和咨询建议，以及针对性的市场宣传活动，为企业提供全 面的数字化转型规划。在各方面共同努力下，公司的客户资源价值继续提升，在客户规模和 广度拓展的同时，客户的服务内容和深度更进一步发展。</w:t>
      </w:r>
    </w:p>
    <w:p>
      <w:pPr>
        <w:pStyle w:val="Style35"/>
        <w:keepNext w:val="0"/>
        <w:keepLines w:val="0"/>
        <w:widowControl w:val="0"/>
        <w:shd w:val="clear" w:color="auto" w:fill="auto"/>
        <w:tabs>
          <w:tab w:pos="1066" w:val="left"/>
        </w:tabs>
        <w:bidi w:val="0"/>
        <w:spacing w:before="0" w:after="0" w:line="469" w:lineRule="exact"/>
        <w:ind w:left="0" w:right="0" w:firstLine="480"/>
        <w:jc w:val="both"/>
      </w:pPr>
      <w:bookmarkStart w:id="87" w:name="bookmark87"/>
      <w:r>
        <w:rPr>
          <w:color w:val="000000"/>
          <w:spacing w:val="0"/>
          <w:w w:val="100"/>
          <w:position w:val="0"/>
        </w:rPr>
        <w:t>（</w:t>
      </w:r>
      <w:bookmarkEnd w:id="87"/>
      <w:r>
        <w:rPr>
          <w:color w:val="000000"/>
          <w:spacing w:val="0"/>
          <w:w w:val="100"/>
          <w:position w:val="0"/>
        </w:rPr>
        <w:t>三）</w:t>
        <w:tab/>
        <w:t>人才优势</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咨询行业本身是人才密集型行业，自成立开始，公司就高度重视人才培养和团队建设， 通过有序引进、持续培训等方式逐步完善项目服务团队，多年来聚集了行业内优秀的业务、 技术、营销和管理团队，为项目的正常运行和质量提供了保障，是公司长期以来快速成长和 扩充的基础保证。相比于其他软件服务商，公司的人才资源具备较强的行业实施背景，对客 户需求的理解和业务流程的梳理更具优势，有快速学习并掌握多种产品实施的能力，资源间 的协调支持更灵活便捷。作为具备人力资本密集特性的现代高科技服务类企业，公司十分重 视企业文化的建设，注重提高员工的积极性，倡导</w:t>
      </w:r>
      <w:r>
        <w:rPr>
          <w:color w:val="000000"/>
          <w:spacing w:val="0"/>
          <w:w w:val="100"/>
          <w:position w:val="0"/>
          <w:sz w:val="24"/>
          <w:szCs w:val="24"/>
        </w:rPr>
        <w:t>“Better Experience，</w:t>
      </w:r>
      <w:r>
        <w:rPr>
          <w:color w:val="000000"/>
          <w:spacing w:val="0"/>
          <w:w w:val="100"/>
          <w:position w:val="0"/>
        </w:rPr>
        <w:t>更好体验”的经 营理念，构建企业感恩文化，努力为客户提供更好的服务体验，为员工提供更好的工作体验。 公平、竞争、激励的人力资源管理体系，为员工构建了良好向上的发展氛围。公司在人才招 聘、人才培养和激励等方面采取了一系列的措施，包括：</w:t>
      </w:r>
    </w:p>
    <w:p>
      <w:pPr>
        <w:pStyle w:val="Style35"/>
        <w:keepNext w:val="0"/>
        <w:keepLines w:val="0"/>
        <w:widowControl w:val="0"/>
        <w:shd w:val="clear" w:color="auto" w:fill="auto"/>
        <w:tabs>
          <w:tab w:pos="1045" w:val="left"/>
        </w:tabs>
        <w:bidi w:val="0"/>
        <w:spacing w:before="0" w:after="0" w:line="469" w:lineRule="exact"/>
        <w:ind w:left="0" w:right="0" w:firstLine="480"/>
        <w:jc w:val="left"/>
      </w:pPr>
      <w:bookmarkStart w:id="88" w:name="bookmark88"/>
      <w:r>
        <w:rPr>
          <w:color w:val="000000"/>
          <w:spacing w:val="0"/>
          <w:w w:val="100"/>
          <w:position w:val="0"/>
          <w:sz w:val="24"/>
          <w:szCs w:val="24"/>
        </w:rPr>
        <w:t>（</w:t>
      </w:r>
      <w:bookmarkEnd w:id="88"/>
      <w:r>
        <w:rPr>
          <w:color w:val="000000"/>
          <w:spacing w:val="0"/>
          <w:w w:val="100"/>
          <w:position w:val="0"/>
          <w:sz w:val="24"/>
          <w:szCs w:val="24"/>
        </w:rPr>
        <w:t>1）</w:t>
        <w:tab/>
      </w:r>
      <w:r>
        <w:rPr>
          <w:color w:val="000000"/>
          <w:spacing w:val="0"/>
          <w:w w:val="100"/>
          <w:position w:val="0"/>
        </w:rPr>
        <w:t>股权激励和项目跟投计划的实施，使其得以共享企业发展带来的收益；</w:t>
      </w:r>
    </w:p>
    <w:p>
      <w:pPr>
        <w:pStyle w:val="Style35"/>
        <w:keepNext w:val="0"/>
        <w:keepLines w:val="0"/>
        <w:widowControl w:val="0"/>
        <w:shd w:val="clear" w:color="auto" w:fill="auto"/>
        <w:tabs>
          <w:tab w:pos="1076" w:val="left"/>
        </w:tabs>
        <w:bidi w:val="0"/>
        <w:spacing w:before="0" w:after="0" w:line="469" w:lineRule="exact"/>
        <w:ind w:left="0" w:right="0" w:firstLine="480"/>
        <w:jc w:val="both"/>
      </w:pPr>
      <w:bookmarkStart w:id="89" w:name="bookmark89"/>
      <w:r>
        <w:rPr>
          <w:color w:val="000000"/>
          <w:spacing w:val="0"/>
          <w:w w:val="100"/>
          <w:position w:val="0"/>
          <w:sz w:val="24"/>
          <w:szCs w:val="24"/>
        </w:rPr>
        <w:t>（</w:t>
      </w:r>
      <w:bookmarkEnd w:id="89"/>
      <w:r>
        <w:rPr>
          <w:color w:val="000000"/>
          <w:spacing w:val="0"/>
          <w:w w:val="100"/>
          <w:position w:val="0"/>
          <w:sz w:val="24"/>
          <w:szCs w:val="24"/>
        </w:rPr>
        <w:t>2）</w:t>
        <w:tab/>
      </w:r>
      <w:r>
        <w:rPr>
          <w:color w:val="000000"/>
          <w:spacing w:val="0"/>
          <w:w w:val="100"/>
          <w:position w:val="0"/>
        </w:rPr>
        <w:t>完善的培训体系，可以快速的培养一批高质量的符合企业数字化建设需求的专业人 才，公平公正的考核体制也能为人才的进一步发展提供良好的途径；</w:t>
      </w:r>
    </w:p>
    <w:p>
      <w:pPr>
        <w:pStyle w:val="Style35"/>
        <w:keepNext w:val="0"/>
        <w:keepLines w:val="0"/>
        <w:widowControl w:val="0"/>
        <w:shd w:val="clear" w:color="auto" w:fill="auto"/>
        <w:tabs>
          <w:tab w:pos="1045" w:val="left"/>
        </w:tabs>
        <w:bidi w:val="0"/>
        <w:spacing w:before="0" w:after="0" w:line="469" w:lineRule="exact"/>
        <w:ind w:left="0" w:right="0" w:firstLine="480"/>
        <w:jc w:val="left"/>
      </w:pPr>
      <w:bookmarkStart w:id="90" w:name="bookmark90"/>
      <w:r>
        <w:rPr>
          <w:color w:val="000000"/>
          <w:spacing w:val="0"/>
          <w:w w:val="100"/>
          <w:position w:val="0"/>
          <w:sz w:val="24"/>
          <w:szCs w:val="24"/>
        </w:rPr>
        <w:t>（</w:t>
      </w:r>
      <w:bookmarkEnd w:id="90"/>
      <w:r>
        <w:rPr>
          <w:color w:val="000000"/>
          <w:spacing w:val="0"/>
          <w:w w:val="100"/>
          <w:position w:val="0"/>
          <w:sz w:val="24"/>
          <w:szCs w:val="24"/>
        </w:rPr>
        <w:t>3）</w:t>
        <w:tab/>
      </w:r>
      <w:r>
        <w:rPr>
          <w:color w:val="000000"/>
          <w:spacing w:val="0"/>
          <w:w w:val="100"/>
          <w:position w:val="0"/>
        </w:rPr>
        <w:t>加强企业文化建设，为员工提供良好的工作氛围，提高幸福指数和归属感。</w:t>
      </w:r>
    </w:p>
    <w:p>
      <w:pPr>
        <w:pStyle w:val="Style35"/>
        <w:keepNext w:val="0"/>
        <w:keepLines w:val="0"/>
        <w:widowControl w:val="0"/>
        <w:shd w:val="clear" w:color="auto" w:fill="auto"/>
        <w:bidi w:val="0"/>
        <w:spacing w:before="0" w:after="0" w:line="469" w:lineRule="exact"/>
        <w:ind w:left="0" w:right="0" w:firstLine="480"/>
        <w:jc w:val="left"/>
      </w:pPr>
      <w:r>
        <w:rPr>
          <w:color w:val="000000"/>
          <w:spacing w:val="0"/>
          <w:w w:val="100"/>
          <w:position w:val="0"/>
        </w:rPr>
        <w:t>通过上述一系列措施的实施，公司目前拥有九千名左右具备各类专业知识与技能的员工, 高级顾问和核心员工的稳定度较高，新进员工的成长快速，逐渐形成了行业导向化、交付专 业化、协作体系化、技术领先化的组织架构以及阶梯式的人才资源结构，通过内部知识共享 和人才储备达到了稳定优质的资源保证，为客户的信息化建设提供了充实的资源保障。</w:t>
      </w:r>
    </w:p>
    <w:p>
      <w:pPr>
        <w:pStyle w:val="Style35"/>
        <w:keepNext w:val="0"/>
        <w:keepLines w:val="0"/>
        <w:widowControl w:val="0"/>
        <w:shd w:val="clear" w:color="auto" w:fill="auto"/>
        <w:tabs>
          <w:tab w:pos="1066" w:val="left"/>
        </w:tabs>
        <w:bidi w:val="0"/>
        <w:spacing w:before="0" w:after="0" w:line="469" w:lineRule="exact"/>
        <w:ind w:left="0" w:right="0" w:firstLine="480"/>
        <w:jc w:val="both"/>
      </w:pPr>
      <w:bookmarkStart w:id="91" w:name="bookmark91"/>
      <w:r>
        <w:rPr>
          <w:color w:val="000000"/>
          <w:spacing w:val="0"/>
          <w:w w:val="100"/>
          <w:position w:val="0"/>
        </w:rPr>
        <w:t>（</w:t>
      </w:r>
      <w:bookmarkEnd w:id="91"/>
      <w:r>
        <w:rPr>
          <w:color w:val="000000"/>
          <w:spacing w:val="0"/>
          <w:w w:val="100"/>
          <w:position w:val="0"/>
        </w:rPr>
        <w:t>四）</w:t>
        <w:tab/>
        <w:t>品牌优势</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基于多年实施经验的累积，公司已逐渐发展成为国内信息化综合实力领先的咨询服务公 司，自上市以后，公司的品牌影响力不断提升。目前，公司已在国内武汉、成都、深圳、番 禺设有分公司，在广州、北京、天津、西安、青岛、长沙等地设有分支机构，在日本、新加 坡、美国设有子公司，在印度、欧洲、台湾设有孙公司，已具备更强的能力参与更广泛的市 场拓展，公司的综合能力及市场范围也在不断扩展及延伸，服务的企业数量和项目数量都居 </w:t>
      </w:r>
      <w:r>
        <w:rPr>
          <w:color w:val="000000"/>
          <w:spacing w:val="0"/>
          <w:w w:val="100"/>
          <w:position w:val="0"/>
        </w:rPr>
        <w:t>于行业前列，多家头部企业的典型成功案例，带来的行业影响力大幅提升。公司良好的品牌 影响力和稳固的市场地位，能够助力整合诸多资源，服务企业客户，达到完善企业信息化建 设和增加盈利的双赢。公司长期立足于企业信息化服务，多年来以辛勤的服务和优秀的专业 能力在众多客户处取得了很好的口碑，也获得了众多合作伙伴、政府和行业机构的一致认可, 取得了上海市高新技术企业、上海市软件企业、上海青浦区高新技术研究开发中心等一系列 荣誉资质，拥有</w:t>
      </w:r>
      <w:r>
        <w:rPr>
          <w:color w:val="000000"/>
          <w:spacing w:val="0"/>
          <w:w w:val="100"/>
          <w:position w:val="0"/>
          <w:sz w:val="24"/>
          <w:szCs w:val="24"/>
        </w:rPr>
        <w:t xml:space="preserve">CMMI Level3. </w:t>
      </w:r>
      <w:r>
        <w:rPr>
          <w:color w:val="000000"/>
          <w:spacing w:val="0"/>
          <w:w w:val="100"/>
          <w:position w:val="0"/>
          <w:sz w:val="24"/>
          <w:szCs w:val="24"/>
        </w:rPr>
        <w:t>2020</w:t>
      </w:r>
      <w:r>
        <w:rPr>
          <w:color w:val="000000"/>
          <w:spacing w:val="0"/>
          <w:w w:val="100"/>
          <w:position w:val="0"/>
        </w:rPr>
        <w:t>年度上海市软件和技术企业服务业百强、</w:t>
      </w:r>
      <w:r>
        <w:rPr>
          <w:color w:val="000000"/>
          <w:spacing w:val="0"/>
          <w:w w:val="100"/>
          <w:position w:val="0"/>
          <w:sz w:val="24"/>
          <w:szCs w:val="24"/>
        </w:rPr>
        <w:t>2019</w:t>
      </w:r>
      <w:r>
        <w:rPr>
          <w:color w:val="000000"/>
          <w:spacing w:val="0"/>
          <w:w w:val="100"/>
          <w:position w:val="0"/>
        </w:rPr>
        <w:t>中国物联网 系统集成商</w:t>
      </w:r>
      <w:r>
        <w:rPr>
          <w:color w:val="000000"/>
          <w:spacing w:val="0"/>
          <w:w w:val="100"/>
          <w:position w:val="0"/>
          <w:sz w:val="24"/>
          <w:szCs w:val="24"/>
        </w:rPr>
        <w:t>50</w:t>
      </w:r>
      <w:r>
        <w:rPr>
          <w:color w:val="000000"/>
          <w:spacing w:val="0"/>
          <w:w w:val="100"/>
          <w:position w:val="0"/>
        </w:rPr>
        <w:t>强、</w:t>
      </w:r>
      <w:r>
        <w:rPr>
          <w:color w:val="000000"/>
          <w:spacing w:val="0"/>
          <w:w w:val="100"/>
          <w:position w:val="0"/>
          <w:sz w:val="24"/>
          <w:szCs w:val="24"/>
        </w:rPr>
        <w:t>2019</w:t>
      </w:r>
      <w:r>
        <w:rPr>
          <w:color w:val="000000"/>
          <w:spacing w:val="0"/>
          <w:w w:val="100"/>
          <w:position w:val="0"/>
        </w:rPr>
        <w:t>中国软件业务收入百强企业、信息安全管理体系认证、质量管理体系 认证、中国电子信息行业联合会信息系统集成及服务资质三级等证书。</w:t>
      </w:r>
    </w:p>
    <w:p>
      <w:pPr>
        <w:pStyle w:val="Style35"/>
        <w:keepNext w:val="0"/>
        <w:keepLines w:val="0"/>
        <w:widowControl w:val="0"/>
        <w:shd w:val="clear" w:color="auto" w:fill="auto"/>
        <w:tabs>
          <w:tab w:pos="1073" w:val="left"/>
        </w:tabs>
        <w:bidi w:val="0"/>
        <w:spacing w:before="0" w:after="0" w:line="467" w:lineRule="exact"/>
        <w:ind w:left="0" w:right="0" w:firstLine="480"/>
        <w:jc w:val="both"/>
      </w:pPr>
      <w:bookmarkStart w:id="92" w:name="bookmark92"/>
      <w:r>
        <w:rPr>
          <w:color w:val="000000"/>
          <w:spacing w:val="0"/>
          <w:w w:val="100"/>
          <w:position w:val="0"/>
        </w:rPr>
        <w:t>（</w:t>
      </w:r>
      <w:bookmarkEnd w:id="92"/>
      <w:r>
        <w:rPr>
          <w:color w:val="000000"/>
          <w:spacing w:val="0"/>
          <w:w w:val="100"/>
          <w:position w:val="0"/>
        </w:rPr>
        <w:t>五）</w:t>
        <w:tab/>
        <w:t>融合中台优势</w:t>
      </w:r>
    </w:p>
    <w:p>
      <w:pPr>
        <w:pStyle w:val="Style3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企业要创新突破、要聚焦客户价值、要完善内部治理，必须依赖全面和高效的数字化管 理，从而对数字化提出三大要求：需要涵盖的场景更全面纵深，从企业内部到上下游合作伙 伴、监管的行业及政府部门，更需要直达最终消费者；所依赖的技术环境更复杂开放，企业 需要整合云服务和应用生态</w:t>
      </w:r>
      <w:r>
        <w:rPr>
          <w:color w:val="000000"/>
          <w:spacing w:val="0"/>
          <w:w w:val="100"/>
          <w:position w:val="0"/>
          <w:sz w:val="24"/>
          <w:szCs w:val="24"/>
        </w:rPr>
        <w:t>API</w:t>
      </w:r>
      <w:r>
        <w:rPr>
          <w:color w:val="000000"/>
          <w:spacing w:val="0"/>
          <w:w w:val="100"/>
          <w:position w:val="0"/>
        </w:rPr>
        <w:t>服务，同时做到数据和系统的自主可控；需要更快的迭代创新 速度，应用的变更从原来的几个月缩短至几周甚至几天，在可预期的时间内快速完成。</w:t>
      </w:r>
    </w:p>
    <w:p>
      <w:pPr>
        <w:pStyle w:val="Style3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公司在多年的企业信息化实施服务中，为数千家企业提供了企业信息化咨询实施服务， 在工业制造、消费零售、电信互联网、金融服务、智慧营销、物流贸易等各行业和在集团管 控、财务管理、生产制造、供应链管理、市场营销、质量管理、人力资源管理、设备管理等 各业务领域所积累的丰富的解决方案，也已经正在快速积累为融合中台上的应用产品或服务 组件，汉得融合中台包括业务中台</w:t>
      </w:r>
      <w:r>
        <w:rPr>
          <w:color w:val="000000"/>
          <w:spacing w:val="0"/>
          <w:w w:val="100"/>
          <w:position w:val="0"/>
          <w:sz w:val="24"/>
          <w:szCs w:val="24"/>
        </w:rPr>
        <w:t>HONE</w:t>
      </w:r>
      <w:r>
        <w:rPr>
          <w:color w:val="000000"/>
          <w:spacing w:val="0"/>
          <w:w w:val="100"/>
          <w:position w:val="0"/>
        </w:rPr>
        <w:t>、技术中台</w:t>
      </w:r>
      <w:r>
        <w:rPr>
          <w:color w:val="000000"/>
          <w:spacing w:val="0"/>
          <w:w w:val="100"/>
          <w:position w:val="0"/>
          <w:sz w:val="24"/>
          <w:szCs w:val="24"/>
        </w:rPr>
        <w:t>HZERO</w:t>
      </w:r>
      <w:r>
        <w:rPr>
          <w:color w:val="000000"/>
          <w:spacing w:val="0"/>
          <w:w w:val="100"/>
          <w:position w:val="0"/>
        </w:rPr>
        <w:t>、能效中台</w:t>
      </w:r>
      <w:r>
        <w:rPr>
          <w:color w:val="000000"/>
          <w:spacing w:val="0"/>
          <w:w w:val="100"/>
          <w:position w:val="0"/>
          <w:sz w:val="24"/>
          <w:szCs w:val="24"/>
        </w:rPr>
        <w:t>Choerodon</w:t>
      </w:r>
      <w:r>
        <w:rPr>
          <w:color w:val="000000"/>
          <w:spacing w:val="0"/>
          <w:w w:val="100"/>
          <w:position w:val="0"/>
        </w:rPr>
        <w:t>和组件市场</w:t>
      </w:r>
      <w:r>
        <w:rPr>
          <w:color w:val="000000"/>
          <w:spacing w:val="0"/>
          <w:w w:val="100"/>
          <w:position w:val="0"/>
          <w:sz w:val="24"/>
          <w:szCs w:val="24"/>
        </w:rPr>
        <w:t xml:space="preserve">HMKT， </w:t>
      </w:r>
      <w:r>
        <w:rPr>
          <w:color w:val="000000"/>
          <w:spacing w:val="0"/>
          <w:w w:val="100"/>
          <w:position w:val="0"/>
        </w:rPr>
        <w:t>提供了中台建设中所需的全场景一体化的综合服务和技术能力，在企业信息化领域已形成了 覆盖领域广，技术平台新，交付能力强，迭代速度快的突出优势，能有效解决企业中台建设 中所遇到的挑战及制约。融合中台项目的建成，将会成为公司承接企业各种业务场景信息化 需求，帮助企业实现更大领域数字化转型需求的核心支撑平台；而在客户企业内部，融合中 台也将与</w:t>
      </w:r>
      <w:r>
        <w:rPr>
          <w:color w:val="000000"/>
          <w:spacing w:val="0"/>
          <w:w w:val="100"/>
          <w:position w:val="0"/>
          <w:sz w:val="24"/>
          <w:szCs w:val="24"/>
        </w:rPr>
        <w:t>ERP</w:t>
      </w:r>
      <w:r>
        <w:rPr>
          <w:color w:val="000000"/>
          <w:spacing w:val="0"/>
          <w:w w:val="100"/>
          <w:position w:val="0"/>
        </w:rPr>
        <w:t>等应用软件一起构成企业信息化的核心平台，帮助企业提升竞争力，沉淀业务能 力，赋能业务创新，构建企业生态。</w:t>
      </w:r>
    </w:p>
    <w:p>
      <w:pPr>
        <w:pStyle w:val="Style35"/>
        <w:keepNext w:val="0"/>
        <w:keepLines w:val="0"/>
        <w:widowControl w:val="0"/>
        <w:shd w:val="clear" w:color="auto" w:fill="auto"/>
        <w:tabs>
          <w:tab w:pos="1073" w:val="left"/>
        </w:tabs>
        <w:bidi w:val="0"/>
        <w:spacing w:before="0" w:after="0" w:line="467" w:lineRule="exact"/>
        <w:ind w:left="0" w:right="0" w:firstLine="480"/>
        <w:jc w:val="both"/>
      </w:pPr>
      <w:bookmarkStart w:id="93" w:name="bookmark93"/>
      <w:r>
        <w:rPr>
          <w:color w:val="000000"/>
          <w:spacing w:val="0"/>
          <w:w w:val="100"/>
          <w:position w:val="0"/>
        </w:rPr>
        <w:t>（</w:t>
      </w:r>
      <w:bookmarkEnd w:id="93"/>
      <w:r>
        <w:rPr>
          <w:color w:val="000000"/>
          <w:spacing w:val="0"/>
          <w:w w:val="100"/>
          <w:position w:val="0"/>
        </w:rPr>
        <w:t>六）</w:t>
        <w:tab/>
        <w:t>技术革新与管理实践创新意识</w:t>
      </w:r>
    </w:p>
    <w:p>
      <w:pPr>
        <w:pStyle w:val="Style35"/>
        <w:keepNext w:val="0"/>
        <w:keepLines w:val="0"/>
        <w:widowControl w:val="0"/>
        <w:shd w:val="clear" w:color="auto" w:fill="auto"/>
        <w:bidi w:val="0"/>
        <w:spacing w:before="0" w:after="0" w:line="473" w:lineRule="exact"/>
        <w:ind w:left="0" w:right="0" w:firstLine="480"/>
        <w:jc w:val="both"/>
        <w:sectPr>
          <w:footnotePr>
            <w:pos w:val="pageBottom"/>
            <w:numFmt w:val="decimal"/>
            <w:numRestart w:val="continuous"/>
          </w:footnotePr>
          <w:pgSz w:w="11900" w:h="16840"/>
          <w:pgMar w:top="1326" w:right="1005" w:bottom="1590" w:left="1093" w:header="0" w:footer="3" w:gutter="0"/>
          <w:cols w:space="720"/>
          <w:noEndnote/>
          <w:rtlGutter w:val="0"/>
          <w:docGrid w:linePitch="360"/>
        </w:sectPr>
      </w:pPr>
      <w:r>
        <w:rPr>
          <w:color w:val="000000"/>
          <w:spacing w:val="0"/>
          <w:w w:val="100"/>
          <w:position w:val="0"/>
        </w:rPr>
        <w:t>公司始终坚持创业思维，积极鼓励和支持技术革新和管理实践创新，充分与全球</w:t>
      </w:r>
      <w:r>
        <w:rPr>
          <w:color w:val="000000"/>
          <w:spacing w:val="0"/>
          <w:w w:val="100"/>
          <w:position w:val="0"/>
          <w:sz w:val="24"/>
          <w:szCs w:val="24"/>
        </w:rPr>
        <w:t>IT</w:t>
      </w:r>
      <w:r>
        <w:rPr>
          <w:color w:val="000000"/>
          <w:spacing w:val="0"/>
          <w:w w:val="100"/>
          <w:position w:val="0"/>
        </w:rPr>
        <w:t xml:space="preserve">生态 圈的合作伙伴们共同推动包括云、大数据、智能制造、新零售、大消费等新业务的开展，不 断探索从传统制造向智能制造的数字化转型；从传统营销向以数字营销为手段的全渠道营销 </w:t>
      </w:r>
      <w:r>
        <w:rPr>
          <w:color w:val="000000"/>
          <w:spacing w:val="0"/>
          <w:w w:val="100"/>
          <w:position w:val="0"/>
        </w:rPr>
        <w:t>转型；从传统管理向以共享服务为代表的运营管理数字化转型；从传统</w:t>
      </w:r>
      <w:r>
        <w:rPr>
          <w:color w:val="000000"/>
          <w:spacing w:val="0"/>
          <w:w w:val="100"/>
          <w:position w:val="0"/>
          <w:sz w:val="24"/>
          <w:szCs w:val="24"/>
        </w:rPr>
        <w:t>IT</w:t>
      </w:r>
      <w:r>
        <w:rPr>
          <w:color w:val="000000"/>
          <w:spacing w:val="0"/>
          <w:w w:val="100"/>
          <w:position w:val="0"/>
        </w:rPr>
        <w:t>向云计算大数据人 工智能为代表的</w:t>
      </w:r>
      <w:r>
        <w:rPr>
          <w:color w:val="000000"/>
          <w:spacing w:val="0"/>
          <w:w w:val="100"/>
          <w:position w:val="0"/>
          <w:sz w:val="24"/>
          <w:szCs w:val="24"/>
        </w:rPr>
        <w:t>IT</w:t>
      </w:r>
      <w:r>
        <w:rPr>
          <w:color w:val="000000"/>
          <w:spacing w:val="0"/>
          <w:w w:val="100"/>
          <w:position w:val="0"/>
        </w:rPr>
        <w:t>架构数字化转型。公司拥有将新技术快速转化为业务应用的能力、将业务 应用抽象转化为产品的能力、将产品快速规模化推广再反哺产品的能力，并不断为创新发展 提供有力的资金、技术及销售渠道支持，构建面向业务的创新应用，不断迭代更新更适应市 场需求的产品和解决方案，适应</w:t>
      </w:r>
      <w:r>
        <w:rPr>
          <w:color w:val="000000"/>
          <w:spacing w:val="0"/>
          <w:w w:val="100"/>
          <w:position w:val="0"/>
          <w:sz w:val="24"/>
          <w:szCs w:val="24"/>
        </w:rPr>
        <w:t>IT</w:t>
      </w:r>
      <w:r>
        <w:rPr>
          <w:color w:val="000000"/>
          <w:spacing w:val="0"/>
          <w:w w:val="100"/>
          <w:position w:val="0"/>
        </w:rPr>
        <w:t>行业发展趋势，推动服务产品化、产品云服务化等创新发 展，目前公司自主产品业务覆盖面已很广泛，能满足中大型企业的核心业务需求。坚持自主 创新将进一步提高公司的核心竞争力。</w:t>
      </w:r>
    </w:p>
    <w:p>
      <w:pPr>
        <w:pStyle w:val="Style14"/>
        <w:keepNext/>
        <w:keepLines/>
        <w:widowControl w:val="0"/>
        <w:shd w:val="clear" w:color="auto" w:fill="auto"/>
        <w:bidi w:val="0"/>
        <w:spacing w:before="640" w:after="34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6"/>
        <w:keepNext/>
        <w:keepLines/>
        <w:widowControl w:val="0"/>
        <w:shd w:val="clear" w:color="auto" w:fill="auto"/>
        <w:bidi w:val="0"/>
        <w:spacing w:before="0" w:after="200" w:line="470" w:lineRule="exact"/>
        <w:ind w:left="0" w:right="0" w:firstLine="0"/>
        <w:jc w:val="both"/>
      </w:pPr>
      <w:bookmarkStart w:id="100" w:name="bookmark100"/>
      <w:bookmarkStart w:id="101" w:name="bookmark101"/>
      <w:bookmarkStart w:id="97" w:name="bookmark97"/>
      <w:bookmarkStart w:id="98" w:name="bookmark98"/>
      <w:bookmarkStart w:id="99" w:name="bookmark99"/>
      <w:r>
        <w:rPr>
          <w:color w:val="000000"/>
          <w:spacing w:val="0"/>
          <w:w w:val="100"/>
          <w:position w:val="0"/>
        </w:rPr>
        <w:t>一</w:t>
      </w:r>
      <w:bookmarkEnd w:id="100"/>
      <w:r>
        <w:rPr>
          <w:color w:val="000000"/>
          <w:spacing w:val="0"/>
          <w:w w:val="100"/>
          <w:position w:val="0"/>
        </w:rPr>
        <w:t>、概述</w:t>
      </w:r>
      <w:bookmarkEnd w:id="101"/>
      <w:bookmarkEnd w:id="98"/>
      <w:bookmarkEnd w:id="99"/>
      <w:bookmarkEnd w:id="97"/>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报告期内，公司实现营业收入</w:t>
      </w:r>
      <w:r>
        <w:rPr>
          <w:color w:val="000000"/>
          <w:spacing w:val="0"/>
          <w:w w:val="100"/>
          <w:position w:val="0"/>
          <w:sz w:val="24"/>
          <w:szCs w:val="24"/>
        </w:rPr>
        <w:t>2,493,084,967.52</w:t>
      </w:r>
      <w:r>
        <w:rPr>
          <w:color w:val="000000"/>
          <w:spacing w:val="0"/>
          <w:w w:val="100"/>
          <w:position w:val="0"/>
        </w:rPr>
        <w:t>元，同比减少</w:t>
      </w:r>
      <w:r>
        <w:rPr>
          <w:color w:val="000000"/>
          <w:spacing w:val="0"/>
          <w:w w:val="100"/>
          <w:position w:val="0"/>
          <w:sz w:val="24"/>
          <w:szCs w:val="24"/>
        </w:rPr>
        <w:t>8.46%；</w:t>
      </w:r>
      <w:r>
        <w:rPr>
          <w:color w:val="000000"/>
          <w:spacing w:val="0"/>
          <w:w w:val="100"/>
          <w:position w:val="0"/>
        </w:rPr>
        <w:t>实现归属于上市公 司普通股股东的净利润</w:t>
      </w:r>
      <w:r>
        <w:rPr>
          <w:color w:val="000000"/>
          <w:spacing w:val="0"/>
          <w:w w:val="100"/>
          <w:position w:val="0"/>
          <w:sz w:val="24"/>
          <w:szCs w:val="24"/>
        </w:rPr>
        <w:t>65,709,488.68</w:t>
      </w:r>
      <w:r>
        <w:rPr>
          <w:color w:val="000000"/>
          <w:spacing w:val="0"/>
          <w:w w:val="100"/>
          <w:position w:val="0"/>
        </w:rPr>
        <w:t>元，同比减少</w:t>
      </w:r>
      <w:r>
        <w:rPr>
          <w:color w:val="000000"/>
          <w:spacing w:val="0"/>
          <w:w w:val="100"/>
          <w:position w:val="0"/>
          <w:sz w:val="24"/>
          <w:szCs w:val="24"/>
        </w:rPr>
        <w:t>23.69%；</w:t>
      </w:r>
      <w:r>
        <w:rPr>
          <w:color w:val="000000"/>
          <w:spacing w:val="0"/>
          <w:w w:val="100"/>
          <w:position w:val="0"/>
        </w:rPr>
        <w:t>归属于上市公司普通股股东的扣 除非经常性损益后的净利润</w:t>
      </w:r>
      <w:r>
        <w:rPr>
          <w:color w:val="000000"/>
          <w:spacing w:val="0"/>
          <w:w w:val="100"/>
          <w:position w:val="0"/>
          <w:sz w:val="24"/>
          <w:szCs w:val="24"/>
        </w:rPr>
        <w:t>42,927,593.73</w:t>
      </w:r>
      <w:r>
        <w:rPr>
          <w:color w:val="000000"/>
          <w:spacing w:val="0"/>
          <w:w w:val="100"/>
          <w:position w:val="0"/>
        </w:rPr>
        <w:t>元，同比减少</w:t>
      </w:r>
      <w:r>
        <w:rPr>
          <w:color w:val="000000"/>
          <w:spacing w:val="0"/>
          <w:w w:val="100"/>
          <w:position w:val="0"/>
          <w:sz w:val="24"/>
          <w:szCs w:val="24"/>
        </w:rPr>
        <w:t>16.89%</w:t>
      </w:r>
      <w:r>
        <w:rPr>
          <w:color w:val="000000"/>
          <w:spacing w:val="0"/>
          <w:w w:val="100"/>
          <w:position w:val="0"/>
        </w:rPr>
        <w:t>。近几年来，公司收入结构逐 渐发生变化，受外部经济环境以及企业级</w:t>
      </w:r>
      <w:r>
        <w:rPr>
          <w:color w:val="000000"/>
          <w:spacing w:val="0"/>
          <w:w w:val="100"/>
          <w:position w:val="0"/>
          <w:sz w:val="24"/>
          <w:szCs w:val="24"/>
        </w:rPr>
        <w:t>IT</w:t>
      </w:r>
      <w:r>
        <w:rPr>
          <w:color w:val="000000"/>
          <w:spacing w:val="0"/>
          <w:w w:val="100"/>
          <w:position w:val="0"/>
        </w:rPr>
        <w:t>服务市场变化的影响，传统</w:t>
      </w:r>
      <w:r>
        <w:rPr>
          <w:color w:val="000000"/>
          <w:spacing w:val="0"/>
          <w:w w:val="100"/>
          <w:position w:val="0"/>
          <w:sz w:val="24"/>
          <w:szCs w:val="24"/>
        </w:rPr>
        <w:t>ERP</w:t>
      </w:r>
      <w:r>
        <w:rPr>
          <w:color w:val="000000"/>
          <w:spacing w:val="0"/>
          <w:w w:val="100"/>
          <w:position w:val="0"/>
        </w:rPr>
        <w:t>及相关信息化软件 需求出现放缓的迹象；而融合中台相关产品及解决方案的的商机明显增多，相关收入占比逐 年增长。报告期内，软件销售与实施业务方面自主产品的收入占比为</w:t>
      </w:r>
      <w:r>
        <w:rPr>
          <w:color w:val="000000"/>
          <w:spacing w:val="0"/>
          <w:w w:val="100"/>
          <w:position w:val="0"/>
          <w:sz w:val="24"/>
          <w:szCs w:val="24"/>
        </w:rPr>
        <w:t>29.58%</w:t>
      </w:r>
      <w:r>
        <w:rPr>
          <w:color w:val="000000"/>
          <w:spacing w:val="0"/>
          <w:w w:val="100"/>
          <w:position w:val="0"/>
        </w:rPr>
        <w:t>，自主产品相关 业务已经成为公司新的业绩驱动。</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报告期内总体经营业绩分析如下：</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报告期内，新冠肺炎疫情导致世界各地政府实施了前所未有的措施，如旅行限制、隔离、 临时关闭企业、保持社会距离等措施，使得各企业商业活动大幅减少，其信息化建设需求也 相应减少，因此给公司项目实施和订单获取都造成了一定影响，尤其是套装软件的实施服务 受影响较大，但下半年开始，随着疫情的控制，国内和部分国家开始逐步恢复正常的经济和 社会活动，客户逐渐增加</w:t>
      </w:r>
      <w:r>
        <w:rPr>
          <w:color w:val="000000"/>
          <w:spacing w:val="0"/>
          <w:w w:val="100"/>
          <w:position w:val="0"/>
          <w:sz w:val="24"/>
          <w:szCs w:val="24"/>
        </w:rPr>
        <w:t>IT</w:t>
      </w:r>
      <w:r>
        <w:rPr>
          <w:color w:val="000000"/>
          <w:spacing w:val="0"/>
          <w:w w:val="100"/>
          <w:position w:val="0"/>
        </w:rPr>
        <w:t>预算，并对进一步提升企业信息化水平、生产经营信息化、发展 远程办公和协同能力等产生更加深刻的需求，这对于公司所从事的企业信息化服务行业具有 积极的促进作用，更是给公司融合中台的发展带来了机遇。</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报告期内，公司将自有产品进行整合，并统一了技术平台和研发规范，加大人工智能、 大数据、云计算等新技术的应用，持续推进现有产品的进化迭代与向新技术框架的迁移及改 进，建立并持续完善融合中台生态体系，面对客户日新月异的信息化需求和应用场景，公司 在夯实产品基础的前提下，更加明确了产品的发展方向，更有利于后续产品的聚焦和发力。 公司按照转型为“服务+产品”的数字化综合服务供应商的战略方向，</w:t>
      </w:r>
      <w:r>
        <w:rPr>
          <w:color w:val="000000"/>
          <w:spacing w:val="0"/>
          <w:w w:val="100"/>
          <w:position w:val="0"/>
          <w:sz w:val="24"/>
          <w:szCs w:val="24"/>
        </w:rPr>
        <w:t>2020</w:t>
      </w:r>
      <w:r>
        <w:rPr>
          <w:color w:val="000000"/>
          <w:spacing w:val="0"/>
          <w:w w:val="100"/>
          <w:position w:val="0"/>
        </w:rPr>
        <w:t>年加大了融合中台 的市场推广力度，加强产品研发和运营之间的整合，努力为企业提供更完善的解决方案，报 告期内融合中台继续成功签约或新签约了众多大客户，融合中台体系已成为公司新的业绩驱 动因素，并成为公司业绩的重要保障。</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报告期内，公司立足于企业数字化生态综合服务商的定位，积极贯彻年初制定的年度经 营计划，不断补充和完善覆盖全行业的信息化解决方案，加强人才团队的培养，持续提高服 </w:t>
      </w:r>
      <w:r>
        <w:rPr>
          <w:color w:val="000000"/>
          <w:spacing w:val="0"/>
          <w:w w:val="100"/>
          <w:position w:val="0"/>
        </w:rPr>
        <w:t>务交付能力，巩固公司在国内高端企业信息化套装软件实施服务领域领先地位，致力于实现 在企业信息化领域更加全面和完整的服务能力。在外部经济环境以及企业级</w:t>
      </w:r>
      <w:r>
        <w:rPr>
          <w:color w:val="000000"/>
          <w:spacing w:val="0"/>
          <w:w w:val="100"/>
          <w:position w:val="0"/>
          <w:sz w:val="24"/>
          <w:szCs w:val="24"/>
        </w:rPr>
        <w:t>IT</w:t>
      </w:r>
      <w:r>
        <w:rPr>
          <w:color w:val="000000"/>
          <w:spacing w:val="0"/>
          <w:w w:val="100"/>
          <w:position w:val="0"/>
        </w:rPr>
        <w:t>服务市场变化 的影响之下，报告期内公司业务继续稳定发展，主要得益于以下几方面：</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企业应用和信息化建设的范畴扩大。随着信息技术的发展，客户信息化需求增加且变得 更加多样化、个性化、智能化，在国内经济整体调整和改革的宏观形势下，部分企业也在积 极寻找转型机会，包括在自身传统业务领域进行横向的业务延伸，在产业链上下游进行纵向 的业务资源整合及并购，寻找新的利润增长点和商业模式；特别是信息时代来临的背景下， 企业无论是业务转型，还是管理变革，都离不开信息技术的支持，因此信息化的市场需求在 持续增长。在企业进入新兴的或相对其自身传统业务并不熟悉或擅长的业务领域时，其对于 信息化手段先进及具备丰富行业经验和较强交付能力的信息服务提供商的依赖，则体现得更 为明显。</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公司自身竞争能力的增强。近几年，公司在企业信息化服务领域的经验积累显现出更强 的比较优势，经过多年的发展公司已具备较为完善和全面的信息化解决方案能力，拥有充足 的人才储备及优质的交付能力，能够为客户提供全行业、多领域的全面综合的信息化服务； 企业级</w:t>
      </w:r>
      <w:r>
        <w:rPr>
          <w:color w:val="000000"/>
          <w:spacing w:val="0"/>
          <w:w w:val="100"/>
          <w:position w:val="0"/>
          <w:sz w:val="24"/>
          <w:szCs w:val="24"/>
        </w:rPr>
        <w:t>IT</w:t>
      </w:r>
      <w:r>
        <w:rPr>
          <w:color w:val="000000"/>
          <w:spacing w:val="0"/>
          <w:w w:val="100"/>
          <w:position w:val="0"/>
        </w:rPr>
        <w:t>服务市场对公司服务能力和品牌认可度的提高，不但有助于公司的业务开拓，也促 进了公司在某些优势领域竞争力的进一步提升，比如在精益制造、互联网企业服务等一些新 兴的领域上，公司已逐渐形成一定的核心竞争力，所以能够获得比较好的市场回报；近年来 部分国内企业在积极寻找“走出去”的机会或国际化的发展方向，公司伴随客户信息化需求 的海外延伸，自</w:t>
      </w:r>
      <w:r>
        <w:rPr>
          <w:color w:val="000000"/>
          <w:spacing w:val="0"/>
          <w:w w:val="100"/>
          <w:position w:val="0"/>
          <w:sz w:val="24"/>
          <w:szCs w:val="24"/>
        </w:rPr>
        <w:t>2007</w:t>
      </w:r>
      <w:r>
        <w:rPr>
          <w:color w:val="000000"/>
          <w:spacing w:val="0"/>
          <w:w w:val="100"/>
          <w:position w:val="0"/>
        </w:rPr>
        <w:t>年起陆续在日本、新加坡、美国设立全资子公司，并在印度、欧洲、台 湾设立孙公司，努力在海外市场实现交付团队本地化，在满足客户海外信息化需求的背景下, 公司也逐渐基本具备了在海外市场为客户提供本地化实施和运维的能力，从而也逐渐具备了 在海外独立进行市场开拓的能力，进一步拓宽了公司的业务分布范围，也为公司盈利能力的 稳定提供了一定的保障。</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公司内部管控的规范合理。从内部经营的角度看，公司近年来一直在优化组织架构，加 强利润中心的绩效管理和考核，报告期内公司进一步明确了对各个部门经营管理水平的要求, 强化毛利考核指标，提高风险监控意识，较好的改善了成本控制水平。同时，公司通过区域 集中共享交付与远程交付模式的逐渐应用，降低差旅成本，提升了人员利用率，同时也有利 于保障公司层面整体的交付质量与实施效率。</w:t>
      </w:r>
    </w:p>
    <w:p>
      <w:pPr>
        <w:pStyle w:val="Style35"/>
        <w:keepNext w:val="0"/>
        <w:keepLines w:val="0"/>
        <w:widowControl w:val="0"/>
        <w:shd w:val="clear" w:color="auto" w:fill="auto"/>
        <w:bidi w:val="0"/>
        <w:spacing w:before="0" w:after="0" w:line="469" w:lineRule="exact"/>
        <w:ind w:left="0" w:right="0" w:firstLine="480"/>
        <w:jc w:val="left"/>
      </w:pPr>
      <w:r>
        <w:rPr>
          <w:color w:val="000000"/>
          <w:spacing w:val="0"/>
          <w:w w:val="100"/>
          <w:position w:val="0"/>
        </w:rPr>
        <w:t xml:space="preserve">技术开发能力和自主创新能力的提升。公司秉承“技术驱动未来”理念，应用前沿技术, </w:t>
      </w:r>
      <w:r>
        <w:rPr>
          <w:color w:val="000000"/>
          <w:spacing w:val="0"/>
          <w:w w:val="100"/>
          <w:position w:val="0"/>
        </w:rPr>
        <w:t>基于微服务体系、运用云原生架构，形成自有的技术管理平台与技术应用平台。并根据信息 技术发展趋势、市场变化及发展需求，及时调整技术研发方向及产品与服务规划格局，公司 在现有技术优势的基础上，坚持持续的技术研发投入，坚持产品与服务创新。在信息技术、 国家政策及市场的推动下，公司在云计算、大数据、人工智能、工业互联网和智能制造等新 兴技术上进行不断尝试，以提高服务能力、拓宽业务范围，新技术新应用的推广有利于吸引 更广大的客户群。</w:t>
      </w:r>
    </w:p>
    <w:p>
      <w:pPr>
        <w:pStyle w:val="Style3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正是基于公司多年积累的优质客户群体以及不断提升的服务交付和技术开发能力、不断 完善的行业解决方案和自主创新能力，公司业务订单较为充足，业绩保持相对稳定。</w:t>
      </w:r>
    </w:p>
    <w:p>
      <w:pPr>
        <w:pStyle w:val="Style35"/>
        <w:keepNext w:val="0"/>
        <w:keepLines w:val="0"/>
        <w:widowControl w:val="0"/>
        <w:shd w:val="clear" w:color="auto" w:fill="auto"/>
        <w:bidi w:val="0"/>
        <w:spacing w:before="0" w:after="0" w:line="467" w:lineRule="exact"/>
        <w:ind w:left="0" w:right="0" w:firstLine="480"/>
        <w:jc w:val="left"/>
      </w:pPr>
      <w:bookmarkStart w:id="102" w:name="bookmark102"/>
      <w:r>
        <w:rPr>
          <w:color w:val="000000"/>
          <w:spacing w:val="0"/>
          <w:w w:val="100"/>
          <w:position w:val="0"/>
        </w:rPr>
        <w:t>（</w:t>
      </w:r>
      <w:bookmarkEnd w:id="102"/>
      <w:r>
        <w:rPr>
          <w:color w:val="000000"/>
          <w:spacing w:val="0"/>
          <w:w w:val="100"/>
          <w:position w:val="0"/>
        </w:rPr>
        <w:t>二）报告期内主要经营情况及重大事项：</w:t>
      </w:r>
    </w:p>
    <w:p>
      <w:pPr>
        <w:pStyle w:val="Style35"/>
        <w:keepNext w:val="0"/>
        <w:keepLines w:val="0"/>
        <w:widowControl w:val="0"/>
        <w:shd w:val="clear" w:color="auto" w:fill="auto"/>
        <w:bidi w:val="0"/>
        <w:spacing w:before="0" w:after="0" w:line="467" w:lineRule="exact"/>
        <w:ind w:left="0" w:right="0" w:firstLine="480"/>
        <w:jc w:val="left"/>
      </w:pPr>
      <w:bookmarkStart w:id="103" w:name="bookmark103"/>
      <w:r>
        <w:rPr>
          <w:color w:val="000000"/>
          <w:spacing w:val="0"/>
          <w:w w:val="100"/>
          <w:position w:val="0"/>
          <w:sz w:val="24"/>
          <w:szCs w:val="24"/>
        </w:rPr>
        <w:t>1</w:t>
      </w:r>
      <w:bookmarkEnd w:id="103"/>
      <w:r>
        <w:rPr>
          <w:color w:val="000000"/>
          <w:spacing w:val="0"/>
          <w:w w:val="100"/>
          <w:position w:val="0"/>
        </w:rPr>
        <w:t>、企业信息化套装软件实施业务保持平稳发展，行业垂直化服务能力提升。</w:t>
      </w:r>
    </w:p>
    <w:p>
      <w:pPr>
        <w:pStyle w:val="Style3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报告期内，企业信息化套装软件实施业务仍然保持了平稳的发展势头，同时，解决方案 能力和创新能力也得到了长足发展，并在报告期内支撑了很多创新业务的开拓。相比于去年 同期，受外部经济环境以及企业级</w:t>
      </w:r>
      <w:r>
        <w:rPr>
          <w:color w:val="000000"/>
          <w:spacing w:val="0"/>
          <w:w w:val="100"/>
          <w:position w:val="0"/>
          <w:sz w:val="24"/>
          <w:szCs w:val="24"/>
        </w:rPr>
        <w:t>IT</w:t>
      </w:r>
      <w:r>
        <w:rPr>
          <w:color w:val="000000"/>
          <w:spacing w:val="0"/>
          <w:w w:val="100"/>
          <w:position w:val="0"/>
        </w:rPr>
        <w:t>服务市场变化的影响，来自国内</w:t>
      </w:r>
      <w:r>
        <w:rPr>
          <w:color w:val="000000"/>
          <w:spacing w:val="0"/>
          <w:w w:val="100"/>
          <w:position w:val="0"/>
          <w:sz w:val="24"/>
          <w:szCs w:val="24"/>
        </w:rPr>
        <w:t>ERP</w:t>
      </w:r>
      <w:r>
        <w:rPr>
          <w:color w:val="000000"/>
          <w:spacing w:val="0"/>
          <w:w w:val="100"/>
          <w:position w:val="0"/>
        </w:rPr>
        <w:t>领域的需求出现了放 缓的迹象，</w:t>
      </w:r>
      <w:r>
        <w:rPr>
          <w:color w:val="000000"/>
          <w:spacing w:val="0"/>
          <w:w w:val="100"/>
          <w:position w:val="0"/>
          <w:sz w:val="24"/>
          <w:szCs w:val="24"/>
        </w:rPr>
        <w:t>ERP</w:t>
      </w:r>
      <w:r>
        <w:rPr>
          <w:color w:val="000000"/>
          <w:spacing w:val="0"/>
          <w:w w:val="100"/>
          <w:position w:val="0"/>
        </w:rPr>
        <w:t>业务的商机有所减少，但项目应用深度进一步加强，</w:t>
      </w:r>
      <w:r>
        <w:rPr>
          <w:color w:val="000000"/>
          <w:spacing w:val="0"/>
          <w:w w:val="100"/>
          <w:position w:val="0"/>
          <w:sz w:val="24"/>
          <w:szCs w:val="24"/>
        </w:rPr>
        <w:t>ERP</w:t>
      </w:r>
      <w:r>
        <w:rPr>
          <w:color w:val="000000"/>
          <w:spacing w:val="0"/>
          <w:w w:val="100"/>
          <w:position w:val="0"/>
        </w:rPr>
        <w:t>加汉得自主产品的多 系统联合产品实施机会增加。由于企业信息化中</w:t>
      </w:r>
      <w:r>
        <w:rPr>
          <w:color w:val="000000"/>
          <w:spacing w:val="0"/>
          <w:w w:val="100"/>
          <w:position w:val="0"/>
          <w:sz w:val="24"/>
          <w:szCs w:val="24"/>
        </w:rPr>
        <w:t>ERP</w:t>
      </w:r>
      <w:r>
        <w:rPr>
          <w:color w:val="000000"/>
          <w:spacing w:val="0"/>
          <w:w w:val="100"/>
          <w:position w:val="0"/>
        </w:rPr>
        <w:t>后台化的趋势越来越明显，现在企业的业 务和管理需求都愈发呈现出多样化、个性化的特点，比如对实现营销数字化转型、采购全生 命周期协同管理、供应链流程管控、财务智能管理等都有非常急迫的需求，单一的</w:t>
      </w:r>
      <w:r>
        <w:rPr>
          <w:color w:val="000000"/>
          <w:spacing w:val="0"/>
          <w:w w:val="100"/>
          <w:position w:val="0"/>
          <w:sz w:val="24"/>
          <w:szCs w:val="24"/>
        </w:rPr>
        <w:t>ERP</w:t>
      </w:r>
      <w:r>
        <w:rPr>
          <w:color w:val="000000"/>
          <w:spacing w:val="0"/>
          <w:w w:val="100"/>
          <w:position w:val="0"/>
        </w:rPr>
        <w:t>已经很 难满足企业全面信息化建设的需求。因此近年来公司服务的软件平台从</w:t>
      </w:r>
      <w:r>
        <w:rPr>
          <w:color w:val="000000"/>
          <w:spacing w:val="0"/>
          <w:w w:val="100"/>
          <w:position w:val="0"/>
          <w:sz w:val="24"/>
          <w:szCs w:val="24"/>
        </w:rPr>
        <w:t>ERP</w:t>
      </w:r>
      <w:r>
        <w:rPr>
          <w:color w:val="000000"/>
          <w:spacing w:val="0"/>
          <w:w w:val="100"/>
          <w:position w:val="0"/>
        </w:rPr>
        <w:t>为主进一步扩展到 了企业信息化其他相关领域，比如</w:t>
      </w:r>
      <w:r>
        <w:rPr>
          <w:color w:val="000000"/>
          <w:spacing w:val="0"/>
          <w:w w:val="100"/>
          <w:position w:val="0"/>
          <w:sz w:val="24"/>
          <w:szCs w:val="24"/>
        </w:rPr>
        <w:t>CRM</w:t>
      </w:r>
      <w:r>
        <w:rPr>
          <w:color w:val="000000"/>
          <w:spacing w:val="0"/>
          <w:w w:val="100"/>
          <w:position w:val="0"/>
        </w:rPr>
        <w:t>客户关系管理、</w:t>
      </w:r>
      <w:r>
        <w:rPr>
          <w:color w:val="000000"/>
          <w:spacing w:val="0"/>
          <w:w w:val="100"/>
          <w:position w:val="0"/>
          <w:sz w:val="24"/>
          <w:szCs w:val="24"/>
        </w:rPr>
        <w:t>Peoplesoft</w:t>
      </w:r>
      <w:r>
        <w:rPr>
          <w:color w:val="000000"/>
          <w:spacing w:val="0"/>
          <w:w w:val="100"/>
          <w:position w:val="0"/>
        </w:rPr>
        <w:t>人力资源管理、</w:t>
      </w:r>
      <w:r>
        <w:rPr>
          <w:color w:val="000000"/>
          <w:spacing w:val="0"/>
          <w:w w:val="100"/>
          <w:position w:val="0"/>
          <w:sz w:val="24"/>
          <w:szCs w:val="24"/>
        </w:rPr>
        <w:t>EPM</w:t>
      </w:r>
      <w:r>
        <w:rPr>
          <w:color w:val="000000"/>
          <w:spacing w:val="0"/>
          <w:w w:val="100"/>
          <w:position w:val="0"/>
        </w:rPr>
        <w:t>企业绩 效管理系统、</w:t>
      </w:r>
      <w:r>
        <w:rPr>
          <w:color w:val="000000"/>
          <w:spacing w:val="0"/>
          <w:w w:val="100"/>
          <w:position w:val="0"/>
          <w:sz w:val="24"/>
          <w:szCs w:val="24"/>
        </w:rPr>
        <w:t>BI</w:t>
      </w:r>
      <w:r>
        <w:rPr>
          <w:color w:val="000000"/>
          <w:spacing w:val="0"/>
          <w:w w:val="100"/>
          <w:position w:val="0"/>
        </w:rPr>
        <w:t>商务智能分析系统、</w:t>
      </w:r>
      <w:r>
        <w:rPr>
          <w:color w:val="000000"/>
          <w:spacing w:val="0"/>
          <w:w w:val="100"/>
          <w:position w:val="0"/>
          <w:sz w:val="24"/>
          <w:szCs w:val="24"/>
        </w:rPr>
        <w:t>Hyperion</w:t>
      </w:r>
      <w:r>
        <w:rPr>
          <w:color w:val="000000"/>
          <w:spacing w:val="0"/>
          <w:w w:val="100"/>
          <w:position w:val="0"/>
        </w:rPr>
        <w:t>全面预算管理系统等专业领域。公司在项目实 施过程中通过积累和总结专业化产品的实施经验，并基于对信息技术发展趋势的深刻理解， 进行跨产品体系的业务和应用设计，为客户提供优化的产品组合选择，逐渐形成了跨产品线 的一体化解决方案。报告期内，公司套装软件保持着高标准的实施服务，承载了公司主要的 中大型客户群体，为公司业绩产出、自主方案和产品孵化、新客户发展奠定坚实基础。通过 套装软件实施经验孵化出的典型产品和方案已经逐步成长为公司层面的自主产品，获得了市 场认可，成为公司业绩增长的基石。公司继续推进实施方法的标准化和规范化，通过标准化 和规范化使得公司在客户满意、时间可控、成本可控的前提下顺利交付项目，并有效提高人 员利用率。未来公司将通过内部资源整合以及外部力量引入，来保持人员数量和梯队质量的 良性发展，培养更多既具管理能力、同时具备套件知识、又具备新技术新框架的复合型人才。</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公司根据业务范围、行业特性、需求共性等对行业做了整合，进一步提高整体解决方案 能力和服务效率。报告期内，公司继续以互联网、服务业、电信、金融、医药、快消品、零 售、公用事业、房地产、流通贸易、租赁、高科技等积累较为充分的行业作为重点，扩大推 进客户经营专业团队深耕客户，主要进行售前咨询、方案规划设计、行业方案产品化研发、 市场开拓和交付质量把控等工作，并配合支持各产品交付部门完成项目实施，由于成立了专 属团队围绕行业进行能力的聚焦，一方面提高了垂直专业化的程度，进一步提高竞争壁垒， 另一方面也打破了产品的界限，提高行业专业团队横向整合及提供更高层次解决方案的能力; 同时报告期内公司与不少合作伙伴形成了战略联盟关系，其中不乏有许多是从事行业专业服 务的企业，有助于推动汉得行业垂直化服务能力的提升。</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公司非常重视海外市场的开拓，在美国、日本、新加坡均设有子公司，印度、欧洲、台 湾设有孙公司，并建立了专注于海外业务的专业团队，已经有十多年的海外实施、运维经验, 可以涵盖企业跨国运营、全球化协同、并购当地企业后的</w:t>
      </w:r>
      <w:r>
        <w:rPr>
          <w:color w:val="000000"/>
          <w:spacing w:val="0"/>
          <w:w w:val="100"/>
          <w:position w:val="0"/>
          <w:sz w:val="24"/>
          <w:szCs w:val="24"/>
        </w:rPr>
        <w:t>IT</w:t>
      </w:r>
      <w:r>
        <w:rPr>
          <w:color w:val="000000"/>
          <w:spacing w:val="0"/>
          <w:w w:val="100"/>
          <w:position w:val="0"/>
        </w:rPr>
        <w:t>整合及后期的全球</w:t>
      </w:r>
      <w:r>
        <w:rPr>
          <w:color w:val="000000"/>
          <w:spacing w:val="0"/>
          <w:w w:val="100"/>
          <w:position w:val="0"/>
          <w:sz w:val="24"/>
          <w:szCs w:val="24"/>
        </w:rPr>
        <w:t>IT</w:t>
      </w:r>
      <w:r>
        <w:rPr>
          <w:color w:val="000000"/>
          <w:spacing w:val="0"/>
          <w:w w:val="100"/>
          <w:position w:val="0"/>
        </w:rPr>
        <w:t>运维等全方 面的服务，为中国企业走向海外、海外企业全球化扩张提供端到端的</w:t>
      </w:r>
      <w:r>
        <w:rPr>
          <w:color w:val="000000"/>
          <w:spacing w:val="0"/>
          <w:w w:val="100"/>
          <w:position w:val="0"/>
          <w:sz w:val="24"/>
          <w:szCs w:val="24"/>
        </w:rPr>
        <w:t>IT</w:t>
      </w:r>
      <w:r>
        <w:rPr>
          <w:color w:val="000000"/>
          <w:spacing w:val="0"/>
          <w:w w:val="100"/>
          <w:position w:val="0"/>
        </w:rPr>
        <w:t>支持。报告期内，受 新冠肺炎疫情影响，世界各地政府实施了许多前所未有的措施，如旅行限制、隔离、临时关 闭企业、保持社会距离等措施，使得各企业商业活动大幅减少，其信息化建设需求也相应减 少，公司在海外获取新的商业机会难度增加，项目实施周期变长，但受益于公司与许多海外 客户稳定长期的合作关系，公司远程实施和运维的能力，以及丰富的实施服务经验，使得公 司能在疫情影响之下仍保持海外业务的相对稳定，且由于疫情原因，各企业对数字创新、远 程办公、电子支付等需求快速增长，这给公司融合中台的发展带来机遇，因此公司融合中台 在海外市场的开拓取得突破。报告期内，海外市场云产品实施项目与海外企业进入中国项目 增长明显，公司努力培养相关人才，提高顾问技术覆盖面，保证交付质量，并加快推广公司 自主产品到海外客户群体，同时优化迭代融合中台以适应海外市场企业文化。未来希望在销 售和项目组共同努力推进下，争取到与海外客户更多合作的机会，建立更多海外客户采用汉 得自主产品的标杆项目。</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得益于大数据、云计算等技术这几年的持续沉淀和发展，相关技术已经开始大规模地进 入企业级应用服务领域，各软件厂商大力研发推广新技术应用产品，以解决企业提升效率效 益、风险管控、战略预测等方面的问题，同时，市场逐渐意识到，企业运营管理、数字化转 型依赖的不仅是先进技术，更重要的是要对企业经营管理的业务场景有深刻的理解，而公司 拥有融合企业管理与</w:t>
      </w:r>
      <w:r>
        <w:rPr>
          <w:color w:val="000000"/>
          <w:spacing w:val="0"/>
          <w:w w:val="100"/>
          <w:position w:val="0"/>
          <w:sz w:val="24"/>
          <w:szCs w:val="24"/>
        </w:rPr>
        <w:t>IT</w:t>
      </w:r>
      <w:r>
        <w:rPr>
          <w:color w:val="000000"/>
          <w:spacing w:val="0"/>
          <w:w w:val="100"/>
          <w:position w:val="0"/>
        </w:rPr>
        <w:t xml:space="preserve">技术、数据技术的综合性竞争力，因此软件厂商纷纷将公司作为其重 </w:t>
      </w:r>
      <w:r>
        <w:rPr>
          <w:color w:val="000000"/>
          <w:spacing w:val="0"/>
          <w:w w:val="100"/>
          <w:position w:val="0"/>
        </w:rPr>
        <w:t>点合作对象，以帮助其实现稳定交付，将产品推向市场。报告期内，公司大数据、云计算相 关的套装软件产品和解决方案实施收入持续增长，经验积累逐渐丰富，未来公司将继续开拓 客户，加强核心员工稳定性，与更多软件厂商合作共赢。</w:t>
      </w:r>
    </w:p>
    <w:p>
      <w:pPr>
        <w:pStyle w:val="Style35"/>
        <w:keepNext w:val="0"/>
        <w:keepLines w:val="0"/>
        <w:widowControl w:val="0"/>
        <w:shd w:val="clear" w:color="auto" w:fill="auto"/>
        <w:bidi w:val="0"/>
        <w:spacing w:before="0" w:after="0" w:line="468" w:lineRule="exact"/>
        <w:ind w:left="0" w:right="0" w:firstLine="480"/>
        <w:jc w:val="left"/>
      </w:pPr>
      <w:bookmarkStart w:id="104" w:name="bookmark104"/>
      <w:r>
        <w:rPr>
          <w:color w:val="000000"/>
          <w:spacing w:val="0"/>
          <w:w w:val="100"/>
          <w:position w:val="0"/>
          <w:sz w:val="24"/>
          <w:szCs w:val="24"/>
        </w:rPr>
        <w:t>2</w:t>
      </w:r>
      <w:bookmarkEnd w:id="104"/>
      <w:r>
        <w:rPr>
          <w:color w:val="000000"/>
          <w:spacing w:val="0"/>
          <w:w w:val="100"/>
          <w:position w:val="0"/>
        </w:rPr>
        <w:t>、基于融合中台的企业信息化平台建设项目进展顺利</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通过长期、持续、深入的行业跟踪和研究，同时沉淀了汉得在管理与技术方面深度融合 的能力，公司推出全面、稳健、灵活的企业数字化平台汉得融合中台，包括业务中台</w:t>
      </w:r>
      <w:r>
        <w:rPr>
          <w:color w:val="000000"/>
          <w:spacing w:val="0"/>
          <w:w w:val="100"/>
          <w:position w:val="0"/>
          <w:sz w:val="24"/>
          <w:szCs w:val="24"/>
        </w:rPr>
        <w:t>HONE</w:t>
      </w:r>
      <w:r>
        <w:rPr>
          <w:color w:val="000000"/>
          <w:spacing w:val="0"/>
          <w:w w:val="100"/>
          <w:position w:val="0"/>
        </w:rPr>
        <w:t xml:space="preserve">、 </w:t>
      </w:r>
      <w:r>
        <w:rPr>
          <w:color w:val="000000"/>
          <w:spacing w:val="0"/>
          <w:w w:val="100"/>
          <w:position w:val="0"/>
        </w:rPr>
        <w:t>技术中台</w:t>
      </w:r>
      <w:r>
        <w:rPr>
          <w:color w:val="000000"/>
          <w:spacing w:val="0"/>
          <w:w w:val="100"/>
          <w:position w:val="0"/>
          <w:sz w:val="24"/>
          <w:szCs w:val="24"/>
        </w:rPr>
        <w:t>HZERO</w:t>
      </w:r>
      <w:r>
        <w:rPr>
          <w:color w:val="000000"/>
          <w:spacing w:val="0"/>
          <w:w w:val="100"/>
          <w:position w:val="0"/>
        </w:rPr>
        <w:t>、能效中台</w:t>
      </w:r>
      <w:r>
        <w:rPr>
          <w:color w:val="000000"/>
          <w:spacing w:val="0"/>
          <w:w w:val="100"/>
          <w:position w:val="0"/>
          <w:sz w:val="24"/>
          <w:szCs w:val="24"/>
        </w:rPr>
        <w:t>Choerodon</w:t>
      </w:r>
      <w:r>
        <w:rPr>
          <w:color w:val="000000"/>
          <w:spacing w:val="0"/>
          <w:w w:val="100"/>
          <w:position w:val="0"/>
        </w:rPr>
        <w:t>和组件市场</w:t>
      </w:r>
      <w:r>
        <w:rPr>
          <w:color w:val="000000"/>
          <w:spacing w:val="0"/>
          <w:w w:val="100"/>
          <w:position w:val="0"/>
          <w:sz w:val="24"/>
          <w:szCs w:val="24"/>
        </w:rPr>
        <w:t>HMKT</w:t>
      </w:r>
      <w:r>
        <w:rPr>
          <w:color w:val="000000"/>
          <w:spacing w:val="0"/>
          <w:w w:val="100"/>
          <w:position w:val="0"/>
        </w:rPr>
        <w:t>等。其中业务中台</w:t>
      </w:r>
      <w:r>
        <w:rPr>
          <w:color w:val="000000"/>
          <w:spacing w:val="0"/>
          <w:w w:val="100"/>
          <w:position w:val="0"/>
          <w:sz w:val="24"/>
          <w:szCs w:val="24"/>
        </w:rPr>
        <w:t>HONE</w:t>
      </w:r>
      <w:r>
        <w:rPr>
          <w:color w:val="000000"/>
          <w:spacing w:val="0"/>
          <w:w w:val="100"/>
          <w:position w:val="0"/>
        </w:rPr>
        <w:t>按不同业务域整 合业务能力，提炼形成数十种业务组件，覆盖从财务、营销、制造到供应链等数十种全业务 场景，覆盖服务前端应用，形成可供各行业快速部署和复用的服务能力，构建全渠道、多元 化、一体化的企业生态系统；技术中台</w:t>
      </w:r>
      <w:r>
        <w:rPr>
          <w:color w:val="000000"/>
          <w:spacing w:val="0"/>
          <w:w w:val="100"/>
          <w:position w:val="0"/>
          <w:sz w:val="24"/>
          <w:szCs w:val="24"/>
        </w:rPr>
        <w:t>HZERO</w:t>
      </w:r>
      <w:r>
        <w:rPr>
          <w:color w:val="000000"/>
          <w:spacing w:val="0"/>
          <w:w w:val="100"/>
          <w:position w:val="0"/>
        </w:rPr>
        <w:t>精选流行合适有生命力的开源技术组件，基于微 服务、分布式架构体系构筑，封装大量的技术开发包、技术应用组件，并支持</w:t>
      </w:r>
      <w:r>
        <w:rPr>
          <w:color w:val="000000"/>
          <w:spacing w:val="0"/>
          <w:w w:val="100"/>
          <w:position w:val="0"/>
          <w:sz w:val="24"/>
          <w:szCs w:val="24"/>
        </w:rPr>
        <w:t>SaaS</w:t>
      </w:r>
      <w:r>
        <w:rPr>
          <w:color w:val="000000"/>
          <w:spacing w:val="0"/>
          <w:w w:val="100"/>
          <w:position w:val="0"/>
        </w:rPr>
        <w:t>模式应用， 助力企业跨越云与自身数字化的鸿沟，共享业务服务的组合重用，降低交付成本，提升开发 效率；数据中台</w:t>
      </w:r>
      <w:r>
        <w:rPr>
          <w:color w:val="000000"/>
          <w:spacing w:val="0"/>
          <w:w w:val="100"/>
          <w:position w:val="0"/>
          <w:sz w:val="24"/>
          <w:szCs w:val="24"/>
        </w:rPr>
        <w:t>HDSP</w:t>
      </w:r>
      <w:r>
        <w:rPr>
          <w:color w:val="000000"/>
          <w:spacing w:val="0"/>
          <w:w w:val="100"/>
          <w:position w:val="0"/>
        </w:rPr>
        <w:t>整合分布式计算架构，为企业提供各类大数据处理、分析、应用与治理 等全生命周期管理一站式服务；移动中台</w:t>
      </w:r>
      <w:r>
        <w:rPr>
          <w:color w:val="000000"/>
          <w:spacing w:val="0"/>
          <w:w w:val="100"/>
          <w:position w:val="0"/>
          <w:sz w:val="24"/>
          <w:szCs w:val="24"/>
        </w:rPr>
        <w:t>Hippius</w:t>
      </w:r>
      <w:r>
        <w:rPr>
          <w:color w:val="000000"/>
          <w:spacing w:val="0"/>
          <w:w w:val="100"/>
          <w:position w:val="0"/>
        </w:rPr>
        <w:t>海马汇是汉得企业移动办公云</w:t>
      </w:r>
      <w:r>
        <w:rPr>
          <w:color w:val="000000"/>
          <w:spacing w:val="0"/>
          <w:w w:val="100"/>
          <w:position w:val="0"/>
          <w:sz w:val="24"/>
          <w:szCs w:val="24"/>
        </w:rPr>
        <w:t>PaaS</w:t>
      </w:r>
      <w:r>
        <w:rPr>
          <w:color w:val="000000"/>
          <w:spacing w:val="0"/>
          <w:w w:val="100"/>
          <w:position w:val="0"/>
        </w:rPr>
        <w:t>产品，满 足企业在移动应用管理、移动设备与安全管理、移动内容管理、移动运维管理等专业要求的 同时，还拥有快速、模块化自开发支持能力和众多开箱即用的功能；物联网中台</w:t>
      </w:r>
      <w:r>
        <w:rPr>
          <w:color w:val="000000"/>
          <w:spacing w:val="0"/>
          <w:w w:val="100"/>
          <w:position w:val="0"/>
          <w:sz w:val="24"/>
          <w:szCs w:val="24"/>
        </w:rPr>
        <w:t>Hi-IoT</w:t>
      </w:r>
      <w:r>
        <w:rPr>
          <w:color w:val="000000"/>
          <w:spacing w:val="0"/>
          <w:w w:val="100"/>
          <w:position w:val="0"/>
        </w:rPr>
        <w:t>全面 整合了汉得在各个领域的行业经验与技术能力，构建一个基于“边，云，智，用”的一体化 物联网中台，帮助企业快速连接设备上云，并且提供了远程监测与控制，故障诊断与预测， 智能决策与分析等功能；能效中台</w:t>
      </w:r>
      <w:r>
        <w:rPr>
          <w:color w:val="000000"/>
          <w:spacing w:val="0"/>
          <w:w w:val="100"/>
          <w:position w:val="0"/>
          <w:sz w:val="24"/>
          <w:szCs w:val="24"/>
        </w:rPr>
        <w:t>Choerodon</w:t>
      </w:r>
      <w:r>
        <w:rPr>
          <w:color w:val="000000"/>
          <w:spacing w:val="0"/>
          <w:w w:val="100"/>
          <w:position w:val="0"/>
        </w:rPr>
        <w:t>猪齿鱼聚焦开发效能管理，打造从创意、需求、 开发、部署、测试到运营监控的一整套工具链，帮助组织团队进行</w:t>
      </w:r>
      <w:r>
        <w:rPr>
          <w:color w:val="000000"/>
          <w:spacing w:val="0"/>
          <w:w w:val="100"/>
          <w:position w:val="0"/>
          <w:sz w:val="24"/>
          <w:szCs w:val="24"/>
        </w:rPr>
        <w:t>IT</w:t>
      </w:r>
      <w:r>
        <w:rPr>
          <w:color w:val="000000"/>
          <w:spacing w:val="0"/>
          <w:w w:val="100"/>
          <w:position w:val="0"/>
        </w:rPr>
        <w:t>能效管理，实现更快、 更频繁、更稳定的软件交付；组件市场</w:t>
      </w:r>
      <w:r>
        <w:rPr>
          <w:color w:val="000000"/>
          <w:spacing w:val="0"/>
          <w:w w:val="100"/>
          <w:position w:val="0"/>
          <w:sz w:val="24"/>
          <w:szCs w:val="24"/>
        </w:rPr>
        <w:t>HMKT</w:t>
      </w:r>
      <w:r>
        <w:rPr>
          <w:color w:val="000000"/>
          <w:spacing w:val="0"/>
          <w:w w:val="100"/>
          <w:position w:val="0"/>
        </w:rPr>
        <w:t>即创新应用产品，依托融合中台，将通用的业务、 技术等基础能力沉淀到中台，应用产品可灵活调取中台组件，快速部署轻松实现前台与后台 的连接，组件复用减少重复构建。汉得融合中台融合了业务，技术，数据，方法论，组件等 资源，打造了一个专业、通用、组件丰富且可开放开源的中台，帮助企业提升核心竞争力， 沉淀业务能力，服务企业数字化转型，赋能业务创新，构建企业信息化生态。</w:t>
      </w:r>
    </w:p>
    <w:p>
      <w:pPr>
        <w:pStyle w:val="Style35"/>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23</w:t>
      </w:r>
      <w:r>
        <w:rPr>
          <w:color w:val="000000"/>
          <w:spacing w:val="0"/>
          <w:w w:val="100"/>
          <w:position w:val="0"/>
        </w:rPr>
        <w:t>日，公司公开发行可转换公司债券</w:t>
      </w:r>
      <w:r>
        <w:rPr>
          <w:color w:val="000000"/>
          <w:spacing w:val="0"/>
          <w:w w:val="100"/>
          <w:position w:val="0"/>
          <w:sz w:val="24"/>
          <w:szCs w:val="24"/>
        </w:rPr>
        <w:t>93,715.0</w:t>
      </w:r>
      <w:r>
        <w:rPr>
          <w:color w:val="000000"/>
          <w:spacing w:val="0"/>
          <w:w w:val="100"/>
          <w:position w:val="0"/>
          <w:sz w:val="24"/>
          <w:szCs w:val="24"/>
        </w:rPr>
        <w:t>0</w:t>
      </w:r>
      <w:r>
        <w:rPr>
          <w:color w:val="000000"/>
          <w:spacing w:val="0"/>
          <w:w w:val="100"/>
          <w:position w:val="0"/>
        </w:rPr>
        <w:t>万元，拟投入募集资金</w:t>
      </w:r>
      <w:r>
        <w:rPr>
          <w:color w:val="000000"/>
          <w:spacing w:val="0"/>
          <w:w w:val="100"/>
          <w:position w:val="0"/>
          <w:sz w:val="24"/>
          <w:szCs w:val="24"/>
        </w:rPr>
        <w:t xml:space="preserve">70,000 </w:t>
      </w:r>
      <w:r>
        <w:rPr>
          <w:color w:val="000000"/>
          <w:spacing w:val="0"/>
          <w:w w:val="100"/>
          <w:position w:val="0"/>
        </w:rPr>
        <w:t xml:space="preserve">万元用于基于融合中台的企业信息化平台建设项目。本项目的建设旨在有效提升公司自主研 发产品及解决方案的开发效率，降低开发成本，提供更为丰富的企业信息化应用产品，提升 主营业务收入。本项目的建设内容包括建立支持各种企业级应用开发部署的开放技术平台， </w:t>
      </w:r>
      <w:r>
        <w:rPr>
          <w:color w:val="000000"/>
          <w:spacing w:val="0"/>
          <w:w w:val="100"/>
          <w:position w:val="0"/>
        </w:rPr>
        <w:t>适应各种业务模式、支持灵活组合的标准化可复用的业务组件库，基于上述开放技术平台和 业务组件库的适应各种业务场景、支持快速部署的应用产品等。融合中台可以结合人工智能、 大数据、物联网等新一代信息技术的特点，将各种新技术以组件方式提供给前台应用使用， 结合后台传统的数据和业务模型，为企业的信息化需求提供整体支持。该项目将能够适应新 一代信息技术的趋势，适应本地部署和云部署相融合的方式，满足客户不断涌现的业务场景 和管理需求。</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2020</w:t>
      </w:r>
      <w:r>
        <w:rPr>
          <w:color w:val="000000"/>
          <w:spacing w:val="0"/>
          <w:w w:val="100"/>
          <w:position w:val="0"/>
        </w:rPr>
        <w:t>年是公司技术全面深入转型中台自主技术路线的第一年，公司利用该项目所建设的 业务组件库和开放技术平台，大幅提升了自主研发产品及解决方案的研发效率，通过内嵌丰 富的业务组件和技术组件，进行持续迭代优化和复用，降低了开发成本，同时，公司完成了 近千名技术人员的技术转型并有了实际的项目实践历练，技术人员在朝着全栈技术开发的方 向努力并已有初步成效。报告期内不少客户选择汉得融合中台作为其自研的技术平台，标杆 项目的实施为融合中台的发展推广带来助力。未来，公司将继续加强自主产品的研发投入， 建设基于融合中台的信息化平台，提升自主产品的交付比重、交付质量和盈利水平，有效提 升公司业务的盈利能力。</w:t>
      </w:r>
    </w:p>
    <w:p>
      <w:pPr>
        <w:pStyle w:val="Style35"/>
        <w:keepNext w:val="0"/>
        <w:keepLines w:val="0"/>
        <w:widowControl w:val="0"/>
        <w:shd w:val="clear" w:color="auto" w:fill="auto"/>
        <w:tabs>
          <w:tab w:pos="847" w:val="left"/>
        </w:tabs>
        <w:bidi w:val="0"/>
        <w:spacing w:before="0" w:after="0" w:line="470" w:lineRule="exact"/>
        <w:ind w:left="0" w:right="0" w:firstLine="480"/>
        <w:jc w:val="both"/>
      </w:pPr>
      <w:bookmarkStart w:id="105" w:name="bookmark105"/>
      <w:r>
        <w:rPr>
          <w:color w:val="000000"/>
          <w:spacing w:val="0"/>
          <w:w w:val="100"/>
          <w:position w:val="0"/>
          <w:sz w:val="24"/>
          <w:szCs w:val="24"/>
        </w:rPr>
        <w:t>3</w:t>
      </w:r>
      <w:bookmarkEnd w:id="105"/>
      <w:r>
        <w:rPr>
          <w:color w:val="000000"/>
          <w:spacing w:val="0"/>
          <w:w w:val="100"/>
          <w:position w:val="0"/>
        </w:rPr>
        <w:t>、</w:t>
        <w:tab/>
        <w:t>智慧营销领域产品升级。</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汉得智慧营销产品套件</w:t>
      </w:r>
      <w:r>
        <w:rPr>
          <w:color w:val="000000"/>
          <w:spacing w:val="0"/>
          <w:w w:val="100"/>
          <w:position w:val="0"/>
          <w:sz w:val="24"/>
          <w:szCs w:val="24"/>
        </w:rPr>
        <w:t>02,</w:t>
      </w:r>
      <w:r>
        <w:rPr>
          <w:color w:val="000000"/>
          <w:spacing w:val="0"/>
          <w:w w:val="100"/>
          <w:position w:val="0"/>
        </w:rPr>
        <w:t>融合公司多年来企业营销信息化、数字化转型经验，行业头 部客户最佳实践，帮助企业面向顾客构建数字化的吸引、转换、成交、运营场景，为企业提 供营销数字化转型的整体解决方案，其中包括面向于前端外部客户的消费者数字化、终端数 字化、渠道数字化，以及面向于企业内部形成内部管理整合、数据沉淀营销运营平台。基于 微服务架构，为企业提供如同积木式的“可拼插”、“可扩展”数字化解决方案，让企业的 全渠道营销更加坚实与稳健。</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w:t>
      </w:r>
      <w:r>
        <w:rPr>
          <w:color w:val="000000"/>
          <w:spacing w:val="0"/>
          <w:w w:val="100"/>
          <w:position w:val="0"/>
          <w:sz w:val="24"/>
          <w:szCs w:val="24"/>
        </w:rPr>
        <w:t>02</w:t>
      </w:r>
      <w:r>
        <w:rPr>
          <w:color w:val="000000"/>
          <w:spacing w:val="0"/>
          <w:w w:val="100"/>
          <w:position w:val="0"/>
        </w:rPr>
        <w:t>产品迎来了新版本发布，新版本更具场景化和可交付性。场景化，即针对 于零售客户的</w:t>
      </w:r>
      <w:r>
        <w:rPr>
          <w:color w:val="000000"/>
          <w:spacing w:val="0"/>
          <w:w w:val="100"/>
          <w:position w:val="0"/>
          <w:sz w:val="24"/>
          <w:szCs w:val="24"/>
        </w:rPr>
        <w:t>B2C</w:t>
      </w:r>
      <w:r>
        <w:rPr>
          <w:color w:val="000000"/>
          <w:spacing w:val="0"/>
          <w:w w:val="100"/>
          <w:position w:val="0"/>
        </w:rPr>
        <w:t>业务，新版本可提供更加丰富的多渠道商品运营场景、顾客搜索引流场景与 促销转化场景；而对于</w:t>
      </w:r>
      <w:r>
        <w:rPr>
          <w:color w:val="000000"/>
          <w:spacing w:val="0"/>
          <w:w w:val="100"/>
          <w:position w:val="0"/>
          <w:sz w:val="24"/>
          <w:szCs w:val="24"/>
        </w:rPr>
        <w:t>B2B</w:t>
      </w:r>
      <w:r>
        <w:rPr>
          <w:color w:val="000000"/>
          <w:spacing w:val="0"/>
          <w:w w:val="100"/>
          <w:position w:val="0"/>
        </w:rPr>
        <w:t>业务，产品可以为企业提供客户引入场景、成交场景与激励场景。 可交付性，新版本更提供了可升级服务和更加规范、高效的交付模型，通过产品架构的可升 级与升级服务包，助力交付的可持续优化；通过与多个大型项目的合作，梳理沉淀基于</w:t>
      </w:r>
      <w:r>
        <w:rPr>
          <w:color w:val="000000"/>
          <w:spacing w:val="0"/>
          <w:w w:val="100"/>
          <w:position w:val="0"/>
          <w:sz w:val="24"/>
          <w:szCs w:val="24"/>
        </w:rPr>
        <w:t>02</w:t>
      </w:r>
      <w:r>
        <w:rPr>
          <w:color w:val="000000"/>
          <w:spacing w:val="0"/>
          <w:w w:val="100"/>
          <w:position w:val="0"/>
        </w:rPr>
        <w:t>的 最佳实施方法论，以提升交付效率和质量。</w:t>
      </w:r>
    </w:p>
    <w:p>
      <w:pPr>
        <w:pStyle w:val="Style35"/>
        <w:keepNext w:val="0"/>
        <w:keepLines w:val="0"/>
        <w:widowControl w:val="0"/>
        <w:shd w:val="clear" w:color="auto" w:fill="auto"/>
        <w:tabs>
          <w:tab w:pos="847" w:val="left"/>
        </w:tabs>
        <w:bidi w:val="0"/>
        <w:spacing w:before="0" w:after="0" w:line="470" w:lineRule="exact"/>
        <w:ind w:left="0" w:right="0" w:firstLine="480"/>
        <w:jc w:val="both"/>
      </w:pPr>
      <w:bookmarkStart w:id="106" w:name="bookmark106"/>
      <w:r>
        <w:rPr>
          <w:color w:val="000000"/>
          <w:spacing w:val="0"/>
          <w:w w:val="100"/>
          <w:position w:val="0"/>
          <w:sz w:val="24"/>
          <w:szCs w:val="24"/>
        </w:rPr>
        <w:t>4</w:t>
      </w:r>
      <w:bookmarkEnd w:id="106"/>
      <w:r>
        <w:rPr>
          <w:color w:val="000000"/>
          <w:spacing w:val="0"/>
          <w:w w:val="100"/>
          <w:position w:val="0"/>
        </w:rPr>
        <w:t>、</w:t>
        <w:tab/>
        <w:t>智能制造领域快速发展，商机增多。</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未来工业互联网、智能制造将成为制造业转型升级、创新发展的重要方向，得益于公司 </w:t>
      </w:r>
      <w:r>
        <w:rPr>
          <w:color w:val="000000"/>
          <w:spacing w:val="0"/>
          <w:w w:val="100"/>
          <w:position w:val="0"/>
        </w:rPr>
        <w:t>在制造业的信息化长期积累优势，以及前几年新能源汽车、锂电池、食品加工、新材料、定 制家具等行业的开拓，在智能制造方面的行业经验积累逐渐完善，公司积极整合各专业领域 的资源，以精细化生产制造为核心，构建面向智能制造转型的整体解决方案。公司已经推出 汉得协同制造中台</w:t>
      </w:r>
      <w:r>
        <w:rPr>
          <w:color w:val="000000"/>
          <w:spacing w:val="0"/>
          <w:w w:val="100"/>
          <w:position w:val="0"/>
          <w:sz w:val="24"/>
          <w:szCs w:val="24"/>
        </w:rPr>
        <w:t>HCM</w:t>
      </w:r>
      <w:r>
        <w:rPr>
          <w:color w:val="000000"/>
          <w:spacing w:val="0"/>
          <w:w w:val="100"/>
          <w:position w:val="0"/>
        </w:rPr>
        <w:t>，将多年的制造业服务经验沉淀为专业方案和系统组件，通过</w:t>
      </w:r>
      <w:r>
        <w:rPr>
          <w:color w:val="000000"/>
          <w:spacing w:val="0"/>
          <w:w w:val="100"/>
          <w:position w:val="0"/>
          <w:sz w:val="24"/>
          <w:szCs w:val="24"/>
        </w:rPr>
        <w:t>API</w:t>
      </w:r>
      <w:r>
        <w:rPr>
          <w:color w:val="000000"/>
          <w:spacing w:val="0"/>
          <w:w w:val="100"/>
          <w:position w:val="0"/>
        </w:rPr>
        <w:t>组合 调用构建灵活而健壮的应用，为客户提供基于</w:t>
      </w:r>
      <w:r>
        <w:rPr>
          <w:color w:val="000000"/>
          <w:spacing w:val="0"/>
          <w:w w:val="100"/>
          <w:position w:val="0"/>
          <w:sz w:val="24"/>
          <w:szCs w:val="24"/>
        </w:rPr>
        <w:t>MES</w:t>
      </w:r>
      <w:r>
        <w:rPr>
          <w:color w:val="000000"/>
          <w:spacing w:val="0"/>
          <w:w w:val="100"/>
          <w:position w:val="0"/>
        </w:rPr>
        <w:t>、</w:t>
      </w:r>
      <w:r>
        <w:rPr>
          <w:color w:val="000000"/>
          <w:spacing w:val="0"/>
          <w:w w:val="100"/>
          <w:position w:val="0"/>
          <w:sz w:val="24"/>
          <w:szCs w:val="24"/>
        </w:rPr>
        <w:t>APS</w:t>
      </w:r>
      <w:r>
        <w:rPr>
          <w:color w:val="000000"/>
          <w:spacing w:val="0"/>
          <w:w w:val="100"/>
          <w:position w:val="0"/>
        </w:rPr>
        <w:t>、</w:t>
      </w:r>
      <w:r>
        <w:rPr>
          <w:color w:val="000000"/>
          <w:spacing w:val="0"/>
          <w:w w:val="100"/>
          <w:position w:val="0"/>
          <w:sz w:val="24"/>
          <w:szCs w:val="24"/>
        </w:rPr>
        <w:t>SCM</w:t>
      </w:r>
      <w:r>
        <w:rPr>
          <w:color w:val="000000"/>
          <w:spacing w:val="0"/>
          <w:w w:val="100"/>
          <w:position w:val="0"/>
        </w:rPr>
        <w:t>、</w:t>
      </w:r>
      <w:r>
        <w:rPr>
          <w:color w:val="000000"/>
          <w:spacing w:val="0"/>
          <w:w w:val="100"/>
          <w:position w:val="0"/>
          <w:sz w:val="24"/>
          <w:szCs w:val="24"/>
        </w:rPr>
        <w:t>QMS</w:t>
      </w:r>
      <w:r>
        <w:rPr>
          <w:color w:val="000000"/>
          <w:spacing w:val="0"/>
          <w:w w:val="100"/>
          <w:position w:val="0"/>
        </w:rPr>
        <w:t>、</w:t>
      </w:r>
      <w:r>
        <w:rPr>
          <w:color w:val="000000"/>
          <w:spacing w:val="0"/>
          <w:w w:val="100"/>
          <w:position w:val="0"/>
          <w:sz w:val="24"/>
          <w:szCs w:val="24"/>
        </w:rPr>
        <w:t>PCS</w:t>
      </w:r>
      <w:r>
        <w:rPr>
          <w:color w:val="000000"/>
          <w:spacing w:val="0"/>
          <w:w w:val="100"/>
          <w:position w:val="0"/>
        </w:rPr>
        <w:t>等软件平台的智能制 造解决方案，帮助制造业客户建立从个性化定制、协同供应链到智能制造的一整套落地方案， 彻底改变通过资源堆砌实现系统建设的传统模式，让系统建设不再成为制造企业革新与发展 的掣肘，让“制造”从透明化/数字化向着“智造”方向转型。</w:t>
      </w:r>
    </w:p>
    <w:p>
      <w:pPr>
        <w:pStyle w:val="Style35"/>
        <w:keepNext w:val="0"/>
        <w:keepLines w:val="0"/>
        <w:widowControl w:val="0"/>
        <w:shd w:val="clear" w:color="auto" w:fill="auto"/>
        <w:bidi w:val="0"/>
        <w:spacing w:before="0" w:after="0" w:line="467" w:lineRule="exact"/>
        <w:ind w:left="0" w:right="0" w:firstLine="500"/>
        <w:jc w:val="both"/>
      </w:pPr>
      <w:r>
        <w:rPr>
          <w:color w:val="000000"/>
          <w:spacing w:val="0"/>
          <w:w w:val="100"/>
          <w:position w:val="0"/>
        </w:rPr>
        <w:t xml:space="preserve">报告期内，公司继续加大智能制造领域的产品研发，新增了 </w:t>
      </w:r>
      <w:r>
        <w:rPr>
          <w:color w:val="000000"/>
          <w:spacing w:val="0"/>
          <w:w w:val="100"/>
          <w:position w:val="0"/>
          <w:sz w:val="24"/>
          <w:szCs w:val="24"/>
        </w:rPr>
        <w:t>APS</w:t>
      </w:r>
      <w:r>
        <w:rPr>
          <w:color w:val="000000"/>
          <w:spacing w:val="0"/>
          <w:w w:val="100"/>
          <w:position w:val="0"/>
        </w:rPr>
        <w:t>产品，同时对</w:t>
      </w:r>
      <w:r>
        <w:rPr>
          <w:color w:val="000000"/>
          <w:spacing w:val="0"/>
          <w:w w:val="100"/>
          <w:position w:val="0"/>
          <w:sz w:val="24"/>
          <w:szCs w:val="24"/>
        </w:rPr>
        <w:t>MES</w:t>
      </w:r>
      <w:r>
        <w:rPr>
          <w:color w:val="000000"/>
          <w:spacing w:val="0"/>
          <w:w w:val="100"/>
          <w:position w:val="0"/>
        </w:rPr>
        <w:t>产品进 行了扩充和优化，系统集成方面，</w:t>
      </w:r>
      <w:r>
        <w:rPr>
          <w:color w:val="000000"/>
          <w:spacing w:val="0"/>
          <w:w w:val="100"/>
          <w:position w:val="0"/>
          <w:sz w:val="24"/>
          <w:szCs w:val="24"/>
        </w:rPr>
        <w:t>MES</w:t>
      </w:r>
      <w:r>
        <w:rPr>
          <w:color w:val="000000"/>
          <w:spacing w:val="0"/>
          <w:w w:val="100"/>
          <w:position w:val="0"/>
        </w:rPr>
        <w:t>与</w:t>
      </w:r>
      <w:r>
        <w:rPr>
          <w:color w:val="000000"/>
          <w:spacing w:val="0"/>
          <w:w w:val="100"/>
          <w:position w:val="0"/>
          <w:sz w:val="24"/>
          <w:szCs w:val="24"/>
        </w:rPr>
        <w:t>APS</w:t>
      </w:r>
      <w:r>
        <w:rPr>
          <w:color w:val="000000"/>
          <w:spacing w:val="0"/>
          <w:w w:val="100"/>
          <w:position w:val="0"/>
        </w:rPr>
        <w:t>实现制造订单联动，并与</w:t>
      </w:r>
      <w:r>
        <w:rPr>
          <w:color w:val="000000"/>
          <w:spacing w:val="0"/>
          <w:w w:val="100"/>
          <w:position w:val="0"/>
          <w:sz w:val="24"/>
          <w:szCs w:val="24"/>
        </w:rPr>
        <w:t>WMS</w:t>
      </w:r>
      <w:r>
        <w:rPr>
          <w:color w:val="000000"/>
          <w:spacing w:val="0"/>
          <w:w w:val="100"/>
          <w:position w:val="0"/>
        </w:rPr>
        <w:t>系统实现领料业务对 接，通过这两部分集成，真正实践了汉得应用产品套件的集成方案设想。报告期内，新冠肺 炎疫情对项目启动和项目开展造成了一定影响，对全年收入也产生了明显的负面干扰，但下 半年开始，智能制造市场机会明显增多，行业规模进一步扩大，尤其是多系统</w:t>
      </w:r>
      <w:r>
        <w:rPr>
          <w:color w:val="000000"/>
          <w:spacing w:val="0"/>
          <w:w w:val="100"/>
          <w:position w:val="0"/>
          <w:sz w:val="24"/>
          <w:szCs w:val="24"/>
        </w:rPr>
        <w:t>（ERP</w:t>
      </w:r>
      <w:r>
        <w:rPr>
          <w:color w:val="000000"/>
          <w:spacing w:val="0"/>
          <w:w w:val="100"/>
          <w:position w:val="0"/>
        </w:rPr>
        <w:t>、</w:t>
      </w:r>
      <w:r>
        <w:rPr>
          <w:color w:val="000000"/>
          <w:spacing w:val="0"/>
          <w:w w:val="100"/>
          <w:position w:val="0"/>
          <w:sz w:val="24"/>
          <w:szCs w:val="24"/>
        </w:rPr>
        <w:t>APS</w:t>
      </w:r>
      <w:r>
        <w:rPr>
          <w:color w:val="000000"/>
          <w:spacing w:val="0"/>
          <w:w w:val="100"/>
          <w:position w:val="0"/>
        </w:rPr>
        <w:t xml:space="preserve">、 </w:t>
      </w:r>
      <w:r>
        <w:rPr>
          <w:color w:val="000000"/>
          <w:spacing w:val="0"/>
          <w:w w:val="100"/>
          <w:position w:val="0"/>
          <w:sz w:val="24"/>
          <w:szCs w:val="24"/>
        </w:rPr>
        <w:t>MES</w:t>
      </w:r>
      <w:r>
        <w:rPr>
          <w:color w:val="000000"/>
          <w:spacing w:val="0"/>
          <w:w w:val="100"/>
          <w:position w:val="0"/>
        </w:rPr>
        <w:t>、</w:t>
      </w:r>
      <w:r>
        <w:rPr>
          <w:color w:val="000000"/>
          <w:spacing w:val="0"/>
          <w:w w:val="100"/>
          <w:position w:val="0"/>
          <w:sz w:val="24"/>
          <w:szCs w:val="24"/>
        </w:rPr>
        <w:t>WMS</w:t>
      </w:r>
      <w:r>
        <w:rPr>
          <w:color w:val="000000"/>
          <w:spacing w:val="0"/>
          <w:w w:val="100"/>
          <w:position w:val="0"/>
        </w:rPr>
        <w:t>、</w:t>
      </w:r>
      <w:r>
        <w:rPr>
          <w:color w:val="000000"/>
          <w:spacing w:val="0"/>
          <w:w w:val="100"/>
          <w:position w:val="0"/>
          <w:sz w:val="24"/>
          <w:szCs w:val="24"/>
        </w:rPr>
        <w:t>PLM</w:t>
      </w:r>
      <w:r>
        <w:rPr>
          <w:color w:val="000000"/>
          <w:spacing w:val="0"/>
          <w:w w:val="100"/>
          <w:position w:val="0"/>
        </w:rPr>
        <w:t>等）、全流程、一体化的项目以及传统制造领域信息化较薄弱的企业商机明显 增多，这得益于以下几方面：制造企业加快数字化转型已成为了社会共识；远程办公、远程 交付被企业广泛接受；主要客户均出现了产能扩展的趋势，尤其是新能源、工程机械以及消 费类制造企业的扩展趋势较为明显。未来公司将继续加强重点优质企业的订单挖掘，提高集 中交付比例和交付效率，降低交付成本，提高各类技术资源的利用率，并提高顾问专业能力， 保证交付质量，提高客户满意度，打造智能制造标杆项目，同时加强研发，强化工业物联能 力和在此之上的大数据、云计算等应用，优化产品性能，继续拓宽产品线和合作范围。</w:t>
      </w:r>
    </w:p>
    <w:p>
      <w:pPr>
        <w:pStyle w:val="Style35"/>
        <w:keepNext w:val="0"/>
        <w:keepLines w:val="0"/>
        <w:widowControl w:val="0"/>
        <w:shd w:val="clear" w:color="auto" w:fill="auto"/>
        <w:bidi w:val="0"/>
        <w:spacing w:before="0" w:after="0" w:line="467" w:lineRule="exact"/>
        <w:ind w:left="0" w:right="0" w:firstLine="500"/>
        <w:jc w:val="both"/>
      </w:pPr>
      <w:bookmarkStart w:id="107" w:name="bookmark107"/>
      <w:r>
        <w:rPr>
          <w:color w:val="000000"/>
          <w:spacing w:val="0"/>
          <w:w w:val="100"/>
          <w:position w:val="0"/>
          <w:sz w:val="24"/>
          <w:szCs w:val="24"/>
        </w:rPr>
        <w:t>5</w:t>
      </w:r>
      <w:bookmarkEnd w:id="107"/>
      <w:r>
        <w:rPr>
          <w:color w:val="000000"/>
          <w:spacing w:val="0"/>
          <w:w w:val="100"/>
          <w:position w:val="0"/>
        </w:rPr>
        <w:t>、智协供应链领域产品应用扩展。</w:t>
      </w:r>
    </w:p>
    <w:p>
      <w:pPr>
        <w:pStyle w:val="Style35"/>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未来企业在物流仓储、资产管理、后勤服务等方面的全流程管控和在全产业链的综合集 成应用，将成为企业数字化转型过程中的重要环节，汉得智协供应链，包括</w:t>
      </w:r>
      <w:r>
        <w:rPr>
          <w:color w:val="000000"/>
          <w:spacing w:val="0"/>
          <w:w w:val="100"/>
          <w:position w:val="0"/>
          <w:sz w:val="24"/>
          <w:szCs w:val="24"/>
        </w:rPr>
        <w:t xml:space="preserve">HTMS </w:t>
      </w:r>
      <w:r>
        <w:rPr>
          <w:color w:val="000000"/>
          <w:spacing w:val="0"/>
          <w:w w:val="100"/>
          <w:position w:val="0"/>
        </w:rPr>
        <w:t>（汉得物流 运输管理系统）、</w:t>
      </w:r>
      <w:r>
        <w:rPr>
          <w:color w:val="000000"/>
          <w:spacing w:val="0"/>
          <w:w w:val="100"/>
          <w:position w:val="0"/>
          <w:sz w:val="24"/>
          <w:szCs w:val="24"/>
        </w:rPr>
        <w:t xml:space="preserve">HWMS </w:t>
      </w:r>
      <w:r>
        <w:rPr>
          <w:color w:val="000000"/>
          <w:spacing w:val="0"/>
          <w:w w:val="100"/>
          <w:position w:val="0"/>
        </w:rPr>
        <w:t>（汉得智协仓储管理中台）、</w:t>
      </w:r>
      <w:r>
        <w:rPr>
          <w:color w:val="000000"/>
          <w:spacing w:val="0"/>
          <w:w w:val="100"/>
          <w:position w:val="0"/>
          <w:sz w:val="24"/>
          <w:szCs w:val="24"/>
        </w:rPr>
        <w:t xml:space="preserve">HALM </w:t>
      </w:r>
      <w:r>
        <w:rPr>
          <w:color w:val="000000"/>
          <w:spacing w:val="0"/>
          <w:w w:val="100"/>
          <w:position w:val="0"/>
        </w:rPr>
        <w:t>（汉得资产管理软件）、</w:t>
      </w:r>
      <w:r>
        <w:rPr>
          <w:color w:val="000000"/>
          <w:spacing w:val="0"/>
          <w:w w:val="100"/>
          <w:position w:val="0"/>
          <w:sz w:val="24"/>
          <w:szCs w:val="24"/>
        </w:rPr>
        <w:t xml:space="preserve">HSLM </w:t>
      </w:r>
      <w:r>
        <w:rPr>
          <w:color w:val="000000"/>
          <w:spacing w:val="0"/>
          <w:w w:val="100"/>
          <w:position w:val="0"/>
        </w:rPr>
        <w:t>（汉 得服务管理软件）</w:t>
      </w:r>
      <w:r>
        <w:rPr>
          <w:color w:val="000000"/>
          <w:spacing w:val="0"/>
          <w:w w:val="100"/>
          <w:position w:val="0"/>
          <w:sz w:val="24"/>
          <w:szCs w:val="24"/>
        </w:rPr>
        <w:t>，</w:t>
      </w:r>
      <w:r>
        <w:rPr>
          <w:color w:val="000000"/>
          <w:spacing w:val="0"/>
          <w:w w:val="100"/>
          <w:position w:val="0"/>
        </w:rPr>
        <w:t>其中</w:t>
      </w:r>
      <w:r>
        <w:rPr>
          <w:color w:val="000000"/>
          <w:spacing w:val="0"/>
          <w:w w:val="100"/>
          <w:position w:val="0"/>
          <w:sz w:val="24"/>
          <w:szCs w:val="24"/>
        </w:rPr>
        <w:t>HTMS</w:t>
      </w:r>
      <w:r>
        <w:rPr>
          <w:color w:val="000000"/>
          <w:spacing w:val="0"/>
          <w:w w:val="100"/>
          <w:position w:val="0"/>
        </w:rPr>
        <w:t>以制造企业为中心，延展</w:t>
      </w:r>
      <w:r>
        <w:rPr>
          <w:color w:val="000000"/>
          <w:spacing w:val="0"/>
          <w:w w:val="100"/>
          <w:position w:val="0"/>
          <w:sz w:val="24"/>
          <w:szCs w:val="24"/>
        </w:rPr>
        <w:t>ERP，</w:t>
      </w:r>
      <w:r>
        <w:rPr>
          <w:color w:val="000000"/>
          <w:spacing w:val="0"/>
          <w:w w:val="100"/>
          <w:position w:val="0"/>
        </w:rPr>
        <w:t>实现从计划到交付的全链条物流 一体化能力建设，帮助企业提高效率、降低物流成本；</w:t>
      </w:r>
      <w:r>
        <w:rPr>
          <w:color w:val="000000"/>
          <w:spacing w:val="0"/>
          <w:w w:val="100"/>
          <w:position w:val="0"/>
          <w:sz w:val="24"/>
          <w:szCs w:val="24"/>
        </w:rPr>
        <w:t>HWMS</w:t>
      </w:r>
      <w:r>
        <w:rPr>
          <w:color w:val="000000"/>
          <w:spacing w:val="0"/>
          <w:w w:val="100"/>
          <w:position w:val="0"/>
        </w:rPr>
        <w:t>帮助企业在快速发展过程中增强 库存服务能力，保证供应链核心环节高效、精确完成各类作业，让系统成为仓库作业管理的 大脑，降低仓储部门对员工的依赖；</w:t>
      </w:r>
      <w:r>
        <w:rPr>
          <w:color w:val="000000"/>
          <w:spacing w:val="0"/>
          <w:w w:val="100"/>
          <w:position w:val="0"/>
          <w:sz w:val="24"/>
          <w:szCs w:val="24"/>
        </w:rPr>
        <w:t>HALM</w:t>
      </w:r>
      <w:r>
        <w:rPr>
          <w:color w:val="000000"/>
          <w:spacing w:val="0"/>
          <w:w w:val="100"/>
          <w:position w:val="0"/>
        </w:rPr>
        <w:t>可集中管理全部设备</w:t>
      </w:r>
      <w:r>
        <w:rPr>
          <w:color w:val="000000"/>
          <w:spacing w:val="0"/>
          <w:w w:val="100"/>
          <w:position w:val="0"/>
          <w:sz w:val="24"/>
          <w:szCs w:val="24"/>
        </w:rPr>
        <w:t>/</w:t>
      </w:r>
      <w:r>
        <w:rPr>
          <w:color w:val="000000"/>
          <w:spacing w:val="0"/>
          <w:w w:val="100"/>
          <w:position w:val="0"/>
        </w:rPr>
        <w:t>设施，将资产的全生命周期信 息可视化，提高资产的可靠性、安全性、提升合规和效率，降低维修维护、运行总成本；</w:t>
      </w:r>
      <w:r>
        <w:rPr>
          <w:color w:val="000000"/>
          <w:spacing w:val="0"/>
          <w:w w:val="100"/>
          <w:position w:val="0"/>
          <w:sz w:val="24"/>
          <w:szCs w:val="24"/>
        </w:rPr>
        <w:t xml:space="preserve">HSLM </w:t>
      </w:r>
      <w:r>
        <w:rPr>
          <w:color w:val="000000"/>
          <w:spacing w:val="0"/>
          <w:w w:val="100"/>
          <w:position w:val="0"/>
        </w:rPr>
        <w:t>是专业、完整的、全面集成化的服务全生命周期支持平台，通过移动</w:t>
      </w:r>
      <w:r>
        <w:rPr>
          <w:color w:val="000000"/>
          <w:spacing w:val="0"/>
          <w:w w:val="100"/>
          <w:position w:val="0"/>
          <w:sz w:val="24"/>
          <w:szCs w:val="24"/>
        </w:rPr>
        <w:t>APP</w:t>
      </w:r>
      <w:r>
        <w:rPr>
          <w:color w:val="000000"/>
          <w:spacing w:val="0"/>
          <w:w w:val="100"/>
          <w:position w:val="0"/>
        </w:rPr>
        <w:t>装备现场技术人员， 提高服务执行效率与客户满意度，打造现代化的、高效、主动型服务中心。</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报告期内，公司继续扩展仓储管理产品的应用，对运输管理产品的产品结构进行重新解 构，并对资产管理产品进行优化升级，加强了智协供应链套件产品的稳定性、协同性、移动 化，使系统具备更强的集成协同能力，为用户带来更优体验。通过这些功能稳定、可升级的 模块化产品设计，方便企业按需选用，加速构建企业专属特色中台。</w:t>
      </w:r>
    </w:p>
    <w:p>
      <w:pPr>
        <w:pStyle w:val="Style35"/>
        <w:keepNext w:val="0"/>
        <w:keepLines w:val="0"/>
        <w:widowControl w:val="0"/>
        <w:shd w:val="clear" w:color="auto" w:fill="auto"/>
        <w:tabs>
          <w:tab w:pos="847" w:val="left"/>
        </w:tabs>
        <w:bidi w:val="0"/>
        <w:spacing w:before="0" w:after="0" w:line="469" w:lineRule="exact"/>
        <w:ind w:left="0" w:right="0" w:firstLine="480"/>
        <w:jc w:val="both"/>
      </w:pPr>
      <w:bookmarkStart w:id="108" w:name="bookmark108"/>
      <w:r>
        <w:rPr>
          <w:color w:val="000000"/>
          <w:spacing w:val="0"/>
          <w:w w:val="100"/>
          <w:position w:val="0"/>
          <w:sz w:val="24"/>
          <w:szCs w:val="24"/>
        </w:rPr>
        <w:t>6</w:t>
      </w:r>
      <w:bookmarkEnd w:id="108"/>
      <w:r>
        <w:rPr>
          <w:color w:val="000000"/>
          <w:spacing w:val="0"/>
          <w:w w:val="100"/>
          <w:position w:val="0"/>
        </w:rPr>
        <w:t>、</w:t>
        <w:tab/>
        <w:t>智享财务领域产品功能更加完善。</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快速发展变化的市场环境使得企业实现收入和盈利目标难度增加，越来越多的企业为了 提升财务管理、减少费用，以数字化转型整体驱动企业发展变革而进行了大量的财务智能化 投资。公司整合先进的技术和管理理念，推出汉得智享财务套件</w:t>
      </w:r>
      <w:r>
        <w:rPr>
          <w:color w:val="000000"/>
          <w:spacing w:val="0"/>
          <w:w w:val="100"/>
          <w:position w:val="0"/>
          <w:sz w:val="24"/>
          <w:szCs w:val="24"/>
        </w:rPr>
        <w:t>（HFINs）</w:t>
      </w:r>
      <w:r>
        <w:rPr>
          <w:color w:val="000000"/>
          <w:spacing w:val="0"/>
          <w:w w:val="100"/>
          <w:position w:val="0"/>
          <w:sz w:val="24"/>
          <w:szCs w:val="24"/>
        </w:rPr>
        <w:t>，</w:t>
      </w:r>
      <w:r>
        <w:rPr>
          <w:color w:val="000000"/>
          <w:spacing w:val="0"/>
          <w:w w:val="100"/>
          <w:position w:val="0"/>
        </w:rPr>
        <w:t>由汉得财务报账 管控系统、汉得智能共享运营系统、汉得电子档案影像系统三大模块构成，帮助企业形成战 略财务、业务财务和共享财务三层管理架构，支撑运营数字化、管理智能化、业财融合化、 服务共享化、系统平台化的企业战略目标；汉得清分结算软件</w:t>
      </w:r>
      <w:r>
        <w:rPr>
          <w:color w:val="000000"/>
          <w:spacing w:val="0"/>
          <w:w w:val="100"/>
          <w:position w:val="0"/>
          <w:sz w:val="24"/>
          <w:szCs w:val="24"/>
        </w:rPr>
        <w:t>（HSCS）</w:t>
      </w:r>
      <w:r>
        <w:rPr>
          <w:color w:val="000000"/>
          <w:spacing w:val="0"/>
          <w:w w:val="100"/>
          <w:position w:val="0"/>
        </w:rPr>
        <w:t>通过打通业财系统， 帮助企业实现业财资源的整合与共享、财务中台能力的沉淀，通过建立统一结算平台，帮助 企业实现清分结算自动化，支撑业务变化与拓展；优易联</w:t>
      </w:r>
      <w:r>
        <w:rPr>
          <w:color w:val="000000"/>
          <w:spacing w:val="0"/>
          <w:w w:val="100"/>
          <w:position w:val="0"/>
          <w:sz w:val="24"/>
          <w:szCs w:val="24"/>
        </w:rPr>
        <w:t>RPA</w:t>
      </w:r>
      <w:r>
        <w:rPr>
          <w:color w:val="000000"/>
          <w:spacing w:val="0"/>
          <w:w w:val="100"/>
          <w:position w:val="0"/>
        </w:rPr>
        <w:t>自动化产品能帮助企业优化内部 管理流程的自动化程度，提高生产力，帮助企业数字化转型，迎接</w:t>
      </w:r>
      <w:r>
        <w:rPr>
          <w:color w:val="000000"/>
          <w:spacing w:val="0"/>
          <w:w w:val="100"/>
          <w:position w:val="0"/>
          <w:sz w:val="24"/>
          <w:szCs w:val="24"/>
        </w:rPr>
        <w:t>AI</w:t>
      </w:r>
      <w:r>
        <w:rPr>
          <w:color w:val="000000"/>
          <w:spacing w:val="0"/>
          <w:w w:val="100"/>
          <w:position w:val="0"/>
        </w:rPr>
        <w:t>办公时代。</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报告期内，公司智享财务套件完善了产品功能和应用场景，引入了自动化开发工具和第 三方智能应用，同时推出全新的汇税通平台，帮助企业一站式解决进项发票管理难题，全面 收获国家税收减负红利。清分结算系统实现全流程的功能拉通，引入大数据处理机制，实现 海量数据的轻松、高效处理，并引入自动对账功能，提高各类业务的清分结算效率，同时尝 试打造混合云清分结算系统，开启订阅收费模式。公司通过聚焦产品本身的完善，以及新工 具与新应用的集成，帮助企业客户更高效、更快速地实现财务智能化落地，并帮助交付团队 更快捷、更高效地实现产品的现场应用。</w:t>
      </w:r>
    </w:p>
    <w:p>
      <w:pPr>
        <w:pStyle w:val="Style35"/>
        <w:keepNext w:val="0"/>
        <w:keepLines w:val="0"/>
        <w:widowControl w:val="0"/>
        <w:shd w:val="clear" w:color="auto" w:fill="auto"/>
        <w:tabs>
          <w:tab w:pos="847" w:val="left"/>
        </w:tabs>
        <w:bidi w:val="0"/>
        <w:spacing w:before="0" w:after="0" w:line="472" w:lineRule="exact"/>
        <w:ind w:left="0" w:right="0" w:firstLine="480"/>
        <w:jc w:val="both"/>
      </w:pPr>
      <w:bookmarkStart w:id="109" w:name="bookmark109"/>
      <w:r>
        <w:rPr>
          <w:color w:val="000000"/>
          <w:spacing w:val="0"/>
          <w:w w:val="100"/>
          <w:position w:val="0"/>
          <w:sz w:val="24"/>
          <w:szCs w:val="24"/>
        </w:rPr>
        <w:t>7</w:t>
      </w:r>
      <w:bookmarkEnd w:id="109"/>
      <w:r>
        <w:rPr>
          <w:color w:val="000000"/>
          <w:spacing w:val="0"/>
          <w:w w:val="100"/>
          <w:position w:val="0"/>
        </w:rPr>
        <w:t>、</w:t>
        <w:tab/>
        <w:t>智通应用领域快速积累和发展。</w:t>
      </w:r>
    </w:p>
    <w:p>
      <w:pPr>
        <w:pStyle w:val="Style35"/>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根据相关市场研究报告，国内</w:t>
      </w:r>
      <w:r>
        <w:rPr>
          <w:color w:val="000000"/>
          <w:spacing w:val="0"/>
          <w:w w:val="100"/>
          <w:position w:val="0"/>
          <w:sz w:val="24"/>
          <w:szCs w:val="24"/>
        </w:rPr>
        <w:t>B</w:t>
      </w:r>
      <w:r>
        <w:rPr>
          <w:color w:val="000000"/>
          <w:spacing w:val="0"/>
          <w:w w:val="100"/>
          <w:position w:val="0"/>
        </w:rPr>
        <w:t>端软件市场在合同管理细分领域还处于初步阶段，为提升 企业合同管理水平，降低管理成本，同时加强企业风险防范能力，公司推出一诺智能合同管 理软件</w:t>
      </w:r>
      <w:r>
        <w:rPr>
          <w:color w:val="000000"/>
          <w:spacing w:val="0"/>
          <w:w w:val="100"/>
          <w:position w:val="0"/>
          <w:sz w:val="24"/>
          <w:szCs w:val="24"/>
        </w:rPr>
        <w:t>（</w:t>
      </w:r>
      <w:r>
        <w:rPr>
          <w:color w:val="000000"/>
          <w:spacing w:val="0"/>
          <w:w w:val="100"/>
          <w:position w:val="0"/>
          <w:sz w:val="24"/>
          <w:szCs w:val="24"/>
        </w:rPr>
        <w:t>One Contract）</w:t>
      </w:r>
      <w:r>
        <w:rPr>
          <w:color w:val="000000"/>
          <w:spacing w:val="0"/>
          <w:w w:val="100"/>
          <w:position w:val="0"/>
        </w:rPr>
        <w:t>，建立合同管理生态体系，赋予企业数字化、智能化的合同管理能 力，为企业带来规范化、精细化、智能化的合同管理体验；随着信息技术的发展，企业信息 化技术的复杂程度和管控难度正在呈几何级数式增长，因此势必需要引入对</w:t>
      </w:r>
      <w:r>
        <w:rPr>
          <w:color w:val="000000"/>
          <w:spacing w:val="0"/>
          <w:w w:val="100"/>
          <w:position w:val="0"/>
          <w:sz w:val="24"/>
          <w:szCs w:val="24"/>
        </w:rPr>
        <w:t>IT</w:t>
      </w:r>
      <w:r>
        <w:rPr>
          <w:color w:val="000000"/>
          <w:spacing w:val="0"/>
          <w:w w:val="100"/>
          <w:position w:val="0"/>
        </w:rPr>
        <w:t xml:space="preserve">服务的管理手 </w:t>
      </w:r>
      <w:r>
        <w:rPr>
          <w:color w:val="000000"/>
          <w:spacing w:val="0"/>
          <w:w w:val="100"/>
          <w:position w:val="0"/>
        </w:rPr>
        <w:t>段，公司基于多年的服务管理经验，结合最新的人工智能技术，带来了全新的燕千云智能服 务管理平台，为企业提供全面的</w:t>
      </w:r>
      <w:r>
        <w:rPr>
          <w:color w:val="000000"/>
          <w:spacing w:val="0"/>
          <w:w w:val="100"/>
          <w:position w:val="0"/>
          <w:sz w:val="24"/>
          <w:szCs w:val="24"/>
        </w:rPr>
        <w:t>IT</w:t>
      </w:r>
      <w:r>
        <w:rPr>
          <w:color w:val="000000"/>
          <w:spacing w:val="0"/>
          <w:w w:val="100"/>
          <w:position w:val="0"/>
        </w:rPr>
        <w:t>服务管理、</w:t>
      </w:r>
      <w:r>
        <w:rPr>
          <w:color w:val="000000"/>
          <w:spacing w:val="0"/>
          <w:w w:val="100"/>
          <w:position w:val="0"/>
          <w:sz w:val="24"/>
          <w:szCs w:val="24"/>
        </w:rPr>
        <w:t>IT</w:t>
      </w:r>
      <w:r>
        <w:rPr>
          <w:color w:val="000000"/>
          <w:spacing w:val="0"/>
          <w:w w:val="100"/>
          <w:position w:val="0"/>
        </w:rPr>
        <w:t>资产管理、</w:t>
      </w:r>
      <w:r>
        <w:rPr>
          <w:color w:val="000000"/>
          <w:spacing w:val="0"/>
          <w:w w:val="100"/>
          <w:position w:val="0"/>
          <w:sz w:val="24"/>
          <w:szCs w:val="24"/>
        </w:rPr>
        <w:t>IT</w:t>
      </w:r>
      <w:r>
        <w:rPr>
          <w:color w:val="000000"/>
          <w:spacing w:val="0"/>
          <w:w w:val="100"/>
          <w:position w:val="0"/>
        </w:rPr>
        <w:t>运营管理、</w:t>
      </w:r>
      <w:r>
        <w:rPr>
          <w:color w:val="000000"/>
          <w:spacing w:val="0"/>
          <w:w w:val="100"/>
          <w:position w:val="0"/>
          <w:sz w:val="24"/>
          <w:szCs w:val="24"/>
        </w:rPr>
        <w:t>IT</w:t>
      </w:r>
      <w:r>
        <w:rPr>
          <w:color w:val="000000"/>
          <w:spacing w:val="0"/>
          <w:w w:val="100"/>
          <w:position w:val="0"/>
        </w:rPr>
        <w:t>业务管理。</w:t>
      </w:r>
    </w:p>
    <w:p>
      <w:pPr>
        <w:pStyle w:val="Style3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报告期内，一诺智能合同管理系统通过构建合同拟制生命周期和合同履行生命周期、融 合第三方能力，形成了企业合同业务管理的生态体系，通过增加数据接口、配套移动应用等 功能，减轻实施负担，通过与第三方应用的集成提升了可配置程度，通过升级功能界面交互 方式、功能细节逻辑优化，提高用户体验。燕千云产品重点推进强化模块之间的关联交互， 优化内部结构的完整性，为企业的传统服务转型智能服务、单一服务模式转为综合服务渠道 提供更强大的支持和助力。</w:t>
      </w:r>
    </w:p>
    <w:p>
      <w:pPr>
        <w:pStyle w:val="Style35"/>
        <w:keepNext w:val="0"/>
        <w:keepLines w:val="0"/>
        <w:widowControl w:val="0"/>
        <w:shd w:val="clear" w:color="auto" w:fill="auto"/>
        <w:tabs>
          <w:tab w:pos="847" w:val="left"/>
        </w:tabs>
        <w:bidi w:val="0"/>
        <w:spacing w:before="0" w:after="0" w:line="469" w:lineRule="exact"/>
        <w:ind w:left="0" w:right="0" w:firstLine="480"/>
        <w:jc w:val="both"/>
      </w:pPr>
      <w:bookmarkStart w:id="110" w:name="bookmark110"/>
      <w:r>
        <w:rPr>
          <w:color w:val="000000"/>
          <w:spacing w:val="0"/>
          <w:w w:val="100"/>
          <w:position w:val="0"/>
          <w:sz w:val="24"/>
          <w:szCs w:val="24"/>
        </w:rPr>
        <w:t>8</w:t>
      </w:r>
      <w:bookmarkEnd w:id="110"/>
      <w:r>
        <w:rPr>
          <w:color w:val="000000"/>
          <w:spacing w:val="0"/>
          <w:w w:val="100"/>
          <w:position w:val="0"/>
        </w:rPr>
        <w:t>、</w:t>
        <w:tab/>
        <w:t>云业务发展较快，经验积累逐渐完善。</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报告期内，公司的云相关业务有了比较大的积累和发展。基于云计算、大数据、物联网 等先进技术的云产品给企业信息化建设带来了新的方向，相比于传统软件，云产品更加轻量, 更加灵活，云项目实施与传统实施相比，目标更明确、更快速、现场与远程更连接、原厂更 多地参与，快速灵活敏捷的</w:t>
      </w:r>
      <w:r>
        <w:rPr>
          <w:color w:val="000000"/>
          <w:spacing w:val="0"/>
          <w:w w:val="100"/>
          <w:position w:val="0"/>
          <w:sz w:val="24"/>
          <w:szCs w:val="24"/>
        </w:rPr>
        <w:t>SaaS</w:t>
      </w:r>
      <w:r>
        <w:rPr>
          <w:color w:val="000000"/>
          <w:spacing w:val="0"/>
          <w:w w:val="100"/>
          <w:position w:val="0"/>
        </w:rPr>
        <w:t>以及先进技术接入手段，让行业优秀企业能够在数字化转型 的道路上更低成本地形成自有产品，甚至是形成可销售的产品，提升行业竞争力。由于</w:t>
      </w:r>
      <w:r>
        <w:rPr>
          <w:color w:val="000000"/>
          <w:spacing w:val="0"/>
          <w:w w:val="100"/>
          <w:position w:val="0"/>
          <w:sz w:val="24"/>
          <w:szCs w:val="24"/>
        </w:rPr>
        <w:t xml:space="preserve">SaaS </w:t>
      </w:r>
      <w:r>
        <w:rPr>
          <w:color w:val="000000"/>
          <w:spacing w:val="0"/>
          <w:w w:val="100"/>
          <w:position w:val="0"/>
        </w:rPr>
        <w:t>概念的推广普及，国内企业客户对云的接受度逐渐提高，上云已经成了众多企业目前的改革 重点，而公司拥有大量企业客户、企业解决方案能力、行业方案能力及</w:t>
      </w:r>
      <w:r>
        <w:rPr>
          <w:color w:val="000000"/>
          <w:spacing w:val="0"/>
          <w:w w:val="100"/>
          <w:position w:val="0"/>
          <w:sz w:val="24"/>
          <w:szCs w:val="24"/>
        </w:rPr>
        <w:t>SaaS</w:t>
      </w:r>
      <w:r>
        <w:rPr>
          <w:color w:val="000000"/>
          <w:spacing w:val="0"/>
          <w:w w:val="100"/>
          <w:position w:val="0"/>
        </w:rPr>
        <w:t>的发展潜力，能 为企业量身定制基于私有云计算的产品以解决特定业务场景及需求，同时提供专业化实施服 务帮助企业让这些产品发挥出更大的价值。公司目前已与百度、亚马逊、微软、阿里、华为、 腾讯等建立了云合作关系，从灵活、成熟、安全的云基础架构与云平台到广泛、全面、智能 的企业级云应用，公司有望与众多合作伙伴一起，共同打造创新的、全面的云解决方案，深 度赋能全生态可持续发展与成就价值创新，帮助客户构建智能时代全新体验。</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云应用潜在市场巨大，给公司业务带来了新的利润增长点。公司的</w:t>
      </w:r>
      <w:r>
        <w:rPr>
          <w:color w:val="000000"/>
          <w:spacing w:val="0"/>
          <w:w w:val="100"/>
          <w:position w:val="0"/>
          <w:sz w:val="24"/>
          <w:szCs w:val="24"/>
        </w:rPr>
        <w:t>HCMP</w:t>
      </w:r>
      <w:r>
        <w:rPr>
          <w:color w:val="000000"/>
          <w:spacing w:val="0"/>
          <w:w w:val="100"/>
          <w:position w:val="0"/>
        </w:rPr>
        <w:t>云治理平台-汉得 融合云治理平台，旨在提高企业跨云资源管理的效率，着力于为企业解决多种云、混合云管 理的复杂度、一致性等问题，打造混合云管理的综合解决方案。</w:t>
      </w:r>
      <w:r>
        <w:rPr>
          <w:color w:val="000000"/>
          <w:spacing w:val="0"/>
          <w:w w:val="100"/>
          <w:position w:val="0"/>
          <w:sz w:val="24"/>
          <w:szCs w:val="24"/>
        </w:rPr>
        <w:t>HAAS</w:t>
      </w:r>
      <w:r>
        <w:rPr>
          <w:color w:val="000000"/>
          <w:spacing w:val="0"/>
          <w:w w:val="100"/>
          <w:position w:val="0"/>
        </w:rPr>
        <w:t>云管理平台-汉得私有云 管理平台，旨在整合企业自有的基础设施，提高企业资源管理的使用效率，为企业提供一个 稳定，高效，易扩展的私有云平台。目前公司已有超百人的专业的实施和技术团队，以及较 为丰富的实施案例，具备基于云服务的架构规划设计、实施、应用迁移和部署、整体运维的 能力。</w:t>
      </w:r>
    </w:p>
    <w:p>
      <w:pPr>
        <w:pStyle w:val="Style35"/>
        <w:keepNext w:val="0"/>
        <w:keepLines w:val="0"/>
        <w:widowControl w:val="0"/>
        <w:shd w:val="clear" w:color="auto" w:fill="auto"/>
        <w:tabs>
          <w:tab w:pos="847" w:val="left"/>
        </w:tabs>
        <w:bidi w:val="0"/>
        <w:spacing w:before="0" w:after="0" w:line="469" w:lineRule="exact"/>
        <w:ind w:left="0" w:right="0" w:firstLine="480"/>
        <w:jc w:val="both"/>
      </w:pPr>
      <w:bookmarkStart w:id="111" w:name="bookmark111"/>
      <w:r>
        <w:rPr>
          <w:color w:val="000000"/>
          <w:spacing w:val="0"/>
          <w:w w:val="100"/>
          <w:position w:val="0"/>
          <w:sz w:val="24"/>
          <w:szCs w:val="24"/>
        </w:rPr>
        <w:t>9</w:t>
      </w:r>
      <w:bookmarkEnd w:id="111"/>
      <w:r>
        <w:rPr>
          <w:color w:val="000000"/>
          <w:spacing w:val="0"/>
          <w:w w:val="100"/>
          <w:position w:val="0"/>
        </w:rPr>
        <w:t>、</w:t>
        <w:tab/>
        <w:t>其他自主研发产品及服务竞争优势增强。</w:t>
      </w:r>
    </w:p>
    <w:p>
      <w:pPr>
        <w:pStyle w:val="Style35"/>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中国信息化建设与国际市场相比有较大的差异性，尤其本地化、个性化需求较为强烈， 企业越来越强调产品和解决方案的自主可控、开放灵活，这给中国自主产品和服务商带来了 广大的发展空间；此外，受贸易摩擦影响，央企、国企等大型企业选择国产自主化软件的趋 势越来越明显。多年来公司通过对本土客户业务的深化应用，对方案经验的积累总结，对技 术能力的储备提升，加大研发创新投入，自我积累了包括汉得布谷人力资源管理软件、融智 汇产品、汉得供应链金融云平台、汉得融资租赁系统</w:t>
      </w:r>
      <w:r>
        <w:rPr>
          <w:color w:val="000000"/>
          <w:spacing w:val="0"/>
          <w:w w:val="100"/>
          <w:position w:val="0"/>
          <w:sz w:val="24"/>
          <w:szCs w:val="24"/>
        </w:rPr>
        <w:t>（HLS）</w:t>
      </w:r>
      <w:r>
        <w:rPr>
          <w:color w:val="000000"/>
          <w:spacing w:val="0"/>
          <w:w w:val="100"/>
          <w:position w:val="0"/>
        </w:rPr>
        <w:t>、鼎医医院智慧管理平台</w:t>
      </w:r>
      <w:r>
        <w:rPr>
          <w:color w:val="000000"/>
          <w:spacing w:val="0"/>
          <w:w w:val="100"/>
          <w:position w:val="0"/>
          <w:sz w:val="24"/>
          <w:szCs w:val="24"/>
        </w:rPr>
        <w:t>（HRP）</w:t>
      </w:r>
      <w:r>
        <w:rPr>
          <w:color w:val="000000"/>
          <w:spacing w:val="0"/>
          <w:w w:val="100"/>
          <w:position w:val="0"/>
        </w:rPr>
        <w:t xml:space="preserve">、 </w:t>
      </w:r>
      <w:r>
        <w:rPr>
          <w:color w:val="000000"/>
          <w:spacing w:val="0"/>
          <w:w w:val="100"/>
          <w:position w:val="0"/>
        </w:rPr>
        <w:t>汉得质量合规管理系统</w:t>
      </w:r>
      <w:r>
        <w:rPr>
          <w:color w:val="000000"/>
          <w:spacing w:val="0"/>
          <w:w w:val="100"/>
          <w:position w:val="0"/>
          <w:sz w:val="24"/>
          <w:szCs w:val="24"/>
        </w:rPr>
        <w:t>（HGxP）</w:t>
      </w:r>
      <w:r>
        <w:rPr>
          <w:color w:val="000000"/>
          <w:spacing w:val="0"/>
          <w:w w:val="100"/>
          <w:position w:val="0"/>
        </w:rPr>
        <w:t>、</w:t>
      </w:r>
      <w:r>
        <w:rPr>
          <w:color w:val="000000"/>
          <w:spacing w:val="0"/>
          <w:w w:val="100"/>
          <w:position w:val="0"/>
          <w:sz w:val="24"/>
          <w:szCs w:val="24"/>
        </w:rPr>
        <w:t>1</w:t>
      </w:r>
      <w:r>
        <w:rPr>
          <w:color w:val="000000"/>
          <w:spacing w:val="0"/>
          <w:w w:val="100"/>
          <w:position w:val="0"/>
        </w:rPr>
        <w:t>米筑造数字化解决方案、汉得电商业务平台</w:t>
      </w:r>
      <w:r>
        <w:rPr>
          <w:color w:val="000000"/>
          <w:spacing w:val="0"/>
          <w:w w:val="100"/>
          <w:position w:val="0"/>
          <w:sz w:val="24"/>
          <w:szCs w:val="24"/>
        </w:rPr>
        <w:t>（H0MS）</w:t>
      </w:r>
      <w:r>
        <w:rPr>
          <w:color w:val="000000"/>
          <w:spacing w:val="0"/>
          <w:w w:val="100"/>
          <w:position w:val="0"/>
        </w:rPr>
        <w:t>、汉 得数据管理平台（</w:t>
      </w:r>
      <w:r>
        <w:rPr>
          <w:color w:val="000000"/>
          <w:spacing w:val="0"/>
          <w:w w:val="100"/>
          <w:position w:val="0"/>
          <w:sz w:val="24"/>
          <w:szCs w:val="24"/>
        </w:rPr>
        <w:t>HDM）</w:t>
      </w:r>
      <w:r>
        <w:rPr>
          <w:color w:val="000000"/>
          <w:spacing w:val="0"/>
          <w:w w:val="100"/>
          <w:position w:val="0"/>
        </w:rPr>
        <w:t>、汉得合并管理系统</w:t>
      </w:r>
      <w:r>
        <w:rPr>
          <w:color w:val="000000"/>
          <w:spacing w:val="0"/>
          <w:w w:val="100"/>
          <w:position w:val="0"/>
          <w:sz w:val="24"/>
          <w:szCs w:val="24"/>
        </w:rPr>
        <w:t>（</w:t>
      </w:r>
      <w:r>
        <w:rPr>
          <w:color w:val="000000"/>
          <w:spacing w:val="0"/>
          <w:w w:val="100"/>
          <w:position w:val="0"/>
          <w:sz w:val="24"/>
          <w:szCs w:val="24"/>
        </w:rPr>
        <w:t>HCS）</w:t>
      </w:r>
      <w:r>
        <w:rPr>
          <w:color w:val="000000"/>
          <w:spacing w:val="0"/>
          <w:w w:val="100"/>
          <w:position w:val="0"/>
        </w:rPr>
        <w:t>等一大批优秀的自主研发产品，补充完 善了部分细分领域的解决方案，能为企业提供更优质的适应企业特性的实施服务，帮助客户 提高业务效率、优化资源配置，同时加强内部控制、风险管理，提高企业信息化治理水平， 同时也给公司全面整体的解决方案带来差异化优势，为公司开辟了新的业务市场和利润增长 点，更扩大了公司的综合实施服务能力。</w:t>
      </w:r>
    </w:p>
    <w:p>
      <w:pPr>
        <w:pStyle w:val="Style35"/>
        <w:keepNext w:val="0"/>
        <w:keepLines w:val="0"/>
        <w:widowControl w:val="0"/>
        <w:shd w:val="clear" w:color="auto" w:fill="auto"/>
        <w:bidi w:val="0"/>
        <w:spacing w:before="0" w:after="0" w:line="467" w:lineRule="exact"/>
        <w:ind w:left="0" w:right="0" w:firstLine="500"/>
        <w:jc w:val="both"/>
      </w:pPr>
      <w:r>
        <w:rPr>
          <w:color w:val="000000"/>
          <w:spacing w:val="0"/>
          <w:w w:val="100"/>
          <w:position w:val="0"/>
        </w:rPr>
        <w:t xml:space="preserve">报告期内，国内疫情实现有效管控，经济快速恢复，市场整体信息化建设需求更多地是 寻求全方位的数字化综合服务，因此给公司融合中台的发展带来了机遇。公司以云模式、移 动化、大数据分析和推动企业战略转型为方向，结合物联网、大数据、智能硬件、移动设备、 </w:t>
      </w:r>
      <w:r>
        <w:rPr>
          <w:color w:val="000000"/>
          <w:spacing w:val="0"/>
          <w:w w:val="100"/>
          <w:position w:val="0"/>
          <w:sz w:val="24"/>
          <w:szCs w:val="24"/>
        </w:rPr>
        <w:t>AI</w:t>
      </w:r>
      <w:r>
        <w:rPr>
          <w:color w:val="000000"/>
          <w:spacing w:val="0"/>
          <w:w w:val="100"/>
          <w:position w:val="0"/>
        </w:rPr>
        <w:t>等支持工具和先进技术，持续推进现有的产品进化迭代，实现多系统、多模块集成，全面 提升企业内外部业务自动化程度，满足企业业务财务深度融合需求，助力企业降低运营成本, 控制内部风险、消除管理盲点。公司在报告期内积极进行融合中台的市场推广和交付模式验 证，成立行业销售来跟进和拓展商机以及渠道，推广远程统一交付及运维，成立方案组，把 控和审核项目风险，提高交付质量，进一步提高了公司在企业信息化细分领域的市场占有率。</w:t>
      </w:r>
    </w:p>
    <w:p>
      <w:pPr>
        <w:pStyle w:val="Style35"/>
        <w:keepNext w:val="0"/>
        <w:keepLines w:val="0"/>
        <w:widowControl w:val="0"/>
        <w:shd w:val="clear" w:color="auto" w:fill="auto"/>
        <w:bidi w:val="0"/>
        <w:spacing w:before="0" w:after="0" w:line="467" w:lineRule="exact"/>
        <w:ind w:left="0" w:right="0" w:firstLine="500"/>
        <w:jc w:val="left"/>
      </w:pPr>
      <w:bookmarkStart w:id="112" w:name="bookmark112"/>
      <w:r>
        <w:rPr>
          <w:color w:val="000000"/>
          <w:spacing w:val="0"/>
          <w:w w:val="100"/>
          <w:position w:val="0"/>
          <w:sz w:val="24"/>
          <w:szCs w:val="24"/>
        </w:rPr>
        <w:t>1</w:t>
      </w:r>
      <w:bookmarkEnd w:id="112"/>
      <w:r>
        <w:rPr>
          <w:color w:val="000000"/>
          <w:spacing w:val="0"/>
          <w:w w:val="100"/>
          <w:position w:val="0"/>
          <w:sz w:val="24"/>
          <w:szCs w:val="24"/>
        </w:rPr>
        <w:t>0</w:t>
      </w:r>
      <w:r>
        <w:rPr>
          <w:color w:val="000000"/>
          <w:spacing w:val="0"/>
          <w:w w:val="100"/>
          <w:position w:val="0"/>
        </w:rPr>
        <w:t>、客户支持及运维服务业务继续推进，开启服务产品化建设。</w:t>
      </w:r>
    </w:p>
    <w:p>
      <w:pPr>
        <w:pStyle w:val="Style35"/>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一方面</w:t>
      </w:r>
      <w:r>
        <w:rPr>
          <w:color w:val="000000"/>
          <w:spacing w:val="0"/>
          <w:w w:val="100"/>
          <w:position w:val="0"/>
          <w:sz w:val="24"/>
          <w:szCs w:val="24"/>
        </w:rPr>
        <w:t>AI</w:t>
      </w:r>
      <w:r>
        <w:rPr>
          <w:color w:val="000000"/>
          <w:spacing w:val="0"/>
          <w:w w:val="100"/>
          <w:position w:val="0"/>
        </w:rPr>
        <w:t xml:space="preserve">技术、云技术、数字现实、认知技术、智能客服等新技术风起云涌，企业内部 </w:t>
      </w:r>
      <w:r>
        <w:rPr>
          <w:color w:val="000000"/>
          <w:spacing w:val="0"/>
          <w:w w:val="100"/>
          <w:position w:val="0"/>
          <w:sz w:val="24"/>
          <w:szCs w:val="24"/>
        </w:rPr>
        <w:t>IT</w:t>
      </w:r>
      <w:r>
        <w:rPr>
          <w:color w:val="000000"/>
          <w:spacing w:val="0"/>
          <w:w w:val="100"/>
          <w:position w:val="0"/>
        </w:rPr>
        <w:t>聚焦核心技术和业务的期望越来越强烈，信息化资产的高效运营越来越为企业所关注，因 此专业化运维外包正在逐渐成为企业</w:t>
      </w:r>
      <w:r>
        <w:rPr>
          <w:color w:val="000000"/>
          <w:spacing w:val="0"/>
          <w:w w:val="100"/>
          <w:position w:val="0"/>
          <w:sz w:val="24"/>
          <w:szCs w:val="24"/>
        </w:rPr>
        <w:t>IT</w:t>
      </w:r>
      <w:r>
        <w:rPr>
          <w:color w:val="000000"/>
          <w:spacing w:val="0"/>
          <w:w w:val="100"/>
          <w:position w:val="0"/>
        </w:rPr>
        <w:t>服务的趋势，由此带来运维服务市场的规模持续增长; 一方面为进一步增强公司整体的服务价值，公司顺应趋势为企业信息化提供整体运维或整体 服务外包，并增加了</w:t>
      </w:r>
      <w:r>
        <w:rPr>
          <w:color w:val="000000"/>
          <w:spacing w:val="0"/>
          <w:w w:val="100"/>
          <w:position w:val="0"/>
          <w:sz w:val="24"/>
          <w:szCs w:val="24"/>
        </w:rPr>
        <w:t>Tableau</w:t>
      </w:r>
      <w:r>
        <w:rPr>
          <w:color w:val="000000"/>
          <w:spacing w:val="0"/>
          <w:w w:val="100"/>
          <w:position w:val="0"/>
        </w:rPr>
        <w:t>、</w:t>
      </w:r>
      <w:r>
        <w:rPr>
          <w:color w:val="000000"/>
          <w:spacing w:val="0"/>
          <w:w w:val="100"/>
          <w:position w:val="0"/>
        </w:rPr>
        <w:t>云运维、互联网运维、智能运维等新兴业务，实现了业务面的 较快拓展；另一方面，公司自主产品不断壮大，其产品运维管理服务也不断完善，例如公司 自主研发的</w:t>
      </w:r>
      <w:r>
        <w:rPr>
          <w:color w:val="000000"/>
          <w:spacing w:val="0"/>
          <w:w w:val="100"/>
          <w:position w:val="0"/>
          <w:sz w:val="24"/>
          <w:szCs w:val="24"/>
        </w:rPr>
        <w:t>SaaS</w:t>
      </w:r>
      <w:r>
        <w:rPr>
          <w:color w:val="000000"/>
          <w:spacing w:val="0"/>
          <w:w w:val="100"/>
          <w:position w:val="0"/>
        </w:rPr>
        <w:t>版</w:t>
      </w:r>
      <w:r>
        <w:rPr>
          <w:color w:val="000000"/>
          <w:spacing w:val="0"/>
          <w:w w:val="100"/>
          <w:position w:val="0"/>
          <w:sz w:val="24"/>
          <w:szCs w:val="24"/>
        </w:rPr>
        <w:t>+</w:t>
      </w:r>
      <w:r>
        <w:rPr>
          <w:color w:val="000000"/>
          <w:spacing w:val="0"/>
          <w:w w:val="100"/>
          <w:position w:val="0"/>
        </w:rPr>
        <w:t xml:space="preserve">定制版泛服务管理平台-燕千云大力推广，同步带动了运维商机的增长。 报告期内，公司进一步开拓运维服务市场，以存量客户的后续信息化运维需求为基础，凭借 </w:t>
      </w:r>
      <w:r>
        <w:rPr>
          <w:color w:val="000000"/>
          <w:spacing w:val="0"/>
          <w:w w:val="100"/>
          <w:position w:val="0"/>
        </w:rPr>
        <w:t>公司多年以来在国内企业信息化行业积累的口碑，开拓非原生客户的运维订单，提供包括远 程运维服务、统一运维服务、</w:t>
      </w:r>
      <w:r>
        <w:rPr>
          <w:color w:val="000000"/>
          <w:spacing w:val="0"/>
          <w:w w:val="100"/>
          <w:position w:val="0"/>
          <w:sz w:val="24"/>
          <w:szCs w:val="24"/>
        </w:rPr>
        <w:t>IT0</w:t>
      </w:r>
      <w:r>
        <w:rPr>
          <w:color w:val="000000"/>
          <w:spacing w:val="0"/>
          <w:w w:val="100"/>
          <w:position w:val="0"/>
        </w:rPr>
        <w:t>运维服务、资源外包服务、项目整包服务等，在国内信息化 运维领域继续占领市场。报告期内，客户支持及运维业务的收入同比去年基本持平，受新冠 肺炎疫情影响，对运维业绩造成了一定拖累，但融合中台的运维收入占比有所提升，随着公 司的融合中台持续推广，融合中台和相关解决方案进一步扩大市场份额，团队的融合中台交 付能力也越来越强，预计将带来更多的业绩。此外，公司还通过远程运维集中标准化管理， 客户针对性经营管理的手段，提升了人均产出。未来，公司将继续提升运维咨询水平，加强 人才培养，以更高端的服务模式，结合强大资深的行业案例，加速拓展客户数量，扩大客户 规模，深化区域化运维与大客户统一运维，同时加强自身品牌形象建设，加大新技术研发和 产品化投入，完善自身的服务体系，实现相关产品的客户推广落地，并加强成本费用管控， 全面提升服务水平，努力提高客户满意度，进一步提高业绩和市场占有率。</w:t>
      </w:r>
    </w:p>
    <w:p>
      <w:pPr>
        <w:pStyle w:val="Style35"/>
        <w:keepNext w:val="0"/>
        <w:keepLines w:val="0"/>
        <w:widowControl w:val="0"/>
        <w:shd w:val="clear" w:color="auto" w:fill="auto"/>
        <w:tabs>
          <w:tab w:pos="943" w:val="left"/>
        </w:tabs>
        <w:bidi w:val="0"/>
        <w:spacing w:before="0" w:after="0" w:line="468" w:lineRule="exact"/>
        <w:ind w:left="0" w:right="0" w:firstLine="480"/>
        <w:jc w:val="both"/>
      </w:pPr>
      <w:bookmarkStart w:id="113" w:name="bookmark113"/>
      <w:r>
        <w:rPr>
          <w:color w:val="000000"/>
          <w:spacing w:val="0"/>
          <w:w w:val="100"/>
          <w:position w:val="0"/>
          <w:sz w:val="24"/>
          <w:szCs w:val="24"/>
        </w:rPr>
        <w:t>1</w:t>
      </w:r>
      <w:bookmarkEnd w:id="113"/>
      <w:r>
        <w:rPr>
          <w:color w:val="000000"/>
          <w:spacing w:val="0"/>
          <w:w w:val="100"/>
          <w:position w:val="0"/>
          <w:sz w:val="24"/>
          <w:szCs w:val="24"/>
        </w:rPr>
        <w:t>1</w:t>
      </w:r>
      <w:r>
        <w:rPr>
          <w:color w:val="000000"/>
          <w:spacing w:val="0"/>
          <w:w w:val="100"/>
          <w:position w:val="0"/>
        </w:rPr>
        <w:t>、</w:t>
        <w:tab/>
        <w:t>软件外包、软硬件销售、数据处理等业务稳定发展。</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报告期内，公司收入主要来源于软件实施和客户支持业务，合计超过主营业务收入总额 的</w:t>
      </w:r>
      <w:r>
        <w:rPr>
          <w:color w:val="000000"/>
          <w:spacing w:val="0"/>
          <w:w w:val="100"/>
          <w:position w:val="0"/>
          <w:sz w:val="24"/>
          <w:szCs w:val="24"/>
        </w:rPr>
        <w:t>80%</w:t>
      </w:r>
      <w:r>
        <w:rPr>
          <w:color w:val="000000"/>
          <w:spacing w:val="0"/>
          <w:w w:val="100"/>
          <w:position w:val="0"/>
        </w:rPr>
        <w:t>。软件外包、软件销售、硬件销售、数据处理等业务，则衍生于软件实施业务，形成公 司业务的良好补充。其中软件外包服务业务是公司基于软件实施服务业务所积累的强大实施 团队与丰富实施经验而开拓的衍生业务领域，公司软件外包服务业务主要涉及软件实施服务 中</w:t>
      </w:r>
      <w:r>
        <w:rPr>
          <w:color w:val="000000"/>
          <w:spacing w:val="0"/>
          <w:w w:val="100"/>
          <w:position w:val="0"/>
          <w:sz w:val="24"/>
          <w:szCs w:val="24"/>
        </w:rPr>
        <w:t>ERP</w:t>
      </w:r>
      <w:r>
        <w:rPr>
          <w:color w:val="000000"/>
          <w:spacing w:val="0"/>
          <w:w w:val="100"/>
          <w:position w:val="0"/>
        </w:rPr>
        <w:t>软件二次开发与设计部分，以及一些为满足客户需求的技术开发外包工作等，</w:t>
      </w:r>
      <w:r>
        <w:rPr>
          <w:color w:val="000000"/>
          <w:spacing w:val="0"/>
          <w:w w:val="100"/>
          <w:position w:val="0"/>
          <w:sz w:val="24"/>
          <w:szCs w:val="24"/>
        </w:rPr>
        <w:t>2018</w:t>
      </w:r>
      <w:r>
        <w:rPr>
          <w:color w:val="000000"/>
          <w:spacing w:val="0"/>
          <w:w w:val="100"/>
          <w:position w:val="0"/>
        </w:rPr>
        <w:t>年公 司设立上海得逸信息技术有限公司以来，受益于企业对人天资源外包、软件开发、项目分包 服务等的需求增长，软件外包业务规模持续扩大，收入增长明显，未来公司将重点开拓中大 型客户，探索更多专业外包服务模式，构建长期竞争力。软件实施服务需要以对应的企业级 软件以及一些配套的硬件设施作为实施基础，因此公司在为客户提供实施服务前期会参考客 户自身意愿、结合客户的业务特点向客户销售相应的软硬件产品，受益于公司自主解决方案 及自主产品的快速积累和发展，公司软件销售业务中自主产品收入占比逐年提高。此外，公 司还根据部分客户的数据处理需求，为其提供扫描加工、数据处理、存储和分析等服务，未 来公司将基于公司自有开发平台，开发电子档案云系统，实现</w:t>
      </w:r>
      <w:r>
        <w:rPr>
          <w:color w:val="000000"/>
          <w:spacing w:val="0"/>
          <w:w w:val="100"/>
          <w:position w:val="0"/>
          <w:sz w:val="24"/>
          <w:szCs w:val="24"/>
        </w:rPr>
        <w:t>SaaS</w:t>
      </w:r>
      <w:r>
        <w:rPr>
          <w:color w:val="000000"/>
          <w:spacing w:val="0"/>
          <w:w w:val="100"/>
          <w:position w:val="0"/>
        </w:rPr>
        <w:t>服务。</w:t>
      </w:r>
    </w:p>
    <w:p>
      <w:pPr>
        <w:pStyle w:val="Style35"/>
        <w:keepNext w:val="0"/>
        <w:keepLines w:val="0"/>
        <w:widowControl w:val="0"/>
        <w:shd w:val="clear" w:color="auto" w:fill="auto"/>
        <w:tabs>
          <w:tab w:pos="943" w:val="left"/>
        </w:tabs>
        <w:bidi w:val="0"/>
        <w:spacing w:before="0" w:after="0" w:line="468" w:lineRule="exact"/>
        <w:ind w:left="0" w:right="0" w:firstLine="480"/>
        <w:jc w:val="left"/>
      </w:pPr>
      <w:bookmarkStart w:id="114" w:name="bookmark114"/>
      <w:r>
        <w:rPr>
          <w:color w:val="000000"/>
          <w:spacing w:val="0"/>
          <w:w w:val="100"/>
          <w:position w:val="0"/>
          <w:sz w:val="24"/>
          <w:szCs w:val="24"/>
        </w:rPr>
        <w:t>1</w:t>
      </w:r>
      <w:bookmarkEnd w:id="114"/>
      <w:r>
        <w:rPr>
          <w:color w:val="000000"/>
          <w:spacing w:val="0"/>
          <w:w w:val="100"/>
          <w:position w:val="0"/>
          <w:sz w:val="24"/>
          <w:szCs w:val="24"/>
        </w:rPr>
        <w:t>2</w:t>
      </w:r>
      <w:r>
        <w:rPr>
          <w:color w:val="000000"/>
          <w:spacing w:val="0"/>
          <w:w w:val="100"/>
          <w:position w:val="0"/>
        </w:rPr>
        <w:t>、</w:t>
        <w:tab/>
        <w:t>供应链金融业务维持一定规模，将引入更多银行等资金方合作。</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自</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月，公司设立全资子公司即上海汉得商业保理有限公司（以下简称“保理”</w:t>
      </w:r>
      <w:r>
        <w:rPr>
          <w:color w:val="000000"/>
          <w:spacing w:val="0"/>
          <w:w w:val="100"/>
          <w:position w:val="0"/>
          <w:sz w:val="24"/>
          <w:szCs w:val="24"/>
        </w:rPr>
        <w:t xml:space="preserve">） </w:t>
      </w:r>
      <w:r>
        <w:rPr>
          <w:color w:val="000000"/>
          <w:spacing w:val="0"/>
          <w:w w:val="100"/>
          <w:position w:val="0"/>
        </w:rPr>
        <w:t>以来，依托传统</w:t>
      </w:r>
      <w:r>
        <w:rPr>
          <w:color w:val="000000"/>
          <w:spacing w:val="0"/>
          <w:w w:val="100"/>
          <w:position w:val="0"/>
          <w:sz w:val="24"/>
          <w:szCs w:val="24"/>
        </w:rPr>
        <w:t>ERP</w:t>
      </w:r>
      <w:r>
        <w:rPr>
          <w:color w:val="000000"/>
          <w:spacing w:val="0"/>
          <w:w w:val="100"/>
          <w:position w:val="0"/>
        </w:rPr>
        <w:t>实施服务领域的核心客户资源，将公司自主研发的中小企业供应链金融云 平台，经过核心企业客户授权对接其</w:t>
      </w:r>
      <w:r>
        <w:rPr>
          <w:color w:val="000000"/>
          <w:spacing w:val="0"/>
          <w:w w:val="100"/>
          <w:position w:val="0"/>
          <w:sz w:val="24"/>
          <w:szCs w:val="24"/>
        </w:rPr>
        <w:t>ERP</w:t>
      </w:r>
      <w:r>
        <w:rPr>
          <w:color w:val="000000"/>
          <w:spacing w:val="0"/>
          <w:w w:val="100"/>
          <w:position w:val="0"/>
        </w:rPr>
        <w:t xml:space="preserve">信息系统及供应链模块，以获取公司核心企业客户与 </w:t>
      </w:r>
      <w:r>
        <w:rPr>
          <w:color w:val="000000"/>
          <w:spacing w:val="0"/>
          <w:w w:val="100"/>
          <w:position w:val="0"/>
        </w:rPr>
        <w:t>其供应商之间的订单、收货、发票、付款等真实的供应链交易数据，基于这些真实的交易数 据，公司以核心企业客户的应付账款（对其供应商而言为优质应收账款）为依据，向核心企 业客户的上游供应商提供保理服务，在核心企业客户偿还供应商应收账款之前，向核心企业 客户的供应商提供不超过应收账款规模的信用限额内的资金支持，待核心企业客户还款后， 向核心企业客户的供应商收取本金和利息费用，形成保理业务收入。公司的保理对象均为审 核认可的核心企业的上游供应商，核心企业具备一定的信息化基础，其本身作为还款来源， 还需维持良好的经营状况。凭借多年积累的系统实施经验和对核心企业业务流程的熟悉，汉 得保理能够高效实现数据的对接，并对数据进行准确的清洗转换；能够通过自动化的风控引 擎和风险预警模型，提前感知与预防风险。汉得供应链金融通过保理业务的实践能真实的了 解供应链金融业务开展的痛点和难点，相比传统的保理平台或金融科技平台更能从场景出发 贴合企业的管理需求。</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报告期内，保理业务规模有所收缩，收入较去年有所下降，主要原因为新冠肺炎疫情影 响，融资企业与其客户之间的业务量下降，融资标的和融资意愿都有所降低。报告期内，公 司实现了与资金方的试点合作推动，已实现双方系统层面的对接，未来将实现资金层面的合 作落地。公司还进一步优化了用户评级模型、风险量化模型和资产管理体系，同时针对报告 期内市场频繁爆发的违约等情况，公司加强了风控审核力度，目前仍然保持了良好的坏账和 逾期的管控。未来公司计划深挖资产端资源，一是提升每家核心企业上游供应商的合作数量 和规模；二是继续加大优质核心企业的推广，同时携手合作的资金方，为核心企业带来更多 创新型的供应链金融合作方案，为核心企业创造更多的财务收益，稳固产业链，提升供应链 整体的竞争力。产品研发上，会保持现有规模的研发投入，实现对多种资产包业务的支持， 同时增加一些创新供应链金融工具和模式的研发，为核心企业及资金方的合作提供平台支撑。</w:t>
      </w:r>
    </w:p>
    <w:p>
      <w:pPr>
        <w:pStyle w:val="Style35"/>
        <w:keepNext w:val="0"/>
        <w:keepLines w:val="0"/>
        <w:widowControl w:val="0"/>
        <w:shd w:val="clear" w:color="auto" w:fill="auto"/>
        <w:bidi w:val="0"/>
        <w:spacing w:before="0" w:after="0" w:line="468" w:lineRule="exact"/>
        <w:ind w:left="0" w:right="0" w:firstLine="480"/>
        <w:jc w:val="both"/>
      </w:pPr>
      <w:bookmarkStart w:id="115" w:name="bookmark115"/>
      <w:r>
        <w:rPr>
          <w:color w:val="000000"/>
          <w:spacing w:val="0"/>
          <w:w w:val="100"/>
          <w:position w:val="0"/>
          <w:sz w:val="24"/>
          <w:szCs w:val="24"/>
        </w:rPr>
        <w:t>1</w:t>
      </w:r>
      <w:bookmarkEnd w:id="115"/>
      <w:r>
        <w:rPr>
          <w:color w:val="000000"/>
          <w:spacing w:val="0"/>
          <w:w w:val="100"/>
          <w:position w:val="0"/>
          <w:sz w:val="24"/>
          <w:szCs w:val="24"/>
        </w:rPr>
        <w:t>3</w:t>
      </w:r>
      <w:r>
        <w:rPr>
          <w:color w:val="000000"/>
          <w:spacing w:val="0"/>
          <w:w w:val="100"/>
          <w:position w:val="0"/>
        </w:rPr>
        <w:t>、公司与百度双方合作进展顺利。</w:t>
      </w:r>
    </w:p>
    <w:p>
      <w:pPr>
        <w:pStyle w:val="Style35"/>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公司与百度的具体业务合作领域包括但不限于云计算、共享服务、垂直业务等，通过加 深双方的合作层次，促使双方在战略合作中发挥更积极的作用，同时能够更好地调动内外部 资源支持双方的合作。具体而言，一方面，百度的技术能力、研发能力较强，百度云服务等 </w:t>
      </w:r>
      <w:r>
        <w:rPr>
          <w:color w:val="000000"/>
          <w:spacing w:val="0"/>
          <w:w w:val="100"/>
          <w:position w:val="0"/>
          <w:sz w:val="24"/>
          <w:szCs w:val="24"/>
        </w:rPr>
        <w:t>2B</w:t>
      </w:r>
      <w:r>
        <w:rPr>
          <w:color w:val="000000"/>
          <w:spacing w:val="0"/>
          <w:w w:val="100"/>
          <w:position w:val="0"/>
        </w:rPr>
        <w:t>业务正在迅速发展中，而另一方面，公司对企业用户的需求有深入的理解和积累，并且拥 有成熟的顾问人才队伍和完善的业务网络；此外公司服务多年且数量众多的大型企业客户群 体，也是将双方深度合作成果落地的客户基础，双方可以在上述各方面实现优势互补。</w:t>
      </w:r>
    </w:p>
    <w:p>
      <w:pPr>
        <w:pStyle w:val="Style35"/>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借助百度强大的品牌效应和市场声量，双方联合推出的产品能获得市场的广泛关注和独 </w:t>
      </w:r>
      <w:r>
        <w:rPr>
          <w:color w:val="000000"/>
          <w:spacing w:val="0"/>
          <w:w w:val="100"/>
          <w:position w:val="0"/>
        </w:rPr>
        <w:t>特的竞争优势。百度将其自身领先的人工智能技术、云技术等向公司全面开放，使公司在构 筑融合中台时能有效提高产品构建效率和先进性、智能性。百度提供的云服务性价比更高， 能有效降低运营成本，尤其是对</w:t>
      </w:r>
      <w:r>
        <w:rPr>
          <w:color w:val="000000"/>
          <w:spacing w:val="0"/>
          <w:w w:val="100"/>
          <w:position w:val="0"/>
          <w:sz w:val="24"/>
          <w:szCs w:val="24"/>
        </w:rPr>
        <w:t>SaaS</w:t>
      </w:r>
      <w:r>
        <w:rPr>
          <w:color w:val="000000"/>
          <w:spacing w:val="0"/>
          <w:w w:val="100"/>
          <w:position w:val="0"/>
        </w:rPr>
        <w:t>产品。公司通过与百度合作建立起自业务应用到底层基 础设置的全面服务能力，真正做到企业数字化转型过程中的一站式服务。</w:t>
      </w:r>
    </w:p>
    <w:p>
      <w:pPr>
        <w:pStyle w:val="Style35"/>
        <w:keepNext w:val="0"/>
        <w:keepLines w:val="0"/>
        <w:widowControl w:val="0"/>
        <w:shd w:val="clear" w:color="auto" w:fill="auto"/>
        <w:bidi w:val="0"/>
        <w:spacing w:before="0" w:after="520" w:line="467" w:lineRule="exact"/>
        <w:ind w:left="0" w:right="0" w:firstLine="500"/>
        <w:jc w:val="both"/>
      </w:pPr>
      <w:r>
        <w:rPr>
          <w:color w:val="000000"/>
          <w:spacing w:val="0"/>
          <w:w w:val="100"/>
          <w:position w:val="0"/>
        </w:rPr>
        <w:t>自签署《战略合作框架协议》以来，公司与百度在云资源、数据平台、人工智能、工业 互联网、物联网、企业级大数据技术等方面展开了全面落地合作。合作形式包括共研共创、 相互融合解决方案（大数据、</w:t>
      </w:r>
      <w:r>
        <w:rPr>
          <w:color w:val="000000"/>
          <w:spacing w:val="0"/>
          <w:w w:val="100"/>
          <w:position w:val="0"/>
          <w:sz w:val="24"/>
          <w:szCs w:val="24"/>
        </w:rPr>
        <w:t>IoT</w:t>
      </w:r>
      <w:r>
        <w:rPr>
          <w:color w:val="000000"/>
          <w:spacing w:val="0"/>
          <w:w w:val="100"/>
          <w:position w:val="0"/>
        </w:rPr>
        <w:t>、</w:t>
      </w:r>
      <w:r>
        <w:rPr>
          <w:color w:val="000000"/>
          <w:spacing w:val="0"/>
          <w:w w:val="100"/>
          <w:position w:val="0"/>
        </w:rPr>
        <w:t>物流地图、无人驾驶等），联合交付软件系统，代理与转 售、以及商务与产品层面协同走向市场等。合作以来双方已经建立起良好的商机协作机制， 形成良好的资源互补，双方共享前沿动态、行业</w:t>
      </w:r>
      <w:r>
        <w:rPr>
          <w:color w:val="000000"/>
          <w:spacing w:val="0"/>
          <w:w w:val="100"/>
          <w:position w:val="0"/>
          <w:sz w:val="24"/>
          <w:szCs w:val="24"/>
        </w:rPr>
        <w:t>know-how</w:t>
      </w:r>
      <w:r>
        <w:rPr>
          <w:color w:val="000000"/>
          <w:spacing w:val="0"/>
          <w:w w:val="100"/>
          <w:position w:val="0"/>
        </w:rPr>
        <w:t>、解决方案总结等，并共享客户资 源、区域渠道等。公司</w:t>
      </w:r>
      <w:r>
        <w:rPr>
          <w:color w:val="000000"/>
          <w:spacing w:val="0"/>
          <w:w w:val="100"/>
          <w:position w:val="0"/>
          <w:sz w:val="24"/>
          <w:szCs w:val="24"/>
        </w:rPr>
        <w:t>2019</w:t>
      </w:r>
      <w:r>
        <w:rPr>
          <w:color w:val="000000"/>
          <w:spacing w:val="0"/>
          <w:w w:val="100"/>
          <w:position w:val="0"/>
        </w:rPr>
        <w:t>年与百度联合发布了企业融合中台、差旅报销、供应商关系管理 等产品，市场反馈良好，极为有效的提升了融合中台产品线在市场的声量；借助于百度人工 智能和大数据方面的基础能力，有力提高了中台产品的核心竞争力和差异化优势。</w:t>
      </w:r>
      <w:r>
        <w:rPr>
          <w:color w:val="000000"/>
          <w:spacing w:val="0"/>
          <w:w w:val="100"/>
          <w:position w:val="0"/>
          <w:sz w:val="24"/>
          <w:szCs w:val="24"/>
        </w:rPr>
        <w:t>2020</w:t>
      </w:r>
      <w:r>
        <w:rPr>
          <w:color w:val="000000"/>
          <w:spacing w:val="0"/>
          <w:w w:val="100"/>
          <w:position w:val="0"/>
        </w:rPr>
        <w:t>年双 方在智慧园区、能源管理智能化等方面开展了新的合作。通过打通百度智能平台，双方致力 于通过全新的技术手段（主要基于人工智能和大数据技术）革新企业能源管理的传统面貌， 助力传统企业的绿色经济升级。报告期内，因新冠肺炎疫情，受客户在新技术投资方面审慎 观望态度影响，与百度相关的人工智能方向业务受影响较严重，同比收入下降明显，但</w:t>
      </w:r>
      <w:r>
        <w:rPr>
          <w:color w:val="000000"/>
          <w:spacing w:val="0"/>
          <w:w w:val="100"/>
          <w:position w:val="0"/>
          <w:sz w:val="24"/>
          <w:szCs w:val="24"/>
        </w:rPr>
        <w:t>5</w:t>
      </w:r>
      <w:r>
        <w:rPr>
          <w:color w:val="000000"/>
          <w:spacing w:val="0"/>
          <w:w w:val="100"/>
          <w:position w:val="0"/>
        </w:rPr>
        <w:t>月起 全面复工复产后，订单量在逐步回升中，报告期内公司与百度在智能工单、智能合同管理、 智能能源管理等方面均获取了不少商机，未来公司将继续加深与百度在产品开发、商机层面 的协作，着力发展企业融合中台、基础计算资源、人工智能（包括但不限于图像识别、能源 管理智能化、工业质检等方向）等领域的合作。</w:t>
      </w:r>
    </w:p>
    <w:p>
      <w:pPr>
        <w:pStyle w:val="Style26"/>
        <w:keepNext/>
        <w:keepLines/>
        <w:widowControl w:val="0"/>
        <w:shd w:val="clear" w:color="auto" w:fill="auto"/>
        <w:bidi w:val="0"/>
        <w:spacing w:before="0" w:line="467" w:lineRule="exact"/>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二</w:t>
      </w:r>
      <w:bookmarkEnd w:id="118"/>
      <w:r>
        <w:rPr>
          <w:color w:val="000000"/>
          <w:spacing w:val="0"/>
          <w:w w:val="100"/>
          <w:position w:val="0"/>
        </w:rPr>
        <w:t>、主营业务分析</w:t>
      </w:r>
      <w:bookmarkEnd w:id="116"/>
      <w:bookmarkEnd w:id="117"/>
      <w:bookmarkEnd w:id="119"/>
    </w:p>
    <w:p>
      <w:pPr>
        <w:pStyle w:val="Style32"/>
        <w:keepNext/>
        <w:keepLines/>
        <w:widowControl w:val="0"/>
        <w:shd w:val="clear" w:color="auto" w:fill="auto"/>
        <w:tabs>
          <w:tab w:pos="308" w:val="left"/>
        </w:tabs>
        <w:bidi w:val="0"/>
        <w:spacing w:before="0" w:line="240" w:lineRule="auto"/>
        <w:ind w:left="0" w:right="0" w:firstLine="0"/>
        <w:jc w:val="both"/>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w:t>
        <w:tab/>
        <w:t>概述</w:t>
      </w:r>
      <w:bookmarkEnd w:id="120"/>
      <w:bookmarkEnd w:id="121"/>
      <w:bookmarkEnd w:id="123"/>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18" w:val="left"/>
        </w:tabs>
        <w:bidi w:val="0"/>
        <w:spacing w:before="0" w:line="240" w:lineRule="auto"/>
        <w:ind w:left="0" w:right="0" w:firstLine="0"/>
        <w:jc w:val="both"/>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w:t>
        <w:tab/>
        <w:t>收入与成本</w:t>
      </w:r>
      <w:bookmarkEnd w:id="124"/>
      <w:bookmarkEnd w:id="125"/>
      <w:bookmarkEnd w:id="127"/>
    </w:p>
    <w:p>
      <w:pPr>
        <w:pStyle w:val="Style41"/>
        <w:keepNext/>
        <w:keepLines/>
        <w:widowControl w:val="0"/>
        <w:shd w:val="clear" w:color="auto" w:fill="auto"/>
        <w:bidi w:val="0"/>
        <w:spacing w:before="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8"/>
      <w:bookmarkEnd w:id="129"/>
      <w:bookmarkEnd w:id="131"/>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2,723,440,576.81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2,473,835,316.31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2,697,716,603.61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13,245,497.57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23,019,734.57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6,004,153.64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2,704,238.63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122.03%</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软件销售与实施</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483,126,519.89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580,510,906.04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软件销售与实施</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第三方产品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1,150,001,384.24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1,287,920,497.04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硬件销售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1,521,721.04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18,021,533.22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248,905,504.04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257,155,347.46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558,175,001.93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532,577,154.08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数据处理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27,745,916.61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21,531,165.77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13,245,497.57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23,019,734.57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10,363,422.20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2,704,238.63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2,228,283,249.68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2,478,729,947.20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264,801,717.84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244,710,629.61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公司需遵守《深圳证券交易所行业信息披露指引第</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7"/>
          <w:szCs w:val="17"/>
        </w:rPr>
        <w:t>号——上市公司从事软件与信息技术服务业务》的披露要求</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第四季度</w:t>
            </w: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589,325,380.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599,791,395.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672,530,464.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631,437,727.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701,838,700.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901,476,388.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632,861,991.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487,263,496.</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 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12,130,733.3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13,421,870.5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15,360,334.2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24,796,550.4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65,813,893.0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102,361,857.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-84,339,008.</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2,277,459.47</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vMerge/>
            <w:tcBorders>
              <w:left w:val="single" w:sz="4"/>
              <w:bottom w:val="single" w:sz="4"/>
              <w:right w:val="single" w:sz="4"/>
            </w:tcBorders>
            <w:shd w:val="clear" w:color="auto" w:fill="FFFFFF"/>
            <w:vAlign w:val="center"/>
          </w:tcPr>
          <w:p>
            <w:pP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说明经营季节性(或周期性)发生的原因及波动风险</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41"/>
        <w:keepNext/>
        <w:keepLines/>
        <w:widowControl w:val="0"/>
        <w:numPr>
          <w:ilvl w:val="0"/>
          <w:numId w:val="1"/>
        </w:numPr>
        <w:shd w:val="clear" w:color="auto" w:fill="auto"/>
        <w:bidi w:val="0"/>
        <w:spacing w:before="0" w:after="24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2"/>
      <w:bookmarkEnd w:id="133"/>
      <w:bookmarkEnd w:id="135"/>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80" w:line="350" w:lineRule="exact"/>
        <w:ind w:left="8920" w:right="0" w:hanging="89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单位：元</w:t>
      </w:r>
      <w:r>
        <w:br w:type="page"/>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2,473,835,316.31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1,643,685,924.76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软件销售与实施</w:t>
            </w:r>
          </w:p>
          <w:p>
            <w:pPr>
              <w:pStyle w:val="Style22"/>
              <w:keepNext w:val="0"/>
              <w:keepLines w:val="0"/>
              <w:widowControl w:val="0"/>
              <w:shd w:val="clear" w:color="auto" w:fill="auto"/>
              <w:tabs>
                <w:tab w:leader="hyphen" w:pos="360" w:val="left"/>
              </w:tabs>
              <w:bidi w:val="0"/>
              <w:spacing w:before="0" w:after="0" w:line="240" w:lineRule="auto"/>
              <w:ind w:left="0" w:right="0" w:firstLine="0"/>
              <w:jc w:val="left"/>
              <w:rPr>
                <w:sz w:val="17"/>
                <w:szCs w:val="17"/>
              </w:rPr>
            </w:pPr>
            <w:r>
              <w:rPr>
                <w:color w:val="000000"/>
                <w:spacing w:val="0"/>
                <w:w w:val="100"/>
                <w:position w:val="0"/>
                <w:sz w:val="17"/>
                <w:szCs w:val="17"/>
              </w:rPr>
              <w:tab/>
              <w:t>自主产品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483,126,519.89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299,173,912.04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软件销售与实施</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第三方产品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1,150,001,384.24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820,576,041.40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248,905,504.04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170,144,188.32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558,175,001.93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333,220,336.75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2,228,283,249.68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1,449,692,715.32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6"/>
      <w:bookmarkEnd w:id="137"/>
      <w:bookmarkEnd w:id="139"/>
    </w:p>
    <w:p>
      <w:pPr>
        <w:pStyle w:val="Style28"/>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493" w:val="left"/>
        </w:tabs>
        <w:bidi w:val="0"/>
        <w:spacing w:before="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0"/>
      <w:bookmarkEnd w:id="141"/>
      <w:bookmarkEnd w:id="143"/>
    </w:p>
    <w:p>
      <w:pPr>
        <w:pStyle w:val="Style28"/>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4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4"/>
      <w:bookmarkEnd w:id="145"/>
      <w:bookmarkEnd w:id="147"/>
    </w:p>
    <w:p>
      <w:pPr>
        <w:pStyle w:val="Style28"/>
        <w:keepNext w:val="0"/>
        <w:keepLines w:val="0"/>
        <w:widowControl w:val="0"/>
        <w:shd w:val="clear" w:color="auto" w:fill="auto"/>
        <w:bidi w:val="0"/>
        <w:spacing w:before="0" w:after="120" w:line="341" w:lineRule="exact"/>
        <w:ind w:left="0" w:right="0" w:firstLine="0"/>
        <w:jc w:val="both"/>
      </w:pPr>
      <w:r>
        <w:rPr>
          <w:color w:val="000000"/>
          <w:spacing w:val="0"/>
          <w:w w:val="100"/>
          <w:position w:val="0"/>
        </w:rPr>
        <w:t>行业和产品分类</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1,643,685,924.76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1,883,369,855.66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6,203,034.45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6,846,210.06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868,958.48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软件销售与实施</w:t>
            </w:r>
          </w:p>
          <w:p>
            <w:pPr>
              <w:pStyle w:val="Style22"/>
              <w:keepNext w:val="0"/>
              <w:keepLines w:val="0"/>
              <w:widowControl w:val="0"/>
              <w:shd w:val="clear" w:color="auto" w:fill="auto"/>
              <w:tabs>
                <w:tab w:leader="hyphen" w:pos="360" w:val="left"/>
              </w:tabs>
              <w:bidi w:val="0"/>
              <w:spacing w:before="0" w:after="0" w:line="240" w:lineRule="auto"/>
              <w:ind w:left="0" w:right="0" w:firstLine="0"/>
              <w:jc w:val="left"/>
              <w:rPr>
                <w:sz w:val="17"/>
                <w:szCs w:val="17"/>
              </w:rPr>
            </w:pPr>
            <w:r>
              <w:rPr>
                <w:color w:val="000000"/>
                <w:spacing w:val="0"/>
                <w:w w:val="100"/>
                <w:position w:val="0"/>
                <w:sz w:val="17"/>
                <w:szCs w:val="17"/>
              </w:rPr>
              <w:tab/>
              <w:t>自主产品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299,173,912.04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412,914,121.07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软件销售与实施</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第三方产品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820,576,041.40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968,146,210.19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硬件销售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14,975,725.52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170,144,188.32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182,717,259.74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333,220,336.75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289,805,433.61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20,571,446.25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14,811,105.53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6,203,034.45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6,846,210.06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868,958.48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说明</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主营业务成本构成</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软件销售与实施</w:t>
            </w:r>
          </w:p>
          <w:p>
            <w:pPr>
              <w:pStyle w:val="Style22"/>
              <w:keepNext w:val="0"/>
              <w:keepLines w:val="0"/>
              <w:widowControl w:val="0"/>
              <w:shd w:val="clear" w:color="auto" w:fill="auto"/>
              <w:tabs>
                <w:tab w:leader="hyphen" w:pos="360" w:val="left"/>
              </w:tabs>
              <w:bidi w:val="0"/>
              <w:spacing w:before="0" w:after="0" w:line="240" w:lineRule="auto"/>
              <w:ind w:left="0" w:right="0" w:firstLine="0"/>
              <w:jc w:val="left"/>
              <w:rPr>
                <w:sz w:val="17"/>
                <w:szCs w:val="17"/>
              </w:rPr>
            </w:pPr>
            <w:r>
              <w:rPr>
                <w:color w:val="000000"/>
                <w:spacing w:val="0"/>
                <w:w w:val="100"/>
                <w:position w:val="0"/>
                <w:sz w:val="17"/>
                <w:szCs w:val="17"/>
              </w:rPr>
              <w:tab/>
              <w:t>自主产品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299,173,912.04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412,914,121.07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软件销售与实施</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第三方产品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820,576,041.40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968,146,210.19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硬件销售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14,975,725.52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170,144,188.32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182,717,259.74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333,220,336.75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289,805,433.61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数据处理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20,571,446.25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14,811,105.53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6,203,034.45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6,846,210.06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868,958.48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8"/>
      <w:bookmarkEnd w:id="149"/>
      <w:bookmarkEnd w:id="151"/>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5"/>
        <w:keepNext w:val="0"/>
        <w:keepLines w:val="0"/>
        <w:widowControl w:val="0"/>
        <w:shd w:val="clear" w:color="auto" w:fill="auto"/>
        <w:bidi w:val="0"/>
        <w:spacing w:before="0" w:after="0" w:line="475" w:lineRule="exact"/>
        <w:ind w:left="0" w:right="0" w:firstLine="480"/>
        <w:jc w:val="both"/>
      </w:pPr>
      <w:bookmarkStart w:id="152" w:name="bookmark152"/>
      <w:r>
        <w:rPr>
          <w:color w:val="000000"/>
          <w:spacing w:val="0"/>
          <w:w w:val="100"/>
          <w:position w:val="0"/>
          <w:sz w:val="24"/>
          <w:szCs w:val="24"/>
        </w:rPr>
        <w:t>1</w:t>
      </w:r>
      <w:bookmarkEnd w:id="152"/>
      <w:r>
        <w:rPr>
          <w:color w:val="000000"/>
          <w:spacing w:val="0"/>
          <w:w w:val="100"/>
          <w:position w:val="0"/>
        </w:rPr>
        <w:t>、</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2</w:t>
      </w:r>
      <w:r>
        <w:rPr>
          <w:color w:val="000000"/>
          <w:spacing w:val="0"/>
          <w:w w:val="100"/>
          <w:position w:val="0"/>
        </w:rPr>
        <w:t>月，公司认缴出资</w:t>
      </w:r>
      <w:r>
        <w:rPr>
          <w:color w:val="000000"/>
          <w:spacing w:val="0"/>
          <w:w w:val="100"/>
          <w:position w:val="0"/>
          <w:sz w:val="24"/>
          <w:szCs w:val="24"/>
        </w:rPr>
        <w:t>5000</w:t>
      </w:r>
      <w:r>
        <w:rPr>
          <w:color w:val="000000"/>
          <w:spacing w:val="0"/>
          <w:w w:val="100"/>
          <w:position w:val="0"/>
        </w:rPr>
        <w:t>万元人民币设立上海汇羿信息技术有限公司。设立当 年汇羿信息未实际经营。</w:t>
      </w:r>
      <w:r>
        <w:rPr>
          <w:color w:val="000000"/>
          <w:spacing w:val="0"/>
          <w:w w:val="100"/>
          <w:position w:val="0"/>
          <w:sz w:val="24"/>
          <w:szCs w:val="24"/>
        </w:rPr>
        <w:t>2020</w:t>
      </w:r>
      <w:r>
        <w:rPr>
          <w:color w:val="000000"/>
          <w:spacing w:val="0"/>
          <w:w w:val="100"/>
          <w:position w:val="0"/>
        </w:rPr>
        <w:t>年起，汇羿信息开始经营即纳入合并范围。</w:t>
      </w:r>
    </w:p>
    <w:p>
      <w:pPr>
        <w:pStyle w:val="Style35"/>
        <w:keepNext w:val="0"/>
        <w:keepLines w:val="0"/>
        <w:widowControl w:val="0"/>
        <w:shd w:val="clear" w:color="auto" w:fill="auto"/>
        <w:bidi w:val="0"/>
        <w:spacing w:before="0" w:after="140" w:line="475" w:lineRule="exact"/>
        <w:ind w:left="0" w:right="0" w:firstLine="480"/>
        <w:jc w:val="both"/>
      </w:pPr>
      <w:bookmarkStart w:id="153" w:name="bookmark153"/>
      <w:r>
        <w:rPr>
          <w:color w:val="000000"/>
          <w:spacing w:val="0"/>
          <w:w w:val="100"/>
          <w:position w:val="0"/>
          <w:sz w:val="24"/>
          <w:szCs w:val="24"/>
        </w:rPr>
        <w:t>2</w:t>
      </w:r>
      <w:bookmarkEnd w:id="153"/>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9</w:t>
      </w:r>
      <w:r>
        <w:rPr>
          <w:color w:val="000000"/>
          <w:spacing w:val="0"/>
          <w:w w:val="100"/>
          <w:position w:val="0"/>
        </w:rPr>
        <w:t>月，公司与宁波英赛企业管理咨询合伙企业（有限合伙）协议共同出资</w:t>
      </w:r>
      <w:r>
        <w:rPr>
          <w:color w:val="000000"/>
          <w:spacing w:val="0"/>
          <w:w w:val="100"/>
          <w:position w:val="0"/>
          <w:sz w:val="24"/>
          <w:szCs w:val="24"/>
        </w:rPr>
        <w:t>1000</w:t>
      </w:r>
      <w:r>
        <w:rPr>
          <w:color w:val="000000"/>
          <w:spacing w:val="0"/>
          <w:w w:val="100"/>
          <w:position w:val="0"/>
        </w:rPr>
        <w:t>万 元设立上海亿砹科技有限公司，其中公司认缴出资</w:t>
      </w:r>
      <w:r>
        <w:rPr>
          <w:color w:val="000000"/>
          <w:spacing w:val="0"/>
          <w:w w:val="100"/>
          <w:position w:val="0"/>
          <w:sz w:val="24"/>
          <w:szCs w:val="24"/>
        </w:rPr>
        <w:t>600</w:t>
      </w:r>
      <w:r>
        <w:rPr>
          <w:color w:val="000000"/>
          <w:spacing w:val="0"/>
          <w:w w:val="100"/>
          <w:position w:val="0"/>
        </w:rPr>
        <w:t>万元人民币，取得亿砹科技</w:t>
      </w:r>
      <w:r>
        <w:rPr>
          <w:color w:val="000000"/>
          <w:spacing w:val="0"/>
          <w:w w:val="100"/>
          <w:position w:val="0"/>
          <w:sz w:val="24"/>
          <w:szCs w:val="24"/>
        </w:rPr>
        <w:t>60%</w:t>
      </w:r>
      <w:r>
        <w:rPr>
          <w:color w:val="000000"/>
          <w:spacing w:val="0"/>
          <w:w w:val="100"/>
          <w:position w:val="0"/>
        </w:rPr>
        <w:t>股权， 设立当年未实际经营。</w:t>
      </w:r>
      <w:r>
        <w:rPr>
          <w:color w:val="000000"/>
          <w:spacing w:val="0"/>
          <w:w w:val="100"/>
          <w:position w:val="0"/>
          <w:sz w:val="24"/>
          <w:szCs w:val="24"/>
        </w:rPr>
        <w:t>2020</w:t>
      </w:r>
      <w:r>
        <w:rPr>
          <w:color w:val="000000"/>
          <w:spacing w:val="0"/>
          <w:w w:val="100"/>
          <w:position w:val="0"/>
        </w:rPr>
        <w:t>年起，亿砹科技开始经营即纳入合并范围。</w:t>
      </w:r>
    </w:p>
    <w:p>
      <w:pPr>
        <w:pStyle w:val="Style35"/>
        <w:keepNext w:val="0"/>
        <w:keepLines w:val="0"/>
        <w:widowControl w:val="0"/>
        <w:shd w:val="clear" w:color="auto" w:fill="auto"/>
        <w:tabs>
          <w:tab w:pos="839" w:val="left"/>
        </w:tabs>
        <w:bidi w:val="0"/>
        <w:spacing w:before="0" w:after="440" w:line="474" w:lineRule="exact"/>
        <w:ind w:left="0" w:right="0" w:firstLine="480"/>
        <w:jc w:val="both"/>
      </w:pPr>
      <w:bookmarkStart w:id="154" w:name="bookmark154"/>
      <w:r>
        <w:rPr>
          <w:color w:val="000000"/>
          <w:spacing w:val="0"/>
          <w:w w:val="100"/>
          <w:position w:val="0"/>
          <w:sz w:val="24"/>
          <w:szCs w:val="24"/>
        </w:rPr>
        <w:t>3</w:t>
      </w:r>
      <w:bookmarkEnd w:id="154"/>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月，公司与宁波协智企业管理咨询合伙企业（有限合伙）和宁波小手企业管 理咨询合伙企业（有限合伙）合计投资</w:t>
      </w:r>
      <w:r>
        <w:rPr>
          <w:color w:val="000000"/>
          <w:spacing w:val="0"/>
          <w:w w:val="100"/>
          <w:position w:val="0"/>
          <w:sz w:val="24"/>
          <w:szCs w:val="24"/>
        </w:rPr>
        <w:t>1000</w:t>
      </w:r>
      <w:r>
        <w:rPr>
          <w:color w:val="000000"/>
          <w:spacing w:val="0"/>
          <w:w w:val="100"/>
          <w:position w:val="0"/>
        </w:rPr>
        <w:t>万人民币设立合资经营企业上海甄一科技有限公 司。其中公司以一步制造云软件著作权作价出资</w:t>
      </w:r>
      <w:r>
        <w:rPr>
          <w:color w:val="000000"/>
          <w:spacing w:val="0"/>
          <w:w w:val="100"/>
          <w:position w:val="0"/>
          <w:sz w:val="24"/>
          <w:szCs w:val="24"/>
        </w:rPr>
        <w:t>484.45</w:t>
      </w:r>
      <w:r>
        <w:rPr>
          <w:color w:val="000000"/>
          <w:spacing w:val="0"/>
          <w:w w:val="100"/>
          <w:position w:val="0"/>
        </w:rPr>
        <w:t>万元，以及货币资金认缴出资</w:t>
      </w:r>
      <w:r>
        <w:rPr>
          <w:color w:val="000000"/>
          <w:spacing w:val="0"/>
          <w:w w:val="100"/>
          <w:position w:val="0"/>
          <w:sz w:val="24"/>
          <w:szCs w:val="24"/>
        </w:rPr>
        <w:t>400</w:t>
      </w:r>
      <w:r>
        <w:rPr>
          <w:color w:val="000000"/>
          <w:spacing w:val="0"/>
          <w:w w:val="100"/>
          <w:position w:val="0"/>
        </w:rPr>
        <w:t>万元, 合计出资</w:t>
      </w:r>
      <w:r>
        <w:rPr>
          <w:color w:val="000000"/>
          <w:spacing w:val="0"/>
          <w:w w:val="100"/>
          <w:position w:val="0"/>
          <w:sz w:val="24"/>
          <w:szCs w:val="24"/>
        </w:rPr>
        <w:t>884.45</w:t>
      </w:r>
      <w:r>
        <w:rPr>
          <w:color w:val="000000"/>
          <w:spacing w:val="0"/>
          <w:w w:val="100"/>
          <w:position w:val="0"/>
        </w:rPr>
        <w:t>万元认缴注册资本</w:t>
      </w:r>
      <w:r>
        <w:rPr>
          <w:color w:val="000000"/>
          <w:spacing w:val="0"/>
          <w:w w:val="100"/>
          <w:position w:val="0"/>
          <w:sz w:val="24"/>
          <w:szCs w:val="24"/>
        </w:rPr>
        <w:t>700</w:t>
      </w:r>
      <w:r>
        <w:rPr>
          <w:color w:val="000000"/>
          <w:spacing w:val="0"/>
          <w:w w:val="100"/>
          <w:position w:val="0"/>
        </w:rPr>
        <w:t>万元，占合资公司注册资本的</w:t>
      </w:r>
      <w:r>
        <w:rPr>
          <w:color w:val="000000"/>
          <w:spacing w:val="0"/>
          <w:w w:val="100"/>
          <w:position w:val="0"/>
          <w:sz w:val="24"/>
          <w:szCs w:val="24"/>
        </w:rPr>
        <w:t>70%</w:t>
      </w:r>
      <w:r>
        <w:rPr>
          <w:color w:val="000000"/>
          <w:spacing w:val="0"/>
          <w:w w:val="100"/>
          <w:position w:val="0"/>
        </w:rPr>
        <w:t>。</w:t>
      </w:r>
      <w:r>
        <w:rPr>
          <w:color w:val="000000"/>
          <w:spacing w:val="0"/>
          <w:w w:val="100"/>
          <w:position w:val="0"/>
          <w:sz w:val="24"/>
          <w:szCs w:val="24"/>
        </w:rPr>
        <w:t>2020</w:t>
      </w:r>
      <w:r>
        <w:rPr>
          <w:color w:val="000000"/>
          <w:spacing w:val="0"/>
          <w:w w:val="100"/>
          <w:position w:val="0"/>
        </w:rPr>
        <w:t>年起，甄一科 技纳入合并范围。</w:t>
      </w:r>
    </w:p>
    <w:p>
      <w:pPr>
        <w:pStyle w:val="Style35"/>
        <w:keepNext w:val="0"/>
        <w:keepLines w:val="0"/>
        <w:widowControl w:val="0"/>
        <w:shd w:val="clear" w:color="auto" w:fill="auto"/>
        <w:tabs>
          <w:tab w:pos="839" w:val="left"/>
        </w:tabs>
        <w:bidi w:val="0"/>
        <w:spacing w:before="0" w:after="760" w:line="469" w:lineRule="exact"/>
        <w:ind w:left="0" w:right="0" w:firstLine="480"/>
        <w:jc w:val="both"/>
      </w:pPr>
      <w:bookmarkStart w:id="155" w:name="bookmark155"/>
      <w:r>
        <w:rPr>
          <w:color w:val="000000"/>
          <w:spacing w:val="0"/>
          <w:w w:val="100"/>
          <w:position w:val="0"/>
          <w:sz w:val="24"/>
          <w:szCs w:val="24"/>
        </w:rPr>
        <w:t>4</w:t>
      </w:r>
      <w:bookmarkEnd w:id="155"/>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10</w:t>
      </w:r>
      <w:r>
        <w:rPr>
          <w:color w:val="000000"/>
          <w:spacing w:val="0"/>
          <w:w w:val="100"/>
          <w:position w:val="0"/>
        </w:rPr>
        <w:t>月，本公司与蕖可欣、接楠文合计投资</w:t>
      </w:r>
      <w:r>
        <w:rPr>
          <w:color w:val="000000"/>
          <w:spacing w:val="0"/>
          <w:w w:val="100"/>
          <w:position w:val="0"/>
          <w:sz w:val="24"/>
          <w:szCs w:val="24"/>
        </w:rPr>
        <w:t>2800</w:t>
      </w:r>
      <w:r>
        <w:rPr>
          <w:color w:val="000000"/>
          <w:spacing w:val="0"/>
          <w:w w:val="100"/>
          <w:position w:val="0"/>
        </w:rPr>
        <w:t>万元新台币设立合资经营企业台 湾汉得科技股份有限公司，本公司认缴比例为</w:t>
      </w:r>
      <w:r>
        <w:rPr>
          <w:color w:val="000000"/>
          <w:spacing w:val="0"/>
          <w:w w:val="100"/>
          <w:position w:val="0"/>
          <w:sz w:val="24"/>
          <w:szCs w:val="24"/>
        </w:rPr>
        <w:t>87.50%，</w:t>
      </w:r>
      <w:r>
        <w:rPr>
          <w:color w:val="000000"/>
          <w:spacing w:val="0"/>
          <w:w w:val="100"/>
          <w:position w:val="0"/>
        </w:rPr>
        <w:t>蕖可欣及接楠文分别认缴比例为</w:t>
      </w:r>
      <w:r>
        <w:rPr>
          <w:color w:val="000000"/>
          <w:spacing w:val="0"/>
          <w:w w:val="100"/>
          <w:position w:val="0"/>
          <w:sz w:val="24"/>
          <w:szCs w:val="24"/>
        </w:rPr>
        <w:t>6.25%</w:t>
      </w:r>
      <w:r>
        <w:rPr>
          <w:color w:val="000000"/>
          <w:spacing w:val="0"/>
          <w:w w:val="100"/>
          <w:position w:val="0"/>
        </w:rPr>
        <w:t>。 本年度，公司以货币资金出资认缴注册资本</w:t>
      </w:r>
      <w:r>
        <w:rPr>
          <w:color w:val="000000"/>
          <w:spacing w:val="0"/>
          <w:w w:val="100"/>
          <w:position w:val="0"/>
          <w:sz w:val="24"/>
          <w:szCs w:val="24"/>
        </w:rPr>
        <w:t>1575</w:t>
      </w:r>
      <w:r>
        <w:rPr>
          <w:color w:val="000000"/>
          <w:spacing w:val="0"/>
          <w:w w:val="100"/>
          <w:position w:val="0"/>
        </w:rPr>
        <w:t xml:space="preserve">万元新台币，占合资公司实缴注册资本的 </w:t>
      </w:r>
      <w:r>
        <w:rPr>
          <w:color w:val="000000"/>
          <w:spacing w:val="0"/>
          <w:w w:val="100"/>
          <w:position w:val="0"/>
          <w:sz w:val="24"/>
          <w:szCs w:val="24"/>
        </w:rPr>
        <w:t>87.50%</w:t>
      </w:r>
      <w:r>
        <w:rPr>
          <w:color w:val="000000"/>
          <w:spacing w:val="0"/>
          <w:w w:val="100"/>
          <w:position w:val="0"/>
        </w:rPr>
        <w:t>。</w:t>
      </w:r>
      <w:r>
        <w:rPr>
          <w:color w:val="000000"/>
          <w:spacing w:val="0"/>
          <w:w w:val="100"/>
          <w:position w:val="0"/>
          <w:sz w:val="24"/>
          <w:szCs w:val="24"/>
        </w:rPr>
        <w:t>2020</w:t>
      </w:r>
      <w:r>
        <w:rPr>
          <w:color w:val="000000"/>
          <w:spacing w:val="0"/>
          <w:w w:val="100"/>
          <w:position w:val="0"/>
        </w:rPr>
        <w:t>年起，汉得台湾纳入合并范围。</w:t>
      </w:r>
    </w:p>
    <w:p>
      <w:pPr>
        <w:pStyle w:val="Style41"/>
        <w:keepNext/>
        <w:keepLines/>
        <w:widowControl w:val="0"/>
        <w:shd w:val="clear" w:color="auto" w:fill="auto"/>
        <w:tabs>
          <w:tab w:pos="455" w:val="left"/>
        </w:tabs>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6"/>
      <w:bookmarkEnd w:id="157"/>
      <w:bookmarkEnd w:id="15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55"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0"/>
      <w:bookmarkEnd w:id="161"/>
      <w:bookmarkEnd w:id="163"/>
    </w:p>
    <w:p>
      <w:pPr>
        <w:pStyle w:val="Style38"/>
        <w:keepNext w:val="0"/>
        <w:keepLines w:val="0"/>
        <w:widowControl w:val="0"/>
        <w:shd w:val="clear" w:color="auto" w:fill="auto"/>
        <w:bidi w:val="0"/>
        <w:spacing w:before="0" w:after="0" w:line="240" w:lineRule="auto"/>
        <w:ind w:left="0" w:right="0" w:firstLine="0"/>
        <w:jc w:val="distribute"/>
        <w:rPr>
          <w:sz w:val="17"/>
          <w:szCs w:val="17"/>
        </w:rPr>
      </w:pPr>
      <w:r>
        <w:rPr>
          <w:b w:val="0"/>
          <w:bCs w:val="0"/>
          <w:color w:val="000000"/>
          <w:spacing w:val="0"/>
          <w:w w:val="100"/>
          <w:position w:val="0"/>
          <w:sz w:val="17"/>
          <w:szCs w:val="17"/>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307,723,650.04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bl>
    <w:p>
      <w:pPr>
        <w:widowControl w:val="0"/>
        <w:spacing w:after="59" w:line="1" w:lineRule="exact"/>
      </w:pPr>
    </w:p>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7"/>
          <w:szCs w:val="17"/>
        </w:rPr>
        <w:t>大客户资料</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111,663,459.88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65,094,103.38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58,513,631.21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38,397,423.58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34,055,031.99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307,723,650.04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r>
    </w:tbl>
    <w:p>
      <w:pPr>
        <w:widowControl w:val="0"/>
        <w:spacing w:after="59" w:line="1" w:lineRule="exact"/>
      </w:pPr>
    </w:p>
    <w:p>
      <w:pPr>
        <w:pStyle w:val="Style3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主要客户其他情况说明</w:t>
      </w:r>
    </w:p>
    <w:p>
      <w:pPr>
        <w:pStyle w:val="Style38"/>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适用</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不适用</w:t>
      </w:r>
    </w:p>
    <w:p>
      <w:pPr>
        <w:pStyle w:val="Style3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公司主要供应商情况</w:t>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123,532,051.48</w:t>
            </w:r>
          </w:p>
        </w:tc>
      </w:tr>
    </w:tbl>
    <w:p>
      <w:pPr>
        <w:spacing w:lineRule="exact" w:line="1"/>
        <w:rPr>
          <w:sz w:val="2"/>
          <w:szCs w:val="2"/>
        </w:rPr>
      </w:pP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7"/>
          <w:szCs w:val="17"/>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36,409,646.00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29,281,862.00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24,276,778.01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21,308,917.96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12,254,847.51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123,532,051.48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、费用</w:t>
      </w:r>
      <w:bookmarkEnd w:id="164"/>
      <w:bookmarkEnd w:id="165"/>
      <w:bookmarkEnd w:id="16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134,862,584.47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185,707,624.43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179,730,463.99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194,768,230.25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49,657,944.52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-503,167.94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主要系公司外币资产汇率变化导致 的汇兑损益、银行借款利息费用增加 以及计提可转债利息费用所致</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240,812,431.21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273,093,954.41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4</w:t>
      </w:r>
      <w:bookmarkEnd w:id="170"/>
      <w:r>
        <w:rPr>
          <w:color w:val="000000"/>
          <w:spacing w:val="0"/>
          <w:w w:val="100"/>
          <w:position w:val="0"/>
        </w:rPr>
        <w:t>、研发投入</w:t>
      </w:r>
      <w:bookmarkEnd w:id="168"/>
      <w:bookmarkEnd w:id="169"/>
      <w:bookmarkEnd w:id="171"/>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200" w:line="470" w:lineRule="exact"/>
        <w:ind w:left="0" w:right="0" w:firstLine="500"/>
        <w:jc w:val="both"/>
      </w:pPr>
      <w:r>
        <w:rPr>
          <w:color w:val="000000"/>
          <w:spacing w:val="0"/>
          <w:w w:val="100"/>
          <w:position w:val="0"/>
          <w:sz w:val="24"/>
          <w:szCs w:val="24"/>
        </w:rPr>
        <w:t>2020</w:t>
      </w:r>
      <w:r>
        <w:rPr>
          <w:color w:val="000000"/>
          <w:spacing w:val="0"/>
          <w:w w:val="100"/>
          <w:position w:val="0"/>
        </w:rPr>
        <w:t>年公司研发了汉得一诺智能合同管理软件、汉得业务流程管理系统软件、汉得一步 制造云生产管理软件等知识产权共计</w:t>
      </w:r>
      <w:r>
        <w:rPr>
          <w:color w:val="000000"/>
          <w:spacing w:val="0"/>
          <w:w w:val="100"/>
          <w:position w:val="0"/>
          <w:sz w:val="24"/>
          <w:szCs w:val="24"/>
        </w:rPr>
        <w:t>55</w:t>
      </w:r>
      <w:r>
        <w:rPr>
          <w:color w:val="000000"/>
          <w:spacing w:val="0"/>
          <w:w w:val="100"/>
          <w:position w:val="0"/>
        </w:rPr>
        <w:t>项。截止报告期末，公司拥有及正在申请的计算机软 件著作权、发明专利</w:t>
      </w:r>
      <w:r>
        <w:rPr>
          <w:color w:val="000000"/>
          <w:spacing w:val="0"/>
          <w:w w:val="100"/>
          <w:position w:val="0"/>
          <w:sz w:val="24"/>
          <w:szCs w:val="24"/>
        </w:rPr>
        <w:t>176</w:t>
      </w:r>
      <w:r>
        <w:rPr>
          <w:color w:val="000000"/>
          <w:spacing w:val="0"/>
          <w:w w:val="100"/>
          <w:position w:val="0"/>
        </w:rPr>
        <w:t>项，全资子公司上海夏尔软件有限公司拥有的计算机软件著作权、发 明专利</w:t>
      </w:r>
      <w:r>
        <w:rPr>
          <w:color w:val="000000"/>
          <w:spacing w:val="0"/>
          <w:w w:val="100"/>
          <w:position w:val="0"/>
          <w:sz w:val="24"/>
          <w:szCs w:val="24"/>
        </w:rPr>
        <w:t>48</w:t>
      </w:r>
      <w:r>
        <w:rPr>
          <w:color w:val="000000"/>
          <w:spacing w:val="0"/>
          <w:w w:val="100"/>
          <w:position w:val="0"/>
        </w:rPr>
        <w:t>项，控股子公司随身科技（上海）有限公司拥有的计算机软件著作权、发明专利</w:t>
      </w:r>
      <w:r>
        <w:rPr>
          <w:color w:val="000000"/>
          <w:spacing w:val="0"/>
          <w:w w:val="100"/>
          <w:position w:val="0"/>
          <w:sz w:val="24"/>
          <w:szCs w:val="24"/>
        </w:rPr>
        <w:t xml:space="preserve">18 </w:t>
      </w:r>
      <w:r>
        <w:rPr>
          <w:color w:val="000000"/>
          <w:spacing w:val="0"/>
          <w:w w:val="100"/>
          <w:position w:val="0"/>
        </w:rPr>
        <w:t>项，全资子公司上海汉得融晶信息科技有限公司拥有的计算机软件著作权、发明专利</w:t>
      </w:r>
      <w:r>
        <w:rPr>
          <w:color w:val="000000"/>
          <w:spacing w:val="0"/>
          <w:w w:val="100"/>
          <w:position w:val="0"/>
          <w:sz w:val="24"/>
          <w:szCs w:val="24"/>
        </w:rPr>
        <w:t>44</w:t>
      </w:r>
      <w:r>
        <w:rPr>
          <w:color w:val="000000"/>
          <w:spacing w:val="0"/>
          <w:w w:val="100"/>
          <w:position w:val="0"/>
        </w:rPr>
        <w:t>项， 控股子公司上海甄恒信息科技有限公司拥有的计算机软件著作权、发明专利</w:t>
      </w:r>
      <w:r>
        <w:rPr>
          <w:color w:val="000000"/>
          <w:spacing w:val="0"/>
          <w:w w:val="100"/>
          <w:position w:val="0"/>
          <w:sz w:val="24"/>
          <w:szCs w:val="24"/>
        </w:rPr>
        <w:t>9</w:t>
      </w:r>
      <w:r>
        <w:rPr>
          <w:color w:val="000000"/>
          <w:spacing w:val="0"/>
          <w:w w:val="100"/>
          <w:position w:val="0"/>
        </w:rPr>
        <w:t>项；控股子公司 上海鼎医信息技术有限公司拥有的计算机软件著作权、发明专利</w:t>
      </w:r>
      <w:r>
        <w:rPr>
          <w:color w:val="000000"/>
          <w:spacing w:val="0"/>
          <w:w w:val="100"/>
          <w:position w:val="0"/>
          <w:sz w:val="24"/>
          <w:szCs w:val="24"/>
        </w:rPr>
        <w:t>6</w:t>
      </w:r>
      <w:r>
        <w:rPr>
          <w:color w:val="000000"/>
          <w:spacing w:val="0"/>
          <w:w w:val="100"/>
          <w:position w:val="0"/>
        </w:rPr>
        <w:t>项；控股子公司上海汉得微 扬信息技术有限公司拥有的计算机软件著作权、发明专利</w:t>
      </w:r>
      <w:r>
        <w:rPr>
          <w:color w:val="000000"/>
          <w:spacing w:val="0"/>
          <w:w w:val="100"/>
          <w:position w:val="0"/>
          <w:sz w:val="24"/>
          <w:szCs w:val="24"/>
        </w:rPr>
        <w:t>15</w:t>
      </w:r>
      <w:r>
        <w:rPr>
          <w:color w:val="000000"/>
          <w:spacing w:val="0"/>
          <w:w w:val="100"/>
          <w:position w:val="0"/>
        </w:rPr>
        <w:t>项；控股子公司上海汉得甄领信</w:t>
        <w:br w:type="page"/>
      </w:r>
      <w:r>
        <w:rPr>
          <w:color w:val="000000"/>
          <w:spacing w:val="0"/>
          <w:w w:val="100"/>
          <w:position w:val="0"/>
        </w:rPr>
        <w:t>息科技有限公司拥有的计算机软件著作权、发明专利</w:t>
      </w:r>
      <w:r>
        <w:rPr>
          <w:color w:val="000000"/>
          <w:spacing w:val="0"/>
          <w:w w:val="100"/>
          <w:position w:val="0"/>
          <w:sz w:val="24"/>
          <w:szCs w:val="24"/>
        </w:rPr>
        <w:t>3</w:t>
      </w:r>
      <w:r>
        <w:rPr>
          <w:color w:val="000000"/>
          <w:spacing w:val="0"/>
          <w:w w:val="100"/>
          <w:position w:val="0"/>
        </w:rPr>
        <w:t>项；控股子公司上海甄实建筑科技有限</w:t>
      </w: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公司拥有的计算机软件著作权、发明专利</w:t>
      </w:r>
      <w:r>
        <w:rPr>
          <w:color w:val="000000"/>
          <w:spacing w:val="0"/>
          <w:w w:val="100"/>
          <w:position w:val="0"/>
          <w:sz w:val="24"/>
          <w:szCs w:val="24"/>
        </w:rPr>
        <w:t>4</w:t>
      </w:r>
      <w:r>
        <w:rPr>
          <w:color w:val="000000"/>
          <w:spacing w:val="0"/>
          <w:w w:val="100"/>
          <w:position w:val="0"/>
        </w:rPr>
        <w:t>项；</w:t>
      </w:r>
    </w:p>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455,309,840.77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485,023,880.82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402,686,780.82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214,497,409.56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211,929,926.41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177,593,142.53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实施进度</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财税管理系统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5,052,603.49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财税管理系统拥有组织架构 模块、费用模块、预算模块、 工作流模块、财务核算模块等 专业化的模块，着力于企业的 财税管控信息化建设，提高企 业的内部管理效率。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企业内部管理系统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7,038,962.02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解决企业内部业务流程信息 化的一套互联网解决方案，主 要为企业提供流程管理、需求 管理、项目管理、合同管理等。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r>
      <w:tr>
        <w:trPr>
          <w:trHeight w:val="259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营销管理软件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913,132.39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协助企业建设数字化营销体 系的互联网转型解决方案，主 要功能包括：消费者管理、会 员忠诚度管理、会员卡管理、 营销管理、微信运营、消息管 理、订单管理、商品管理、企 业管理、系统设置、消费者小 程序等。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4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基于融合中台的企业信息化</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平台建设项目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201,492,711.66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公司将技术中台、业务中台、 数据中台的概念、技术和组件 进行融合，统一为融合中台， 作为承接前台业务需求和用 户体验、后台套装软件的核 心。本项目的建设内容包括建 立支持各种企业级应用开发 部署的开放技术平台，适应各 种业务模式、支持灵活组合的 标准化可复用的业务组件库， 基于上述开放技术平台和业 务组件库的适应各种业务场 景、支持快速部署的应用产品 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未完成</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5</w:t>
      </w:r>
      <w:bookmarkEnd w:id="174"/>
      <w:r>
        <w:rPr>
          <w:color w:val="000000"/>
          <w:spacing w:val="0"/>
          <w:w w:val="100"/>
          <w:position w:val="0"/>
        </w:rPr>
        <w:t>、现金流</w:t>
      </w:r>
      <w:bookmarkEnd w:id="172"/>
      <w:bookmarkEnd w:id="173"/>
      <w:bookmarkEnd w:id="17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3,529,849,387.09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4,089,366,386.15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3,083,336,676.48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4,023,107,831.74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446,512,710.61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66,258,554.41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4,935,721.26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88,282,341.99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254,375,978.19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237,042,821.98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-249,440,256.93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-148,760,479.99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1,979,955,080.36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778,796,181.13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1,157,856,088.42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507,296,847.70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822,098,991.94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271,499,333.43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986,644,513.84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195,907,769.68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461" w:lineRule="exact"/>
        <w:ind w:left="0" w:right="0" w:firstLine="480"/>
        <w:jc w:val="left"/>
      </w:pPr>
      <w:r>
        <w:rPr>
          <w:color w:val="000000"/>
          <w:spacing w:val="0"/>
          <w:w w:val="100"/>
          <w:position w:val="0"/>
        </w:rPr>
        <w:t>经营活动产生的现金流量净额：经营活动产生的现金流量净额</w:t>
      </w:r>
      <w:r>
        <w:rPr>
          <w:color w:val="000000"/>
          <w:spacing w:val="0"/>
          <w:w w:val="100"/>
          <w:position w:val="0"/>
          <w:sz w:val="24"/>
          <w:szCs w:val="24"/>
        </w:rPr>
        <w:t>2020</w:t>
      </w:r>
      <w:r>
        <w:rPr>
          <w:color w:val="000000"/>
          <w:spacing w:val="0"/>
          <w:w w:val="100"/>
          <w:position w:val="0"/>
        </w:rPr>
        <w:t>年同比</w:t>
      </w:r>
      <w:r>
        <w:rPr>
          <w:color w:val="000000"/>
          <w:spacing w:val="0"/>
          <w:w w:val="100"/>
          <w:position w:val="0"/>
          <w:sz w:val="24"/>
          <w:szCs w:val="24"/>
        </w:rPr>
        <w:t>2019</w:t>
      </w:r>
      <w:r>
        <w:rPr>
          <w:color w:val="000000"/>
          <w:spacing w:val="0"/>
          <w:w w:val="100"/>
          <w:position w:val="0"/>
        </w:rPr>
        <w:t>年增加</w:t>
      </w:r>
    </w:p>
    <w:p>
      <w:pPr>
        <w:pStyle w:val="Style35"/>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573.89%，</w:t>
      </w:r>
      <w:r>
        <w:rPr>
          <w:color w:val="000000"/>
          <w:spacing w:val="0"/>
          <w:w w:val="100"/>
          <w:position w:val="0"/>
        </w:rPr>
        <w:t>主要系年初受限货币资金本期收回以及购买商品、接受劳务支付的现金减少所致。</w:t>
      </w:r>
    </w:p>
    <w:p>
      <w:pPr>
        <w:pStyle w:val="Style35"/>
        <w:keepNext w:val="0"/>
        <w:keepLines w:val="0"/>
        <w:widowControl w:val="0"/>
        <w:shd w:val="clear" w:color="auto" w:fill="auto"/>
        <w:bidi w:val="0"/>
        <w:spacing w:before="0" w:after="100" w:line="461" w:lineRule="exact"/>
        <w:ind w:left="0" w:right="0" w:firstLine="480"/>
        <w:jc w:val="left"/>
      </w:pPr>
      <w:r>
        <w:rPr>
          <w:color w:val="000000"/>
          <w:spacing w:val="0"/>
          <w:w w:val="100"/>
          <w:position w:val="0"/>
        </w:rPr>
        <w:t>投资活动产生的现金流量净额:投资活动产生的现金流量净额</w:t>
      </w:r>
      <w:r>
        <w:rPr>
          <w:color w:val="000000"/>
          <w:spacing w:val="0"/>
          <w:w w:val="100"/>
          <w:position w:val="0"/>
          <w:sz w:val="24"/>
          <w:szCs w:val="24"/>
        </w:rPr>
        <w:t>2020</w:t>
      </w:r>
      <w:r>
        <w:rPr>
          <w:color w:val="000000"/>
          <w:spacing w:val="0"/>
          <w:w w:val="100"/>
          <w:position w:val="0"/>
        </w:rPr>
        <w:t>年相比</w:t>
      </w:r>
      <w:r>
        <w:rPr>
          <w:color w:val="000000"/>
          <w:spacing w:val="0"/>
          <w:w w:val="100"/>
          <w:position w:val="0"/>
          <w:sz w:val="24"/>
          <w:szCs w:val="24"/>
        </w:rPr>
        <w:t>2019</w:t>
      </w:r>
      <w:r>
        <w:rPr>
          <w:color w:val="000000"/>
          <w:spacing w:val="0"/>
          <w:w w:val="100"/>
          <w:position w:val="0"/>
        </w:rPr>
        <w:t xml:space="preserve">年减少 </w:t>
      </w:r>
      <w:r>
        <w:rPr>
          <w:color w:val="000000"/>
          <w:spacing w:val="0"/>
          <w:w w:val="100"/>
          <w:position w:val="0"/>
          <w:sz w:val="24"/>
          <w:szCs w:val="24"/>
        </w:rPr>
        <w:t>67.68%</w:t>
      </w:r>
      <w:r>
        <w:rPr>
          <w:color w:val="000000"/>
          <w:spacing w:val="0"/>
          <w:w w:val="100"/>
          <w:position w:val="0"/>
        </w:rPr>
        <w:t>，主要系</w:t>
      </w:r>
      <w:r>
        <w:rPr>
          <w:color w:val="000000"/>
          <w:spacing w:val="0"/>
          <w:w w:val="100"/>
          <w:position w:val="0"/>
          <w:sz w:val="24"/>
          <w:szCs w:val="24"/>
        </w:rPr>
        <w:t>2019</w:t>
      </w:r>
      <w:r>
        <w:rPr>
          <w:color w:val="000000"/>
          <w:spacing w:val="0"/>
          <w:w w:val="100"/>
          <w:position w:val="0"/>
        </w:rPr>
        <w:t>年存在理财产品收回的现金所致。</w:t>
      </w:r>
    </w:p>
    <w:p>
      <w:pPr>
        <w:pStyle w:val="Style35"/>
        <w:keepNext w:val="0"/>
        <w:keepLines w:val="0"/>
        <w:widowControl w:val="0"/>
        <w:shd w:val="clear" w:color="auto" w:fill="auto"/>
        <w:bidi w:val="0"/>
        <w:spacing w:before="0" w:after="520" w:line="463" w:lineRule="exact"/>
        <w:ind w:left="0" w:right="0" w:firstLine="500"/>
        <w:jc w:val="both"/>
      </w:pPr>
      <w:r>
        <w:rPr>
          <w:color w:val="000000"/>
          <w:spacing w:val="0"/>
          <w:w w:val="100"/>
          <w:position w:val="0"/>
        </w:rPr>
        <w:t>筹资活动产生的现金流量净额：筹资活动产生的现金流量净额</w:t>
      </w:r>
      <w:r>
        <w:rPr>
          <w:color w:val="000000"/>
          <w:spacing w:val="0"/>
          <w:w w:val="100"/>
          <w:position w:val="0"/>
          <w:sz w:val="24"/>
          <w:szCs w:val="24"/>
        </w:rPr>
        <w:t>2020</w:t>
      </w:r>
      <w:r>
        <w:rPr>
          <w:color w:val="000000"/>
          <w:spacing w:val="0"/>
          <w:w w:val="100"/>
          <w:position w:val="0"/>
        </w:rPr>
        <w:t>年同比</w:t>
      </w:r>
      <w:r>
        <w:rPr>
          <w:color w:val="000000"/>
          <w:spacing w:val="0"/>
          <w:w w:val="100"/>
          <w:position w:val="0"/>
          <w:sz w:val="24"/>
          <w:szCs w:val="24"/>
        </w:rPr>
        <w:t>2019</w:t>
      </w:r>
      <w:r>
        <w:rPr>
          <w:color w:val="000000"/>
          <w:spacing w:val="0"/>
          <w:w w:val="100"/>
          <w:position w:val="0"/>
        </w:rPr>
        <w:t xml:space="preserve">年净增加 </w:t>
      </w:r>
      <w:r>
        <w:rPr>
          <w:color w:val="000000"/>
          <w:spacing w:val="0"/>
          <w:w w:val="100"/>
          <w:position w:val="0"/>
          <w:sz w:val="24"/>
          <w:szCs w:val="24"/>
        </w:rPr>
        <w:t>5.5</w:t>
      </w:r>
      <w:r>
        <w:rPr>
          <w:color w:val="000000"/>
          <w:spacing w:val="0"/>
          <w:w w:val="100"/>
          <w:position w:val="0"/>
        </w:rPr>
        <w:t>亿，主要系公司</w:t>
      </w:r>
      <w:r>
        <w:rPr>
          <w:color w:val="000000"/>
          <w:spacing w:val="0"/>
          <w:w w:val="100"/>
          <w:position w:val="0"/>
          <w:sz w:val="24"/>
          <w:szCs w:val="24"/>
        </w:rPr>
        <w:t>2020</w:t>
      </w:r>
      <w:r>
        <w:rPr>
          <w:color w:val="000000"/>
          <w:spacing w:val="0"/>
          <w:w w:val="100"/>
          <w:position w:val="0"/>
        </w:rPr>
        <w:t>年发行债券收到</w:t>
      </w:r>
      <w:r>
        <w:rPr>
          <w:color w:val="000000"/>
          <w:spacing w:val="0"/>
          <w:w w:val="100"/>
          <w:position w:val="0"/>
          <w:sz w:val="24"/>
          <w:szCs w:val="24"/>
        </w:rPr>
        <w:t>9.2</w:t>
      </w:r>
      <w:r>
        <w:rPr>
          <w:color w:val="000000"/>
          <w:spacing w:val="0"/>
          <w:w w:val="100"/>
          <w:position w:val="0"/>
        </w:rPr>
        <w:t>亿款项，以及归还银行短期借款金额比去年同期 增加</w:t>
      </w:r>
      <w:r>
        <w:rPr>
          <w:color w:val="000000"/>
          <w:spacing w:val="0"/>
          <w:w w:val="100"/>
          <w:position w:val="0"/>
          <w:sz w:val="24"/>
          <w:szCs w:val="24"/>
        </w:rPr>
        <w:t>3.5</w:t>
      </w:r>
      <w:r>
        <w:rPr>
          <w:color w:val="000000"/>
          <w:spacing w:val="0"/>
          <w:w w:val="100"/>
          <w:position w:val="0"/>
        </w:rPr>
        <w:t>亿元所致。</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463" w:lineRule="exact"/>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三</w:t>
      </w:r>
      <w:bookmarkEnd w:id="178"/>
      <w:r>
        <w:rPr>
          <w:color w:val="000000"/>
          <w:spacing w:val="0"/>
          <w:w w:val="100"/>
          <w:position w:val="0"/>
        </w:rPr>
        <w:t>、非主营业务情况</w:t>
      </w:r>
      <w:bookmarkEnd w:id="176"/>
      <w:bookmarkEnd w:id="177"/>
      <w:bookmarkEnd w:id="179"/>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是否具有可持续性</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-68,126,260.29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主要系按权益法核算的联</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营公司本期按持股比例确</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认的净损失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-17,838,072.05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主要系因执行新收入准则 及相关规定，公司计提的存 货跌价损失及合同履约成 本减值损失以及合同资产 减值损失所致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10,181,160.30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1,067,022.20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-121,585,508.58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主要系本期计提的坏账损 失增加所致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四</w:t>
      </w:r>
      <w:bookmarkEnd w:id="182"/>
      <w:r>
        <w:rPr>
          <w:color w:val="000000"/>
          <w:spacing w:val="0"/>
          <w:w w:val="100"/>
          <w:position w:val="0"/>
        </w:rPr>
        <w:t>、资产及负债状况分析</w:t>
      </w:r>
      <w:bookmarkEnd w:id="180"/>
      <w:bookmarkEnd w:id="181"/>
      <w:bookmarkEnd w:id="183"/>
    </w:p>
    <w:p>
      <w:pPr>
        <w:pStyle w:val="Style32"/>
        <w:keepNext/>
        <w:keepLines/>
        <w:widowControl w:val="0"/>
        <w:shd w:val="clear" w:color="auto" w:fill="auto"/>
        <w:bidi w:val="0"/>
        <w:spacing w:before="0" w:after="3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、资产构成重大变动情况</w:t>
      </w:r>
      <w:bookmarkEnd w:id="184"/>
      <w:bookmarkEnd w:id="185"/>
      <w:bookmarkEnd w:id="18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2,050,485,816.</w:t>
            </w:r>
          </w:p>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1,096,322,939.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年发行可转债公司债券，</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收到募集资金</w:t>
            </w:r>
            <w:r>
              <w:rPr>
                <w:rFonts w:ascii="Times New Roman" w:eastAsia="Times New Roman" w:hAnsi="Times New Roman" w:cs="Times New Roman"/>
                <w:color w:val="000000"/>
                <w:spacing w:val="0"/>
                <w:w w:val="100"/>
                <w:position w:val="0"/>
                <w:sz w:val="18"/>
                <w:szCs w:val="18"/>
              </w:rPr>
              <w:t>9.24</w:t>
            </w:r>
            <w:r>
              <w:rPr>
                <w:color w:val="000000"/>
                <w:spacing w:val="0"/>
                <w:w w:val="100"/>
                <w:position w:val="0"/>
                <w:sz w:val="17"/>
                <w:szCs w:val="17"/>
              </w:rPr>
              <w:t>亿元所致</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1,060,875,108.</w:t>
            </w:r>
          </w:p>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1,250,929,053.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263,624,443.2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197,133,467.71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212,509,025.6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123,075,383.70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主要系上海甄汇信息科技有限公司 其他股东增资，公司持股比例从 </w:t>
            </w:r>
            <w:r>
              <w:rPr>
                <w:rFonts w:ascii="Times New Roman" w:eastAsia="Times New Roman" w:hAnsi="Times New Roman" w:cs="Times New Roman"/>
                <w:color w:val="000000"/>
                <w:spacing w:val="0"/>
                <w:w w:val="100"/>
                <w:position w:val="0"/>
                <w:sz w:val="18"/>
                <w:szCs w:val="18"/>
              </w:rPr>
              <w:t>31.5%</w:t>
            </w:r>
            <w:r>
              <w:rPr>
                <w:color w:val="000000"/>
                <w:spacing w:val="0"/>
                <w:w w:val="100"/>
                <w:position w:val="0"/>
                <w:sz w:val="17"/>
                <w:szCs w:val="17"/>
              </w:rPr>
              <w:t>降至</w:t>
            </w:r>
            <w:r>
              <w:rPr>
                <w:rFonts w:ascii="Times New Roman" w:eastAsia="Times New Roman" w:hAnsi="Times New Roman" w:cs="Times New Roman"/>
                <w:color w:val="000000"/>
                <w:spacing w:val="0"/>
                <w:w w:val="100"/>
                <w:position w:val="0"/>
                <w:sz w:val="18"/>
                <w:szCs w:val="18"/>
              </w:rPr>
              <w:t>21.7277%</w:t>
            </w:r>
            <w:r>
              <w:rPr>
                <w:color w:val="000000"/>
                <w:spacing w:val="0"/>
                <w:w w:val="100"/>
                <w:position w:val="0"/>
                <w:sz w:val="17"/>
                <w:szCs w:val="17"/>
              </w:rPr>
              <w:t>,长期股权投资 中其他权益变动增加</w:t>
            </w:r>
            <w:r>
              <w:rPr>
                <w:rFonts w:ascii="Times New Roman" w:eastAsia="Times New Roman" w:hAnsi="Times New Roman" w:cs="Times New Roman"/>
                <w:color w:val="000000"/>
                <w:spacing w:val="0"/>
                <w:w w:val="100"/>
                <w:position w:val="0"/>
                <w:sz w:val="18"/>
                <w:szCs w:val="18"/>
              </w:rPr>
              <w:t>6,745.16</w:t>
            </w:r>
            <w:r>
              <w:rPr>
                <w:color w:val="000000"/>
                <w:spacing w:val="0"/>
                <w:w w:val="100"/>
                <w:position w:val="0"/>
                <w:sz w:val="17"/>
                <w:szCs w:val="17"/>
              </w:rPr>
              <w:t>万元； 上海甄云信息科技有限公司其他股 东增资，公司股权比例从</w:t>
            </w:r>
            <w:r>
              <w:rPr>
                <w:rFonts w:ascii="Times New Roman" w:eastAsia="Times New Roman" w:hAnsi="Times New Roman" w:cs="Times New Roman"/>
                <w:color w:val="000000"/>
                <w:spacing w:val="0"/>
                <w:w w:val="100"/>
                <w:position w:val="0"/>
                <w:sz w:val="18"/>
                <w:szCs w:val="18"/>
              </w:rPr>
              <w:t>37.5%</w:t>
            </w:r>
            <w:r>
              <w:rPr>
                <w:color w:val="000000"/>
                <w:spacing w:val="0"/>
                <w:w w:val="100"/>
                <w:position w:val="0"/>
                <w:sz w:val="17"/>
                <w:szCs w:val="17"/>
              </w:rPr>
              <w:t xml:space="preserve">降至 </w:t>
            </w:r>
            <w:r>
              <w:rPr>
                <w:rFonts w:ascii="Times New Roman" w:eastAsia="Times New Roman" w:hAnsi="Times New Roman" w:cs="Times New Roman"/>
                <w:color w:val="000000"/>
                <w:spacing w:val="0"/>
                <w:w w:val="100"/>
                <w:position w:val="0"/>
                <w:sz w:val="18"/>
                <w:szCs w:val="18"/>
              </w:rPr>
              <w:t>27.9069%</w:t>
            </w:r>
            <w:r>
              <w:rPr>
                <w:color w:val="000000"/>
                <w:spacing w:val="0"/>
                <w:w w:val="100"/>
                <w:position w:val="0"/>
                <w:sz w:val="17"/>
                <w:szCs w:val="17"/>
              </w:rPr>
              <w:t>，长期股权投资中其他权益 变动增加</w:t>
            </w:r>
            <w:r>
              <w:rPr>
                <w:rFonts w:ascii="Times New Roman" w:eastAsia="Times New Roman" w:hAnsi="Times New Roman" w:cs="Times New Roman"/>
                <w:color w:val="000000"/>
                <w:spacing w:val="0"/>
                <w:w w:val="100"/>
                <w:position w:val="0"/>
                <w:sz w:val="18"/>
                <w:szCs w:val="18"/>
              </w:rPr>
              <w:t>7,968.92</w:t>
            </w:r>
            <w:r>
              <w:rPr>
                <w:color w:val="000000"/>
                <w:spacing w:val="0"/>
                <w:w w:val="100"/>
                <w:position w:val="0"/>
                <w:sz w:val="17"/>
                <w:szCs w:val="17"/>
              </w:rPr>
              <w:t>万元；按权益法核 算的联营公司本期按持股比例确认 的净损失</w:t>
            </w:r>
            <w:r>
              <w:rPr>
                <w:rFonts w:ascii="Times New Roman" w:eastAsia="Times New Roman" w:hAnsi="Times New Roman" w:cs="Times New Roman"/>
                <w:color w:val="000000"/>
                <w:spacing w:val="0"/>
                <w:w w:val="100"/>
                <w:position w:val="0"/>
                <w:sz w:val="18"/>
                <w:szCs w:val="18"/>
              </w:rPr>
              <w:t>6,636.85</w:t>
            </w:r>
            <w:r>
              <w:rPr>
                <w:color w:val="000000"/>
                <w:spacing w:val="0"/>
                <w:w w:val="100"/>
                <w:position w:val="0"/>
                <w:sz w:val="17"/>
                <w:szCs w:val="17"/>
              </w:rPr>
              <w:t>万元</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279,393,121.8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294,227,678.96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574,218,435.0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756,173,164.2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主要系公司发行可转换公司债券，总 额</w:t>
            </w:r>
            <w:r>
              <w:rPr>
                <w:rFonts w:ascii="Times New Roman" w:eastAsia="Times New Roman" w:hAnsi="Times New Roman" w:cs="Times New Roman"/>
                <w:color w:val="000000"/>
                <w:spacing w:val="0"/>
                <w:w w:val="100"/>
                <w:position w:val="0"/>
                <w:sz w:val="18"/>
                <w:szCs w:val="18"/>
              </w:rPr>
              <w:t>937,150,000.00</w:t>
            </w:r>
            <w:r>
              <w:rPr>
                <w:color w:val="000000"/>
                <w:spacing w:val="0"/>
                <w:w w:val="100"/>
                <w:position w:val="0"/>
                <w:sz w:val="17"/>
                <w:szCs w:val="17"/>
              </w:rPr>
              <w:t xml:space="preserve">元，其中确定为负 债成份计入应付债券的初始金额为 </w:t>
            </w:r>
            <w:r>
              <w:rPr>
                <w:rFonts w:ascii="Times New Roman" w:eastAsia="Times New Roman" w:hAnsi="Times New Roman" w:cs="Times New Roman"/>
                <w:color w:val="000000"/>
                <w:spacing w:val="0"/>
                <w:w w:val="100"/>
                <w:position w:val="0"/>
                <w:sz w:val="18"/>
                <w:szCs w:val="18"/>
              </w:rPr>
              <w:t>753,262,477.06</w:t>
            </w:r>
            <w:r>
              <w:rPr>
                <w:color w:val="000000"/>
                <w:spacing w:val="0"/>
                <w:w w:val="100"/>
                <w:position w:val="0"/>
                <w:sz w:val="17"/>
                <w:szCs w:val="17"/>
              </w:rPr>
              <w:t>元，计入权益成份其 他权益工具的金额为</w:t>
            </w:r>
            <w:r>
              <w:rPr>
                <w:rFonts w:ascii="Times New Roman" w:eastAsia="Times New Roman" w:hAnsi="Times New Roman" w:cs="Times New Roman"/>
                <w:color w:val="000000"/>
                <w:spacing w:val="0"/>
                <w:w w:val="100"/>
                <w:position w:val="0"/>
                <w:sz w:val="18"/>
                <w:szCs w:val="18"/>
              </w:rPr>
              <w:t xml:space="preserve">170,119,772.95 </w:t>
            </w:r>
            <w:r>
              <w:rPr>
                <w:color w:val="000000"/>
                <w:spacing w:val="0"/>
                <w:w w:val="100"/>
                <w:position w:val="0"/>
                <w:sz w:val="17"/>
                <w:szCs w:val="17"/>
              </w:rPr>
              <w:t>元</w:t>
            </w:r>
          </w:p>
        </w:tc>
      </w:tr>
      <w:tr>
        <w:trPr>
          <w:trHeight w:val="322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210,105,822.2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72,514,139.50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年发行可转换公司 债券项目，建设基于融合中台的企业 信息化平台建设项目，本项目的建设 内容包括建立支持各种企业级应用 开发部署的开放技术平台，适应各种 业务模式、支持灵活组合的标准化可 复用的业务组件库，基于上述开放技 术平台和业务组件库的适应各种业 务场景、支持快速部署的应用产品 等。项目整体建设周期为三年</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、以公允价值计量的资产和负债</w:t>
      </w:r>
      <w:bookmarkEnd w:id="188"/>
      <w:bookmarkEnd w:id="189"/>
      <w:bookmarkEnd w:id="19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bl>
    <w:p>
      <w:pPr>
        <w:spacing w:lineRule="exact" w:line="1"/>
        <w:rPr>
          <w:sz w:val="2"/>
          <w:szCs w:val="2"/>
        </w:rPr>
      </w:pPr>
      <w:r>
        <w:br w:type="page"/>
      </w:r>
    </w:p>
    <w:tbl>
      <w:tblPr>
        <w:tblOverlap w:val="never"/>
        <w:jc w:val="center"/>
        <w:tblLayout w:type="fixed"/>
      </w:tblPr>
      <w:tblGrid>
        <w:gridCol w:w="989"/>
        <w:gridCol w:w="1018"/>
        <w:gridCol w:w="1061"/>
        <w:gridCol w:w="1195"/>
        <w:gridCol w:w="931"/>
        <w:gridCol w:w="1195"/>
        <w:gridCol w:w="1061"/>
        <w:gridCol w:w="917"/>
        <w:gridCol w:w="1219"/>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 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19,559,411.85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19,573,320.74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23,436,180.0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2,491,210.00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-2,222,610.00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30,927,390.00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23,436,180.0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2,491,210.00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-2,222,610.00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24,559,411.85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13,908.89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50,500,710.74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其他非流动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47,383,638.3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-7,604,190.00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-3,942,489.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40,336,959.16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70,819,818.3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2,491,210.00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-2,222,610.00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29,059,411.85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-7,604,190.00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-3,928,580.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90,837,669.90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60" w:line="307" w:lineRule="exact"/>
        <w:ind w:left="0" w:right="0" w:firstLine="0"/>
        <w:jc w:val="left"/>
      </w:pPr>
      <w:r>
        <w:rPr>
          <w:color w:val="000000"/>
          <w:spacing w:val="0"/>
          <w:w w:val="100"/>
          <w:position w:val="0"/>
        </w:rPr>
        <w:t>主要系本期收回上海兴富创业投资管理中心（有限合伙）投资成本</w:t>
      </w:r>
      <w:r>
        <w:rPr>
          <w:rFonts w:ascii="Times New Roman" w:eastAsia="Times New Roman" w:hAnsi="Times New Roman" w:cs="Times New Roman"/>
          <w:color w:val="000000"/>
          <w:spacing w:val="0"/>
          <w:w w:val="100"/>
          <w:position w:val="0"/>
          <w:sz w:val="18"/>
          <w:szCs w:val="18"/>
        </w:rPr>
        <w:t>3,111,437.87</w:t>
      </w:r>
      <w:r>
        <w:rPr>
          <w:color w:val="000000"/>
          <w:spacing w:val="0"/>
          <w:w w:val="100"/>
          <w:position w:val="0"/>
        </w:rPr>
        <w:t>元，</w:t>
      </w:r>
      <w:r>
        <w:rPr>
          <w:rFonts w:ascii="SimHei" w:eastAsia="SimHei" w:hAnsi="SimHei" w:cs="SimHei"/>
          <w:color w:val="000000"/>
          <w:spacing w:val="0"/>
          <w:w w:val="100"/>
          <w:position w:val="0"/>
        </w:rPr>
        <w:t>收回上海众数联颂创业投资合伙企业（有 限合伙）投资成本</w:t>
      </w:r>
      <w:r>
        <w:rPr>
          <w:rFonts w:ascii="Times New Roman" w:eastAsia="Times New Roman" w:hAnsi="Times New Roman" w:cs="Times New Roman"/>
          <w:color w:val="000000"/>
          <w:spacing w:val="0"/>
          <w:w w:val="100"/>
          <w:position w:val="0"/>
          <w:sz w:val="18"/>
          <w:szCs w:val="18"/>
        </w:rPr>
        <w:t>761,421.33</w:t>
      </w:r>
      <w:r>
        <w:rPr>
          <w:color w:val="000000"/>
          <w:spacing w:val="0"/>
          <w:w w:val="100"/>
          <w:position w:val="0"/>
        </w:rPr>
        <w:t>元。</w:t>
      </w:r>
    </w:p>
    <w:p>
      <w:pPr>
        <w:pStyle w:val="Style28"/>
        <w:keepNext w:val="0"/>
        <w:keepLines w:val="0"/>
        <w:widowControl w:val="0"/>
        <w:shd w:val="clear" w:color="auto" w:fill="auto"/>
        <w:bidi w:val="0"/>
        <w:spacing w:before="0" w:line="307" w:lineRule="exact"/>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4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、截至报告期末的资产权利受限情况</w:t>
      </w:r>
      <w:bookmarkEnd w:id="192"/>
      <w:bookmarkEnd w:id="193"/>
      <w:bookmarkEnd w:id="195"/>
    </w:p>
    <w:tbl>
      <w:tblPr>
        <w:tblOverlap w:val="never"/>
        <w:jc w:val="center"/>
        <w:tblLayout w:type="fixed"/>
      </w:tblPr>
      <w:tblGrid>
        <w:gridCol w:w="3230"/>
        <w:gridCol w:w="2194"/>
        <w:gridCol w:w="223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4,546,504.00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1,050,811.30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用于担保的定期存款或通知存款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35,977,329.22</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4,546,504.00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37,028,140.52</w:t>
            </w:r>
          </w:p>
        </w:tc>
      </w:tr>
    </w:tbl>
    <w:p>
      <w:pPr>
        <w:widowControl w:val="0"/>
        <w:spacing w:after="639" w:line="1" w:lineRule="exact"/>
      </w:pPr>
    </w:p>
    <w:p>
      <w:pPr>
        <w:pStyle w:val="Style26"/>
        <w:keepNext/>
        <w:keepLines/>
        <w:widowControl w:val="0"/>
        <w:shd w:val="clear" w:color="auto" w:fill="auto"/>
        <w:bidi w:val="0"/>
        <w:spacing w:before="0" w:after="34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五</w:t>
      </w:r>
      <w:bookmarkEnd w:id="198"/>
      <w:r>
        <w:rPr>
          <w:color w:val="000000"/>
          <w:spacing w:val="0"/>
          <w:w w:val="100"/>
          <w:position w:val="0"/>
        </w:rPr>
        <w:t>、投资状况分析</w:t>
      </w:r>
      <w:bookmarkEnd w:id="196"/>
      <w:bookmarkEnd w:id="197"/>
      <w:bookmarkEnd w:id="199"/>
    </w:p>
    <w:p>
      <w:pPr>
        <w:pStyle w:val="Style32"/>
        <w:keepNext/>
        <w:keepLines/>
        <w:widowControl w:val="0"/>
        <w:shd w:val="clear" w:color="auto" w:fill="auto"/>
        <w:bidi w:val="0"/>
        <w:spacing w:before="0" w:after="34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1</w:t>
      </w:r>
      <w:bookmarkEnd w:id="202"/>
      <w:r>
        <w:rPr>
          <w:color w:val="000000"/>
          <w:spacing w:val="0"/>
          <w:w w:val="100"/>
          <w:position w:val="0"/>
        </w:rPr>
        <w:t>、总体情况</w:t>
      </w:r>
      <w:bookmarkEnd w:id="200"/>
      <w:bookmarkEnd w:id="201"/>
      <w:bookmarkEnd w:id="203"/>
    </w:p>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29,073,320.74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5,595,760.00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419.56%</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w:t>
      </w:r>
      <w:bookmarkEnd w:id="206"/>
      <w:r>
        <w:rPr>
          <w:color w:val="000000"/>
          <w:spacing w:val="0"/>
          <w:w w:val="100"/>
          <w:position w:val="0"/>
        </w:rPr>
        <w:t>、报告期内获取的重大的股权投资情况</w:t>
      </w:r>
      <w:bookmarkEnd w:id="204"/>
      <w:bookmarkEnd w:id="205"/>
      <w:bookmarkEnd w:id="20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主要业</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合作方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产品类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本期投</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是否涉</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披露日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披露索</w:t>
            </w:r>
          </w:p>
        </w:tc>
      </w:tr>
    </w:tbl>
    <w:p>
      <w:pPr>
        <w:spacing w:lineRule="exact" w:line="1"/>
        <w:rPr>
          <w:sz w:val="2"/>
          <w:szCs w:val="2"/>
        </w:rPr>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192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公司名 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务</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式</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资产 负债 表日 的进 展情 况</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收益</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资盈亏</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期（如 有）</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引（如 有）</w:t>
            </w:r>
          </w:p>
        </w:tc>
      </w:tr>
      <w:tr>
        <w:trPr>
          <w:trHeight w:val="44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上海甄 一科技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信息技 术及软 件服务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软件著 作权</w:t>
            </w:r>
            <w:r>
              <w:rPr>
                <w:rFonts w:ascii="Times New Roman" w:eastAsia="Times New Roman" w:hAnsi="Times New Roman" w:cs="Times New Roman"/>
                <w:color w:val="000000"/>
                <w:spacing w:val="0"/>
                <w:w w:val="100"/>
                <w:position w:val="0"/>
                <w:sz w:val="18"/>
                <w:szCs w:val="18"/>
              </w:rPr>
              <w:t xml:space="preserve">&amp; </w:t>
            </w: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宁波协 智企业 管理咨 询合伙 企业</w:t>
            </w:r>
          </w:p>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（有限 合伙）、 宁波小 手企业 管理咨 询合伙 企业</w:t>
            </w:r>
          </w:p>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已完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-5,646,4</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巨潮资 讯网 </w:t>
            </w: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 </w:t>
            </w:r>
            <w:r>
              <w:rPr>
                <w:color w:val="000000"/>
                <w:spacing w:val="0"/>
                <w:w w:val="100"/>
                <w:position w:val="0"/>
                <w:sz w:val="17"/>
                <w:szCs w:val="17"/>
              </w:rPr>
              <w:t xml:space="preserve">公 告编 号： </w:t>
            </w:r>
            <w:r>
              <w:rPr>
                <w:rFonts w:ascii="Times New Roman" w:eastAsia="Times New Roman" w:hAnsi="Times New Roman" w:cs="Times New Roman"/>
                <w:color w:val="000000"/>
                <w:spacing w:val="0"/>
                <w:w w:val="100"/>
                <w:position w:val="0"/>
                <w:sz w:val="18"/>
                <w:szCs w:val="18"/>
              </w:rPr>
              <w:t xml:space="preserve">2020-03 </w:t>
            </w: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-5,646,4</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3</w:t>
      </w:r>
      <w:bookmarkEnd w:id="210"/>
      <w:r>
        <w:rPr>
          <w:color w:val="000000"/>
          <w:spacing w:val="0"/>
          <w:w w:val="100"/>
          <w:position w:val="0"/>
        </w:rPr>
        <w:t>、报告期内正在进行的重大的非股权投资情况</w:t>
      </w:r>
      <w:bookmarkEnd w:id="208"/>
      <w:bookmarkEnd w:id="209"/>
      <w:bookmarkEnd w:id="21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4</w:t>
      </w:r>
      <w:bookmarkEnd w:id="214"/>
      <w:r>
        <w:rPr>
          <w:color w:val="000000"/>
          <w:spacing w:val="0"/>
          <w:w w:val="100"/>
          <w:position w:val="0"/>
        </w:rPr>
        <w:t>、以公允价值计量的金融资产</w:t>
      </w:r>
      <w:bookmarkEnd w:id="212"/>
      <w:bookmarkEnd w:id="213"/>
      <w:bookmarkEnd w:id="215"/>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报告期内售 出金额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累计投资收</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资金来源</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286,180.00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1,846,210.00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2,132,390.0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5,645,000.0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21,597,066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1,740,368.2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21,597,066.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bl>
    <w:p>
      <w:pPr>
        <w:spacing w:lineRule="exact" w:line="1"/>
        <w:rPr>
          <w:sz w:val="2"/>
          <w:szCs w:val="2"/>
        </w:rPr>
      </w:pPr>
      <w:r>
        <w:br w:type="page"/>
      </w:r>
    </w:p>
    <w:tbl>
      <w:tblPr>
        <w:tblOverlap w:val="never"/>
        <w:jc w:val="center"/>
        <w:tblLayout w:type="fixed"/>
      </w:tblPr>
      <w:tblGrid>
        <w:gridCol w:w="1397"/>
        <w:gridCol w:w="893"/>
        <w:gridCol w:w="1090"/>
        <w:gridCol w:w="1181"/>
        <w:gridCol w:w="1190"/>
        <w:gridCol w:w="960"/>
        <w:gridCol w:w="955"/>
        <w:gridCol w:w="955"/>
        <w:gridCol w:w="96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4,501,314.</w:t>
            </w:r>
          </w:p>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521,957.12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4,501,314.2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9,738,578.</w:t>
            </w:r>
          </w:p>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597,558.76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14,238,578.</w:t>
            </w:r>
          </w:p>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7,604,190.</w:t>
            </w:r>
          </w:p>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-7,604,190.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-7,604,190.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19,559,411.85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19,573,320.</w:t>
            </w:r>
          </w:p>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66,877,329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2,491,210.00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29,059,411.85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-7,604,190.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-4,730,396.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90,837,669.</w:t>
            </w:r>
          </w:p>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5</w:t>
      </w:r>
      <w:bookmarkEnd w:id="218"/>
      <w:r>
        <w:rPr>
          <w:color w:val="000000"/>
          <w:spacing w:val="0"/>
          <w:w w:val="100"/>
          <w:position w:val="0"/>
        </w:rPr>
        <w:t>、募集资金使用情况</w:t>
      </w:r>
      <w:bookmarkEnd w:id="216"/>
      <w:bookmarkEnd w:id="217"/>
      <w:bookmarkEnd w:id="219"/>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0"/>
      <w:bookmarkEnd w:id="221"/>
      <w:bookmarkEnd w:id="22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累计变更 用途的募 集资金总</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用途及去</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50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向本公司 原股东优 先配售，优 先配售后 余额部分</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（含原股 东放弃优 先配售部 分）采用网 上向社会 公众投资 者通过深 交所交易 系统发售 的方式进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92,338.23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835.66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91,502.57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以活期存 款、通知存 款和定期 存款的方 式存放于 公司募集 资金专户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92,338.23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835.66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91,502.57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color w:val="000000"/>
          <w:spacing w:val="0"/>
          <w:w w:val="100"/>
          <w:position w:val="0"/>
        </w:rPr>
        <w:t>募集资金总体使用情况说明</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left"/>
      </w:pPr>
      <w:r>
        <w:rPr>
          <w:color w:val="000000"/>
          <w:spacing w:val="0"/>
          <w:w w:val="100"/>
          <w:position w:val="0"/>
        </w:rPr>
        <w:t>详见募集资金承诺项目使用情况。</w:t>
      </w:r>
    </w:p>
    <w:p>
      <w:pPr>
        <w:pStyle w:val="Style41"/>
        <w:keepNext/>
        <w:keepLines/>
        <w:widowControl w:val="0"/>
        <w:numPr>
          <w:ilvl w:val="0"/>
          <w:numId w:val="3"/>
        </w:numPr>
        <w:shd w:val="clear" w:color="auto" w:fill="auto"/>
        <w:bidi w:val="0"/>
        <w:spacing w:before="0" w:line="240" w:lineRule="auto"/>
        <w:ind w:left="0" w:right="0" w:firstLine="0"/>
        <w:jc w:val="left"/>
      </w:pPr>
      <w:bookmarkStart w:id="224" w:name="bookmark224"/>
      <w:bookmarkStart w:id="225" w:name="bookmark225"/>
      <w:bookmarkStart w:id="226" w:name="bookmark226"/>
      <w:bookmarkStart w:id="227" w:name="bookmark227"/>
      <w:bookmarkEnd w:id="226"/>
      <w:r>
        <w:rPr>
          <w:color w:val="000000"/>
          <w:spacing w:val="0"/>
          <w:w w:val="100"/>
          <w:position w:val="0"/>
        </w:rPr>
        <w:t>募集资金承诺项目情况</w:t>
      </w:r>
      <w:bookmarkEnd w:id="224"/>
      <w:bookmarkEnd w:id="225"/>
      <w:bookmarkEnd w:id="227"/>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承诺投 资项目 和超募 资金投</w:t>
            </w:r>
          </w:p>
          <w:p>
            <w:pPr>
              <w:pStyle w:val="Style22"/>
              <w:keepNext w:val="0"/>
              <w:keepLines w:val="0"/>
              <w:widowControl w:val="0"/>
              <w:shd w:val="clear" w:color="auto" w:fill="auto"/>
              <w:bidi w:val="0"/>
              <w:spacing w:before="0" w:after="0" w:line="312" w:lineRule="exact"/>
              <w:ind w:left="0" w:right="0" w:firstLine="280"/>
              <w:jc w:val="left"/>
              <w:rPr>
                <w:sz w:val="17"/>
                <w:szCs w:val="17"/>
              </w:rPr>
            </w:pPr>
            <w:r>
              <w:rPr>
                <w:color w:val="000000"/>
                <w:spacing w:val="0"/>
                <w:w w:val="100"/>
                <w:position w:val="0"/>
                <w:sz w:val="17"/>
                <w:szCs w:val="17"/>
              </w:rPr>
              <w:t>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截至期末 投资进度</w:t>
            </w:r>
          </w:p>
          <w:p>
            <w:pPr>
              <w:pStyle w:val="Style22"/>
              <w:keepNext w:val="0"/>
              <w:keepLines w:val="0"/>
              <w:widowControl w:val="0"/>
              <w:shd w:val="clear" w:color="auto" w:fill="auto"/>
              <w:bidi w:val="0"/>
              <w:spacing w:before="0" w:after="0" w:line="36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 xml:space="preserve">截止报告 期末累计 实现的效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 行性是 否发生 重大变</w:t>
            </w:r>
          </w:p>
          <w:p>
            <w:pPr>
              <w:pStyle w:val="Style22"/>
              <w:keepNext w:val="0"/>
              <w:keepLines w:val="0"/>
              <w:widowControl w:val="0"/>
              <w:shd w:val="clear" w:color="auto" w:fill="auto"/>
              <w:bidi w:val="0"/>
              <w:spacing w:before="0" w:after="0" w:line="312" w:lineRule="exact"/>
              <w:ind w:left="0" w:right="0" w:firstLine="260"/>
              <w:jc w:val="left"/>
              <w:rPr>
                <w:sz w:val="17"/>
                <w:szCs w:val="17"/>
              </w:rPr>
            </w:pPr>
            <w:r>
              <w:rPr>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基于</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融合中 台的企 业信息 化平台 建设项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补充 流动资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22,338.23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承诺投 资项目 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92,338.23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92,338.23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92,338.23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92,338.23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未达到 计划进 度或预 计收益 的情况 和原因</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(分具 体项目)</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30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项目可 行性发 生重大 变化的</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730"/>
        <w:gridCol w:w="8856"/>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情况说</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超募资 金的金 额、用途 及使用 进展情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募集资 金投资 项目实 施地点 变更情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募集资 金投资 项目实 施方式 调整情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 金投资 项目先 期投入 及置换 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本期未发生募集资金投资项目先期投入的置换情况，本期募投项目发生的支出除上述</w:t>
            </w:r>
            <w:r>
              <w:rPr>
                <w:rFonts w:ascii="Times New Roman" w:eastAsia="Times New Roman" w:hAnsi="Times New Roman" w:cs="Times New Roman"/>
                <w:color w:val="000000"/>
                <w:spacing w:val="0"/>
                <w:w w:val="100"/>
                <w:position w:val="0"/>
                <w:sz w:val="18"/>
                <w:szCs w:val="18"/>
              </w:rPr>
              <w:t>835.66</w:t>
            </w:r>
            <w:r>
              <w:rPr>
                <w:color w:val="000000"/>
                <w:spacing w:val="0"/>
                <w:w w:val="100"/>
                <w:position w:val="0"/>
                <w:sz w:val="17"/>
                <w:szCs w:val="17"/>
              </w:rPr>
              <w:t>万元外系自有资金投 入，公司拟进行置换。</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用闲置 募集资 金暂时 补充流 动资金 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项目实 施出现 募集资 金结余 的金额 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尚未使 用的募 集资金 用途及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尚未使用的募集资金以活期存款、通知存款和定期存款的方式存放。</w:t>
            </w:r>
          </w:p>
        </w:tc>
      </w:tr>
    </w:tbl>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去向</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本期公司已使用自有资金</w:t>
            </w:r>
            <w:r>
              <w:rPr>
                <w:rFonts w:ascii="Times New Roman" w:eastAsia="Times New Roman" w:hAnsi="Times New Roman" w:cs="Times New Roman"/>
                <w:color w:val="000000"/>
                <w:spacing w:val="0"/>
                <w:w w:val="100"/>
                <w:position w:val="0"/>
                <w:sz w:val="18"/>
                <w:szCs w:val="18"/>
              </w:rPr>
              <w:t>139.03</w:t>
            </w:r>
            <w:r>
              <w:rPr>
                <w:color w:val="000000"/>
                <w:spacing w:val="0"/>
                <w:w w:val="100"/>
                <w:position w:val="0"/>
                <w:sz w:val="17"/>
                <w:szCs w:val="17"/>
              </w:rPr>
              <w:t>万元支付发行费用，公司拟进行置换。</w:t>
            </w:r>
          </w:p>
        </w:tc>
      </w:tr>
    </w:tbl>
    <w:p>
      <w:pPr>
        <w:widowControl w:val="0"/>
        <w:spacing w:after="319" w:line="1" w:lineRule="exact"/>
      </w:pPr>
    </w:p>
    <w:p>
      <w:pPr>
        <w:pStyle w:val="Style41"/>
        <w:keepNext/>
        <w:keepLines/>
        <w:widowControl w:val="0"/>
        <w:numPr>
          <w:ilvl w:val="0"/>
          <w:numId w:val="3"/>
        </w:numPr>
        <w:shd w:val="clear" w:color="auto" w:fill="auto"/>
        <w:bidi w:val="0"/>
        <w:spacing w:before="0" w:line="240" w:lineRule="auto"/>
        <w:ind w:left="0" w:right="0" w:firstLine="140"/>
        <w:jc w:val="left"/>
      </w:pPr>
      <w:bookmarkStart w:id="228" w:name="bookmark228"/>
      <w:bookmarkStart w:id="229" w:name="bookmark229"/>
      <w:bookmarkStart w:id="230" w:name="bookmark230"/>
      <w:bookmarkStart w:id="231" w:name="bookmark231"/>
      <w:bookmarkEnd w:id="230"/>
      <w:r>
        <w:rPr>
          <w:color w:val="000000"/>
          <w:spacing w:val="0"/>
          <w:w w:val="100"/>
          <w:position w:val="0"/>
        </w:rPr>
        <w:t>募集资金变更项目情况</w:t>
      </w:r>
      <w:bookmarkEnd w:id="228"/>
      <w:bookmarkEnd w:id="229"/>
      <w:bookmarkEnd w:id="23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7"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六</w:t>
      </w:r>
      <w:bookmarkEnd w:id="234"/>
      <w:r>
        <w:rPr>
          <w:color w:val="000000"/>
          <w:spacing w:val="0"/>
          <w:w w:val="100"/>
          <w:position w:val="0"/>
        </w:rPr>
        <w:t>、</w:t>
        <w:tab/>
        <w:t>重大资产和股权出售</w:t>
      </w:r>
      <w:bookmarkEnd w:id="232"/>
      <w:bookmarkEnd w:id="233"/>
      <w:bookmarkEnd w:id="235"/>
    </w:p>
    <w:p>
      <w:pPr>
        <w:pStyle w:val="Style32"/>
        <w:keepNext/>
        <w:keepLines/>
        <w:widowControl w:val="0"/>
        <w:shd w:val="clear" w:color="auto" w:fill="auto"/>
        <w:tabs>
          <w:tab w:pos="402"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w:t>
        <w:tab/>
        <w:t>出售重大资产情况</w:t>
      </w:r>
      <w:bookmarkEnd w:id="236"/>
      <w:bookmarkEnd w:id="237"/>
      <w:bookmarkEnd w:id="23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02" w:val="left"/>
        </w:tabs>
        <w:bidi w:val="0"/>
        <w:spacing w:before="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2</w:t>
      </w:r>
      <w:bookmarkEnd w:id="242"/>
      <w:r>
        <w:rPr>
          <w:color w:val="000000"/>
          <w:spacing w:val="0"/>
          <w:w w:val="100"/>
          <w:position w:val="0"/>
        </w:rPr>
        <w:t>、</w:t>
        <w:tab/>
        <w:t>出售重大股权情况</w:t>
      </w:r>
      <w:bookmarkEnd w:id="240"/>
      <w:bookmarkEnd w:id="241"/>
      <w:bookmarkEnd w:id="24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七</w:t>
      </w:r>
      <w:bookmarkEnd w:id="246"/>
      <w:r>
        <w:rPr>
          <w:color w:val="000000"/>
          <w:spacing w:val="0"/>
          <w:w w:val="100"/>
          <w:position w:val="0"/>
        </w:rPr>
        <w:t>、</w:t>
        <w:tab/>
        <w:t>主要控股参股公司分析</w:t>
      </w:r>
      <w:bookmarkEnd w:id="244"/>
      <w:bookmarkEnd w:id="245"/>
      <w:bookmarkEnd w:id="24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夏尔软件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78,453,231.2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68,998,491.1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46,079,665.1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7,499,580.25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7,038,862.33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150,669,358.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12,250,569.7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129,369,019.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-26,007,584.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-25,613,543.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鼎医信息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15,042,555.4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-21,592,198.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10,684,352.2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-10,679,214.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-10,553,760.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上海甄一信息科技有限公司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本报告期净利润</w:t>
            </w:r>
            <w:r>
              <w:rPr>
                <w:rFonts w:ascii="Times New Roman" w:eastAsia="Times New Roman" w:hAnsi="Times New Roman" w:cs="Times New Roman"/>
                <w:color w:val="000000"/>
                <w:spacing w:val="0"/>
                <w:w w:val="100"/>
                <w:position w:val="0"/>
                <w:sz w:val="18"/>
                <w:szCs w:val="18"/>
              </w:rPr>
              <w:t>-8,066,371.50</w:t>
            </w:r>
            <w:r>
              <w:rPr>
                <w:color w:val="000000"/>
                <w:spacing w:val="0"/>
                <w:w w:val="100"/>
                <w:position w:val="0"/>
                <w:sz w:val="17"/>
                <w:szCs w:val="17"/>
              </w:rPr>
              <w:t>元，影响归</w:t>
            </w:r>
          </w:p>
        </w:tc>
      </w:tr>
    </w:tbl>
    <w:tbl>
      <w:tblPr>
        <w:tblOverlap w:val="never"/>
        <w:jc w:val="center"/>
        <w:tblLayout w:type="fixed"/>
      </w:tblPr>
      <w:tblGrid>
        <w:gridCol w:w="3197"/>
        <w:gridCol w:w="3192"/>
        <w:gridCol w:w="319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属于上市公司股东的净利润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-5,646,460.05 </w:t>
            </w:r>
            <w:r>
              <w:rPr>
                <w:color w:val="000000"/>
                <w:spacing w:val="0"/>
                <w:w w:val="100"/>
                <w:position w:val="0"/>
                <w:sz w:val="17"/>
                <w:szCs w:val="17"/>
              </w:rPr>
              <w:t>元。</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台湾汉得科技股份有限公司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尚处于业务拓展期</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主要控股参股公司情况说明</w:t>
      </w:r>
    </w:p>
    <w:p>
      <w:pPr>
        <w:widowControl w:val="0"/>
        <w:spacing w:after="139" w:line="1" w:lineRule="exact"/>
      </w:pPr>
    </w:p>
    <w:p>
      <w:pPr>
        <w:pStyle w:val="Style26"/>
        <w:keepNext/>
        <w:keepLines/>
        <w:widowControl w:val="0"/>
        <w:shd w:val="clear" w:color="auto" w:fill="auto"/>
        <w:tabs>
          <w:tab w:pos="482" w:val="left"/>
        </w:tabs>
        <w:bidi w:val="0"/>
        <w:spacing w:before="0" w:line="469" w:lineRule="exact"/>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八</w:t>
      </w:r>
      <w:bookmarkEnd w:id="250"/>
      <w:r>
        <w:rPr>
          <w:color w:val="000000"/>
          <w:spacing w:val="0"/>
          <w:w w:val="100"/>
          <w:position w:val="0"/>
        </w:rPr>
        <w:t>、</w:t>
        <w:tab/>
        <w:t>公司控制的结构化主体情况</w:t>
      </w:r>
      <w:bookmarkEnd w:id="248"/>
      <w:bookmarkEnd w:id="249"/>
      <w:bookmarkEnd w:id="25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82" w:val="left"/>
        </w:tabs>
        <w:bidi w:val="0"/>
        <w:spacing w:before="0" w:after="220" w:line="469" w:lineRule="exact"/>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九</w:t>
      </w:r>
      <w:bookmarkEnd w:id="254"/>
      <w:r>
        <w:rPr>
          <w:color w:val="000000"/>
          <w:spacing w:val="0"/>
          <w:w w:val="100"/>
          <w:position w:val="0"/>
        </w:rPr>
        <w:t>、</w:t>
        <w:tab/>
        <w:t>公司未来发展的展望</w:t>
      </w:r>
      <w:bookmarkEnd w:id="252"/>
      <w:bookmarkEnd w:id="253"/>
      <w:bookmarkEnd w:id="255"/>
    </w:p>
    <w:p>
      <w:pPr>
        <w:pStyle w:val="Style35"/>
        <w:keepNext w:val="0"/>
        <w:keepLines w:val="0"/>
        <w:widowControl w:val="0"/>
        <w:shd w:val="clear" w:color="auto" w:fill="auto"/>
        <w:bidi w:val="0"/>
        <w:spacing w:before="0" w:after="0" w:line="469" w:lineRule="exact"/>
        <w:ind w:left="0" w:right="0" w:firstLine="480"/>
        <w:jc w:val="left"/>
      </w:pPr>
      <w:bookmarkStart w:id="256" w:name="bookmark256"/>
      <w:r>
        <w:rPr>
          <w:color w:val="000000"/>
          <w:spacing w:val="0"/>
          <w:w w:val="100"/>
          <w:position w:val="0"/>
        </w:rPr>
        <w:t>（</w:t>
      </w:r>
      <w:bookmarkEnd w:id="256"/>
      <w:r>
        <w:rPr>
          <w:color w:val="000000"/>
          <w:spacing w:val="0"/>
          <w:w w:val="100"/>
          <w:position w:val="0"/>
        </w:rPr>
        <w:t>一）公司现状及面临的风险</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近年来随着</w:t>
      </w:r>
      <w:r>
        <w:rPr>
          <w:color w:val="000000"/>
          <w:spacing w:val="0"/>
          <w:w w:val="100"/>
          <w:position w:val="0"/>
          <w:sz w:val="24"/>
          <w:szCs w:val="24"/>
        </w:rPr>
        <w:t>IT</w:t>
      </w:r>
      <w:r>
        <w:rPr>
          <w:color w:val="000000"/>
          <w:spacing w:val="0"/>
          <w:w w:val="100"/>
          <w:position w:val="0"/>
        </w:rPr>
        <w:t>技术的迅猛发展，以及中国在互联网领域的快速推进，中国企业目前在信 息化上的诉求，已经发生了很大的改变。很多企业尤其是各行业的领先企业，信息化建设已 从“痛点驱动”升级为“愿景驱动”，而信息化是助推企业实现发展愿景的重要因素。同时, 越来越多的企业希望能够借助互联网以及新兴技术，打造更强的竞争力，企业信息化呈现出 非常多的中国特色。信息化发展的趋势给企业带来想象的同时也带来了很大的挑战，同时也 对公司提出了更高的要求。</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报告期内，公司继续巩固了作为中国本土领先的高端企业信息化套装软件实施服务商的 市场地位，并持续在前沿领域投入力量学习、研究和实践，保持在前沿领域对企业的引导能 力，公司自主研发产品及服务竞争优势逐渐形成，扩大了公司的综合实施服务能力。目前国 内软件和信息技术服务行业整体较为景气，这几年公司的竞争优势越来越明显，主要得益于 公司丰富的实施服务经验，多元化的产品体系，全面的信息化服务能力，优质稳定的客户基 础，优秀专业的人才团队，逐渐增强的品牌影响力，自主可控的融合中台技术，技术革新与 管理实践创新意识，以及业界领先的合作伙伴生态圈。</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近几年国家产业结构升级，对诸如物联网、云计算、大数据、人工智能、工业互联网等 新兴技术的扶持，催生了企业业务模式、管理形态等的进一步变化，刺激着企业不断寻求新 技术的转型和应用，市场对全面信息化建设、运营、维护、创新的需求不断增强，使得公司 的业务范围和销售商机从原来产品的实施扩展到了行业和整体解决方案的实施，相应的也为 公司的业绩带来了很多新的增长点。公司与大量合作伙伴特别是百度参股后形成的战略合作 关系，也有助于汉得迅速补平新兴</w:t>
      </w:r>
      <w:r>
        <w:rPr>
          <w:color w:val="000000"/>
          <w:spacing w:val="0"/>
          <w:w w:val="100"/>
          <w:position w:val="0"/>
          <w:sz w:val="24"/>
          <w:szCs w:val="24"/>
        </w:rPr>
        <w:t>IT</w:t>
      </w:r>
      <w:r>
        <w:rPr>
          <w:color w:val="000000"/>
          <w:spacing w:val="0"/>
          <w:w w:val="100"/>
          <w:position w:val="0"/>
        </w:rPr>
        <w:t xml:space="preserve">技术方面的短板，快速形成聚焦于企业信息化建设的全 面服务能力，而同时，公司自有技术体系的飞速发展，为融合中台和解决方案做深做精，形 成差异化竞争优势，提供了强有力的支持。除了机遇，公司在经营过程中也充分意识到了可 </w:t>
      </w:r>
      <w:r>
        <w:rPr>
          <w:color w:val="000000"/>
          <w:spacing w:val="0"/>
          <w:w w:val="100"/>
          <w:position w:val="0"/>
        </w:rPr>
        <w:t>能对公司未来发展战略和经营目标的实现产生不利影响的风险因素：</w:t>
      </w:r>
    </w:p>
    <w:p>
      <w:pPr>
        <w:pStyle w:val="Style35"/>
        <w:keepNext w:val="0"/>
        <w:keepLines w:val="0"/>
        <w:widowControl w:val="0"/>
        <w:shd w:val="clear" w:color="auto" w:fill="auto"/>
        <w:bidi w:val="0"/>
        <w:spacing w:before="0" w:after="0" w:line="470" w:lineRule="exact"/>
        <w:ind w:left="0" w:right="0" w:firstLine="480"/>
        <w:jc w:val="both"/>
      </w:pPr>
      <w:bookmarkStart w:id="257" w:name="bookmark257"/>
      <w:r>
        <w:rPr>
          <w:color w:val="000000"/>
          <w:spacing w:val="0"/>
          <w:w w:val="100"/>
          <w:position w:val="0"/>
        </w:rPr>
        <w:t>一</w:t>
      </w:r>
      <w:bookmarkEnd w:id="257"/>
      <w:r>
        <w:rPr>
          <w:color w:val="000000"/>
          <w:spacing w:val="0"/>
          <w:w w:val="100"/>
          <w:position w:val="0"/>
        </w:rPr>
        <w:t>、市场风险</w:t>
      </w:r>
    </w:p>
    <w:p>
      <w:pPr>
        <w:pStyle w:val="Style35"/>
        <w:keepNext w:val="0"/>
        <w:keepLines w:val="0"/>
        <w:widowControl w:val="0"/>
        <w:shd w:val="clear" w:color="auto" w:fill="auto"/>
        <w:tabs>
          <w:tab w:pos="840" w:val="left"/>
        </w:tabs>
        <w:bidi w:val="0"/>
        <w:spacing w:before="0" w:after="0" w:line="470" w:lineRule="exact"/>
        <w:ind w:left="0" w:right="0" w:firstLine="480"/>
        <w:jc w:val="both"/>
      </w:pPr>
      <w:bookmarkStart w:id="258" w:name="bookmark258"/>
      <w:r>
        <w:rPr>
          <w:color w:val="000000"/>
          <w:spacing w:val="0"/>
          <w:w w:val="100"/>
          <w:position w:val="0"/>
          <w:sz w:val="24"/>
          <w:szCs w:val="24"/>
        </w:rPr>
        <w:t>1</w:t>
      </w:r>
      <w:bookmarkEnd w:id="258"/>
      <w:r>
        <w:rPr>
          <w:color w:val="000000"/>
          <w:spacing w:val="0"/>
          <w:w w:val="100"/>
          <w:position w:val="0"/>
        </w:rPr>
        <w:t>、</w:t>
        <w:tab/>
        <w:t>宏观经济波动的风险</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公司主营业务为企业信息化综合服务，公司的客户主要为具有较强实力的跨国公司和大 中型企业，信息系统对于客户企业的运营和管理至关重要。宏观及行业经济周期的变化与公 司所在行业的市场景气程度存在一定的关联性。宏观经济的波动在一定程度上可能影响企业 自身的经营状况和对未来的预期及其投资意愿，从而影响客户在</w:t>
      </w:r>
      <w:r>
        <w:rPr>
          <w:color w:val="000000"/>
          <w:spacing w:val="0"/>
          <w:w w:val="100"/>
          <w:position w:val="0"/>
          <w:sz w:val="24"/>
          <w:szCs w:val="24"/>
        </w:rPr>
        <w:t>IT</w:t>
      </w:r>
      <w:r>
        <w:rPr>
          <w:color w:val="000000"/>
          <w:spacing w:val="0"/>
          <w:w w:val="100"/>
          <w:position w:val="0"/>
        </w:rPr>
        <w:t>建设方面的需求。若国内 外宏观经济增速减慢及下游行业出现周期性下滑，且短时间内没有好转，可能对企业信息化 服务行业的发展带来不利影响，公司存在因主要客户降低企业信息化需求而导致公司经营业 绩下滑的风险。</w:t>
      </w:r>
    </w:p>
    <w:p>
      <w:pPr>
        <w:pStyle w:val="Style35"/>
        <w:keepNext w:val="0"/>
        <w:keepLines w:val="0"/>
        <w:widowControl w:val="0"/>
        <w:shd w:val="clear" w:color="auto" w:fill="auto"/>
        <w:tabs>
          <w:tab w:pos="840" w:val="left"/>
        </w:tabs>
        <w:bidi w:val="0"/>
        <w:spacing w:before="0" w:after="0" w:line="470" w:lineRule="exact"/>
        <w:ind w:left="0" w:right="0" w:firstLine="480"/>
        <w:jc w:val="both"/>
      </w:pPr>
      <w:bookmarkStart w:id="259" w:name="bookmark259"/>
      <w:r>
        <w:rPr>
          <w:color w:val="000000"/>
          <w:spacing w:val="0"/>
          <w:w w:val="100"/>
          <w:position w:val="0"/>
          <w:sz w:val="24"/>
          <w:szCs w:val="24"/>
        </w:rPr>
        <w:t>2</w:t>
      </w:r>
      <w:bookmarkEnd w:id="259"/>
      <w:r>
        <w:rPr>
          <w:color w:val="000000"/>
          <w:spacing w:val="0"/>
          <w:w w:val="100"/>
          <w:position w:val="0"/>
        </w:rPr>
        <w:t>、</w:t>
        <w:tab/>
        <w:t>行业竞争加剧的风险</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2020</w:t>
      </w:r>
      <w:r>
        <w:rPr>
          <w:color w:val="000000"/>
          <w:spacing w:val="0"/>
          <w:w w:val="100"/>
          <w:position w:val="0"/>
        </w:rPr>
        <w:t>年以来，受外部经济环境以及企业级</w:t>
      </w:r>
      <w:r>
        <w:rPr>
          <w:color w:val="000000"/>
          <w:spacing w:val="0"/>
          <w:w w:val="100"/>
          <w:position w:val="0"/>
          <w:sz w:val="24"/>
          <w:szCs w:val="24"/>
        </w:rPr>
        <w:t>IT</w:t>
      </w:r>
      <w:r>
        <w:rPr>
          <w:color w:val="000000"/>
          <w:spacing w:val="0"/>
          <w:w w:val="100"/>
          <w:position w:val="0"/>
        </w:rPr>
        <w:t>服务市场变化影响，来自</w:t>
      </w:r>
      <w:r>
        <w:rPr>
          <w:color w:val="000000"/>
          <w:spacing w:val="0"/>
          <w:w w:val="100"/>
          <w:position w:val="0"/>
          <w:sz w:val="24"/>
          <w:szCs w:val="24"/>
        </w:rPr>
        <w:t>ERP</w:t>
      </w:r>
      <w:r>
        <w:rPr>
          <w:color w:val="000000"/>
          <w:spacing w:val="0"/>
          <w:w w:val="100"/>
          <w:position w:val="0"/>
        </w:rPr>
        <w:t>领域的市场需求 出现了放缓迹象，同行业竞争者均开始寻求其周边产品及融合中台的商机，随着行业快速发 展，企业之间的竞争日趋激烈，公司维持营收增速和保持行业内领先地位困难度加大，不少 竞争者通过低价手段试图抢占市场份额，更加剧了市场的竞争关系，公司面临着行业竞争加 剧的压力，如果公司不能及时有效地应对市场竞争，不能在成本、效率与服务质量方面获得 竞争优势，将会面临增长放缓、市场占有率下降，进而对公司的经营业绩产生不利影响的风 险。</w:t>
      </w:r>
    </w:p>
    <w:p>
      <w:pPr>
        <w:pStyle w:val="Style35"/>
        <w:keepNext w:val="0"/>
        <w:keepLines w:val="0"/>
        <w:widowControl w:val="0"/>
        <w:shd w:val="clear" w:color="auto" w:fill="auto"/>
        <w:tabs>
          <w:tab w:pos="840" w:val="left"/>
        </w:tabs>
        <w:bidi w:val="0"/>
        <w:spacing w:before="0" w:after="0" w:line="470" w:lineRule="exact"/>
        <w:ind w:left="0" w:right="0" w:firstLine="480"/>
        <w:jc w:val="both"/>
      </w:pPr>
      <w:bookmarkStart w:id="260" w:name="bookmark260"/>
      <w:r>
        <w:rPr>
          <w:color w:val="000000"/>
          <w:spacing w:val="0"/>
          <w:w w:val="100"/>
          <w:position w:val="0"/>
          <w:sz w:val="24"/>
          <w:szCs w:val="24"/>
        </w:rPr>
        <w:t>3</w:t>
      </w:r>
      <w:bookmarkEnd w:id="260"/>
      <w:r>
        <w:rPr>
          <w:color w:val="000000"/>
          <w:spacing w:val="0"/>
          <w:w w:val="100"/>
          <w:position w:val="0"/>
        </w:rPr>
        <w:t>、</w:t>
        <w:tab/>
        <w:t>业绩下滑的风险</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公司的业绩与宏观经济、各行业客户的经营情况和</w:t>
      </w:r>
      <w:r>
        <w:rPr>
          <w:color w:val="000000"/>
          <w:spacing w:val="0"/>
          <w:w w:val="100"/>
          <w:position w:val="0"/>
          <w:sz w:val="24"/>
          <w:szCs w:val="24"/>
        </w:rPr>
        <w:t>IT</w:t>
      </w:r>
      <w:r>
        <w:rPr>
          <w:color w:val="000000"/>
          <w:spacing w:val="0"/>
          <w:w w:val="100"/>
          <w:position w:val="0"/>
        </w:rPr>
        <w:t>信息化需求、企业信息化行业竞争 情况、自身产品和服务的竞争力等因素均存在一定的关联性。</w:t>
      </w:r>
      <w:r>
        <w:rPr>
          <w:color w:val="000000"/>
          <w:spacing w:val="0"/>
          <w:w w:val="100"/>
          <w:position w:val="0"/>
          <w:sz w:val="24"/>
          <w:szCs w:val="24"/>
        </w:rPr>
        <w:t>2020</w:t>
      </w:r>
      <w:r>
        <w:rPr>
          <w:color w:val="000000"/>
          <w:spacing w:val="0"/>
          <w:w w:val="100"/>
          <w:position w:val="0"/>
        </w:rPr>
        <w:t>年度归属于上市公司普通 股股东的净利润</w:t>
      </w:r>
      <w:r>
        <w:rPr>
          <w:color w:val="000000"/>
          <w:spacing w:val="0"/>
          <w:w w:val="100"/>
          <w:position w:val="0"/>
          <w:sz w:val="24"/>
          <w:szCs w:val="24"/>
        </w:rPr>
        <w:t>65,709,488.68</w:t>
      </w:r>
      <w:r>
        <w:rPr>
          <w:color w:val="000000"/>
          <w:spacing w:val="0"/>
          <w:w w:val="100"/>
          <w:position w:val="0"/>
        </w:rPr>
        <w:t>元，同比减少</w:t>
      </w:r>
      <w:r>
        <w:rPr>
          <w:color w:val="000000"/>
          <w:spacing w:val="0"/>
          <w:w w:val="100"/>
          <w:position w:val="0"/>
          <w:sz w:val="24"/>
          <w:szCs w:val="24"/>
        </w:rPr>
        <w:t>23.69%</w:t>
      </w:r>
      <w:r>
        <w:rPr>
          <w:color w:val="000000"/>
          <w:spacing w:val="0"/>
          <w:w w:val="100"/>
          <w:position w:val="0"/>
        </w:rPr>
        <w:t>。公司业绩下滑的主要原因为公司产品结 构变化、公司加大自主软件的研发投入、人员成本上升、行业毛利率整体下降、新冠肺炎疫 情影响等因素综合叠加所致。公司对业绩下滑采取了包括大力发展自主软件、优化组织结构、 积极复工复产等应对措施，但如果未来公司不能加强自主产品技术的研发和升级，巩固和进 一步提升竞争优势，则可能由于面临宏观经济波动、行业竞争加剧、产品难以满足客户需求 等多重风险叠加发生的情况，而导致公司业绩进一步下滑的风险。</w:t>
      </w:r>
    </w:p>
    <w:p>
      <w:pPr>
        <w:pStyle w:val="Style35"/>
        <w:keepNext w:val="0"/>
        <w:keepLines w:val="0"/>
        <w:widowControl w:val="0"/>
        <w:shd w:val="clear" w:color="auto" w:fill="auto"/>
        <w:tabs>
          <w:tab w:pos="840" w:val="left"/>
        </w:tabs>
        <w:bidi w:val="0"/>
        <w:spacing w:before="0" w:after="0" w:line="470" w:lineRule="exact"/>
        <w:ind w:left="0" w:right="0" w:firstLine="480"/>
        <w:jc w:val="both"/>
      </w:pPr>
      <w:bookmarkStart w:id="261" w:name="bookmark261"/>
      <w:r>
        <w:rPr>
          <w:color w:val="000000"/>
          <w:spacing w:val="0"/>
          <w:w w:val="100"/>
          <w:position w:val="0"/>
          <w:sz w:val="24"/>
          <w:szCs w:val="24"/>
        </w:rPr>
        <w:t>4</w:t>
      </w:r>
      <w:bookmarkEnd w:id="261"/>
      <w:r>
        <w:rPr>
          <w:color w:val="000000"/>
          <w:spacing w:val="0"/>
          <w:w w:val="100"/>
          <w:position w:val="0"/>
        </w:rPr>
        <w:t>、</w:t>
        <w:tab/>
        <w:t>国家政策风险</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公司所属行业为软件和信息技术服务业，软件和信息技术服务行业的相关政策与公司发 </w:t>
      </w:r>
      <w:r>
        <w:rPr>
          <w:color w:val="000000"/>
          <w:spacing w:val="0"/>
          <w:w w:val="100"/>
          <w:position w:val="0"/>
        </w:rPr>
        <w:t>展密切相关。近年来，我国信息化发展取得了长足进展，各领域信息化水平全面提升。近年 来，我国多部委先后出台了《国务院办公厅关于促进平台经济规范健康发展的指导意见》、</w:t>
      </w:r>
    </w:p>
    <w:p>
      <w:pPr>
        <w:pStyle w:val="Style35"/>
        <w:keepNext w:val="0"/>
        <w:keepLines w:val="0"/>
        <w:widowControl w:val="0"/>
        <w:shd w:val="clear" w:color="auto" w:fill="auto"/>
        <w:bidi w:val="0"/>
        <w:spacing w:before="0" w:after="0" w:line="468" w:lineRule="exact"/>
        <w:ind w:left="0" w:right="0" w:firstLine="0"/>
        <w:jc w:val="both"/>
      </w:pPr>
      <w:r>
        <w:rPr>
          <w:color w:val="000000"/>
          <w:spacing w:val="0"/>
          <w:w w:val="100"/>
          <w:position w:val="0"/>
        </w:rPr>
        <w:t>《国务院关于深化“互联网+先进制造业”发展工业互联网的指导意见》、《国家信息化发展 战略纲要》等一系列规范、支持行业发展的政策，促进制造业等经济各领域信息化的全面发 展。若未来国家相关产业政策发生变化，可能对行业和公司产生不确定影响。</w:t>
      </w:r>
    </w:p>
    <w:p>
      <w:pPr>
        <w:pStyle w:val="Style35"/>
        <w:keepNext w:val="0"/>
        <w:keepLines w:val="0"/>
        <w:widowControl w:val="0"/>
        <w:shd w:val="clear" w:color="auto" w:fill="auto"/>
        <w:bidi w:val="0"/>
        <w:spacing w:before="0" w:after="0" w:line="468" w:lineRule="exact"/>
        <w:ind w:left="0" w:right="0" w:firstLine="480"/>
        <w:jc w:val="left"/>
      </w:pPr>
      <w:bookmarkStart w:id="262" w:name="bookmark262"/>
      <w:r>
        <w:rPr>
          <w:color w:val="000000"/>
          <w:spacing w:val="0"/>
          <w:w w:val="100"/>
          <w:position w:val="0"/>
          <w:sz w:val="24"/>
          <w:szCs w:val="24"/>
        </w:rPr>
        <w:t>5</w:t>
      </w:r>
      <w:bookmarkEnd w:id="262"/>
      <w:r>
        <w:rPr>
          <w:color w:val="000000"/>
          <w:spacing w:val="0"/>
          <w:w w:val="100"/>
          <w:position w:val="0"/>
        </w:rPr>
        <w:t>、公司业务受到新冠肺炎疫情影响的风险</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2020</w:t>
      </w:r>
      <w:r>
        <w:rPr>
          <w:color w:val="000000"/>
          <w:spacing w:val="0"/>
          <w:w w:val="100"/>
          <w:position w:val="0"/>
        </w:rPr>
        <w:t>年以来，新冠肺炎疫情陆续在我国、亚洲、欧美等全球主要经济体爆发。受本次突 发新冠肺炎疫情影响，公司包括软件实施服务、软件外包等项目进度有所延迟，国内外部分 疫情严重地区实施项目因交通不便、人员流动限制等防疫原因暂时受阻、停滞，上述因素对 公司经营业绩产生了一定不利影响。若全球新冠肺炎疫情在短期内无法得到全面有效的控制, 公司业务将可能因新冠肺炎疫情持续蔓延而出现需求及收入下滑的情形，提请广大投资者关 注公司业务受到新冠肺炎疫情影响的风险。</w:t>
      </w:r>
    </w:p>
    <w:p>
      <w:pPr>
        <w:pStyle w:val="Style35"/>
        <w:keepNext w:val="0"/>
        <w:keepLines w:val="0"/>
        <w:widowControl w:val="0"/>
        <w:shd w:val="clear" w:color="auto" w:fill="auto"/>
        <w:bidi w:val="0"/>
        <w:spacing w:before="0" w:after="0" w:line="468" w:lineRule="exact"/>
        <w:ind w:left="0" w:right="0" w:firstLine="480"/>
        <w:jc w:val="both"/>
      </w:pPr>
      <w:bookmarkStart w:id="263" w:name="bookmark263"/>
      <w:r>
        <w:rPr>
          <w:color w:val="000000"/>
          <w:spacing w:val="0"/>
          <w:w w:val="100"/>
          <w:position w:val="0"/>
        </w:rPr>
        <w:t>二</w:t>
      </w:r>
      <w:bookmarkEnd w:id="263"/>
      <w:r>
        <w:rPr>
          <w:color w:val="000000"/>
          <w:spacing w:val="0"/>
          <w:w w:val="100"/>
          <w:position w:val="0"/>
        </w:rPr>
        <w:t>、经营风险</w:t>
      </w:r>
    </w:p>
    <w:p>
      <w:pPr>
        <w:pStyle w:val="Style35"/>
        <w:keepNext w:val="0"/>
        <w:keepLines w:val="0"/>
        <w:widowControl w:val="0"/>
        <w:shd w:val="clear" w:color="auto" w:fill="auto"/>
        <w:tabs>
          <w:tab w:pos="835" w:val="left"/>
        </w:tabs>
        <w:bidi w:val="0"/>
        <w:spacing w:before="0" w:after="0" w:line="468" w:lineRule="exact"/>
        <w:ind w:left="0" w:right="0" w:firstLine="480"/>
        <w:jc w:val="left"/>
      </w:pPr>
      <w:bookmarkStart w:id="264" w:name="bookmark264"/>
      <w:r>
        <w:rPr>
          <w:color w:val="000000"/>
          <w:spacing w:val="0"/>
          <w:w w:val="100"/>
          <w:position w:val="0"/>
          <w:sz w:val="24"/>
          <w:szCs w:val="24"/>
        </w:rPr>
        <w:t>1</w:t>
      </w:r>
      <w:bookmarkEnd w:id="264"/>
      <w:r>
        <w:rPr>
          <w:color w:val="000000"/>
          <w:spacing w:val="0"/>
          <w:w w:val="100"/>
          <w:position w:val="0"/>
        </w:rPr>
        <w:t>、</w:t>
        <w:tab/>
        <w:t>融合中台交付质量和市场认可度的不确定性</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数字化转型对服务商的咨询服务能力提出了更高的要求，特别是融合中台，无论从技术 架构、还是产品成熟度等方面，都有一个市场的验证和认可过程。融合中台初期交付由于其 产品本身的不完善，可能会影响到交付成本、利润和交付质量，一旦交付质量出现问题，会 直接影响到客户及市场对公司融合中台的认可度，形成不好的口碑，对后续产品的推广和市 场的开拓将带来致命的打击。</w:t>
      </w:r>
    </w:p>
    <w:p>
      <w:pPr>
        <w:pStyle w:val="Style35"/>
        <w:keepNext w:val="0"/>
        <w:keepLines w:val="0"/>
        <w:widowControl w:val="0"/>
        <w:shd w:val="clear" w:color="auto" w:fill="auto"/>
        <w:tabs>
          <w:tab w:pos="835" w:val="left"/>
        </w:tabs>
        <w:bidi w:val="0"/>
        <w:spacing w:before="0" w:after="0" w:line="468" w:lineRule="exact"/>
        <w:ind w:left="0" w:right="0" w:firstLine="480"/>
        <w:jc w:val="left"/>
      </w:pPr>
      <w:bookmarkStart w:id="265" w:name="bookmark265"/>
      <w:r>
        <w:rPr>
          <w:color w:val="000000"/>
          <w:spacing w:val="0"/>
          <w:w w:val="100"/>
          <w:position w:val="0"/>
          <w:sz w:val="24"/>
          <w:szCs w:val="24"/>
        </w:rPr>
        <w:t>2</w:t>
      </w:r>
      <w:bookmarkEnd w:id="265"/>
      <w:r>
        <w:rPr>
          <w:color w:val="000000"/>
          <w:spacing w:val="0"/>
          <w:w w:val="100"/>
          <w:position w:val="0"/>
        </w:rPr>
        <w:t>、</w:t>
        <w:tab/>
        <w:t>公司技术研发和升级落后于行业发展速度的风险</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国内软件服务行业企业的核心竞争力主要体现在拥有较强的实施开发能力和技术研发水 平。企业客户在面临新技术冲击的同时，对公司信息咨询服务综合能力提出了更高的要求， 公司技术储备、资源储备、内部管控等是否能跟上日益增长的完整信息化需求，是公司当前 面临的主要挑战。为满足客户不断提高的信息化建设需求，公司必须不断进行技术创新以适 应市场环境变化。公司技术研究团队始终跟随行业技术发展趋势，持续增加研发投入，使公 司的产品与服务具备持续创新能力以及市场竞争力。为保持竞争优势，公司必须准确预测行 业发展趋势，及时将成熟、实用、先进的技术用于自身产品的研发与技术升级。如果公司不 能准确地把握行业技术的发展趋势，或不能及时将新技术运用于业务产品的开发和升级，将 可能给公司在技术研发和市场的优势地位带来不利影响，从而影响公司经营和盈利能力。</w:t>
      </w:r>
    </w:p>
    <w:p>
      <w:pPr>
        <w:pStyle w:val="Style35"/>
        <w:keepNext w:val="0"/>
        <w:keepLines w:val="0"/>
        <w:widowControl w:val="0"/>
        <w:shd w:val="clear" w:color="auto" w:fill="auto"/>
        <w:tabs>
          <w:tab w:pos="842" w:val="left"/>
        </w:tabs>
        <w:bidi w:val="0"/>
        <w:spacing w:before="0" w:after="0" w:line="469" w:lineRule="exact"/>
        <w:ind w:left="0" w:right="0" w:firstLine="480"/>
        <w:jc w:val="left"/>
      </w:pPr>
      <w:bookmarkStart w:id="266" w:name="bookmark266"/>
      <w:r>
        <w:rPr>
          <w:color w:val="000000"/>
          <w:spacing w:val="0"/>
          <w:w w:val="100"/>
          <w:position w:val="0"/>
          <w:sz w:val="24"/>
          <w:szCs w:val="24"/>
        </w:rPr>
        <w:t>3</w:t>
      </w:r>
      <w:bookmarkEnd w:id="266"/>
      <w:r>
        <w:rPr>
          <w:color w:val="000000"/>
          <w:spacing w:val="0"/>
          <w:w w:val="100"/>
          <w:position w:val="0"/>
        </w:rPr>
        <w:t>、</w:t>
        <w:tab/>
        <w:t>与套装软件厂商合作关系稳定性的风险</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公司从事的主营业务中，部分业务为第三方软件的实施，即向客户销售并实施</w:t>
      </w:r>
      <w:r>
        <w:rPr>
          <w:color w:val="000000"/>
          <w:spacing w:val="0"/>
          <w:w w:val="100"/>
          <w:position w:val="0"/>
          <w:sz w:val="24"/>
          <w:szCs w:val="24"/>
        </w:rPr>
        <w:t>Oracle</w:t>
      </w:r>
      <w:r>
        <w:rPr>
          <w:color w:val="000000"/>
          <w:spacing w:val="0"/>
          <w:w w:val="100"/>
          <w:position w:val="0"/>
        </w:rPr>
        <w:t xml:space="preserve">、 </w:t>
      </w:r>
      <w:r>
        <w:rPr>
          <w:color w:val="000000"/>
          <w:spacing w:val="0"/>
          <w:w w:val="100"/>
          <w:position w:val="0"/>
          <w:sz w:val="24"/>
          <w:szCs w:val="24"/>
        </w:rPr>
        <w:t>SAP</w:t>
      </w:r>
      <w:r>
        <w:rPr>
          <w:color w:val="000000"/>
          <w:spacing w:val="0"/>
          <w:w w:val="100"/>
          <w:position w:val="0"/>
        </w:rPr>
        <w:t>等第三方软件厂商的套装软件产品。虽然目前公司与套装软件厂商保持着良好合作关系， 但亦不排除由于贸易摩擦或行业竞争等因素，给公司与套装软件厂商合作关系稳定性造成不 利影响。虽然软件实施业务并无资质准入要求，且公司软件代理销售收入在公司业务中占比 很低，但仍存在公司业绩因合作关系不稳定而受到一定影响的风险。</w:t>
      </w:r>
    </w:p>
    <w:p>
      <w:pPr>
        <w:pStyle w:val="Style35"/>
        <w:keepNext w:val="0"/>
        <w:keepLines w:val="0"/>
        <w:widowControl w:val="0"/>
        <w:shd w:val="clear" w:color="auto" w:fill="auto"/>
        <w:tabs>
          <w:tab w:pos="842" w:val="left"/>
        </w:tabs>
        <w:bidi w:val="0"/>
        <w:spacing w:before="0" w:after="0" w:line="469" w:lineRule="exact"/>
        <w:ind w:left="0" w:right="0" w:firstLine="480"/>
        <w:jc w:val="both"/>
      </w:pPr>
      <w:bookmarkStart w:id="267" w:name="bookmark267"/>
      <w:r>
        <w:rPr>
          <w:color w:val="000000"/>
          <w:spacing w:val="0"/>
          <w:w w:val="100"/>
          <w:position w:val="0"/>
          <w:sz w:val="24"/>
          <w:szCs w:val="24"/>
        </w:rPr>
        <w:t>4</w:t>
      </w:r>
      <w:bookmarkEnd w:id="267"/>
      <w:r>
        <w:rPr>
          <w:color w:val="000000"/>
          <w:spacing w:val="0"/>
          <w:w w:val="100"/>
          <w:position w:val="0"/>
        </w:rPr>
        <w:t>、</w:t>
        <w:tab/>
        <w:t>人力成本上升和人才流失风险</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软件服务行业属于人才密集型行业，公司最主要的经营资源是人力，因此如果人力成本 平均上升速度快于人均产值的增长速度，则公司的毛利率水平将会有下降的风险。为应对该 项风险，公司一方面将通过进一步提高服务质量、服务效率和提升客户体验来推动实施顾问 人均产值的持续增长，另一方面，公司凭借总结行业整体解决方案、立足于自主培养人才、 加强区域集中共享、远程化支持技术等手段来加速实施顾问的成长，提高人员利用率，从而 缓解人力成本上升的压力。虽然如此，但未来随着经济的发展、生活成本的上升、竞争对手 对专业人才的争夺，企业自身</w:t>
      </w:r>
      <w:r>
        <w:rPr>
          <w:color w:val="000000"/>
          <w:spacing w:val="0"/>
          <w:w w:val="100"/>
          <w:position w:val="0"/>
          <w:sz w:val="24"/>
          <w:szCs w:val="24"/>
        </w:rPr>
        <w:t>IT</w:t>
      </w:r>
      <w:r>
        <w:rPr>
          <w:color w:val="000000"/>
          <w:spacing w:val="0"/>
          <w:w w:val="100"/>
          <w:position w:val="0"/>
        </w:rPr>
        <w:t>力量贮备力度的加大以及政府部门对社会保障体系相关政策 的调整，公司的人力成本仍可能存在增加的风险。</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一方面，近年来随着互联网企业的快速发展，云计算、大数据等新技术的兴起，对相关 人才资源的抢夺竞争加剧，</w:t>
      </w:r>
      <w:r>
        <w:rPr>
          <w:color w:val="000000"/>
          <w:spacing w:val="0"/>
          <w:w w:val="100"/>
          <w:position w:val="0"/>
          <w:sz w:val="24"/>
          <w:szCs w:val="24"/>
        </w:rPr>
        <w:t>IT</w:t>
      </w:r>
      <w:r>
        <w:rPr>
          <w:color w:val="000000"/>
          <w:spacing w:val="0"/>
          <w:w w:val="100"/>
          <w:position w:val="0"/>
        </w:rPr>
        <w:t>人才的工资水平迅速提高，发展方向多样化，公司人才面临较 多的市场机会，再加上行业特性，出差较为频繁、工作强度较高，对人员稳定性造成了一定 影响，另一方面公司的股权激励因为资本市场波动较大给激励效果带来了不确定性，也影响 了员工的黏性，存在人才流失的风险，人才流失可能对公司实施交付、技术研发、市场拓展、 知识库的建设、团队士气等方面造成不利影响，进而影响公司经营业绩。针对此风险，公司 将通过实行更为有效的激励和约束机制，加强企业文化建设，员工关怀，来提高核心员工和 中坚力量的稳定度。</w:t>
      </w:r>
    </w:p>
    <w:p>
      <w:pPr>
        <w:pStyle w:val="Style35"/>
        <w:keepNext w:val="0"/>
        <w:keepLines w:val="0"/>
        <w:widowControl w:val="0"/>
        <w:shd w:val="clear" w:color="auto" w:fill="auto"/>
        <w:tabs>
          <w:tab w:pos="842" w:val="left"/>
        </w:tabs>
        <w:bidi w:val="0"/>
        <w:spacing w:before="0" w:after="0" w:line="469" w:lineRule="exact"/>
        <w:ind w:left="0" w:right="0" w:firstLine="480"/>
        <w:jc w:val="both"/>
      </w:pPr>
      <w:bookmarkStart w:id="268" w:name="bookmark268"/>
      <w:r>
        <w:rPr>
          <w:color w:val="000000"/>
          <w:spacing w:val="0"/>
          <w:w w:val="100"/>
          <w:position w:val="0"/>
          <w:sz w:val="24"/>
          <w:szCs w:val="24"/>
        </w:rPr>
        <w:t>5</w:t>
      </w:r>
      <w:bookmarkEnd w:id="268"/>
      <w:r>
        <w:rPr>
          <w:color w:val="000000"/>
          <w:spacing w:val="0"/>
          <w:w w:val="100"/>
          <w:position w:val="0"/>
        </w:rPr>
        <w:t>、</w:t>
        <w:tab/>
        <w:t>项目管理和质量控制风险</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公司根据客户的个性化需求为其提供各种信息化实施开发服务。信息化实施开发服务以 项目实施为核心，由专业的软件实施开发团队完成，具有明确的分工及阶段划分。若公司不 能有效地管理规范项目过程，加强实施管控，公司将面临项目失败，从而影响市场口碑的风 险。虽然公司已建立了全面的项目管理和质量控制体系，但未来公司仍存在因实施开发出现 质量问题而影响公司的市场信誉和盈利能力的风险。</w:t>
      </w:r>
    </w:p>
    <w:p>
      <w:pPr>
        <w:pStyle w:val="Style35"/>
        <w:keepNext w:val="0"/>
        <w:keepLines w:val="0"/>
        <w:widowControl w:val="0"/>
        <w:shd w:val="clear" w:color="auto" w:fill="auto"/>
        <w:bidi w:val="0"/>
        <w:spacing w:before="0" w:after="0" w:line="466" w:lineRule="exact"/>
        <w:ind w:left="0" w:right="0" w:firstLine="480"/>
        <w:jc w:val="left"/>
      </w:pPr>
      <w:bookmarkStart w:id="269" w:name="bookmark269"/>
      <w:r>
        <w:rPr>
          <w:color w:val="000000"/>
          <w:spacing w:val="0"/>
          <w:w w:val="100"/>
          <w:position w:val="0"/>
        </w:rPr>
        <w:t>三</w:t>
      </w:r>
      <w:bookmarkEnd w:id="269"/>
      <w:r>
        <w:rPr>
          <w:color w:val="000000"/>
          <w:spacing w:val="0"/>
          <w:w w:val="100"/>
          <w:position w:val="0"/>
        </w:rPr>
        <w:t>、财务风险</w:t>
      </w:r>
    </w:p>
    <w:p>
      <w:pPr>
        <w:pStyle w:val="Style35"/>
        <w:keepNext w:val="0"/>
        <w:keepLines w:val="0"/>
        <w:widowControl w:val="0"/>
        <w:shd w:val="clear" w:color="auto" w:fill="auto"/>
        <w:tabs>
          <w:tab w:pos="838" w:val="left"/>
        </w:tabs>
        <w:bidi w:val="0"/>
        <w:spacing w:before="0" w:after="0" w:line="466" w:lineRule="exact"/>
        <w:ind w:left="0" w:right="0" w:firstLine="480"/>
        <w:jc w:val="both"/>
      </w:pPr>
      <w:bookmarkStart w:id="270" w:name="bookmark270"/>
      <w:r>
        <w:rPr>
          <w:color w:val="000000"/>
          <w:spacing w:val="0"/>
          <w:w w:val="100"/>
          <w:position w:val="0"/>
          <w:sz w:val="24"/>
          <w:szCs w:val="24"/>
        </w:rPr>
        <w:t>1</w:t>
      </w:r>
      <w:bookmarkEnd w:id="270"/>
      <w:r>
        <w:rPr>
          <w:color w:val="000000"/>
          <w:spacing w:val="0"/>
          <w:w w:val="100"/>
          <w:position w:val="0"/>
        </w:rPr>
        <w:t>、</w:t>
        <w:tab/>
        <w:t>应收账款风险</w:t>
      </w:r>
    </w:p>
    <w:p>
      <w:pPr>
        <w:pStyle w:val="Style35"/>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报告期末，公司应收账款账面价值为</w:t>
      </w:r>
      <w:r>
        <w:rPr>
          <w:color w:val="000000"/>
          <w:spacing w:val="0"/>
          <w:w w:val="100"/>
          <w:position w:val="0"/>
          <w:sz w:val="24"/>
          <w:szCs w:val="24"/>
        </w:rPr>
        <w:t>106,087.51</w:t>
      </w:r>
      <w:r>
        <w:rPr>
          <w:color w:val="000000"/>
          <w:spacing w:val="0"/>
          <w:w w:val="100"/>
          <w:position w:val="0"/>
        </w:rPr>
        <w:t>万元，占总资产比例为</w:t>
      </w:r>
      <w:r>
        <w:rPr>
          <w:color w:val="000000"/>
          <w:spacing w:val="0"/>
          <w:w w:val="100"/>
          <w:position w:val="0"/>
          <w:sz w:val="24"/>
          <w:szCs w:val="24"/>
        </w:rPr>
        <w:t>20.33%</w:t>
      </w:r>
      <w:r>
        <w:rPr>
          <w:color w:val="000000"/>
          <w:spacing w:val="0"/>
          <w:w w:val="100"/>
          <w:position w:val="0"/>
        </w:rPr>
        <w:t>。公司主 要债务人为具有一定规模的大型国企、央企及外资企业等，债务人资信良好、实力雄厚，与 本公司有着长期的合作关系，应收账款回收具有较强的保障。虽然公司应收账款大部分账龄 在</w:t>
      </w:r>
      <w:r>
        <w:rPr>
          <w:color w:val="000000"/>
          <w:spacing w:val="0"/>
          <w:w w:val="100"/>
          <w:position w:val="0"/>
          <w:sz w:val="24"/>
          <w:szCs w:val="24"/>
        </w:rPr>
        <w:t>1</w:t>
      </w:r>
      <w:r>
        <w:rPr>
          <w:color w:val="000000"/>
          <w:spacing w:val="0"/>
          <w:w w:val="100"/>
          <w:position w:val="0"/>
        </w:rPr>
        <w:t>年以内且主要客户信用良好，但若客户延迟支付货款，将可能导致公司生产经营活动资金 紧张和发生坏账损失的风险。</w:t>
      </w:r>
    </w:p>
    <w:p>
      <w:pPr>
        <w:pStyle w:val="Style35"/>
        <w:keepNext w:val="0"/>
        <w:keepLines w:val="0"/>
        <w:widowControl w:val="0"/>
        <w:shd w:val="clear" w:color="auto" w:fill="auto"/>
        <w:tabs>
          <w:tab w:pos="852" w:val="left"/>
        </w:tabs>
        <w:bidi w:val="0"/>
        <w:spacing w:before="0" w:after="0" w:line="466" w:lineRule="exact"/>
        <w:ind w:left="0" w:right="0" w:firstLine="480"/>
        <w:jc w:val="both"/>
      </w:pPr>
      <w:bookmarkStart w:id="271" w:name="bookmark271"/>
      <w:r>
        <w:rPr>
          <w:color w:val="000000"/>
          <w:spacing w:val="0"/>
          <w:w w:val="100"/>
          <w:position w:val="0"/>
          <w:sz w:val="24"/>
          <w:szCs w:val="24"/>
        </w:rPr>
        <w:t>2</w:t>
      </w:r>
      <w:bookmarkEnd w:id="271"/>
      <w:r>
        <w:rPr>
          <w:color w:val="000000"/>
          <w:spacing w:val="0"/>
          <w:w w:val="100"/>
          <w:position w:val="0"/>
        </w:rPr>
        <w:t>、</w:t>
        <w:tab/>
        <w:t>政府补助可持续性风险</w:t>
      </w:r>
    </w:p>
    <w:p>
      <w:pPr>
        <w:pStyle w:val="Style35"/>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软件行业是我国鼓励发展的行业之一，为促进高新技术行业的研发水平和科技成果转化 能力，国家拨付了多种相关课题科研经费和专项补助资金予以支持。总体而言，公司业绩对 政府补贴的依赖程度较低，但政府补贴对公司的经营成果仍具有一定的影响。如果政府补贴 政策发生不利变化、或公司不再符合获得相关补贴的条件，将对公司的经营业绩产生一定影 响。</w:t>
      </w:r>
    </w:p>
    <w:p>
      <w:pPr>
        <w:pStyle w:val="Style35"/>
        <w:keepNext w:val="0"/>
        <w:keepLines w:val="0"/>
        <w:widowControl w:val="0"/>
        <w:shd w:val="clear" w:color="auto" w:fill="auto"/>
        <w:tabs>
          <w:tab w:pos="852" w:val="left"/>
        </w:tabs>
        <w:bidi w:val="0"/>
        <w:spacing w:before="0" w:after="0" w:line="466" w:lineRule="exact"/>
        <w:ind w:left="0" w:right="0" w:firstLine="480"/>
        <w:jc w:val="both"/>
      </w:pPr>
      <w:bookmarkStart w:id="272" w:name="bookmark272"/>
      <w:r>
        <w:rPr>
          <w:color w:val="000000"/>
          <w:spacing w:val="0"/>
          <w:w w:val="100"/>
          <w:position w:val="0"/>
          <w:sz w:val="24"/>
          <w:szCs w:val="24"/>
        </w:rPr>
        <w:t>3</w:t>
      </w:r>
      <w:bookmarkEnd w:id="272"/>
      <w:r>
        <w:rPr>
          <w:color w:val="000000"/>
          <w:spacing w:val="0"/>
          <w:w w:val="100"/>
          <w:position w:val="0"/>
        </w:rPr>
        <w:t>、</w:t>
        <w:tab/>
        <w:t>经营活动现金流波动的风险</w:t>
      </w:r>
    </w:p>
    <w:p>
      <w:pPr>
        <w:pStyle w:val="Style35"/>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由于公司目前正处于快速发展时期，业务规模不断扩大，部分大型项目的回款周期相对 较长且客户回款存在季节性，使得公司经营活动产生的现金流量净额存在一定波动性。随着 公司不断发展，业务规模扩展将在一定程度上依赖于资金的周转状况，未来营运资金需求将 日益增加，如果公司未来的经营活动现金流量净额降低，将对公司的经营发展造成不利影响。</w:t>
      </w:r>
    </w:p>
    <w:p>
      <w:pPr>
        <w:pStyle w:val="Style35"/>
        <w:keepNext w:val="0"/>
        <w:keepLines w:val="0"/>
        <w:widowControl w:val="0"/>
        <w:shd w:val="clear" w:color="auto" w:fill="auto"/>
        <w:tabs>
          <w:tab w:pos="857" w:val="left"/>
        </w:tabs>
        <w:bidi w:val="0"/>
        <w:spacing w:before="0" w:after="0" w:line="466" w:lineRule="exact"/>
        <w:ind w:left="0" w:right="0" w:firstLine="480"/>
        <w:jc w:val="both"/>
      </w:pPr>
      <w:bookmarkStart w:id="273" w:name="bookmark273"/>
      <w:r>
        <w:rPr>
          <w:color w:val="000000"/>
          <w:spacing w:val="0"/>
          <w:w w:val="100"/>
          <w:position w:val="0"/>
          <w:sz w:val="24"/>
          <w:szCs w:val="24"/>
        </w:rPr>
        <w:t>4</w:t>
      </w:r>
      <w:bookmarkEnd w:id="273"/>
      <w:r>
        <w:rPr>
          <w:color w:val="000000"/>
          <w:spacing w:val="0"/>
          <w:w w:val="100"/>
          <w:position w:val="0"/>
        </w:rPr>
        <w:t>、</w:t>
        <w:tab/>
        <w:t>税收优惠的相关风险</w:t>
      </w:r>
    </w:p>
    <w:p>
      <w:pPr>
        <w:pStyle w:val="Style35"/>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公司为高新技术企业，适用的企业所得税率为</w:t>
      </w:r>
      <w:r>
        <w:rPr>
          <w:color w:val="000000"/>
          <w:spacing w:val="0"/>
          <w:w w:val="100"/>
          <w:position w:val="0"/>
          <w:sz w:val="24"/>
          <w:szCs w:val="24"/>
        </w:rPr>
        <w:t>15%,</w:t>
      </w:r>
      <w:r>
        <w:rPr>
          <w:color w:val="000000"/>
          <w:spacing w:val="0"/>
          <w:w w:val="100"/>
          <w:position w:val="0"/>
        </w:rPr>
        <w:t>公司部分子公司亦作为高新技术企业 适用</w:t>
      </w:r>
      <w:r>
        <w:rPr>
          <w:color w:val="000000"/>
          <w:spacing w:val="0"/>
          <w:w w:val="100"/>
          <w:position w:val="0"/>
          <w:sz w:val="24"/>
          <w:szCs w:val="24"/>
        </w:rPr>
        <w:t>15%</w:t>
      </w:r>
      <w:r>
        <w:rPr>
          <w:color w:val="000000"/>
          <w:spacing w:val="0"/>
          <w:w w:val="100"/>
          <w:position w:val="0"/>
        </w:rPr>
        <w:t>的所得税优惠税率，同时根据《财政部、国家税务总局关于软件产品增值税政策的通 知》（财税</w:t>
      </w:r>
      <w:r>
        <w:rPr>
          <w:color w:val="000000"/>
          <w:spacing w:val="0"/>
          <w:w w:val="100"/>
          <w:position w:val="0"/>
          <w:sz w:val="24"/>
          <w:szCs w:val="24"/>
        </w:rPr>
        <w:t>[2011]100</w:t>
      </w:r>
      <w:r>
        <w:rPr>
          <w:color w:val="000000"/>
          <w:spacing w:val="0"/>
          <w:w w:val="100"/>
          <w:position w:val="0"/>
        </w:rPr>
        <w:t>号）文件规定，公司销售自行生产开发的软件产品，按法定税率征收增 值税后，对增值税实际税负超过</w:t>
      </w:r>
      <w:r>
        <w:rPr>
          <w:color w:val="000000"/>
          <w:spacing w:val="0"/>
          <w:w w:val="100"/>
          <w:position w:val="0"/>
          <w:sz w:val="24"/>
          <w:szCs w:val="24"/>
        </w:rPr>
        <w:t>3%</w:t>
      </w:r>
      <w:r>
        <w:rPr>
          <w:color w:val="000000"/>
          <w:spacing w:val="0"/>
          <w:w w:val="100"/>
          <w:position w:val="0"/>
        </w:rPr>
        <w:t>的部分实行即征即退政策。</w:t>
      </w:r>
    </w:p>
    <w:p>
      <w:pPr>
        <w:pStyle w:val="Style35"/>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如果未来本公司或部分子公司不能持续符合国家规划布局内重点软件企业、高新技术企 业的相关标准，或国家调整高新技术企业所得税、增值税等方面的税收优惠政策，公司未来 的经营业绩将受到一定的影响。</w:t>
      </w:r>
    </w:p>
    <w:p>
      <w:pPr>
        <w:pStyle w:val="Style35"/>
        <w:keepNext w:val="0"/>
        <w:keepLines w:val="0"/>
        <w:widowControl w:val="0"/>
        <w:shd w:val="clear" w:color="auto" w:fill="auto"/>
        <w:bidi w:val="0"/>
        <w:spacing w:before="0" w:after="0" w:line="466" w:lineRule="exact"/>
        <w:ind w:left="0" w:right="0" w:firstLine="480"/>
        <w:jc w:val="both"/>
      </w:pPr>
      <w:bookmarkStart w:id="274" w:name="bookmark274"/>
      <w:r>
        <w:rPr>
          <w:color w:val="000000"/>
          <w:spacing w:val="0"/>
          <w:w w:val="100"/>
          <w:position w:val="0"/>
        </w:rPr>
        <w:t>（</w:t>
      </w:r>
      <w:bookmarkEnd w:id="274"/>
      <w:r>
        <w:rPr>
          <w:color w:val="000000"/>
          <w:spacing w:val="0"/>
          <w:w w:val="100"/>
          <w:position w:val="0"/>
        </w:rPr>
        <w:t>二）公司未来发展战略</w:t>
      </w:r>
    </w:p>
    <w:p>
      <w:pPr>
        <w:pStyle w:val="Style35"/>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未来公司将顺应国家对企业信息化行业的大力支持，加大自主技术平台和自主解决方案 的研发投入，努力从一家传统服务提供商转型为“服务+产品”的数字化综合服务供应商，满 </w:t>
      </w:r>
      <w:r>
        <w:rPr>
          <w:color w:val="000000"/>
          <w:spacing w:val="0"/>
          <w:w w:val="100"/>
          <w:position w:val="0"/>
        </w:rPr>
        <w:t>足企业不断涌现的业务场景信息化需求，提高产品和业务创新服务能力，提供更为丰富的企 业信息化应用产品，增强整体解决方案服务能力，进一步强化竞争优势，加快市场及客户的 开拓，尤其是将自主产品快速推向市场，提高公司在信息化咨询领域的市场规模，并获得客 户更高的认同。公司会始终要求自己站在</w:t>
      </w:r>
      <w:r>
        <w:rPr>
          <w:color w:val="000000"/>
          <w:spacing w:val="0"/>
          <w:w w:val="100"/>
          <w:position w:val="0"/>
          <w:sz w:val="24"/>
          <w:szCs w:val="24"/>
        </w:rPr>
        <w:t>IT</w:t>
      </w:r>
      <w:r>
        <w:rPr>
          <w:color w:val="000000"/>
          <w:spacing w:val="0"/>
          <w:w w:val="100"/>
          <w:position w:val="0"/>
        </w:rPr>
        <w:t>技术革新与管理实践创新的前沿，与全球</w:t>
      </w:r>
      <w:r>
        <w:rPr>
          <w:color w:val="000000"/>
          <w:spacing w:val="0"/>
          <w:w w:val="100"/>
          <w:position w:val="0"/>
          <w:sz w:val="24"/>
          <w:szCs w:val="24"/>
        </w:rPr>
        <w:t>IT</w:t>
      </w:r>
      <w:r>
        <w:rPr>
          <w:color w:val="000000"/>
          <w:spacing w:val="0"/>
          <w:w w:val="100"/>
          <w:position w:val="0"/>
        </w:rPr>
        <w:t>生态 圈的合作伙伴特别是百度共同推动包括云、大数据、工业互联网等新业务的开展，与软硬件 厂商、互联网服务商、行业服务商等形成更大的数字化生态合作圈，帮助企业更快融入数字 化世界。</w:t>
      </w:r>
    </w:p>
    <w:p>
      <w:pPr>
        <w:pStyle w:val="Style35"/>
        <w:keepNext w:val="0"/>
        <w:keepLines w:val="0"/>
        <w:widowControl w:val="0"/>
        <w:shd w:val="clear" w:color="auto" w:fill="auto"/>
        <w:bidi w:val="0"/>
        <w:spacing w:before="0" w:after="0" w:line="469" w:lineRule="exact"/>
        <w:ind w:left="0" w:right="0" w:firstLine="480"/>
        <w:jc w:val="both"/>
      </w:pPr>
      <w:bookmarkStart w:id="275" w:name="bookmark275"/>
      <w:r>
        <w:rPr>
          <w:color w:val="000000"/>
          <w:spacing w:val="0"/>
          <w:w w:val="100"/>
          <w:position w:val="0"/>
        </w:rPr>
        <w:t>（</w:t>
      </w:r>
      <w:bookmarkEnd w:id="275"/>
      <w:r>
        <w:rPr>
          <w:color w:val="000000"/>
          <w:spacing w:val="0"/>
          <w:w w:val="100"/>
          <w:position w:val="0"/>
        </w:rPr>
        <w:t>三）公司经营计划</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2021</w:t>
      </w:r>
      <w:r>
        <w:rPr>
          <w:color w:val="000000"/>
          <w:spacing w:val="0"/>
          <w:w w:val="100"/>
          <w:position w:val="0"/>
        </w:rPr>
        <w:t>年，公司将继续服务提升和产品创新策略，坚定不移推进公司转型升级。在传统业 务上加强行业研究和方案整合，形成跨产品线的一体化解决方案，在智能制造、智能营销等 融合中台领域强化优势，并加强实施方法的标准化和规范化，鼓励交付模式和实施方法创新, 以提高交付质量和实施效率；结合市场需求和发展趋势，借助百度参股和战略合作契机，积 极关注人工智能、云计算、物联网、大数据等</w:t>
      </w:r>
      <w:r>
        <w:rPr>
          <w:color w:val="000000"/>
          <w:spacing w:val="0"/>
          <w:w w:val="100"/>
          <w:position w:val="0"/>
          <w:sz w:val="24"/>
          <w:szCs w:val="24"/>
        </w:rPr>
        <w:t>IT</w:t>
      </w:r>
      <w:r>
        <w:rPr>
          <w:color w:val="000000"/>
          <w:spacing w:val="0"/>
          <w:w w:val="100"/>
          <w:position w:val="0"/>
        </w:rPr>
        <w:t>新技术带来的行业变革和产业机会，进一步 积极开拓相关企业服务市场，打造新的产品和业务创新平台；优化组织架构，形成跨产品线 和服务线的客户统一对口团队，负责服务整合，以建成真正的“以客户为中心”的服务模式; 加大人才储备，吸引行业专家以及具备高阶咨询能力的人员加入公司，提升行业深耕能力和 咨询高度；同时，强化合作生态圈建设，加强应用场景集成，深化合作内容，在新技术应用 方面努力做大做强，与众多合作伙伴一起携手数字化转型之旅。</w:t>
      </w:r>
    </w:p>
    <w:p>
      <w:pPr>
        <w:pStyle w:val="Style35"/>
        <w:keepNext w:val="0"/>
        <w:keepLines w:val="0"/>
        <w:widowControl w:val="0"/>
        <w:shd w:val="clear" w:color="auto" w:fill="auto"/>
        <w:tabs>
          <w:tab w:pos="833" w:val="left"/>
        </w:tabs>
        <w:bidi w:val="0"/>
        <w:spacing w:before="0" w:after="0" w:line="469" w:lineRule="exact"/>
        <w:ind w:left="0" w:right="0" w:firstLine="480"/>
        <w:jc w:val="left"/>
      </w:pPr>
      <w:bookmarkStart w:id="276" w:name="bookmark276"/>
      <w:r>
        <w:rPr>
          <w:color w:val="000000"/>
          <w:spacing w:val="0"/>
          <w:w w:val="100"/>
          <w:position w:val="0"/>
          <w:sz w:val="24"/>
          <w:szCs w:val="24"/>
        </w:rPr>
        <w:t>1</w:t>
      </w:r>
      <w:bookmarkEnd w:id="276"/>
      <w:r>
        <w:rPr>
          <w:color w:val="000000"/>
          <w:spacing w:val="0"/>
          <w:w w:val="100"/>
          <w:position w:val="0"/>
        </w:rPr>
        <w:t>、</w:t>
        <w:tab/>
        <w:t>市场开拓计划</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公司将抓住企业数字化转型和海外市场发展机遇，进一步强化服务价值营销、整体解决 方案营销和区域及行业专业营销，优化解决方案组合，积极研发自主解决方案和自主产品， 加大产品推广力度和产品包装能力，布局重点行业及市场拓展区域，保持对老客户的深耕细 作力度，积极开拓新客户新需求，争取更多有</w:t>
      </w:r>
      <w:r>
        <w:rPr>
          <w:color w:val="000000"/>
          <w:spacing w:val="0"/>
          <w:w w:val="100"/>
          <w:position w:val="0"/>
          <w:sz w:val="24"/>
          <w:szCs w:val="24"/>
        </w:rPr>
        <w:t>IT</w:t>
      </w:r>
      <w:r>
        <w:rPr>
          <w:color w:val="000000"/>
          <w:spacing w:val="0"/>
          <w:w w:val="100"/>
          <w:position w:val="0"/>
        </w:rPr>
        <w:t>消费意愿和能力的客户群体，建成企业信息 化的全面运营服务提供商，并加强与产品供应商之间在销售与市场方面的合作，提升售前、 实施、售后服务的综合水平和能力，加快需求响应速度，提高组织的灵活性和资源的有效利 用，为公司的快速增长、可持续性发展建立坚实基础。</w:t>
      </w:r>
    </w:p>
    <w:p>
      <w:pPr>
        <w:pStyle w:val="Style35"/>
        <w:keepNext w:val="0"/>
        <w:keepLines w:val="0"/>
        <w:widowControl w:val="0"/>
        <w:shd w:val="clear" w:color="auto" w:fill="auto"/>
        <w:tabs>
          <w:tab w:pos="833" w:val="left"/>
        </w:tabs>
        <w:bidi w:val="0"/>
        <w:spacing w:before="0" w:after="0" w:line="469" w:lineRule="exact"/>
        <w:ind w:left="0" w:right="0" w:firstLine="480"/>
        <w:jc w:val="both"/>
      </w:pPr>
      <w:bookmarkStart w:id="277" w:name="bookmark277"/>
      <w:r>
        <w:rPr>
          <w:color w:val="000000"/>
          <w:spacing w:val="0"/>
          <w:w w:val="100"/>
          <w:position w:val="0"/>
          <w:sz w:val="24"/>
          <w:szCs w:val="24"/>
        </w:rPr>
        <w:t>2</w:t>
      </w:r>
      <w:bookmarkEnd w:id="277"/>
      <w:r>
        <w:rPr>
          <w:color w:val="000000"/>
          <w:spacing w:val="0"/>
          <w:w w:val="100"/>
          <w:position w:val="0"/>
        </w:rPr>
        <w:t>、</w:t>
        <w:tab/>
        <w:t>研发计划</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近几年来，公司的开发支出和研发费用总体呈增长趋势，主要系公司加大了自主产品的 研发投入所致。顺应市场趋势，公司将继续坚持自主创新，为客户创造价值的研发战略，集 </w:t>
      </w:r>
      <w:r>
        <w:rPr>
          <w:color w:val="000000"/>
          <w:spacing w:val="0"/>
          <w:w w:val="100"/>
          <w:position w:val="0"/>
        </w:rPr>
        <w:t>中资金及业务、技术资源支持融合中台和相关解决方案的研发管理，努力开拓新的利润增长 点。公司将进一步推进全栈技术开发，降低在项目交付过程中的沟通成本并提高开发效率。 公司将进一步加深人工智能、大数据、云计算、物联网、移动应用、区块链等技术的应用， 优化迭代现有产品，提高产品性能和稳定性，提升服务质量，降低服务成本，以产品优势增 加客户黏性来获取商机，进一步提高公司在新兴领域和新技术上的竞争力。同时公司将提升 自主产品的交付比重和盈利水平，有效提升软件实施业务的盈利能力，强化公司在企业信息 化咨询服务的市场地位。</w:t>
      </w:r>
    </w:p>
    <w:p>
      <w:pPr>
        <w:pStyle w:val="Style35"/>
        <w:keepNext w:val="0"/>
        <w:keepLines w:val="0"/>
        <w:widowControl w:val="0"/>
        <w:shd w:val="clear" w:color="auto" w:fill="auto"/>
        <w:tabs>
          <w:tab w:pos="860" w:val="left"/>
        </w:tabs>
        <w:bidi w:val="0"/>
        <w:spacing w:before="0" w:after="0" w:line="469" w:lineRule="exact"/>
        <w:ind w:left="0" w:right="0" w:firstLine="500"/>
        <w:jc w:val="both"/>
      </w:pPr>
      <w:bookmarkStart w:id="278" w:name="bookmark278"/>
      <w:r>
        <w:rPr>
          <w:color w:val="000000"/>
          <w:spacing w:val="0"/>
          <w:w w:val="100"/>
          <w:position w:val="0"/>
          <w:sz w:val="24"/>
          <w:szCs w:val="24"/>
        </w:rPr>
        <w:t>3</w:t>
      </w:r>
      <w:bookmarkEnd w:id="278"/>
      <w:r>
        <w:rPr>
          <w:color w:val="000000"/>
          <w:spacing w:val="0"/>
          <w:w w:val="100"/>
          <w:position w:val="0"/>
        </w:rPr>
        <w:t>、</w:t>
        <w:tab/>
        <w:t>人才计划</w:t>
      </w:r>
    </w:p>
    <w:p>
      <w:pPr>
        <w:pStyle w:val="Style35"/>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公司重视人才队伍建设，将员工的能力提升和薪酬激励增长及公司业绩增量进行匹配， 来提升核心员工积极性；建立员工长期培训机制和专业化员工发展体系，提升个人能力和公 司整体服务水平；加大招聘力度和人才储备以确保业务发展；公司将在实施股权激励计划和 项目跟投计划机制的基础上，进一步优化员工绩效考核体系；将更加注重员工文化建设，加 强凝聚力，提高团队活力和工作中的幸福指数。</w:t>
      </w:r>
    </w:p>
    <w:p>
      <w:pPr>
        <w:pStyle w:val="Style35"/>
        <w:keepNext w:val="0"/>
        <w:keepLines w:val="0"/>
        <w:widowControl w:val="0"/>
        <w:shd w:val="clear" w:color="auto" w:fill="auto"/>
        <w:tabs>
          <w:tab w:pos="860" w:val="left"/>
        </w:tabs>
        <w:bidi w:val="0"/>
        <w:spacing w:before="0" w:after="0" w:line="469" w:lineRule="exact"/>
        <w:ind w:left="0" w:right="0" w:firstLine="500"/>
        <w:jc w:val="both"/>
      </w:pPr>
      <w:bookmarkStart w:id="279" w:name="bookmark279"/>
      <w:r>
        <w:rPr>
          <w:color w:val="000000"/>
          <w:spacing w:val="0"/>
          <w:w w:val="100"/>
          <w:position w:val="0"/>
          <w:sz w:val="24"/>
          <w:szCs w:val="24"/>
        </w:rPr>
        <w:t>4</w:t>
      </w:r>
      <w:bookmarkEnd w:id="279"/>
      <w:r>
        <w:rPr>
          <w:color w:val="000000"/>
          <w:spacing w:val="0"/>
          <w:w w:val="100"/>
          <w:position w:val="0"/>
        </w:rPr>
        <w:t>、</w:t>
        <w:tab/>
        <w:t>运营管理计划</w:t>
      </w:r>
    </w:p>
    <w:p>
      <w:pPr>
        <w:pStyle w:val="Style35"/>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公司将继续提升规范运营和治理水平，加强收入、成本费用、现金流等的管控，做好风 险预警，提升部门团队间协同合作。按照上市公司要求，建立健全各项规章制度，积极推进 内控建设、信息披露和三会运作等工作，完善公司治理，加强内部审计，保障公司健康有序 运行。增强公司运作透明度，保护中小投资者权益，进一步做好投资者关系管理工作，依法 维护投资者权益。</w:t>
      </w:r>
    </w:p>
    <w:p>
      <w:pPr>
        <w:pStyle w:val="Style35"/>
        <w:keepNext w:val="0"/>
        <w:keepLines w:val="0"/>
        <w:widowControl w:val="0"/>
        <w:shd w:val="clear" w:color="auto" w:fill="auto"/>
        <w:bidi w:val="0"/>
        <w:spacing w:before="0" w:after="840" w:line="478" w:lineRule="exact"/>
        <w:ind w:left="0" w:right="0" w:firstLine="500"/>
        <w:jc w:val="both"/>
      </w:pPr>
      <w:r>
        <w:rPr>
          <w:color w:val="000000"/>
          <w:spacing w:val="0"/>
          <w:w w:val="100"/>
          <w:position w:val="0"/>
          <w:sz w:val="24"/>
          <w:szCs w:val="24"/>
        </w:rPr>
        <w:t>2021</w:t>
      </w:r>
      <w:r>
        <w:rPr>
          <w:color w:val="000000"/>
          <w:spacing w:val="0"/>
          <w:w w:val="100"/>
          <w:position w:val="0"/>
        </w:rPr>
        <w:t>年，公司将围绕年度工作总体部署与长期规划，开拓创新，扎实工作，继续立足客 户，以咨询为先导，以产品和技术为依托，以服务为根本，开创信息咨询与系统化建设的新 局面。</w:t>
      </w:r>
    </w:p>
    <w:p>
      <w:pPr>
        <w:pStyle w:val="Style26"/>
        <w:keepNext/>
        <w:keepLines/>
        <w:widowControl w:val="0"/>
        <w:shd w:val="clear" w:color="auto" w:fill="auto"/>
        <w:bidi w:val="0"/>
        <w:spacing w:before="0" w:after="360" w:line="469" w:lineRule="exact"/>
        <w:ind w:left="0" w:right="0" w:firstLine="0"/>
        <w:jc w:val="left"/>
      </w:pPr>
      <w:bookmarkStart w:id="280" w:name="bookmark280"/>
      <w:bookmarkStart w:id="281" w:name="bookmark281"/>
      <w:bookmarkStart w:id="282" w:name="bookmark282"/>
      <w:r>
        <w:rPr>
          <w:color w:val="000000"/>
          <w:spacing w:val="0"/>
          <w:w w:val="100"/>
          <w:position w:val="0"/>
        </w:rPr>
        <w:t>十、接待调研、沟通、采访等活动登记表</w:t>
      </w:r>
      <w:bookmarkEnd w:id="280"/>
      <w:bookmarkEnd w:id="281"/>
      <w:bookmarkEnd w:id="282"/>
    </w:p>
    <w:p>
      <w:pPr>
        <w:pStyle w:val="Style38"/>
        <w:keepNext w:val="0"/>
        <w:keepLines w:val="0"/>
        <w:widowControl w:val="0"/>
        <w:shd w:val="clear" w:color="auto" w:fill="auto"/>
        <w:bidi w:val="0"/>
        <w:spacing w:before="0" w:after="0" w:line="240" w:lineRule="auto"/>
        <w:ind w:left="0" w:right="0" w:firstLine="0"/>
        <w:jc w:val="left"/>
      </w:pPr>
      <w:bookmarkStart w:id="283" w:name="bookmark283"/>
      <w:r>
        <w:rPr>
          <w:rFonts w:ascii="Times New Roman" w:eastAsia="Times New Roman" w:hAnsi="Times New Roman" w:cs="Times New Roman"/>
          <w:color w:val="000000"/>
          <w:spacing w:val="0"/>
          <w:w w:val="100"/>
          <w:position w:val="0"/>
        </w:rPr>
        <w:t>1</w:t>
      </w:r>
      <w:r>
        <w:rPr>
          <w:color w:val="000000"/>
          <w:spacing w:val="0"/>
          <w:w w:val="100"/>
          <w:position w:val="0"/>
        </w:rPr>
        <w:t>、报告期内接待调研、沟通、采访等活动登记表</w:t>
      </w:r>
      <w:bookmarkEnd w:id="283"/>
    </w:p>
    <w:p>
      <w:pPr>
        <w:pStyle w:val="Style38"/>
        <w:keepNext w:val="0"/>
        <w:keepLines w:val="0"/>
        <w:widowControl w:val="0"/>
        <w:shd w:val="clear" w:color="auto" w:fill="auto"/>
        <w:bidi w:val="0"/>
        <w:spacing w:before="0" w:after="0" w:line="240" w:lineRule="auto"/>
        <w:ind w:left="0" w:right="0" w:firstLine="0"/>
        <w:jc w:val="distribute"/>
        <w:rPr>
          <w:sz w:val="17"/>
          <w:szCs w:val="17"/>
        </w:rPr>
      </w:pPr>
      <w:r>
        <w:rPr>
          <w:b w:val="0"/>
          <w:bCs w:val="0"/>
          <w:color w:val="000000"/>
          <w:spacing w:val="0"/>
          <w:w w:val="100"/>
          <w:position w:val="0"/>
          <w:sz w:val="18"/>
          <w:szCs w:val="18"/>
        </w:rPr>
        <w:t>寸</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1301"/>
        <w:gridCol w:w="1296"/>
        <w:gridCol w:w="1296"/>
        <w:gridCol w:w="1296"/>
        <w:gridCol w:w="1291"/>
        <w:gridCol w:w="1296"/>
        <w:gridCol w:w="1810"/>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谈论的主要内 容及提供的资 料</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32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上海市淮海中</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路中环广场</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1339 </w:t>
            </w:r>
            <w:r>
              <w:rPr>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申万宏源、广发 证券、国元证 券、安信证券、 国泰君安、光大 证券、海通证 券、平安养老、 名禹资产、正圆 投资、兴全基 金、东吴证券、 真科基金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汉得信息向不 特定对象发行 可转换公司债 券交流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 投资者关系活动记录 表》，披露日期：</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日，披露网 站：巨潮资讯网</w:t>
            </w:r>
          </w:p>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r>
    </w:tbl>
    <w:p>
      <w:pPr>
        <w:sectPr>
          <w:footnotePr>
            <w:pos w:val="pageBottom"/>
            <w:numFmt w:val="decimal"/>
            <w:numRestart w:val="continuous"/>
          </w:footnotePr>
          <w:pgSz w:w="11900" w:h="16840"/>
          <w:pgMar w:top="1316" w:right="1015" w:bottom="1465" w:left="1073" w:header="0" w:footer="3" w:gutter="0"/>
          <w:cols w:space="720"/>
          <w:noEndnote/>
          <w:rtlGutter w:val="0"/>
          <w:docGrid w:linePitch="360"/>
        </w:sectPr>
      </w:pPr>
    </w:p>
    <w:p>
      <w:pPr>
        <w:pStyle w:val="Style14"/>
        <w:keepNext/>
        <w:keepLines/>
        <w:widowControl w:val="0"/>
        <w:shd w:val="clear" w:color="auto" w:fill="auto"/>
        <w:bidi w:val="0"/>
        <w:spacing w:before="680" w:after="560" w:line="240" w:lineRule="auto"/>
        <w:ind w:left="0" w:right="0" w:firstLine="0"/>
        <w:jc w:val="center"/>
      </w:pPr>
      <w:bookmarkStart w:id="284" w:name="bookmark284"/>
      <w:bookmarkStart w:id="285" w:name="bookmark285"/>
      <w:bookmarkStart w:id="286" w:name="bookmark286"/>
      <w:r>
        <w:rPr>
          <w:color w:val="000000"/>
          <w:spacing w:val="0"/>
          <w:w w:val="100"/>
          <w:position w:val="0"/>
        </w:rPr>
        <w:t>第五节重要事项</w:t>
      </w:r>
      <w:bookmarkEnd w:id="284"/>
      <w:bookmarkEnd w:id="285"/>
      <w:bookmarkEnd w:id="286"/>
    </w:p>
    <w:p>
      <w:pPr>
        <w:pStyle w:val="Style26"/>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bookmarkStart w:id="290" w:name="bookmark290"/>
      <w:bookmarkStart w:id="291" w:name="bookmark291"/>
      <w:r>
        <w:rPr>
          <w:color w:val="000000"/>
          <w:spacing w:val="0"/>
          <w:w w:val="100"/>
          <w:position w:val="0"/>
        </w:rPr>
        <w:t>一</w:t>
      </w:r>
      <w:bookmarkEnd w:id="290"/>
      <w:r>
        <w:rPr>
          <w:color w:val="000000"/>
          <w:spacing w:val="0"/>
          <w:w w:val="100"/>
          <w:position w:val="0"/>
        </w:rPr>
        <w:t>、公司普通股利润分配及资本公积金转增股本情况</w:t>
      </w:r>
      <w:bookmarkEnd w:id="288"/>
      <w:bookmarkEnd w:id="289"/>
      <w:bookmarkEnd w:id="291"/>
      <w:bookmarkEnd w:id="28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877,016,921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26,310,507.63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26,310,507.63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1,356,096,531.20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2285"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经立信会计师事务所（特殊普通合伙）审计，公司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年实现归属于上市公司股东的净利润为</w:t>
            </w:r>
            <w:r>
              <w:rPr>
                <w:rFonts w:ascii="Times New Roman" w:eastAsia="Times New Roman" w:hAnsi="Times New Roman" w:cs="Times New Roman"/>
                <w:color w:val="000000"/>
                <w:spacing w:val="0"/>
                <w:w w:val="100"/>
                <w:position w:val="0"/>
                <w:sz w:val="18"/>
                <w:szCs w:val="18"/>
              </w:rPr>
              <w:t>65,709,488.68</w:t>
            </w:r>
            <w:r>
              <w:rPr>
                <w:color w:val="000000"/>
                <w:spacing w:val="0"/>
                <w:w w:val="100"/>
                <w:position w:val="0"/>
                <w:sz w:val="17"/>
                <w:szCs w:val="17"/>
              </w:rPr>
              <w:t>元，母公司 实现净利润为</w:t>
            </w:r>
            <w:r>
              <w:rPr>
                <w:rFonts w:ascii="Times New Roman" w:eastAsia="Times New Roman" w:hAnsi="Times New Roman" w:cs="Times New Roman"/>
                <w:color w:val="000000"/>
                <w:spacing w:val="0"/>
                <w:w w:val="100"/>
                <w:position w:val="0"/>
                <w:sz w:val="18"/>
                <w:szCs w:val="18"/>
              </w:rPr>
              <w:t>78,331,934.48</w:t>
            </w:r>
            <w:r>
              <w:rPr>
                <w:color w:val="000000"/>
                <w:spacing w:val="0"/>
                <w:w w:val="100"/>
                <w:position w:val="0"/>
                <w:sz w:val="17"/>
                <w:szCs w:val="17"/>
              </w:rPr>
              <w:t>元。根据《上海汉得信息技术股份有限公司章程》（以下简称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）的有关规定， 按照母公司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计提法定盈余公积金</w:t>
            </w:r>
            <w:r>
              <w:rPr>
                <w:rFonts w:ascii="Times New Roman" w:eastAsia="Times New Roman" w:hAnsi="Times New Roman" w:cs="Times New Roman"/>
                <w:color w:val="000000"/>
                <w:spacing w:val="0"/>
                <w:w w:val="100"/>
                <w:position w:val="0"/>
                <w:sz w:val="18"/>
                <w:szCs w:val="18"/>
              </w:rPr>
              <w:t>7,833,193.45</w:t>
            </w:r>
            <w:r>
              <w:rPr>
                <w:color w:val="000000"/>
                <w:spacing w:val="0"/>
                <w:w w:val="100"/>
                <w:position w:val="0"/>
                <w:sz w:val="17"/>
                <w:szCs w:val="17"/>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日，合并报表累计未 分配利润为</w:t>
            </w:r>
            <w:r>
              <w:rPr>
                <w:rFonts w:ascii="Times New Roman" w:eastAsia="Times New Roman" w:hAnsi="Times New Roman" w:cs="Times New Roman"/>
                <w:color w:val="000000"/>
                <w:spacing w:val="0"/>
                <w:w w:val="100"/>
                <w:position w:val="0"/>
                <w:sz w:val="18"/>
                <w:szCs w:val="18"/>
              </w:rPr>
              <w:t>1,400,293,621.76</w:t>
            </w:r>
            <w:r>
              <w:rPr>
                <w:color w:val="000000"/>
                <w:spacing w:val="0"/>
                <w:w w:val="100"/>
                <w:position w:val="0"/>
                <w:sz w:val="17"/>
                <w:szCs w:val="17"/>
              </w:rPr>
              <w:t>元，母公司报表累计未分配利润为</w:t>
            </w:r>
            <w:r>
              <w:rPr>
                <w:rFonts w:ascii="Times New Roman" w:eastAsia="Times New Roman" w:hAnsi="Times New Roman" w:cs="Times New Roman"/>
                <w:color w:val="000000"/>
                <w:spacing w:val="0"/>
                <w:w w:val="100"/>
                <w:position w:val="0"/>
                <w:sz w:val="18"/>
                <w:szCs w:val="18"/>
              </w:rPr>
              <w:t>1,356,096,531.20</w:t>
            </w:r>
            <w:r>
              <w:rPr>
                <w:color w:val="000000"/>
                <w:spacing w:val="0"/>
                <w:w w:val="100"/>
                <w:position w:val="0"/>
                <w:sz w:val="17"/>
                <w:szCs w:val="17"/>
              </w:rPr>
              <w:t>元，根据合并报表和母公司报表中可供分 配利润孰低原则，公司本年度可供分配利润为</w:t>
            </w:r>
            <w:r>
              <w:rPr>
                <w:rFonts w:ascii="Times New Roman" w:eastAsia="Times New Roman" w:hAnsi="Times New Roman" w:cs="Times New Roman"/>
                <w:color w:val="000000"/>
                <w:spacing w:val="0"/>
                <w:w w:val="100"/>
                <w:position w:val="0"/>
                <w:sz w:val="18"/>
                <w:szCs w:val="18"/>
              </w:rPr>
              <w:t>1,356,096,531.20</w:t>
            </w:r>
            <w:r>
              <w:rPr>
                <w:color w:val="000000"/>
                <w:spacing w:val="0"/>
                <w:w w:val="100"/>
                <w:position w:val="0"/>
                <w:sz w:val="17"/>
                <w:szCs w:val="17"/>
              </w:rPr>
              <w:t>元；现拟以公司目前总股本</w:t>
            </w:r>
            <w:r>
              <w:rPr>
                <w:rFonts w:ascii="Times New Roman" w:eastAsia="Times New Roman" w:hAnsi="Times New Roman" w:cs="Times New Roman"/>
                <w:color w:val="000000"/>
                <w:spacing w:val="0"/>
                <w:w w:val="100"/>
                <w:position w:val="0"/>
                <w:sz w:val="18"/>
                <w:szCs w:val="18"/>
              </w:rPr>
              <w:t>884,016,939</w:t>
            </w:r>
            <w:r>
              <w:rPr>
                <w:color w:val="000000"/>
                <w:spacing w:val="0"/>
                <w:w w:val="100"/>
                <w:position w:val="0"/>
                <w:sz w:val="17"/>
                <w:szCs w:val="17"/>
              </w:rPr>
              <w:t>股扣除公司回购专 用证券账户中已回购的</w:t>
            </w:r>
            <w:r>
              <w:rPr>
                <w:rFonts w:ascii="Times New Roman" w:eastAsia="Times New Roman" w:hAnsi="Times New Roman" w:cs="Times New Roman"/>
                <w:color w:val="000000"/>
                <w:spacing w:val="0"/>
                <w:w w:val="100"/>
                <w:position w:val="0"/>
                <w:sz w:val="18"/>
                <w:szCs w:val="18"/>
              </w:rPr>
              <w:t>7,000,018</w:t>
            </w:r>
            <w:r>
              <w:rPr>
                <w:color w:val="000000"/>
                <w:spacing w:val="0"/>
                <w:w w:val="100"/>
                <w:position w:val="0"/>
                <w:sz w:val="17"/>
                <w:szCs w:val="17"/>
              </w:rPr>
              <w:t>股后的股本</w:t>
            </w:r>
            <w:r>
              <w:rPr>
                <w:rFonts w:ascii="Times New Roman" w:eastAsia="Times New Roman" w:hAnsi="Times New Roman" w:cs="Times New Roman"/>
                <w:color w:val="000000"/>
                <w:spacing w:val="0"/>
                <w:w w:val="100"/>
                <w:position w:val="0"/>
                <w:sz w:val="18"/>
                <w:szCs w:val="18"/>
              </w:rPr>
              <w:t>877,016,921</w:t>
            </w:r>
            <w:r>
              <w:rPr>
                <w:color w:val="000000"/>
                <w:spacing w:val="0"/>
                <w:w w:val="100"/>
                <w:position w:val="0"/>
                <w:sz w:val="17"/>
                <w:szCs w:val="17"/>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股派发现金红利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元（含税），合 计派发现金红利人民币</w:t>
            </w:r>
            <w:r>
              <w:rPr>
                <w:rFonts w:ascii="Times New Roman" w:eastAsia="Times New Roman" w:hAnsi="Times New Roman" w:cs="Times New Roman"/>
                <w:color w:val="000000"/>
                <w:spacing w:val="0"/>
                <w:w w:val="100"/>
                <w:position w:val="0"/>
                <w:sz w:val="18"/>
                <w:szCs w:val="18"/>
              </w:rPr>
              <w:t>26,310,507.63</w:t>
            </w:r>
            <w:r>
              <w:rPr>
                <w:color w:val="000000"/>
                <w:spacing w:val="0"/>
                <w:w w:val="100"/>
                <w:position w:val="0"/>
                <w:sz w:val="17"/>
                <w:szCs w:val="17"/>
              </w:rPr>
              <w:t>元。</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公司近</w:t>
      </w: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7"/>
          <w:szCs w:val="17"/>
        </w:rPr>
        <w:t>年（包括本报告期）的普通股股利分配方案（预案）、资本公积金转增股本方案（预案）情况</w:t>
      </w:r>
    </w:p>
    <w:p>
      <w:pPr>
        <w:pStyle w:val="Style35"/>
        <w:keepNext w:val="0"/>
        <w:keepLines w:val="0"/>
        <w:widowControl w:val="0"/>
        <w:shd w:val="clear" w:color="auto" w:fill="auto"/>
        <w:bidi w:val="0"/>
        <w:spacing w:before="0" w:after="0" w:line="470" w:lineRule="exact"/>
        <w:ind w:left="0" w:right="0" w:firstLine="480"/>
        <w:jc w:val="left"/>
      </w:pPr>
      <w:bookmarkStart w:id="292" w:name="bookmark292"/>
      <w:r>
        <w:rPr>
          <w:color w:val="000000"/>
          <w:spacing w:val="0"/>
          <w:w w:val="100"/>
          <w:position w:val="0"/>
          <w:sz w:val="24"/>
          <w:szCs w:val="24"/>
        </w:rPr>
        <w:t>（</w:t>
      </w:r>
      <w:bookmarkEnd w:id="292"/>
      <w:r>
        <w:rPr>
          <w:color w:val="000000"/>
          <w:spacing w:val="0"/>
          <w:w w:val="100"/>
          <w:position w:val="0"/>
          <w:sz w:val="24"/>
          <w:szCs w:val="24"/>
        </w:rPr>
        <w:t>1）</w:t>
      </w:r>
      <w:r>
        <w:rPr>
          <w:color w:val="000000"/>
          <w:spacing w:val="0"/>
          <w:w w:val="100"/>
          <w:position w:val="0"/>
        </w:rPr>
        <w:t>公司</w:t>
      </w:r>
      <w:r>
        <w:rPr>
          <w:color w:val="000000"/>
          <w:spacing w:val="0"/>
          <w:w w:val="100"/>
          <w:position w:val="0"/>
          <w:sz w:val="24"/>
          <w:szCs w:val="24"/>
        </w:rPr>
        <w:t>2018</w:t>
      </w:r>
      <w:r>
        <w:rPr>
          <w:color w:val="000000"/>
          <w:spacing w:val="0"/>
          <w:w w:val="100"/>
          <w:position w:val="0"/>
        </w:rPr>
        <w:t>年利润分配方案</w:t>
      </w:r>
    </w:p>
    <w:p>
      <w:pPr>
        <w:pStyle w:val="Style35"/>
        <w:keepNext w:val="0"/>
        <w:keepLines w:val="0"/>
        <w:widowControl w:val="0"/>
        <w:shd w:val="clear" w:color="auto" w:fill="auto"/>
        <w:bidi w:val="0"/>
        <w:spacing w:before="0" w:after="0" w:line="470" w:lineRule="exact"/>
        <w:ind w:left="0" w:right="0" w:firstLine="480"/>
        <w:jc w:val="left"/>
      </w:pPr>
      <w:r>
        <w:rPr>
          <w:color w:val="000000"/>
          <w:spacing w:val="0"/>
          <w:w w:val="100"/>
          <w:position w:val="0"/>
        </w:rPr>
        <w:t>经立信会计师事务所（特殊普通合伙）审计，</w:t>
      </w:r>
      <w:r>
        <w:rPr>
          <w:color w:val="000000"/>
          <w:spacing w:val="0"/>
          <w:w w:val="100"/>
          <w:position w:val="0"/>
          <w:sz w:val="24"/>
          <w:szCs w:val="24"/>
        </w:rPr>
        <w:t>2018</w:t>
      </w:r>
      <w:r>
        <w:rPr>
          <w:color w:val="000000"/>
          <w:spacing w:val="0"/>
          <w:w w:val="100"/>
          <w:position w:val="0"/>
        </w:rPr>
        <w:t>年实现归属于母公司股东的净利润为</w:t>
      </w:r>
    </w:p>
    <w:p>
      <w:pPr>
        <w:pStyle w:val="Style35"/>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386,875,076.87</w:t>
      </w:r>
      <w:r>
        <w:rPr>
          <w:color w:val="000000"/>
          <w:spacing w:val="0"/>
          <w:w w:val="100"/>
          <w:position w:val="0"/>
        </w:rPr>
        <w:t>元，其中母公司实现的净利润为</w:t>
      </w:r>
      <w:r>
        <w:rPr>
          <w:color w:val="000000"/>
          <w:spacing w:val="0"/>
          <w:w w:val="100"/>
          <w:position w:val="0"/>
          <w:sz w:val="24"/>
          <w:szCs w:val="24"/>
        </w:rPr>
        <w:t>349,783,244.88</w:t>
      </w:r>
      <w:r>
        <w:rPr>
          <w:color w:val="000000"/>
          <w:spacing w:val="0"/>
          <w:w w:val="100"/>
          <w:position w:val="0"/>
        </w:rPr>
        <w:t>元。根据《公司章程》的有 关规定，按照母公司</w:t>
      </w:r>
      <w:r>
        <w:rPr>
          <w:color w:val="000000"/>
          <w:spacing w:val="0"/>
          <w:w w:val="100"/>
          <w:position w:val="0"/>
          <w:sz w:val="24"/>
          <w:szCs w:val="24"/>
        </w:rPr>
        <w:t>2018</w:t>
      </w:r>
      <w:r>
        <w:rPr>
          <w:color w:val="000000"/>
          <w:spacing w:val="0"/>
          <w:w w:val="100"/>
          <w:position w:val="0"/>
        </w:rPr>
        <w:t>年度实现净利润的</w:t>
      </w:r>
      <w:r>
        <w:rPr>
          <w:color w:val="000000"/>
          <w:spacing w:val="0"/>
          <w:w w:val="100"/>
          <w:position w:val="0"/>
          <w:sz w:val="24"/>
          <w:szCs w:val="24"/>
        </w:rPr>
        <w:t>10%</w:t>
      </w:r>
      <w:r>
        <w:rPr>
          <w:color w:val="000000"/>
          <w:spacing w:val="0"/>
          <w:w w:val="100"/>
          <w:position w:val="0"/>
        </w:rPr>
        <w:t>计提法定盈余公积金</w:t>
      </w:r>
      <w:r>
        <w:rPr>
          <w:color w:val="000000"/>
          <w:spacing w:val="0"/>
          <w:w w:val="100"/>
          <w:position w:val="0"/>
          <w:sz w:val="24"/>
          <w:szCs w:val="24"/>
        </w:rPr>
        <w:t>34,978,324.49</w:t>
      </w:r>
      <w:r>
        <w:rPr>
          <w:color w:val="000000"/>
          <w:spacing w:val="0"/>
          <w:w w:val="100"/>
          <w:position w:val="0"/>
        </w:rPr>
        <w:t xml:space="preserve">元，截至 </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日，母公司可供股东分配利润为</w:t>
      </w:r>
      <w:r>
        <w:rPr>
          <w:color w:val="000000"/>
          <w:spacing w:val="0"/>
          <w:w w:val="100"/>
          <w:position w:val="0"/>
          <w:sz w:val="24"/>
          <w:szCs w:val="24"/>
        </w:rPr>
        <w:t>1,296,281,554.53</w:t>
      </w:r>
      <w:r>
        <w:rPr>
          <w:color w:val="000000"/>
          <w:spacing w:val="0"/>
          <w:w w:val="100"/>
          <w:position w:val="0"/>
        </w:rPr>
        <w:t>元，母公司年末资本公积金 余额为</w:t>
      </w:r>
      <w:r>
        <w:rPr>
          <w:color w:val="000000"/>
          <w:spacing w:val="0"/>
          <w:w w:val="100"/>
          <w:position w:val="0"/>
          <w:sz w:val="24"/>
          <w:szCs w:val="24"/>
        </w:rPr>
        <w:t>764,884,740.65</w:t>
      </w:r>
      <w:r>
        <w:rPr>
          <w:color w:val="000000"/>
          <w:spacing w:val="0"/>
          <w:w w:val="100"/>
          <w:position w:val="0"/>
        </w:rPr>
        <w:t>元；以当时公司总股本</w:t>
      </w:r>
      <w:r>
        <w:rPr>
          <w:color w:val="000000"/>
          <w:spacing w:val="0"/>
          <w:w w:val="100"/>
          <w:position w:val="0"/>
          <w:sz w:val="24"/>
          <w:szCs w:val="24"/>
        </w:rPr>
        <w:t>887,582,589</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 现金红利</w:t>
      </w:r>
      <w:r>
        <w:rPr>
          <w:color w:val="000000"/>
          <w:spacing w:val="0"/>
          <w:w w:val="100"/>
          <w:position w:val="0"/>
          <w:sz w:val="24"/>
          <w:szCs w:val="24"/>
        </w:rPr>
        <w:t>0.3</w:t>
      </w:r>
      <w:r>
        <w:rPr>
          <w:color w:val="000000"/>
          <w:spacing w:val="0"/>
          <w:w w:val="100"/>
          <w:position w:val="0"/>
        </w:rPr>
        <w:t>元（含税），合计派发现金红利人民币</w:t>
      </w:r>
      <w:r>
        <w:rPr>
          <w:color w:val="000000"/>
          <w:spacing w:val="0"/>
          <w:w w:val="100"/>
          <w:position w:val="0"/>
          <w:sz w:val="24"/>
          <w:szCs w:val="24"/>
        </w:rPr>
        <w:t>26,627,477.67</w:t>
      </w:r>
      <w:r>
        <w:rPr>
          <w:color w:val="000000"/>
          <w:spacing w:val="0"/>
          <w:w w:val="100"/>
          <w:position w:val="0"/>
        </w:rPr>
        <w:t>元。</w:t>
      </w:r>
    </w:p>
    <w:p>
      <w:pPr>
        <w:pStyle w:val="Style35"/>
        <w:keepNext w:val="0"/>
        <w:keepLines w:val="0"/>
        <w:widowControl w:val="0"/>
        <w:shd w:val="clear" w:color="auto" w:fill="auto"/>
        <w:tabs>
          <w:tab w:pos="960" w:val="left"/>
        </w:tabs>
        <w:bidi w:val="0"/>
        <w:spacing w:before="0" w:after="0" w:line="464" w:lineRule="exact"/>
        <w:ind w:left="0" w:right="0" w:firstLine="480"/>
        <w:jc w:val="both"/>
      </w:pPr>
      <w:bookmarkStart w:id="293" w:name="bookmark293"/>
      <w:r>
        <w:rPr>
          <w:color w:val="000000"/>
          <w:spacing w:val="0"/>
          <w:w w:val="100"/>
          <w:position w:val="0"/>
          <w:sz w:val="24"/>
          <w:szCs w:val="24"/>
        </w:rPr>
        <w:t>（</w:t>
      </w:r>
      <w:bookmarkEnd w:id="293"/>
      <w:r>
        <w:rPr>
          <w:color w:val="000000"/>
          <w:spacing w:val="0"/>
          <w:w w:val="100"/>
          <w:position w:val="0"/>
          <w:sz w:val="24"/>
          <w:szCs w:val="24"/>
        </w:rPr>
        <w:t>2）</w:t>
        <w:tab/>
      </w:r>
      <w:r>
        <w:rPr>
          <w:color w:val="000000"/>
          <w:spacing w:val="0"/>
          <w:w w:val="100"/>
          <w:position w:val="0"/>
        </w:rPr>
        <w:t>公司</w:t>
      </w:r>
      <w:r>
        <w:rPr>
          <w:color w:val="000000"/>
          <w:spacing w:val="0"/>
          <w:w w:val="100"/>
          <w:position w:val="0"/>
          <w:sz w:val="24"/>
          <w:szCs w:val="24"/>
        </w:rPr>
        <w:t>2019</w:t>
      </w:r>
      <w:r>
        <w:rPr>
          <w:color w:val="000000"/>
          <w:spacing w:val="0"/>
          <w:w w:val="100"/>
          <w:position w:val="0"/>
        </w:rPr>
        <w:t>年利润分配方案</w:t>
      </w:r>
    </w:p>
    <w:p>
      <w:pPr>
        <w:pStyle w:val="Style35"/>
        <w:keepNext w:val="0"/>
        <w:keepLines w:val="0"/>
        <w:widowControl w:val="0"/>
        <w:shd w:val="clear" w:color="auto" w:fill="auto"/>
        <w:bidi w:val="0"/>
        <w:spacing w:before="0" w:after="0" w:line="464" w:lineRule="exact"/>
        <w:ind w:left="0" w:right="0" w:firstLine="480"/>
        <w:jc w:val="both"/>
      </w:pPr>
      <w:r>
        <w:rPr>
          <w:color w:val="000000"/>
          <w:spacing w:val="0"/>
          <w:w w:val="100"/>
          <w:position w:val="0"/>
        </w:rPr>
        <w:t>经立信会计师事务所（特殊普通合伙）审计，</w:t>
      </w:r>
      <w:r>
        <w:rPr>
          <w:color w:val="000000"/>
          <w:spacing w:val="0"/>
          <w:w w:val="100"/>
          <w:position w:val="0"/>
          <w:sz w:val="24"/>
          <w:szCs w:val="24"/>
        </w:rPr>
        <w:t>2019</w:t>
      </w:r>
      <w:r>
        <w:rPr>
          <w:color w:val="000000"/>
          <w:spacing w:val="0"/>
          <w:w w:val="100"/>
          <w:position w:val="0"/>
        </w:rPr>
        <w:t xml:space="preserve">年实现归属于母公司股东的净利润为 </w:t>
      </w:r>
      <w:r>
        <w:rPr>
          <w:color w:val="000000"/>
          <w:spacing w:val="0"/>
          <w:w w:val="100"/>
          <w:position w:val="0"/>
          <w:sz w:val="24"/>
          <w:szCs w:val="24"/>
        </w:rPr>
        <w:t>86,114,201.71</w:t>
      </w:r>
      <w:r>
        <w:rPr>
          <w:color w:val="000000"/>
          <w:spacing w:val="0"/>
          <w:w w:val="100"/>
          <w:position w:val="0"/>
        </w:rPr>
        <w:t>元，其中母公司实现的净利润为</w:t>
      </w:r>
      <w:r>
        <w:rPr>
          <w:color w:val="000000"/>
          <w:spacing w:val="0"/>
          <w:w w:val="100"/>
          <w:position w:val="0"/>
          <w:sz w:val="24"/>
          <w:szCs w:val="24"/>
        </w:rPr>
        <w:t>91,118,746.22</w:t>
      </w:r>
      <w:r>
        <w:rPr>
          <w:color w:val="000000"/>
          <w:spacing w:val="0"/>
          <w:w w:val="100"/>
          <w:position w:val="0"/>
        </w:rPr>
        <w:t>元。</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根据《深圳证券交易所上市公司回购股份实施细则》第七条的相关规定，上市公司以现 金为对价，采用要约方式、集中竞价方式回购股份的，当年已实施的回购股份金额视同现金 分红金额，纳入该年度现金分红的相关比例计算。</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截至</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日，公司累计通过股份回购专用证券账户以集中竞价交易方式回购公 司股份</w:t>
      </w:r>
      <w:r>
        <w:rPr>
          <w:color w:val="000000"/>
          <w:spacing w:val="0"/>
          <w:w w:val="100"/>
          <w:position w:val="0"/>
          <w:sz w:val="24"/>
          <w:szCs w:val="24"/>
        </w:rPr>
        <w:t>7,000,018</w:t>
      </w:r>
      <w:r>
        <w:rPr>
          <w:color w:val="000000"/>
          <w:spacing w:val="0"/>
          <w:w w:val="100"/>
          <w:position w:val="0"/>
        </w:rPr>
        <w:t>股，占公司总股本的</w:t>
      </w:r>
      <w:r>
        <w:rPr>
          <w:color w:val="000000"/>
          <w:spacing w:val="0"/>
          <w:w w:val="100"/>
          <w:position w:val="0"/>
          <w:sz w:val="24"/>
          <w:szCs w:val="24"/>
        </w:rPr>
        <w:t>0.79%,</w:t>
      </w:r>
      <w:r>
        <w:rPr>
          <w:color w:val="000000"/>
          <w:spacing w:val="0"/>
          <w:w w:val="100"/>
          <w:position w:val="0"/>
        </w:rPr>
        <w:t>最高成交价格为</w:t>
      </w:r>
      <w:r>
        <w:rPr>
          <w:color w:val="000000"/>
          <w:spacing w:val="0"/>
          <w:w w:val="100"/>
          <w:position w:val="0"/>
          <w:sz w:val="24"/>
          <w:szCs w:val="24"/>
        </w:rPr>
        <w:t>9.96</w:t>
      </w:r>
      <w:r>
        <w:rPr>
          <w:color w:val="000000"/>
          <w:spacing w:val="0"/>
          <w:w w:val="100"/>
          <w:position w:val="0"/>
        </w:rPr>
        <w:t>元</w:t>
      </w:r>
      <w:r>
        <w:rPr>
          <w:color w:val="000000"/>
          <w:spacing w:val="0"/>
          <w:w w:val="100"/>
          <w:position w:val="0"/>
          <w:sz w:val="24"/>
          <w:szCs w:val="24"/>
        </w:rPr>
        <w:t>/</w:t>
      </w:r>
      <w:r>
        <w:rPr>
          <w:color w:val="000000"/>
          <w:spacing w:val="0"/>
          <w:w w:val="100"/>
          <w:position w:val="0"/>
        </w:rPr>
        <w:t>股，最低成交价格为</w:t>
      </w:r>
      <w:r>
        <w:rPr>
          <w:color w:val="000000"/>
          <w:spacing w:val="0"/>
          <w:w w:val="100"/>
          <w:position w:val="0"/>
          <w:sz w:val="24"/>
          <w:szCs w:val="24"/>
        </w:rPr>
        <w:t xml:space="preserve">9.36 </w:t>
      </w:r>
      <w:r>
        <w:rPr>
          <w:color w:val="000000"/>
          <w:spacing w:val="0"/>
          <w:w w:val="100"/>
          <w:position w:val="0"/>
        </w:rPr>
        <w:t>元</w:t>
      </w:r>
      <w:r>
        <w:rPr>
          <w:color w:val="000000"/>
          <w:spacing w:val="0"/>
          <w:w w:val="100"/>
          <w:position w:val="0"/>
          <w:sz w:val="24"/>
          <w:szCs w:val="24"/>
        </w:rPr>
        <w:t>/</w:t>
      </w:r>
      <w:r>
        <w:rPr>
          <w:color w:val="000000"/>
          <w:spacing w:val="0"/>
          <w:w w:val="100"/>
          <w:position w:val="0"/>
        </w:rPr>
        <w:t>股，成交总金额为</w:t>
      </w:r>
      <w:r>
        <w:rPr>
          <w:color w:val="000000"/>
          <w:spacing w:val="0"/>
          <w:w w:val="100"/>
          <w:position w:val="0"/>
          <w:sz w:val="24"/>
          <w:szCs w:val="24"/>
        </w:rPr>
        <w:t>67,706,472.74</w:t>
      </w:r>
      <w:r>
        <w:rPr>
          <w:color w:val="000000"/>
          <w:spacing w:val="0"/>
          <w:w w:val="100"/>
          <w:position w:val="0"/>
        </w:rPr>
        <w:t>元（不含交易费用）。鉴于公司</w:t>
      </w:r>
      <w:r>
        <w:rPr>
          <w:color w:val="000000"/>
          <w:spacing w:val="0"/>
          <w:w w:val="100"/>
          <w:position w:val="0"/>
          <w:sz w:val="24"/>
          <w:szCs w:val="24"/>
        </w:rPr>
        <w:t>2019</w:t>
      </w:r>
      <w:r>
        <w:rPr>
          <w:color w:val="000000"/>
          <w:spacing w:val="0"/>
          <w:w w:val="100"/>
          <w:position w:val="0"/>
        </w:rPr>
        <w:t xml:space="preserve">年度已回购股份 </w:t>
      </w:r>
      <w:r>
        <w:rPr>
          <w:color w:val="000000"/>
          <w:spacing w:val="0"/>
          <w:w w:val="100"/>
          <w:position w:val="0"/>
          <w:sz w:val="24"/>
          <w:szCs w:val="24"/>
        </w:rPr>
        <w:t>7,000,018</w:t>
      </w:r>
      <w:r>
        <w:rPr>
          <w:color w:val="000000"/>
          <w:spacing w:val="0"/>
          <w:w w:val="100"/>
          <w:position w:val="0"/>
        </w:rPr>
        <w:t>股，成交总金额为</w:t>
      </w:r>
      <w:r>
        <w:rPr>
          <w:color w:val="000000"/>
          <w:spacing w:val="0"/>
          <w:w w:val="100"/>
          <w:position w:val="0"/>
          <w:sz w:val="24"/>
          <w:szCs w:val="24"/>
        </w:rPr>
        <w:t>67,706,472.74</w:t>
      </w:r>
      <w:r>
        <w:rPr>
          <w:color w:val="000000"/>
          <w:spacing w:val="0"/>
          <w:w w:val="100"/>
          <w:position w:val="0"/>
        </w:rPr>
        <w:t>元（不含交易费用），因此公司最近连续三年以 现金方式累计分配的利润超过近三年实现的年均可分配利润的</w:t>
      </w:r>
      <w:r>
        <w:rPr>
          <w:color w:val="000000"/>
          <w:spacing w:val="0"/>
          <w:w w:val="100"/>
          <w:position w:val="0"/>
          <w:sz w:val="24"/>
          <w:szCs w:val="24"/>
        </w:rPr>
        <w:t>30%，</w:t>
      </w:r>
      <w:r>
        <w:rPr>
          <w:color w:val="000000"/>
          <w:spacing w:val="0"/>
          <w:w w:val="100"/>
          <w:position w:val="0"/>
        </w:rPr>
        <w:t>且考虑到公司未来业务方 面的资金需求，故公司</w:t>
      </w:r>
      <w:r>
        <w:rPr>
          <w:color w:val="000000"/>
          <w:spacing w:val="0"/>
          <w:w w:val="100"/>
          <w:position w:val="0"/>
          <w:sz w:val="24"/>
          <w:szCs w:val="24"/>
        </w:rPr>
        <w:t>2019</w:t>
      </w:r>
      <w:r>
        <w:rPr>
          <w:color w:val="000000"/>
          <w:spacing w:val="0"/>
          <w:w w:val="100"/>
          <w:position w:val="0"/>
        </w:rPr>
        <w:t>年度拟不进行现金分配，也不以资本公积转增股本。</w:t>
      </w:r>
    </w:p>
    <w:p>
      <w:pPr>
        <w:pStyle w:val="Style35"/>
        <w:keepNext w:val="0"/>
        <w:keepLines w:val="0"/>
        <w:widowControl w:val="0"/>
        <w:shd w:val="clear" w:color="auto" w:fill="auto"/>
        <w:tabs>
          <w:tab w:pos="960" w:val="left"/>
        </w:tabs>
        <w:bidi w:val="0"/>
        <w:spacing w:before="0" w:after="0" w:line="468" w:lineRule="exact"/>
        <w:ind w:left="0" w:right="0" w:firstLine="480"/>
        <w:jc w:val="both"/>
      </w:pPr>
      <w:bookmarkStart w:id="294" w:name="bookmark294"/>
      <w:r>
        <w:rPr>
          <w:color w:val="000000"/>
          <w:spacing w:val="0"/>
          <w:w w:val="100"/>
          <w:position w:val="0"/>
          <w:sz w:val="24"/>
          <w:szCs w:val="24"/>
        </w:rPr>
        <w:t>（</w:t>
      </w:r>
      <w:bookmarkEnd w:id="294"/>
      <w:r>
        <w:rPr>
          <w:color w:val="000000"/>
          <w:spacing w:val="0"/>
          <w:w w:val="100"/>
          <w:position w:val="0"/>
          <w:sz w:val="24"/>
          <w:szCs w:val="24"/>
        </w:rPr>
        <w:t>3）</w:t>
        <w:tab/>
      </w:r>
      <w:r>
        <w:rPr>
          <w:color w:val="000000"/>
          <w:spacing w:val="0"/>
          <w:w w:val="100"/>
          <w:position w:val="0"/>
        </w:rPr>
        <w:t>公司</w:t>
      </w:r>
      <w:r>
        <w:rPr>
          <w:color w:val="000000"/>
          <w:spacing w:val="0"/>
          <w:w w:val="100"/>
          <w:position w:val="0"/>
          <w:sz w:val="24"/>
          <w:szCs w:val="24"/>
        </w:rPr>
        <w:t>2020</w:t>
      </w:r>
      <w:r>
        <w:rPr>
          <w:color w:val="000000"/>
          <w:spacing w:val="0"/>
          <w:w w:val="100"/>
          <w:position w:val="0"/>
        </w:rPr>
        <w:t>年利润分配预案</w:t>
      </w:r>
    </w:p>
    <w:p>
      <w:pPr>
        <w:pStyle w:val="Style35"/>
        <w:keepNext w:val="0"/>
        <w:keepLines w:val="0"/>
        <w:widowControl w:val="0"/>
        <w:shd w:val="clear" w:color="auto" w:fill="auto"/>
        <w:bidi w:val="0"/>
        <w:spacing w:before="0" w:after="680" w:line="468" w:lineRule="exact"/>
        <w:ind w:left="0" w:right="0" w:firstLine="480"/>
        <w:jc w:val="both"/>
      </w:pPr>
      <w:r>
        <w:rPr>
          <w:color w:val="000000"/>
          <w:spacing w:val="0"/>
          <w:w w:val="100"/>
          <w:position w:val="0"/>
        </w:rPr>
        <w:t>经立信会计师事务所（特殊普通合伙）审计，公司</w:t>
      </w:r>
      <w:r>
        <w:rPr>
          <w:color w:val="000000"/>
          <w:spacing w:val="0"/>
          <w:w w:val="100"/>
          <w:position w:val="0"/>
          <w:sz w:val="24"/>
          <w:szCs w:val="24"/>
        </w:rPr>
        <w:t>2020</w:t>
      </w:r>
      <w:r>
        <w:rPr>
          <w:color w:val="000000"/>
          <w:spacing w:val="0"/>
          <w:w w:val="100"/>
          <w:position w:val="0"/>
        </w:rPr>
        <w:t>年实现归属于上市公司股东的净 利润为</w:t>
      </w:r>
      <w:r>
        <w:rPr>
          <w:color w:val="000000"/>
          <w:spacing w:val="0"/>
          <w:w w:val="100"/>
          <w:position w:val="0"/>
          <w:sz w:val="24"/>
          <w:szCs w:val="24"/>
        </w:rPr>
        <w:t>65,709,488.68</w:t>
      </w:r>
      <w:r>
        <w:rPr>
          <w:color w:val="000000"/>
          <w:spacing w:val="0"/>
          <w:w w:val="100"/>
          <w:position w:val="0"/>
        </w:rPr>
        <w:t>元，母公司实现净利润为</w:t>
      </w:r>
      <w:r>
        <w:rPr>
          <w:color w:val="000000"/>
          <w:spacing w:val="0"/>
          <w:w w:val="100"/>
          <w:position w:val="0"/>
          <w:sz w:val="24"/>
          <w:szCs w:val="24"/>
        </w:rPr>
        <w:t>78,331,934.48</w:t>
      </w:r>
      <w:r>
        <w:rPr>
          <w:color w:val="000000"/>
          <w:spacing w:val="0"/>
          <w:w w:val="100"/>
          <w:position w:val="0"/>
        </w:rPr>
        <w:t>元。根据《上海汉得信息技术 股份有限公司章程》（以下简称“《公司章程》”</w:t>
      </w:r>
      <w:r>
        <w:rPr>
          <w:color w:val="000000"/>
          <w:spacing w:val="0"/>
          <w:w w:val="100"/>
          <w:position w:val="0"/>
          <w:sz w:val="24"/>
          <w:szCs w:val="24"/>
        </w:rPr>
        <w:t>）</w:t>
      </w:r>
      <w:r>
        <w:rPr>
          <w:color w:val="000000"/>
          <w:spacing w:val="0"/>
          <w:w w:val="100"/>
          <w:position w:val="0"/>
        </w:rPr>
        <w:t>的有关规定，按照母公司</w:t>
      </w:r>
      <w:r>
        <w:rPr>
          <w:color w:val="000000"/>
          <w:spacing w:val="0"/>
          <w:w w:val="100"/>
          <w:position w:val="0"/>
          <w:sz w:val="24"/>
          <w:szCs w:val="24"/>
        </w:rPr>
        <w:t>2020</w:t>
      </w:r>
      <w:r>
        <w:rPr>
          <w:color w:val="000000"/>
          <w:spacing w:val="0"/>
          <w:w w:val="100"/>
          <w:position w:val="0"/>
        </w:rPr>
        <w:t>年度实现 净利润的</w:t>
      </w:r>
      <w:r>
        <w:rPr>
          <w:color w:val="000000"/>
          <w:spacing w:val="0"/>
          <w:w w:val="100"/>
          <w:position w:val="0"/>
          <w:sz w:val="24"/>
          <w:szCs w:val="24"/>
        </w:rPr>
        <w:t>10%</w:t>
      </w:r>
      <w:r>
        <w:rPr>
          <w:color w:val="000000"/>
          <w:spacing w:val="0"/>
          <w:w w:val="100"/>
          <w:position w:val="0"/>
        </w:rPr>
        <w:t>计提法定盈余公积金</w:t>
      </w:r>
      <w:r>
        <w:rPr>
          <w:color w:val="000000"/>
          <w:spacing w:val="0"/>
          <w:w w:val="100"/>
          <w:position w:val="0"/>
          <w:sz w:val="24"/>
          <w:szCs w:val="24"/>
        </w:rPr>
        <w:t>7,833,193.45</w:t>
      </w:r>
      <w:r>
        <w:rPr>
          <w:color w:val="000000"/>
          <w:spacing w:val="0"/>
          <w:w w:val="100"/>
          <w:position w:val="0"/>
        </w:rPr>
        <w:t>元，截至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日，合并报表累计未分 配利润为</w:t>
      </w:r>
      <w:r>
        <w:rPr>
          <w:color w:val="000000"/>
          <w:spacing w:val="0"/>
          <w:w w:val="100"/>
          <w:position w:val="0"/>
          <w:sz w:val="24"/>
          <w:szCs w:val="24"/>
        </w:rPr>
        <w:t>1,400,293,622 76</w:t>
      </w:r>
      <w:r>
        <w:rPr>
          <w:color w:val="000000"/>
          <w:spacing w:val="0"/>
          <w:w w:val="100"/>
          <w:position w:val="0"/>
        </w:rPr>
        <w:t>元，母公司报表累计未分配利润为</w:t>
      </w:r>
      <w:r>
        <w:rPr>
          <w:color w:val="000000"/>
          <w:spacing w:val="0"/>
          <w:w w:val="100"/>
          <w:position w:val="0"/>
          <w:sz w:val="24"/>
          <w:szCs w:val="24"/>
        </w:rPr>
        <w:t>1,356,096,531.20</w:t>
      </w:r>
      <w:r>
        <w:rPr>
          <w:color w:val="000000"/>
          <w:spacing w:val="0"/>
          <w:w w:val="100"/>
          <w:position w:val="0"/>
        </w:rPr>
        <w:t xml:space="preserve">元，根据合 并报表和母公司报表中可供分配利润孰低原则，公司本年度可供分配利润为 </w:t>
      </w:r>
      <w:r>
        <w:rPr>
          <w:color w:val="000000"/>
          <w:spacing w:val="0"/>
          <w:w w:val="100"/>
          <w:position w:val="0"/>
          <w:sz w:val="24"/>
          <w:szCs w:val="24"/>
        </w:rPr>
        <w:t>1,356,096,531.20</w:t>
      </w:r>
      <w:r>
        <w:rPr>
          <w:color w:val="000000"/>
          <w:spacing w:val="0"/>
          <w:w w:val="100"/>
          <w:position w:val="0"/>
        </w:rPr>
        <w:t>元；现拟以公司目前总股本</w:t>
      </w:r>
      <w:r>
        <w:rPr>
          <w:color w:val="000000"/>
          <w:spacing w:val="0"/>
          <w:w w:val="100"/>
          <w:position w:val="0"/>
          <w:sz w:val="24"/>
          <w:szCs w:val="24"/>
        </w:rPr>
        <w:t>884,016,939</w:t>
      </w:r>
      <w:r>
        <w:rPr>
          <w:color w:val="000000"/>
          <w:spacing w:val="0"/>
          <w:w w:val="100"/>
          <w:position w:val="0"/>
        </w:rPr>
        <w:t>股扣除公司回购专用证券账户中已 回购的</w:t>
      </w:r>
      <w:r>
        <w:rPr>
          <w:color w:val="000000"/>
          <w:spacing w:val="0"/>
          <w:w w:val="100"/>
          <w:position w:val="0"/>
          <w:sz w:val="24"/>
          <w:szCs w:val="24"/>
        </w:rPr>
        <w:t>7,000,018</w:t>
      </w:r>
      <w:r>
        <w:rPr>
          <w:color w:val="000000"/>
          <w:spacing w:val="0"/>
          <w:w w:val="100"/>
          <w:position w:val="0"/>
        </w:rPr>
        <w:t>股后的股本</w:t>
      </w:r>
      <w:r>
        <w:rPr>
          <w:color w:val="000000"/>
          <w:spacing w:val="0"/>
          <w:w w:val="100"/>
          <w:position w:val="0"/>
          <w:sz w:val="24"/>
          <w:szCs w:val="24"/>
        </w:rPr>
        <w:t>877,016,921</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0.3</w:t>
      </w:r>
      <w:r>
        <w:rPr>
          <w:color w:val="000000"/>
          <w:spacing w:val="0"/>
          <w:w w:val="100"/>
          <w:position w:val="0"/>
        </w:rPr>
        <w:t>元 （含税），合计派发现金红利人民币</w:t>
      </w:r>
      <w:r>
        <w:rPr>
          <w:color w:val="000000"/>
          <w:spacing w:val="0"/>
          <w:w w:val="100"/>
          <w:position w:val="0"/>
          <w:sz w:val="24"/>
          <w:szCs w:val="24"/>
        </w:rPr>
        <w:t>26,310,507.63</w:t>
      </w:r>
      <w:r>
        <w:rPr>
          <w:color w:val="000000"/>
          <w:spacing w:val="0"/>
          <w:w w:val="100"/>
          <w:position w:val="0"/>
        </w:rPr>
        <w:t>元。</w:t>
      </w:r>
    </w:p>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公司近三年（包括本报告期）普通股现金分红情况表</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205"/>
        <w:gridCol w:w="1195"/>
        <w:gridCol w:w="1195"/>
        <w:gridCol w:w="1195"/>
        <w:gridCol w:w="1200"/>
        <w:gridCol w:w="1195"/>
        <w:gridCol w:w="1195"/>
        <w:gridCol w:w="1205"/>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现金分红金额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（含税）</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分红年度合并 报表中归属于 上市公司普通</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现金分红金额 占合并报表中 归属于上市公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以其他方式</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（如回购股 份）现金分红</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以其他方式现 金分红金额占 合并报表中归</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现金分红总额 （含其他方 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（含其他方 式）占合并报</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股股东的净利 润</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司普通股股东 的净利润的比 率</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的金额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属于上市公司 普通股股东的 净利润的比例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rPr>
                <w:sz w:val="17"/>
                <w:szCs w:val="17"/>
              </w:rPr>
            </w:pPr>
            <w:r>
              <w:rPr>
                <w:color w:val="000000"/>
                <w:spacing w:val="0"/>
                <w:w w:val="100"/>
                <w:position w:val="0"/>
                <w:sz w:val="17"/>
                <w:szCs w:val="17"/>
              </w:rPr>
              <w:t>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26,310,507.63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65,709,488.68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26,310,507.63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86,114,201.71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67,706,472.74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67,706,472.74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26,627,477.67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386,875,076.87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26,627,477.67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二</w:t>
      </w:r>
      <w:bookmarkEnd w:id="297"/>
      <w:r>
        <w:rPr>
          <w:color w:val="000000"/>
          <w:spacing w:val="0"/>
          <w:w w:val="100"/>
          <w:position w:val="0"/>
        </w:rPr>
        <w:t>、承诺事项履行情况</w:t>
      </w:r>
      <w:bookmarkEnd w:id="295"/>
      <w:bookmarkEnd w:id="296"/>
      <w:bookmarkEnd w:id="298"/>
    </w:p>
    <w:p>
      <w:pPr>
        <w:pStyle w:val="Style32"/>
        <w:keepNext/>
        <w:keepLines/>
        <w:widowControl w:val="0"/>
        <w:shd w:val="clear" w:color="auto" w:fill="auto"/>
        <w:bidi w:val="0"/>
        <w:spacing w:before="0" w:after="360" w:line="322" w:lineRule="exact"/>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、公司实际控制人、股东、关联方、收购人以及公司等承诺相关方在报告期内履行完毕及截至报告期末 尚未履行完毕的承诺事项</w:t>
      </w:r>
      <w:bookmarkEnd w:id="299"/>
      <w:bookmarkEnd w:id="300"/>
      <w:bookmarkEnd w:id="302"/>
    </w:p>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履行情况</w:t>
            </w:r>
          </w:p>
        </w:tc>
      </w:tr>
      <w:tr>
        <w:trPr>
          <w:trHeight w:val="785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收购报告书或权益变动报告书中所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赵旭民、刘 涛、</w:t>
            </w:r>
            <w:r>
              <w:rPr>
                <w:rFonts w:ascii="Times New Roman" w:eastAsia="Times New Roman" w:hAnsi="Times New Roman" w:cs="Times New Roman"/>
                <w:color w:val="000000"/>
                <w:spacing w:val="0"/>
                <w:w w:val="100"/>
                <w:position w:val="0"/>
                <w:sz w:val="18"/>
                <w:szCs w:val="18"/>
              </w:rPr>
              <w:t>BEYOND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除扬州达美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上海达美外， 本人及本人 关系密切的 家庭成员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公司及本公 司董事、监事 和高级管理 人员将不在 中国境内外 直接或间接 拥有、管理、 控制、投资、 从事其他任 何与汉得信 息及其分公 司、子公司相 同或相近的 业务或项目， 亦不参与拥 有、管理、控 制、投资其他 任何与汉得 信息及其分 公司、子公司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报告期内，承</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诺人遵守了 此项承诺，未 有违反上述 承诺的情况。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相同或相近 的业务或项 目，亦不谋求 通过与任何 第三人合资、 合作、联营或 采取租赁经 营、承包经 营、委托管理 等任何方式 直接或间接 从事与汉得 信息及其分 公司、子公司 构成竞争的 业务；本人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本公司保证， 将在汉得信 息股东大会 审议批准本 次交易后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日 内召开北京 龙象信益科 技有限公司、 上海和美软 件有限公司 和扬州和美 软件有限公 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该三家关联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股东会 会议并通过 决议同意注 销该三家关 联公司，并履 行相应注销 公告程序；本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本公司在 直接或间接 持有汉得信 息股份的期 间，或者，若 本人在汉得 信息或扬州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达美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上海达 美及其分子 公司任职的， 则自本人与 汉得信息或 扬州达美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 海达美及其 分子公司解 除劳动关系 之日起的两 年内，本人遵 守上述承诺；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若违反上述 承诺，本人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本公司将对 由此给汉得 信息造成的 损失作出全 面、及时和足 额的赔偿；本 承诺为不可 撤销的承诺。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赵旭民、刘 涛、</w:t>
            </w:r>
            <w:r>
              <w:rPr>
                <w:rFonts w:ascii="Times New Roman" w:eastAsia="Times New Roman" w:hAnsi="Times New Roman" w:cs="Times New Roman"/>
                <w:color w:val="000000"/>
                <w:spacing w:val="0"/>
                <w:w w:val="100"/>
                <w:position w:val="0"/>
                <w:sz w:val="18"/>
                <w:szCs w:val="18"/>
              </w:rPr>
              <w:t>BEYOND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将按照《中华 人民共和国 公司法》等法 律法规以及 汉得信息公 司章程的有 关规定行使 股东权利；在 股东大会对 涉及本人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公司的关联 交易进行表 决时，按照</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《中华人民 共和国公司 法》等法律法 规以及汉得 信息公司章 程的有关规 定履行回避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报告期内，承</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诺人遵守了 此项承诺，未 有违反上述 承诺的情况。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1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表决的义务；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将杜绝一切 非法占用汉 得信息及其 子公司的资 金、资产的行 为，在任何情 况下，不要求 汉得信息及 其子公司向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 司投资或控 制的其它企 业提供任何 形式的担保；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将尽可能地 避免和减少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 司投资或控 制的其它企 业与汉得信 息及其子公 司的关联交 易；对无法避 免或者有合 理原因而发 生的关联交 易，将遵循市 场公正、公 平、公开的原 则，并依法签 订协议，履行 合法程序，按 照汉得信息 公司章程、有 关法律法规 履行信息披 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21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上海汉得信 息技术股份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承诺不为激 励对象依本 股权激励计 划获取有关 限制性股票 提供贷款以 及其他形式 的财务资助， 包括为其贷 款提供担保。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至限制性股 票全部解锁 完毕止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报告期内，公 司遵守了此 项承诺，未有 违反上述承 诺的情况。</w:t>
            </w:r>
          </w:p>
        </w:tc>
      </w:tr>
      <w:tr>
        <w:trPr>
          <w:trHeight w:val="1004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陈迪清、范建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、我们及我 们直接或间 接控制的子 公司、合作或 联营企业和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或下属企业 目前没有直 接或间接地 从事任何与 汉得的主营 业务及其它 业务相同或 相似的业务</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（以下称''竞 争业务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我们及我们 直接或间接 控制的子公 司、合作或联 营企业和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下属企业，于 我们作为对 汉得直接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间 接拥有权益 的主要股东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关联方期间， 不会直接或 间接地以任 何方式从事 竞争业务或 可能构成竞 争业务的业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报告期内，承 诺主体遵守 了此项承诺， 未有违反上 述承诺的情 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、我们 及我们直接 或间接控制 的子公司、合 作或联营企 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或下属 企业，将来面 临或可能取 得任何与竞 争业务有关 的投资机会 或其它商业 机会，在同等 条件下赋予 汉得该等投 资机会或商 业机会之优 先选择权；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自本函出具 日起，本函及 本函项下之 承诺为不可 撤销的，且持 续有效，直至 我们不再成 为对汉得直 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间接拥有 权益的主要 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关联方 为止；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、我 们和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或我们 直接或间接 控制的子公 司、合作或联 营企业和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下属企业如 违反上述任 何承诺，我们 将赔偿汉得 及汉得其他 股东因此遭 受的一切经 济损失，该等 责任是连带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46"/>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责任。</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上海汉得信 息技术股份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承诺不使用 募集资金、银 行信贷资金 直接或者间 接进行银行 理财产品投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报告期内，公 司遵守了此 项承诺，未有 违反上述承 诺的情况。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38"/>
        <w:keepNext w:val="0"/>
        <w:keepLines w:val="0"/>
        <w:widowControl w:val="0"/>
        <w:shd w:val="clear" w:color="auto" w:fill="auto"/>
        <w:bidi w:val="0"/>
        <w:spacing w:before="0" w:after="0" w:line="322" w:lineRule="exact"/>
        <w:ind w:left="0" w:right="0" w:firstLine="0"/>
        <w:jc w:val="left"/>
      </w:pPr>
      <w:bookmarkStart w:id="303" w:name="bookmark303"/>
      <w:r>
        <w:rPr>
          <w:rFonts w:ascii="Times New Roman" w:eastAsia="Times New Roman" w:hAnsi="Times New Roman" w:cs="Times New Roman"/>
          <w:color w:val="000000"/>
          <w:spacing w:val="0"/>
          <w:w w:val="100"/>
          <w:position w:val="0"/>
        </w:rPr>
        <w:t>2</w:t>
      </w:r>
      <w:r>
        <w:rPr>
          <w:color w:val="000000"/>
          <w:spacing w:val="0"/>
          <w:w w:val="100"/>
          <w:position w:val="0"/>
        </w:rPr>
        <w:t>、公司资产或项目存在盈利预测，且报告期仍处在盈利预测期间，公司就资产或项目达到原盈利预测及 其原因做出说明</w:t>
      </w:r>
      <w:bookmarkEnd w:id="303"/>
    </w:p>
    <w:p>
      <w:pPr>
        <w:widowControl w:val="0"/>
        <w:spacing w:after="359" w:line="1" w:lineRule="exact"/>
      </w:pPr>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470" w:lineRule="exact"/>
        <w:ind w:left="0" w:right="0" w:firstLine="0"/>
        <w:jc w:val="both"/>
      </w:pPr>
      <w:bookmarkStart w:id="304" w:name="bookmark304"/>
      <w:bookmarkStart w:id="305" w:name="bookmark305"/>
      <w:bookmarkStart w:id="306" w:name="bookmark306"/>
      <w:bookmarkStart w:id="307" w:name="bookmark307"/>
      <w:r>
        <w:rPr>
          <w:color w:val="000000"/>
          <w:spacing w:val="0"/>
          <w:w w:val="100"/>
          <w:position w:val="0"/>
        </w:rPr>
        <w:t>三</w:t>
      </w:r>
      <w:bookmarkEnd w:id="306"/>
      <w:r>
        <w:rPr>
          <w:color w:val="000000"/>
          <w:spacing w:val="0"/>
          <w:w w:val="100"/>
          <w:position w:val="0"/>
        </w:rPr>
        <w:t>、</w:t>
        <w:tab/>
        <w:t>控股股东及其关联方对上市公司的非经营性占用资金情况</w:t>
      </w:r>
      <w:bookmarkEnd w:id="304"/>
      <w:bookmarkEnd w:id="305"/>
      <w:bookmarkEnd w:id="307"/>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22" w:val="left"/>
        </w:tabs>
        <w:bidi w:val="0"/>
        <w:spacing w:before="0" w:after="360" w:line="470" w:lineRule="exact"/>
        <w:ind w:left="0" w:right="0" w:firstLine="0"/>
        <w:jc w:val="both"/>
      </w:pPr>
      <w:bookmarkStart w:id="308" w:name="bookmark308"/>
      <w:bookmarkStart w:id="309" w:name="bookmark309"/>
      <w:bookmarkStart w:id="310" w:name="bookmark310"/>
      <w:bookmarkStart w:id="311" w:name="bookmark311"/>
      <w:r>
        <w:rPr>
          <w:color w:val="000000"/>
          <w:spacing w:val="0"/>
          <w:w w:val="100"/>
          <w:position w:val="0"/>
        </w:rPr>
        <w:t>四</w:t>
      </w:r>
      <w:bookmarkEnd w:id="310"/>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308"/>
      <w:bookmarkEnd w:id="309"/>
      <w:bookmarkEnd w:id="311"/>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470" w:lineRule="exact"/>
        <w:ind w:left="0" w:right="0" w:firstLine="0"/>
        <w:jc w:val="both"/>
      </w:pPr>
      <w:bookmarkStart w:id="312" w:name="bookmark312"/>
      <w:bookmarkStart w:id="313" w:name="bookmark313"/>
      <w:bookmarkStart w:id="314" w:name="bookmark314"/>
      <w:bookmarkStart w:id="315" w:name="bookmark315"/>
      <w:r>
        <w:rPr>
          <w:color w:val="000000"/>
          <w:spacing w:val="0"/>
          <w:w w:val="100"/>
          <w:position w:val="0"/>
        </w:rPr>
        <w:t>五</w:t>
      </w:r>
      <w:bookmarkEnd w:id="314"/>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12"/>
      <w:bookmarkEnd w:id="313"/>
      <w:bookmarkEnd w:id="315"/>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470" w:lineRule="exact"/>
        <w:ind w:left="0" w:right="0" w:firstLine="0"/>
        <w:jc w:val="both"/>
      </w:pPr>
      <w:bookmarkStart w:id="316" w:name="bookmark316"/>
      <w:bookmarkStart w:id="317" w:name="bookmark317"/>
      <w:bookmarkStart w:id="318" w:name="bookmark318"/>
      <w:bookmarkStart w:id="319" w:name="bookmark319"/>
      <w:r>
        <w:rPr>
          <w:color w:val="000000"/>
          <w:spacing w:val="0"/>
          <w:w w:val="100"/>
          <w:position w:val="0"/>
        </w:rPr>
        <w:t>六</w:t>
      </w:r>
      <w:bookmarkEnd w:id="318"/>
      <w:r>
        <w:rPr>
          <w:color w:val="000000"/>
          <w:spacing w:val="0"/>
          <w:w w:val="100"/>
          <w:position w:val="0"/>
        </w:rPr>
        <w:t>、</w:t>
        <w:tab/>
        <w:t>董事会关于报告期会计政策、会计估计变更或重大会计差错更正的说明</w:t>
      </w:r>
      <w:bookmarkEnd w:id="316"/>
      <w:bookmarkEnd w:id="317"/>
      <w:bookmarkEnd w:id="319"/>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（1）</w:t>
      </w:r>
      <w:r>
        <w:rPr>
          <w:color w:val="000000"/>
          <w:spacing w:val="0"/>
          <w:w w:val="100"/>
          <w:position w:val="0"/>
        </w:rPr>
        <w:t>执行《企业会计准则第</w:t>
      </w:r>
      <w:r>
        <w:rPr>
          <w:color w:val="000000"/>
          <w:spacing w:val="0"/>
          <w:w w:val="100"/>
          <w:position w:val="0"/>
          <w:sz w:val="24"/>
          <w:szCs w:val="24"/>
        </w:rPr>
        <w:t>14</w:t>
      </w:r>
      <w:r>
        <w:rPr>
          <w:color w:val="000000"/>
          <w:spacing w:val="0"/>
          <w:w w:val="100"/>
          <w:position w:val="0"/>
        </w:rPr>
        <w:t>号一一收入》</w:t>
      </w:r>
      <w:r>
        <w:rPr>
          <w:color w:val="000000"/>
          <w:spacing w:val="0"/>
          <w:w w:val="100"/>
          <w:position w:val="0"/>
          <w:sz w:val="24"/>
          <w:szCs w:val="24"/>
        </w:rPr>
        <w:t>（2017</w:t>
      </w:r>
      <w:r>
        <w:rPr>
          <w:color w:val="000000"/>
          <w:spacing w:val="0"/>
          <w:w w:val="100"/>
          <w:position w:val="0"/>
        </w:rPr>
        <w:t>年修订）（以下简称“新收入准则”</w:t>
      </w:r>
      <w:r>
        <w:rPr>
          <w:color w:val="000000"/>
          <w:spacing w:val="0"/>
          <w:w w:val="100"/>
          <w:position w:val="0"/>
          <w:sz w:val="24"/>
          <w:szCs w:val="24"/>
        </w:rPr>
        <w:t xml:space="preserve">） </w:t>
      </w:r>
      <w:r>
        <w:rPr>
          <w:color w:val="000000"/>
          <w:spacing w:val="0"/>
          <w:w w:val="100"/>
          <w:position w:val="0"/>
        </w:rPr>
        <w:t>财政部于</w:t>
      </w:r>
      <w:r>
        <w:rPr>
          <w:color w:val="000000"/>
          <w:spacing w:val="0"/>
          <w:w w:val="100"/>
          <w:position w:val="0"/>
          <w:sz w:val="24"/>
          <w:szCs w:val="24"/>
        </w:rPr>
        <w:t>2017</w:t>
      </w:r>
      <w:r>
        <w:rPr>
          <w:color w:val="000000"/>
          <w:spacing w:val="0"/>
          <w:w w:val="100"/>
          <w:position w:val="0"/>
        </w:rPr>
        <w:t>年度修订了《企业会计准则第</w:t>
      </w:r>
      <w:r>
        <w:rPr>
          <w:color w:val="000000"/>
          <w:spacing w:val="0"/>
          <w:w w:val="100"/>
          <w:position w:val="0"/>
          <w:sz w:val="24"/>
          <w:szCs w:val="24"/>
        </w:rPr>
        <w:t>14</w:t>
      </w:r>
      <w:r>
        <w:rPr>
          <w:color w:val="000000"/>
          <w:spacing w:val="0"/>
          <w:w w:val="100"/>
          <w:position w:val="0"/>
        </w:rPr>
        <w:t>号一一收入》。修订后的准则规定，首次 执行该准则应当根据累积影响数调整当年年初留存收益及财务报表其他相关项目金额，对可 比期间信息不予调整。</w:t>
      </w:r>
    </w:p>
    <w:p>
      <w:pPr>
        <w:pStyle w:val="Style35"/>
        <w:keepNext w:val="0"/>
        <w:keepLines w:val="0"/>
        <w:widowControl w:val="0"/>
        <w:shd w:val="clear" w:color="auto" w:fill="auto"/>
        <w:bidi w:val="0"/>
        <w:spacing w:before="0" w:after="260" w:line="470" w:lineRule="exact"/>
        <w:ind w:left="0" w:right="0" w:firstLine="500"/>
        <w:jc w:val="both"/>
      </w:pPr>
      <w:r>
        <w:rPr>
          <w:color w:val="000000"/>
          <w:spacing w:val="0"/>
          <w:w w:val="100"/>
          <w:position w:val="0"/>
        </w:rPr>
        <w:t>本公司自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日起执行新收入准则。根据准则的规定，本公司仅对在首次执行日 尚未完成的合同的累积影响数调整</w:t>
      </w:r>
      <w:r>
        <w:rPr>
          <w:color w:val="000000"/>
          <w:spacing w:val="0"/>
          <w:w w:val="100"/>
          <w:position w:val="0"/>
          <w:sz w:val="24"/>
          <w:szCs w:val="24"/>
        </w:rPr>
        <w:t>2020</w:t>
      </w:r>
      <w:r>
        <w:rPr>
          <w:color w:val="000000"/>
          <w:spacing w:val="0"/>
          <w:w w:val="100"/>
          <w:position w:val="0"/>
        </w:rPr>
        <w:t>年年初留存收益以及财务报表其他相关项目金额，比</w:t>
      </w:r>
      <w:r>
        <w:br w:type="page"/>
      </w:r>
    </w:p>
    <w:p>
      <w:pPr>
        <w:pStyle w:val="Style35"/>
        <w:keepNext w:val="0"/>
        <w:keepLines w:val="0"/>
        <w:widowControl w:val="0"/>
        <w:shd w:val="clear" w:color="auto" w:fill="auto"/>
        <w:bidi w:val="0"/>
        <w:spacing w:before="0" w:after="560" w:line="240" w:lineRule="auto"/>
        <w:ind w:left="0" w:right="0" w:firstLine="0"/>
        <w:jc w:val="left"/>
      </w:pPr>
      <w:r>
        <w:rPr>
          <w:color w:val="000000"/>
          <w:spacing w:val="0"/>
          <w:w w:val="100"/>
          <w:position w:val="0"/>
        </w:rPr>
        <w:t>较财务报表不做调整。执行该准则的主要影响如下:</w:t>
      </w:r>
    </w:p>
    <w:tbl>
      <w:tblPr>
        <w:tblOverlap w:val="never"/>
        <w:jc w:val="center"/>
        <w:tblLayout w:type="fixed"/>
      </w:tblPr>
      <w:tblGrid>
        <w:gridCol w:w="2448"/>
        <w:gridCol w:w="1411"/>
        <w:gridCol w:w="1906"/>
        <w:gridCol w:w="2026"/>
        <w:gridCol w:w="1886"/>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会计政策变更的内容和原因</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审批程序</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受影响的报表 项目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日余额的影响金额</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母公司</w:t>
            </w:r>
          </w:p>
        </w:tc>
      </w:tr>
      <w:tr>
        <w:trPr>
          <w:trHeight w:val="341"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）部分原按照完工百分比法 确认收入的自主软件产品业务 合同，因不满足在一段时间确 认收入的条件，改为按控制权 转移时点确认收入。</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 颁布修订的《企业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-238,791,042.43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-237,022,555.43</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197,068,954.44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209,055,828.22</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19,034,322.52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19,034,322.52</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-5,248,831.93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-5,248,831.93</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19,137,474.34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18,154,075.16</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116,413,496.14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114,020,588.02</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-1,630,434.11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-1,925,825.00</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1,049,783.97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-10,812,192.45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-10,812,192.45</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-674,899.37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-113,144,877.24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-97,309,732.03</w:t>
            </w:r>
          </w:p>
        </w:tc>
      </w:tr>
      <w:tr>
        <w:trPr>
          <w:trHeight w:val="341"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）将与收入相关、不满足无 条件收款权的已完工未结算、 应收账款重分类至合同资产， 将与收入相关的已结算未完 工、与收入相关的预收款项重 分类至合同负债。</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 颁布修订的《企业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-313,210,222.34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-313,210,222.34</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313,210,222.34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313,210,222.34</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-132,063,294.33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-119,968,382.17</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126,037,076.48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114,089,604.21</w:t>
            </w:r>
          </w:p>
        </w:tc>
      </w:tr>
      <w:tr>
        <w:trPr>
          <w:trHeight w:val="54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6,026,217.85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5,878,777.96</w:t>
            </w:r>
          </w:p>
        </w:tc>
      </w:tr>
    </w:tbl>
    <w:p>
      <w:pPr>
        <w:widowControl w:val="0"/>
        <w:spacing w:after="379" w:line="1" w:lineRule="exact"/>
      </w:pPr>
    </w:p>
    <w:p>
      <w:pPr>
        <w:pStyle w:val="Style35"/>
        <w:keepNext w:val="0"/>
        <w:keepLines w:val="0"/>
        <w:widowControl w:val="0"/>
        <w:shd w:val="clear" w:color="auto" w:fill="auto"/>
        <w:bidi w:val="0"/>
        <w:spacing w:before="0" w:after="220" w:line="240" w:lineRule="auto"/>
        <w:ind w:left="0" w:right="0" w:firstLine="480"/>
        <w:jc w:val="left"/>
        <w:rPr>
          <w:sz w:val="24"/>
          <w:szCs w:val="24"/>
        </w:rPr>
      </w:pPr>
      <w:r>
        <w:rPr>
          <w:color w:val="000000"/>
          <w:spacing w:val="0"/>
          <w:w w:val="100"/>
          <w:position w:val="0"/>
          <w:sz w:val="22"/>
          <w:szCs w:val="22"/>
        </w:rPr>
        <w:t>与原收入准则相比，执行新收入准则对</w:t>
      </w:r>
      <w:r>
        <w:rPr>
          <w:color w:val="000000"/>
          <w:spacing w:val="0"/>
          <w:w w:val="100"/>
          <w:position w:val="0"/>
          <w:sz w:val="24"/>
          <w:szCs w:val="24"/>
        </w:rPr>
        <w:t>2020</w:t>
      </w:r>
      <w:r>
        <w:rPr>
          <w:color w:val="000000"/>
          <w:spacing w:val="0"/>
          <w:w w:val="100"/>
          <w:position w:val="0"/>
          <w:sz w:val="22"/>
          <w:szCs w:val="22"/>
        </w:rPr>
        <w:t>年度财务报表相关项目的影响如下（增加</w:t>
      </w:r>
      <w:r>
        <w:rPr>
          <w:color w:val="000000"/>
          <w:spacing w:val="0"/>
          <w:w w:val="100"/>
          <w:position w:val="0"/>
          <w:sz w:val="24"/>
          <w:szCs w:val="24"/>
        </w:rPr>
        <w:t>/</w:t>
      </w:r>
    </w:p>
    <w:p>
      <w:pPr>
        <w:pStyle w:val="Style35"/>
        <w:keepNext w:val="0"/>
        <w:keepLines w:val="0"/>
        <w:widowControl w:val="0"/>
        <w:shd w:val="clear" w:color="auto" w:fill="auto"/>
        <w:bidi w:val="0"/>
        <w:spacing w:before="0" w:after="560" w:line="240" w:lineRule="auto"/>
        <w:ind w:left="0" w:right="0" w:firstLine="140"/>
        <w:jc w:val="left"/>
      </w:pPr>
      <w:r>
        <w:rPr>
          <w:color w:val="000000"/>
          <w:spacing w:val="0"/>
          <w:w w:val="100"/>
          <w:position w:val="0"/>
        </w:rPr>
        <w:t>（减少））：</w:t>
      </w:r>
    </w:p>
    <w:tbl>
      <w:tblPr>
        <w:tblOverlap w:val="never"/>
        <w:jc w:val="center"/>
        <w:tblLayout w:type="fixed"/>
      </w:tblPr>
      <w:tblGrid>
        <w:gridCol w:w="3662"/>
        <w:gridCol w:w="3000"/>
        <w:gridCol w:w="3014"/>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840"/>
              <w:jc w:val="left"/>
              <w:rPr>
                <w:sz w:val="17"/>
                <w:szCs w:val="17"/>
              </w:rPr>
            </w:pPr>
            <w:r>
              <w:rPr>
                <w:color w:val="000000"/>
                <w:spacing w:val="0"/>
                <w:w w:val="100"/>
                <w:position w:val="0"/>
                <w:sz w:val="17"/>
                <w:szCs w:val="17"/>
              </w:rPr>
              <w:t>受影响的资产负债表项目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日余额的影响金额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母公司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-564,603,490.70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-549,637,038.99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249,867,020.22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257,636,133.40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307,194,888.39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293,996,923.67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-14,204,774.33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-16,597,682.45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151,265,755.41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140,044,676.89</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9,637,598.06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9,117,033.05</w:t>
            </w:r>
          </w:p>
        </w:tc>
      </w:tr>
    </w:tbl>
    <w:p>
      <w:pPr>
        <w:widowControl w:val="0"/>
        <w:spacing w:after="299" w:line="1" w:lineRule="exact"/>
      </w:pPr>
    </w:p>
    <w:tbl>
      <w:tblPr>
        <w:tblOverlap w:val="never"/>
        <w:jc w:val="center"/>
        <w:tblLayout w:type="fixed"/>
      </w:tblPr>
      <w:tblGrid>
        <w:gridCol w:w="3662"/>
        <w:gridCol w:w="3000"/>
        <w:gridCol w:w="301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020" w:right="0" w:firstLine="0"/>
              <w:jc w:val="left"/>
              <w:rPr>
                <w:sz w:val="17"/>
                <w:szCs w:val="17"/>
              </w:rPr>
            </w:pPr>
            <w:r>
              <w:rPr>
                <w:color w:val="000000"/>
                <w:spacing w:val="0"/>
                <w:w w:val="100"/>
                <w:position w:val="0"/>
                <w:sz w:val="17"/>
                <w:szCs w:val="17"/>
              </w:rPr>
              <w:t>受影响的利润表项目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年度发生额的影响金额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母公司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-35,235,757.02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-35,235,757.02</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-53,831,632.92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-53,831,632.92</w:t>
            </w:r>
          </w:p>
        </w:tc>
      </w:tr>
    </w:tbl>
    <w:p>
      <w:pPr>
        <w:pStyle w:val="Style26"/>
        <w:keepNext/>
        <w:keepLines/>
        <w:widowControl w:val="0"/>
        <w:shd w:val="clear" w:color="auto" w:fill="auto"/>
        <w:tabs>
          <w:tab w:pos="493" w:val="left"/>
        </w:tabs>
        <w:bidi w:val="0"/>
        <w:spacing w:before="0" w:after="360" w:line="474" w:lineRule="exact"/>
        <w:ind w:left="0" w:right="0" w:firstLine="0"/>
        <w:jc w:val="both"/>
      </w:pPr>
      <w:bookmarkStart w:id="320" w:name="bookmark320"/>
      <w:bookmarkStart w:id="321" w:name="bookmark321"/>
      <w:bookmarkStart w:id="322" w:name="bookmark322"/>
      <w:bookmarkStart w:id="323" w:name="bookmark323"/>
      <w:r>
        <w:rPr>
          <w:color w:val="000000"/>
          <w:spacing w:val="0"/>
          <w:w w:val="100"/>
          <w:position w:val="0"/>
        </w:rPr>
        <w:t>七</w:t>
      </w:r>
      <w:bookmarkEnd w:id="322"/>
      <w:r>
        <w:rPr>
          <w:color w:val="000000"/>
          <w:spacing w:val="0"/>
          <w:w w:val="100"/>
          <w:position w:val="0"/>
        </w:rPr>
        <w:t>、</w:t>
        <w:tab/>
        <w:t>与上年度财务报告相比，合并报表范围发生变化的情况说明</w:t>
      </w:r>
      <w:bookmarkEnd w:id="320"/>
      <w:bookmarkEnd w:id="321"/>
      <w:bookmarkEnd w:id="323"/>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474" w:lineRule="exact"/>
        <w:ind w:left="0" w:right="0" w:firstLine="500"/>
        <w:jc w:val="left"/>
      </w:pPr>
      <w:bookmarkStart w:id="324" w:name="bookmark324"/>
      <w:r>
        <w:rPr>
          <w:color w:val="000000"/>
          <w:spacing w:val="0"/>
          <w:w w:val="100"/>
          <w:position w:val="0"/>
          <w:sz w:val="24"/>
          <w:szCs w:val="24"/>
        </w:rPr>
        <w:t>1</w:t>
      </w:r>
      <w:bookmarkEnd w:id="324"/>
      <w:r>
        <w:rPr>
          <w:color w:val="000000"/>
          <w:spacing w:val="0"/>
          <w:w w:val="100"/>
          <w:position w:val="0"/>
        </w:rPr>
        <w:t>、</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2</w:t>
      </w:r>
      <w:r>
        <w:rPr>
          <w:color w:val="000000"/>
          <w:spacing w:val="0"/>
          <w:w w:val="100"/>
          <w:position w:val="0"/>
        </w:rPr>
        <w:t>月，公司认缴出资</w:t>
      </w:r>
      <w:r>
        <w:rPr>
          <w:color w:val="000000"/>
          <w:spacing w:val="0"/>
          <w:w w:val="100"/>
          <w:position w:val="0"/>
          <w:sz w:val="24"/>
          <w:szCs w:val="24"/>
        </w:rPr>
        <w:t>5000</w:t>
      </w:r>
      <w:r>
        <w:rPr>
          <w:color w:val="000000"/>
          <w:spacing w:val="0"/>
          <w:w w:val="100"/>
          <w:position w:val="0"/>
        </w:rPr>
        <w:t>万元人民币设立上海汇羿信息技术有限公司。设立当 年汇羿信息未实际经营。</w:t>
      </w:r>
      <w:r>
        <w:rPr>
          <w:color w:val="000000"/>
          <w:spacing w:val="0"/>
          <w:w w:val="100"/>
          <w:position w:val="0"/>
          <w:sz w:val="24"/>
          <w:szCs w:val="24"/>
        </w:rPr>
        <w:t>2020</w:t>
      </w:r>
      <w:r>
        <w:rPr>
          <w:color w:val="000000"/>
          <w:spacing w:val="0"/>
          <w:w w:val="100"/>
          <w:position w:val="0"/>
        </w:rPr>
        <w:t>年起，汇羿信息开始经营即纳入合并范围。</w:t>
      </w:r>
    </w:p>
    <w:p>
      <w:pPr>
        <w:pStyle w:val="Style35"/>
        <w:keepNext w:val="0"/>
        <w:keepLines w:val="0"/>
        <w:widowControl w:val="0"/>
        <w:shd w:val="clear" w:color="auto" w:fill="auto"/>
        <w:bidi w:val="0"/>
        <w:spacing w:before="0" w:after="440" w:line="474" w:lineRule="exact"/>
        <w:ind w:left="0" w:right="0" w:firstLine="500"/>
        <w:jc w:val="left"/>
      </w:pPr>
      <w:bookmarkStart w:id="325" w:name="bookmark325"/>
      <w:r>
        <w:rPr>
          <w:color w:val="000000"/>
          <w:spacing w:val="0"/>
          <w:w w:val="100"/>
          <w:position w:val="0"/>
          <w:sz w:val="24"/>
          <w:szCs w:val="24"/>
        </w:rPr>
        <w:t>2</w:t>
      </w:r>
      <w:bookmarkEnd w:id="325"/>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9</w:t>
      </w:r>
      <w:r>
        <w:rPr>
          <w:color w:val="000000"/>
          <w:spacing w:val="0"/>
          <w:w w:val="100"/>
          <w:position w:val="0"/>
        </w:rPr>
        <w:t>月，公司与宁波英赛企业管理咨询合伙企业（有限合伙）协议共同出资</w:t>
      </w:r>
      <w:r>
        <w:rPr>
          <w:color w:val="000000"/>
          <w:spacing w:val="0"/>
          <w:w w:val="100"/>
          <w:position w:val="0"/>
          <w:sz w:val="24"/>
          <w:szCs w:val="24"/>
        </w:rPr>
        <w:t>1000</w:t>
      </w:r>
      <w:r>
        <w:rPr>
          <w:color w:val="000000"/>
          <w:spacing w:val="0"/>
          <w:w w:val="100"/>
          <w:position w:val="0"/>
        </w:rPr>
        <w:t>万 元设立上海亿砹科技有限公司，其中公司认缴出资</w:t>
      </w:r>
      <w:r>
        <w:rPr>
          <w:color w:val="000000"/>
          <w:spacing w:val="0"/>
          <w:w w:val="100"/>
          <w:position w:val="0"/>
          <w:sz w:val="24"/>
          <w:szCs w:val="24"/>
        </w:rPr>
        <w:t>600</w:t>
      </w:r>
      <w:r>
        <w:rPr>
          <w:color w:val="000000"/>
          <w:spacing w:val="0"/>
          <w:w w:val="100"/>
          <w:position w:val="0"/>
        </w:rPr>
        <w:t>万元人民币，取得亿砹科技</w:t>
      </w:r>
      <w:r>
        <w:rPr>
          <w:color w:val="000000"/>
          <w:spacing w:val="0"/>
          <w:w w:val="100"/>
          <w:position w:val="0"/>
          <w:sz w:val="24"/>
          <w:szCs w:val="24"/>
        </w:rPr>
        <w:t>60%</w:t>
      </w:r>
      <w:r>
        <w:rPr>
          <w:color w:val="000000"/>
          <w:spacing w:val="0"/>
          <w:w w:val="100"/>
          <w:position w:val="0"/>
        </w:rPr>
        <w:t>股权， 设立当年未实际经营。</w:t>
      </w:r>
      <w:r>
        <w:rPr>
          <w:color w:val="000000"/>
          <w:spacing w:val="0"/>
          <w:w w:val="100"/>
          <w:position w:val="0"/>
          <w:sz w:val="24"/>
          <w:szCs w:val="24"/>
        </w:rPr>
        <w:t>2020</w:t>
      </w:r>
      <w:r>
        <w:rPr>
          <w:color w:val="000000"/>
          <w:spacing w:val="0"/>
          <w:w w:val="100"/>
          <w:position w:val="0"/>
        </w:rPr>
        <w:t>年起，亿砹科技开始经营即纳入合并范围。</w:t>
      </w:r>
    </w:p>
    <w:p>
      <w:pPr>
        <w:pStyle w:val="Style35"/>
        <w:keepNext w:val="0"/>
        <w:keepLines w:val="0"/>
        <w:widowControl w:val="0"/>
        <w:shd w:val="clear" w:color="auto" w:fill="auto"/>
        <w:tabs>
          <w:tab w:pos="848" w:val="left"/>
        </w:tabs>
        <w:bidi w:val="0"/>
        <w:spacing w:before="0" w:after="440" w:line="474" w:lineRule="exact"/>
        <w:ind w:left="0" w:right="0" w:firstLine="500"/>
        <w:jc w:val="left"/>
      </w:pPr>
      <w:bookmarkStart w:id="326" w:name="bookmark326"/>
      <w:r>
        <w:rPr>
          <w:color w:val="000000"/>
          <w:spacing w:val="0"/>
          <w:w w:val="100"/>
          <w:position w:val="0"/>
          <w:sz w:val="24"/>
          <w:szCs w:val="24"/>
        </w:rPr>
        <w:t>3</w:t>
      </w:r>
      <w:bookmarkEnd w:id="326"/>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月，公司与宁波协智企业管理咨询合伙企业（有限合伙）和宁波小手企业管 理咨询合伙企业（有限合伙）合计投资</w:t>
      </w:r>
      <w:r>
        <w:rPr>
          <w:color w:val="000000"/>
          <w:spacing w:val="0"/>
          <w:w w:val="100"/>
          <w:position w:val="0"/>
          <w:sz w:val="24"/>
          <w:szCs w:val="24"/>
        </w:rPr>
        <w:t>1000</w:t>
      </w:r>
      <w:r>
        <w:rPr>
          <w:color w:val="000000"/>
          <w:spacing w:val="0"/>
          <w:w w:val="100"/>
          <w:position w:val="0"/>
        </w:rPr>
        <w:t>万人民币设立合资经营企业上海甄一科技有限公 司。其中公司以一步制造云软件著作权作价出资</w:t>
      </w:r>
      <w:r>
        <w:rPr>
          <w:color w:val="000000"/>
          <w:spacing w:val="0"/>
          <w:w w:val="100"/>
          <w:position w:val="0"/>
          <w:sz w:val="24"/>
          <w:szCs w:val="24"/>
        </w:rPr>
        <w:t>484.45</w:t>
      </w:r>
      <w:r>
        <w:rPr>
          <w:color w:val="000000"/>
          <w:spacing w:val="0"/>
          <w:w w:val="100"/>
          <w:position w:val="0"/>
        </w:rPr>
        <w:t>万元，以及货币资金认缴出资</w:t>
      </w:r>
      <w:r>
        <w:rPr>
          <w:color w:val="000000"/>
          <w:spacing w:val="0"/>
          <w:w w:val="100"/>
          <w:position w:val="0"/>
          <w:sz w:val="24"/>
          <w:szCs w:val="24"/>
        </w:rPr>
        <w:t>400</w:t>
      </w:r>
      <w:r>
        <w:rPr>
          <w:color w:val="000000"/>
          <w:spacing w:val="0"/>
          <w:w w:val="100"/>
          <w:position w:val="0"/>
        </w:rPr>
        <w:t>万元, 合计出资</w:t>
      </w:r>
      <w:r>
        <w:rPr>
          <w:color w:val="000000"/>
          <w:spacing w:val="0"/>
          <w:w w:val="100"/>
          <w:position w:val="0"/>
          <w:sz w:val="24"/>
          <w:szCs w:val="24"/>
        </w:rPr>
        <w:t>884.45</w:t>
      </w:r>
      <w:r>
        <w:rPr>
          <w:color w:val="000000"/>
          <w:spacing w:val="0"/>
          <w:w w:val="100"/>
          <w:position w:val="0"/>
        </w:rPr>
        <w:t>万元认缴注册资本</w:t>
      </w:r>
      <w:r>
        <w:rPr>
          <w:color w:val="000000"/>
          <w:spacing w:val="0"/>
          <w:w w:val="100"/>
          <w:position w:val="0"/>
          <w:sz w:val="24"/>
          <w:szCs w:val="24"/>
        </w:rPr>
        <w:t>700</w:t>
      </w:r>
      <w:r>
        <w:rPr>
          <w:color w:val="000000"/>
          <w:spacing w:val="0"/>
          <w:w w:val="100"/>
          <w:position w:val="0"/>
        </w:rPr>
        <w:t>万元，占合资公司注册资本的</w:t>
      </w:r>
      <w:r>
        <w:rPr>
          <w:color w:val="000000"/>
          <w:spacing w:val="0"/>
          <w:w w:val="100"/>
          <w:position w:val="0"/>
          <w:sz w:val="24"/>
          <w:szCs w:val="24"/>
        </w:rPr>
        <w:t>70%</w:t>
      </w:r>
      <w:r>
        <w:rPr>
          <w:color w:val="000000"/>
          <w:spacing w:val="0"/>
          <w:w w:val="100"/>
          <w:position w:val="0"/>
        </w:rPr>
        <w:t>。</w:t>
      </w:r>
      <w:r>
        <w:rPr>
          <w:color w:val="000000"/>
          <w:spacing w:val="0"/>
          <w:w w:val="100"/>
          <w:position w:val="0"/>
          <w:sz w:val="24"/>
          <w:szCs w:val="24"/>
        </w:rPr>
        <w:t>2020</w:t>
      </w:r>
      <w:r>
        <w:rPr>
          <w:color w:val="000000"/>
          <w:spacing w:val="0"/>
          <w:w w:val="100"/>
          <w:position w:val="0"/>
        </w:rPr>
        <w:t>年起，甄一科 技纳入合并范围。</w:t>
      </w:r>
    </w:p>
    <w:p>
      <w:pPr>
        <w:pStyle w:val="Style35"/>
        <w:keepNext w:val="0"/>
        <w:keepLines w:val="0"/>
        <w:widowControl w:val="0"/>
        <w:shd w:val="clear" w:color="auto" w:fill="auto"/>
        <w:tabs>
          <w:tab w:pos="848" w:val="left"/>
        </w:tabs>
        <w:bidi w:val="0"/>
        <w:spacing w:before="0" w:after="540" w:line="469" w:lineRule="exact"/>
        <w:ind w:left="0" w:right="0" w:firstLine="500"/>
        <w:jc w:val="left"/>
      </w:pPr>
      <w:bookmarkStart w:id="327" w:name="bookmark327"/>
      <w:r>
        <w:rPr>
          <w:color w:val="000000"/>
          <w:spacing w:val="0"/>
          <w:w w:val="100"/>
          <w:position w:val="0"/>
          <w:sz w:val="24"/>
          <w:szCs w:val="24"/>
        </w:rPr>
        <w:t>4</w:t>
      </w:r>
      <w:bookmarkEnd w:id="327"/>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10</w:t>
      </w:r>
      <w:r>
        <w:rPr>
          <w:color w:val="000000"/>
          <w:spacing w:val="0"/>
          <w:w w:val="100"/>
          <w:position w:val="0"/>
        </w:rPr>
        <w:t>月，本公司与蕖可欣、接楠文合计投资</w:t>
      </w:r>
      <w:r>
        <w:rPr>
          <w:color w:val="000000"/>
          <w:spacing w:val="0"/>
          <w:w w:val="100"/>
          <w:position w:val="0"/>
          <w:sz w:val="24"/>
          <w:szCs w:val="24"/>
        </w:rPr>
        <w:t>2800</w:t>
      </w:r>
      <w:r>
        <w:rPr>
          <w:color w:val="000000"/>
          <w:spacing w:val="0"/>
          <w:w w:val="100"/>
          <w:position w:val="0"/>
        </w:rPr>
        <w:t>万元新台币设立合资经营企业台 湾汉得科技股份有限公司，本公司认缴比例为</w:t>
      </w:r>
      <w:r>
        <w:rPr>
          <w:color w:val="000000"/>
          <w:spacing w:val="0"/>
          <w:w w:val="100"/>
          <w:position w:val="0"/>
          <w:sz w:val="24"/>
          <w:szCs w:val="24"/>
        </w:rPr>
        <w:t>87.50%，</w:t>
      </w:r>
      <w:r>
        <w:rPr>
          <w:color w:val="000000"/>
          <w:spacing w:val="0"/>
          <w:w w:val="100"/>
          <w:position w:val="0"/>
        </w:rPr>
        <w:t>蕖可欣及接楠文分别认缴比例为</w:t>
      </w:r>
      <w:r>
        <w:rPr>
          <w:color w:val="000000"/>
          <w:spacing w:val="0"/>
          <w:w w:val="100"/>
          <w:position w:val="0"/>
          <w:sz w:val="24"/>
          <w:szCs w:val="24"/>
        </w:rPr>
        <w:t>6.25%</w:t>
      </w:r>
      <w:r>
        <w:rPr>
          <w:color w:val="000000"/>
          <w:spacing w:val="0"/>
          <w:w w:val="100"/>
          <w:position w:val="0"/>
        </w:rPr>
        <w:t>。 本年度，公司以货币资金出资认缴注册资本</w:t>
      </w:r>
      <w:r>
        <w:rPr>
          <w:color w:val="000000"/>
          <w:spacing w:val="0"/>
          <w:w w:val="100"/>
          <w:position w:val="0"/>
          <w:sz w:val="24"/>
          <w:szCs w:val="24"/>
        </w:rPr>
        <w:t>1575</w:t>
      </w:r>
      <w:r>
        <w:rPr>
          <w:color w:val="000000"/>
          <w:spacing w:val="0"/>
          <w:w w:val="100"/>
          <w:position w:val="0"/>
        </w:rPr>
        <w:t xml:space="preserve">万元新台币，占合资公司实缴注册资本的 </w:t>
      </w:r>
      <w:r>
        <w:rPr>
          <w:color w:val="000000"/>
          <w:spacing w:val="0"/>
          <w:w w:val="100"/>
          <w:position w:val="0"/>
          <w:sz w:val="24"/>
          <w:szCs w:val="24"/>
        </w:rPr>
        <w:t>87.50%</w:t>
      </w:r>
      <w:r>
        <w:rPr>
          <w:color w:val="000000"/>
          <w:spacing w:val="0"/>
          <w:w w:val="100"/>
          <w:position w:val="0"/>
        </w:rPr>
        <w:t>。</w:t>
      </w:r>
      <w:r>
        <w:rPr>
          <w:color w:val="000000"/>
          <w:spacing w:val="0"/>
          <w:w w:val="100"/>
          <w:position w:val="0"/>
          <w:sz w:val="24"/>
          <w:szCs w:val="24"/>
        </w:rPr>
        <w:t>2020</w:t>
      </w:r>
      <w:r>
        <w:rPr>
          <w:color w:val="000000"/>
          <w:spacing w:val="0"/>
          <w:w w:val="100"/>
          <w:position w:val="0"/>
        </w:rPr>
        <w:t>年起，汉得台湾纳入合并范围。</w:t>
      </w:r>
    </w:p>
    <w:p>
      <w:pPr>
        <w:pStyle w:val="Style26"/>
        <w:keepNext/>
        <w:keepLines/>
        <w:widowControl w:val="0"/>
        <w:shd w:val="clear" w:color="auto" w:fill="auto"/>
        <w:tabs>
          <w:tab w:pos="493" w:val="left"/>
        </w:tabs>
        <w:bidi w:val="0"/>
        <w:spacing w:before="0" w:after="360" w:line="474" w:lineRule="exact"/>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八</w:t>
      </w:r>
      <w:bookmarkEnd w:id="330"/>
      <w:r>
        <w:rPr>
          <w:color w:val="000000"/>
          <w:spacing w:val="0"/>
          <w:w w:val="100"/>
          <w:position w:val="0"/>
        </w:rPr>
        <w:t>、</w:t>
        <w:tab/>
        <w:t>聘任、解聘会计师事务所情况</w:t>
      </w:r>
      <w:bookmarkEnd w:id="328"/>
      <w:bookmarkEnd w:id="329"/>
      <w:bookmarkEnd w:id="331"/>
    </w:p>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林伟、戴金燕</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年、戴金燕</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r>
    </w:tbl>
    <w:p>
      <w:pPr>
        <w:pStyle w:val="Style3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是否改聘会计师事务所</w:t>
      </w:r>
    </w:p>
    <w:p>
      <w:pPr>
        <w:pStyle w:val="Style38"/>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是</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否</w:t>
      </w:r>
    </w:p>
    <w:p>
      <w:pPr>
        <w:pStyle w:val="Style3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聘请内部控制审计会计师事务所、财务顾问或保荐人情况</w:t>
      </w:r>
    </w:p>
    <w:p>
      <w:pPr>
        <w:pStyle w:val="Style38"/>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p>
      <w:pPr>
        <w:pStyle w:val="Style38"/>
        <w:keepNext w:val="0"/>
        <w:keepLines w:val="0"/>
        <w:widowControl w:val="0"/>
        <w:shd w:val="clear" w:color="auto" w:fill="auto"/>
        <w:bidi w:val="0"/>
        <w:spacing w:before="0" w:after="140" w:line="240" w:lineRule="auto"/>
        <w:ind w:left="0" w:right="0" w:firstLine="0"/>
        <w:jc w:val="left"/>
        <w:rPr>
          <w:sz w:val="22"/>
          <w:szCs w:val="22"/>
        </w:rPr>
      </w:pPr>
      <w:r>
        <w:rPr>
          <w:b w:val="0"/>
          <w:bCs w:val="0"/>
          <w:color w:val="000000"/>
          <w:spacing w:val="0"/>
          <w:w w:val="100"/>
          <w:position w:val="0"/>
          <w:sz w:val="22"/>
          <w:szCs w:val="22"/>
        </w:rPr>
        <w:t>本年度，公司因向不特定对象发行可转换公司债券事项，聘请国泰君安证券为保荐机构</w:t>
      </w:r>
    </w:p>
    <w:p>
      <w:pPr>
        <w:pStyle w:val="Style35"/>
        <w:keepNext w:val="0"/>
        <w:keepLines w:val="0"/>
        <w:widowControl w:val="0"/>
        <w:shd w:val="clear" w:color="auto" w:fill="auto"/>
        <w:bidi w:val="0"/>
        <w:spacing w:before="0" w:after="460" w:line="471" w:lineRule="exact"/>
        <w:ind w:left="0" w:right="0" w:firstLine="0"/>
        <w:jc w:val="left"/>
        <w:rPr>
          <w:sz w:val="24"/>
          <w:szCs w:val="24"/>
        </w:rPr>
      </w:pPr>
      <w:r>
        <w:rPr>
          <w:color w:val="000000"/>
          <w:spacing w:val="0"/>
          <w:w w:val="100"/>
          <w:position w:val="0"/>
          <w:sz w:val="22"/>
          <w:szCs w:val="22"/>
        </w:rPr>
        <w:t>及承销商，因可转债发行事项需支付</w:t>
      </w:r>
      <w:r>
        <w:rPr>
          <w:color w:val="000000"/>
          <w:spacing w:val="0"/>
          <w:w w:val="100"/>
          <w:position w:val="0"/>
          <w:sz w:val="24"/>
          <w:szCs w:val="24"/>
        </w:rPr>
        <w:t>9,371,50</w:t>
      </w:r>
      <w:r>
        <w:rPr>
          <w:color w:val="000000"/>
          <w:spacing w:val="0"/>
          <w:w w:val="100"/>
          <w:position w:val="0"/>
          <w:sz w:val="22"/>
          <w:szCs w:val="22"/>
        </w:rPr>
        <w:t>。元，</w:t>
      </w:r>
      <w:r>
        <w:rPr>
          <w:color w:val="000000"/>
          <w:spacing w:val="0"/>
          <w:w w:val="100"/>
          <w:position w:val="0"/>
          <w:sz w:val="24"/>
          <w:szCs w:val="24"/>
        </w:rPr>
        <w:t>202</w:t>
      </w:r>
      <w:r>
        <w:rPr>
          <w:color w:val="000000"/>
          <w:spacing w:val="0"/>
          <w:w w:val="100"/>
          <w:position w:val="0"/>
          <w:sz w:val="22"/>
          <w:szCs w:val="22"/>
        </w:rPr>
        <w:t>。年度已使用募集资金支付</w:t>
      </w:r>
      <w:r>
        <w:rPr>
          <w:color w:val="000000"/>
          <w:spacing w:val="0"/>
          <w:w w:val="100"/>
          <w:position w:val="0"/>
          <w:sz w:val="24"/>
          <w:szCs w:val="24"/>
        </w:rPr>
        <w:t>9,371,500</w:t>
      </w:r>
    </w:p>
    <w:p>
      <w:pPr>
        <w:pStyle w:val="Style26"/>
        <w:keepNext/>
        <w:keepLines/>
        <w:widowControl w:val="0"/>
        <w:shd w:val="clear" w:color="auto" w:fill="auto"/>
        <w:bidi w:val="0"/>
        <w:spacing w:before="0" w:after="360" w:line="471" w:lineRule="exact"/>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九</w:t>
      </w:r>
      <w:bookmarkEnd w:id="334"/>
      <w:r>
        <w:rPr>
          <w:color w:val="000000"/>
          <w:spacing w:val="0"/>
          <w:w w:val="100"/>
          <w:position w:val="0"/>
        </w:rPr>
        <w:t>、年度报告披露后面临退市情况</w:t>
      </w:r>
      <w:bookmarkEnd w:id="332"/>
      <w:bookmarkEnd w:id="333"/>
      <w:bookmarkEnd w:id="335"/>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471" w:lineRule="exact"/>
        <w:ind w:left="0" w:right="0" w:firstLine="0"/>
        <w:jc w:val="left"/>
      </w:pPr>
      <w:bookmarkStart w:id="336" w:name="bookmark336"/>
      <w:bookmarkStart w:id="337" w:name="bookmark337"/>
      <w:bookmarkStart w:id="338" w:name="bookmark338"/>
      <w:r>
        <w:rPr>
          <w:color w:val="000000"/>
          <w:spacing w:val="0"/>
          <w:w w:val="100"/>
          <w:position w:val="0"/>
        </w:rPr>
        <w:t>十、破产重整相关事项</w:t>
      </w:r>
      <w:bookmarkEnd w:id="336"/>
      <w:bookmarkEnd w:id="337"/>
      <w:bookmarkEnd w:id="338"/>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471" w:lineRule="exact"/>
        <w:ind w:left="0" w:right="0" w:firstLine="0"/>
        <w:jc w:val="left"/>
      </w:pPr>
      <w:bookmarkStart w:id="339" w:name="bookmark339"/>
      <w:bookmarkStart w:id="340" w:name="bookmark340"/>
      <w:bookmarkStart w:id="341" w:name="bookmark341"/>
      <w:r>
        <w:rPr>
          <w:color w:val="000000"/>
          <w:spacing w:val="0"/>
          <w:w w:val="100"/>
          <w:position w:val="0"/>
        </w:rPr>
        <w:t>十一、重大诉讼、仲裁事项</w:t>
      </w:r>
      <w:bookmarkEnd w:id="339"/>
      <w:bookmarkEnd w:id="340"/>
      <w:bookmarkEnd w:id="341"/>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after="360" w:line="471" w:lineRule="exact"/>
        <w:ind w:left="0" w:right="0" w:firstLine="0"/>
        <w:jc w:val="left"/>
      </w:pPr>
      <w:bookmarkStart w:id="342" w:name="bookmark342"/>
      <w:bookmarkStart w:id="343" w:name="bookmark343"/>
      <w:bookmarkStart w:id="344" w:name="bookmark344"/>
      <w:r>
        <w:rPr>
          <w:color w:val="000000"/>
          <w:spacing w:val="0"/>
          <w:w w:val="100"/>
          <w:position w:val="0"/>
        </w:rPr>
        <w:t>十二、处罚及整改情况</w:t>
      </w:r>
      <w:bookmarkEnd w:id="342"/>
      <w:bookmarkEnd w:id="343"/>
      <w:bookmarkEnd w:id="344"/>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471" w:lineRule="exact"/>
        <w:ind w:left="0" w:right="0" w:firstLine="0"/>
        <w:jc w:val="left"/>
      </w:pPr>
      <w:bookmarkStart w:id="345" w:name="bookmark345"/>
      <w:bookmarkStart w:id="346" w:name="bookmark346"/>
      <w:bookmarkStart w:id="347" w:name="bookmark347"/>
      <w:r>
        <w:rPr>
          <w:color w:val="000000"/>
          <w:spacing w:val="0"/>
          <w:w w:val="100"/>
          <w:position w:val="0"/>
        </w:rPr>
        <w:t>十三、公司及其控股股东、实际控制人的诚信状况</w:t>
      </w:r>
      <w:bookmarkEnd w:id="345"/>
      <w:bookmarkEnd w:id="346"/>
      <w:bookmarkEnd w:id="347"/>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471" w:lineRule="exact"/>
        <w:ind w:left="0" w:right="0" w:firstLine="0"/>
        <w:jc w:val="left"/>
      </w:pPr>
      <w:bookmarkStart w:id="348" w:name="bookmark348"/>
      <w:bookmarkStart w:id="349" w:name="bookmark349"/>
      <w:bookmarkStart w:id="350" w:name="bookmark350"/>
      <w:r>
        <w:rPr>
          <w:color w:val="000000"/>
          <w:spacing w:val="0"/>
          <w:w w:val="100"/>
          <w:position w:val="0"/>
        </w:rPr>
        <w:t>十四、公司股权激励计划、员工持股计划或其他员工激励措施的实施情况</w:t>
      </w:r>
      <w:bookmarkEnd w:id="348"/>
      <w:bookmarkEnd w:id="349"/>
      <w:bookmarkEnd w:id="350"/>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480" w:lineRule="exact"/>
        <w:ind w:left="0" w:right="0" w:firstLine="480"/>
        <w:jc w:val="both"/>
      </w:pPr>
      <w:bookmarkStart w:id="351" w:name="bookmark351"/>
      <w:r>
        <w:rPr>
          <w:color w:val="000000"/>
          <w:spacing w:val="0"/>
          <w:w w:val="100"/>
          <w:position w:val="0"/>
        </w:rPr>
        <w:t>一</w:t>
      </w:r>
      <w:bookmarkEnd w:id="351"/>
      <w:r>
        <w:rPr>
          <w:color w:val="000000"/>
          <w:spacing w:val="0"/>
          <w:w w:val="100"/>
          <w:position w:val="0"/>
        </w:rPr>
        <w:t>、报告期内，公司办理了</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2018</w:t>
      </w:r>
      <w:r>
        <w:rPr>
          <w:color w:val="000000"/>
          <w:spacing w:val="0"/>
          <w:w w:val="100"/>
          <w:position w:val="0"/>
        </w:rPr>
        <w:t>年股权激励计划部分限制性股票的回购注销手 续，具体情况如下：</w:t>
      </w:r>
    </w:p>
    <w:p>
      <w:pPr>
        <w:pStyle w:val="Style35"/>
        <w:keepNext w:val="0"/>
        <w:keepLines w:val="0"/>
        <w:widowControl w:val="0"/>
        <w:shd w:val="clear" w:color="auto" w:fill="auto"/>
        <w:bidi w:val="0"/>
        <w:spacing w:before="0" w:after="260" w:line="471" w:lineRule="exact"/>
        <w:ind w:left="0" w:right="0" w:firstLine="48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9</w:t>
      </w:r>
      <w:r>
        <w:rPr>
          <w:color w:val="000000"/>
          <w:spacing w:val="0"/>
          <w:w w:val="100"/>
          <w:position w:val="0"/>
        </w:rPr>
        <w:t>日，公司召开第四届董事会第十次（临时）会议、第四届监事会第十次（临 时）会议审议通过了《关于回购注销</w:t>
      </w:r>
      <w:r>
        <w:rPr>
          <w:color w:val="000000"/>
          <w:spacing w:val="0"/>
          <w:w w:val="100"/>
          <w:position w:val="0"/>
          <w:sz w:val="24"/>
          <w:szCs w:val="24"/>
        </w:rPr>
        <w:t>2017</w:t>
      </w:r>
      <w:r>
        <w:rPr>
          <w:color w:val="000000"/>
          <w:spacing w:val="0"/>
          <w:w w:val="100"/>
          <w:position w:val="0"/>
        </w:rPr>
        <w:t>年股权激励计划部分限制性股票的议案》。鉴于黄 卉等共计</w:t>
      </w:r>
      <w:r>
        <w:rPr>
          <w:color w:val="000000"/>
          <w:spacing w:val="0"/>
          <w:w w:val="100"/>
          <w:position w:val="0"/>
          <w:sz w:val="24"/>
          <w:szCs w:val="24"/>
        </w:rPr>
        <w:t>73</w:t>
      </w:r>
      <w:r>
        <w:rPr>
          <w:color w:val="000000"/>
          <w:spacing w:val="0"/>
          <w:w w:val="100"/>
          <w:position w:val="0"/>
        </w:rPr>
        <w:t>名员工已离职，决定回购注销</w:t>
      </w:r>
      <w:r>
        <w:rPr>
          <w:color w:val="000000"/>
          <w:spacing w:val="0"/>
          <w:w w:val="100"/>
          <w:position w:val="0"/>
          <w:sz w:val="24"/>
          <w:szCs w:val="24"/>
        </w:rPr>
        <w:t>73</w:t>
      </w:r>
      <w:r>
        <w:rPr>
          <w:color w:val="000000"/>
          <w:spacing w:val="0"/>
          <w:w w:val="100"/>
          <w:position w:val="0"/>
        </w:rPr>
        <w:t xml:space="preserve">名离职激励对象持有的已获授但尚未解锁的 </w:t>
      </w:r>
      <w:r>
        <w:rPr>
          <w:color w:val="000000"/>
          <w:spacing w:val="0"/>
          <w:w w:val="100"/>
          <w:position w:val="0"/>
          <w:sz w:val="24"/>
          <w:szCs w:val="24"/>
        </w:rPr>
        <w:t>1,760,500</w:t>
      </w:r>
      <w:r>
        <w:rPr>
          <w:color w:val="000000"/>
          <w:spacing w:val="0"/>
          <w:w w:val="100"/>
          <w:position w:val="0"/>
        </w:rPr>
        <w:t>股限制性股票。同时，因公司</w:t>
      </w:r>
      <w:r>
        <w:rPr>
          <w:color w:val="000000"/>
          <w:spacing w:val="0"/>
          <w:w w:val="100"/>
          <w:position w:val="0"/>
          <w:sz w:val="24"/>
          <w:szCs w:val="24"/>
        </w:rPr>
        <w:t>2019</w:t>
      </w:r>
      <w:r>
        <w:rPr>
          <w:color w:val="000000"/>
          <w:spacing w:val="0"/>
          <w:w w:val="100"/>
          <w:position w:val="0"/>
        </w:rPr>
        <w:t>年度业绩未达《</w:t>
      </w:r>
      <w:r>
        <w:rPr>
          <w:color w:val="000000"/>
          <w:spacing w:val="0"/>
          <w:w w:val="100"/>
          <w:position w:val="0"/>
          <w:sz w:val="24"/>
          <w:szCs w:val="24"/>
        </w:rPr>
        <w:t>2017</w:t>
      </w:r>
      <w:r>
        <w:rPr>
          <w:color w:val="000000"/>
          <w:spacing w:val="0"/>
          <w:w w:val="100"/>
          <w:position w:val="0"/>
        </w:rPr>
        <w:t>年激励计划》规定的第二个 解锁期的解锁条件，公司同意并回购注销第二个解锁期所涉及的</w:t>
      </w:r>
      <w:r>
        <w:rPr>
          <w:color w:val="000000"/>
          <w:spacing w:val="0"/>
          <w:w w:val="100"/>
          <w:position w:val="0"/>
          <w:sz w:val="24"/>
          <w:szCs w:val="24"/>
        </w:rPr>
        <w:t>440</w:t>
      </w:r>
      <w:r>
        <w:rPr>
          <w:color w:val="000000"/>
          <w:spacing w:val="0"/>
          <w:w w:val="100"/>
          <w:position w:val="0"/>
        </w:rPr>
        <w:t xml:space="preserve">名激励对象已授予份额 </w:t>
      </w:r>
      <w:r>
        <w:rPr>
          <w:color w:val="000000"/>
          <w:spacing w:val="0"/>
          <w:w w:val="100"/>
          <w:position w:val="0"/>
          <w:sz w:val="24"/>
          <w:szCs w:val="24"/>
        </w:rPr>
        <w:t>30%</w:t>
      </w:r>
      <w:r>
        <w:rPr>
          <w:color w:val="000000"/>
          <w:spacing w:val="0"/>
          <w:w w:val="100"/>
          <w:position w:val="0"/>
        </w:rPr>
        <w:t>的未满足解除限售条件的</w:t>
      </w:r>
      <w:r>
        <w:rPr>
          <w:color w:val="000000"/>
          <w:spacing w:val="0"/>
          <w:w w:val="100"/>
          <w:position w:val="0"/>
          <w:sz w:val="24"/>
          <w:szCs w:val="24"/>
        </w:rPr>
        <w:t>4,515,000</w:t>
      </w:r>
      <w:r>
        <w:rPr>
          <w:color w:val="000000"/>
          <w:spacing w:val="0"/>
          <w:w w:val="100"/>
          <w:position w:val="0"/>
        </w:rPr>
        <w:t>股限制性股票。本次回购注销股份数量占公司当时总 股本的</w:t>
      </w:r>
      <w:r>
        <w:rPr>
          <w:color w:val="000000"/>
          <w:spacing w:val="0"/>
          <w:w w:val="100"/>
          <w:position w:val="0"/>
          <w:sz w:val="24"/>
          <w:szCs w:val="24"/>
        </w:rPr>
        <w:t>0.71%</w:t>
      </w:r>
      <w:r>
        <w:rPr>
          <w:color w:val="000000"/>
          <w:spacing w:val="0"/>
          <w:w w:val="100"/>
          <w:position w:val="0"/>
        </w:rPr>
        <w:t>。详情参见</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9</w:t>
      </w:r>
      <w:r>
        <w:rPr>
          <w:color w:val="000000"/>
          <w:spacing w:val="0"/>
          <w:w w:val="100"/>
          <w:position w:val="0"/>
        </w:rPr>
        <w:t>日披露于巨潮资讯网</w:t>
      </w:r>
      <w:r>
        <w:rPr>
          <w:color w:val="000000"/>
          <w:spacing w:val="0"/>
          <w:w w:val="100"/>
          <w:position w:val="0"/>
          <w:sz w:val="24"/>
          <w:szCs w:val="24"/>
        </w:rPr>
        <w:t>（</w:t>
      </w:r>
      <w:r>
        <w:rPr>
          <w:color w:val="000000"/>
          <w:spacing w:val="0"/>
          <w:w w:val="100"/>
          <w:position w:val="0"/>
          <w:sz w:val="24"/>
          <w:szCs w:val="24"/>
        </w:rPr>
        <w:t>http://www.cninfo.com.cn</w:t>
      </w:r>
      <w:r>
        <w:rPr>
          <w:color w:val="000000"/>
          <w:spacing w:val="0"/>
          <w:w w:val="100"/>
          <w:position w:val="0"/>
        </w:rPr>
        <w:t>）之</w:t>
      </w:r>
      <w:r>
        <w:rPr>
          <w:color w:val="000000"/>
          <w:spacing w:val="0"/>
          <w:w w:val="100"/>
          <w:position w:val="0"/>
        </w:rPr>
        <w:t xml:space="preserve"> 相关公告。</w:t>
      </w:r>
    </w:p>
    <w:p>
      <w:pPr>
        <w:pStyle w:val="Style35"/>
        <w:keepNext w:val="0"/>
        <w:keepLines w:val="0"/>
        <w:widowControl w:val="0"/>
        <w:shd w:val="clear" w:color="auto" w:fill="auto"/>
        <w:bidi w:val="0"/>
        <w:spacing w:before="0" w:after="300" w:line="471" w:lineRule="exact"/>
        <w:ind w:left="0" w:right="0" w:firstLine="48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9</w:t>
      </w:r>
      <w:r>
        <w:rPr>
          <w:color w:val="000000"/>
          <w:spacing w:val="0"/>
          <w:w w:val="100"/>
          <w:position w:val="0"/>
        </w:rPr>
        <w:t>日，公司召开第四届董事会第十次（临时）会议、第四届监事会第十次（临 时）会议审议通过了《关于回购注销</w:t>
      </w:r>
      <w:r>
        <w:rPr>
          <w:color w:val="000000"/>
          <w:spacing w:val="0"/>
          <w:w w:val="100"/>
          <w:position w:val="0"/>
          <w:sz w:val="24"/>
          <w:szCs w:val="24"/>
        </w:rPr>
        <w:t>2018</w:t>
      </w:r>
      <w:r>
        <w:rPr>
          <w:color w:val="000000"/>
          <w:spacing w:val="0"/>
          <w:w w:val="100"/>
          <w:position w:val="0"/>
        </w:rPr>
        <w:t>年股权激励计划部分限制性股票的议案》。鉴于胡 金呈等共计</w:t>
      </w:r>
      <w:r>
        <w:rPr>
          <w:color w:val="000000"/>
          <w:spacing w:val="0"/>
          <w:w w:val="100"/>
          <w:position w:val="0"/>
          <w:sz w:val="24"/>
          <w:szCs w:val="24"/>
        </w:rPr>
        <w:t>71</w:t>
      </w:r>
      <w:r>
        <w:rPr>
          <w:color w:val="000000"/>
          <w:spacing w:val="0"/>
          <w:w w:val="100"/>
          <w:position w:val="0"/>
        </w:rPr>
        <w:t>名员工已离职，决定回购注销</w:t>
      </w:r>
      <w:r>
        <w:rPr>
          <w:color w:val="000000"/>
          <w:spacing w:val="0"/>
          <w:w w:val="100"/>
          <w:position w:val="0"/>
          <w:sz w:val="24"/>
          <w:szCs w:val="24"/>
        </w:rPr>
        <w:t>71</w:t>
      </w:r>
      <w:r>
        <w:rPr>
          <w:color w:val="000000"/>
          <w:spacing w:val="0"/>
          <w:w w:val="100"/>
          <w:position w:val="0"/>
        </w:rPr>
        <w:t xml:space="preserve">名离职激励对象持有的已获授但尚未解锁的 </w:t>
      </w:r>
      <w:r>
        <w:rPr>
          <w:color w:val="000000"/>
          <w:spacing w:val="0"/>
          <w:w w:val="100"/>
          <w:position w:val="0"/>
          <w:sz w:val="24"/>
          <w:szCs w:val="24"/>
        </w:rPr>
        <w:t>2,270,000</w:t>
      </w:r>
      <w:r>
        <w:rPr>
          <w:color w:val="000000"/>
          <w:spacing w:val="0"/>
          <w:w w:val="100"/>
          <w:position w:val="0"/>
        </w:rPr>
        <w:t>股限制性股票。同时，因公司</w:t>
      </w:r>
      <w:r>
        <w:rPr>
          <w:color w:val="000000"/>
          <w:spacing w:val="0"/>
          <w:w w:val="100"/>
          <w:position w:val="0"/>
          <w:sz w:val="24"/>
          <w:szCs w:val="24"/>
        </w:rPr>
        <w:t>2019</w:t>
      </w:r>
      <w:r>
        <w:rPr>
          <w:color w:val="000000"/>
          <w:spacing w:val="0"/>
          <w:w w:val="100"/>
          <w:position w:val="0"/>
        </w:rPr>
        <w:t>年度业绩未达到《</w:t>
      </w:r>
      <w:r>
        <w:rPr>
          <w:color w:val="000000"/>
          <w:spacing w:val="0"/>
          <w:w w:val="100"/>
          <w:position w:val="0"/>
          <w:sz w:val="24"/>
          <w:szCs w:val="24"/>
        </w:rPr>
        <w:t>2018</w:t>
      </w:r>
      <w:r>
        <w:rPr>
          <w:color w:val="000000"/>
          <w:spacing w:val="0"/>
          <w:w w:val="100"/>
          <w:position w:val="0"/>
        </w:rPr>
        <w:t>年激励计划》规定的第一 个解锁期的解锁条件，公司同意并回购注销第一个解锁期所涉及的</w:t>
      </w:r>
      <w:r>
        <w:rPr>
          <w:color w:val="000000"/>
          <w:spacing w:val="0"/>
          <w:w w:val="100"/>
          <w:position w:val="0"/>
          <w:sz w:val="24"/>
          <w:szCs w:val="24"/>
        </w:rPr>
        <w:t>409</w:t>
      </w:r>
      <w:r>
        <w:rPr>
          <w:color w:val="000000"/>
          <w:spacing w:val="0"/>
          <w:w w:val="100"/>
          <w:position w:val="0"/>
        </w:rPr>
        <w:t xml:space="preserve">名激励对象已授予份额 </w:t>
      </w:r>
      <w:r>
        <w:rPr>
          <w:color w:val="000000"/>
          <w:spacing w:val="0"/>
          <w:w w:val="100"/>
          <w:position w:val="0"/>
          <w:sz w:val="24"/>
          <w:szCs w:val="24"/>
        </w:rPr>
        <w:t>30%</w:t>
      </w:r>
      <w:r>
        <w:rPr>
          <w:color w:val="000000"/>
          <w:spacing w:val="0"/>
          <w:w w:val="100"/>
          <w:position w:val="0"/>
        </w:rPr>
        <w:t>的未满足解除限售条件的</w:t>
      </w:r>
      <w:r>
        <w:rPr>
          <w:color w:val="000000"/>
          <w:spacing w:val="0"/>
          <w:w w:val="100"/>
          <w:position w:val="0"/>
          <w:sz w:val="24"/>
          <w:szCs w:val="24"/>
        </w:rPr>
        <w:t>3,695,400</w:t>
      </w:r>
      <w:r>
        <w:rPr>
          <w:color w:val="000000"/>
          <w:spacing w:val="0"/>
          <w:w w:val="100"/>
          <w:position w:val="0"/>
        </w:rPr>
        <w:t>股限制性股票。本次回购注销股份数量占公司当时总 股本的</w:t>
      </w:r>
      <w:r>
        <w:rPr>
          <w:color w:val="000000"/>
          <w:spacing w:val="0"/>
          <w:w w:val="100"/>
          <w:position w:val="0"/>
          <w:sz w:val="24"/>
          <w:szCs w:val="24"/>
        </w:rPr>
        <w:t>0.67%</w:t>
      </w:r>
      <w:r>
        <w:rPr>
          <w:color w:val="000000"/>
          <w:spacing w:val="0"/>
          <w:w w:val="100"/>
          <w:position w:val="0"/>
        </w:rPr>
        <w:t>。详情参见</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9</w:t>
      </w:r>
      <w:r>
        <w:rPr>
          <w:color w:val="000000"/>
          <w:spacing w:val="0"/>
          <w:w w:val="100"/>
          <w:position w:val="0"/>
        </w:rPr>
        <w:t>日披露于巨潮资讯网</w:t>
      </w:r>
      <w:r>
        <w:rPr>
          <w:color w:val="000000"/>
          <w:spacing w:val="0"/>
          <w:w w:val="100"/>
          <w:position w:val="0"/>
          <w:sz w:val="24"/>
          <w:szCs w:val="24"/>
        </w:rPr>
        <w:t>（</w:t>
      </w:r>
      <w:r>
        <w:rPr>
          <w:color w:val="000000"/>
          <w:spacing w:val="0"/>
          <w:w w:val="100"/>
          <w:position w:val="0"/>
          <w:sz w:val="24"/>
          <w:szCs w:val="24"/>
        </w:rPr>
        <w:t>http://www.cninfo.com.cn</w:t>
      </w:r>
      <w:r>
        <w:rPr>
          <w:color w:val="000000"/>
          <w:spacing w:val="0"/>
          <w:w w:val="100"/>
          <w:position w:val="0"/>
        </w:rPr>
        <w:t>）之</w:t>
      </w:r>
      <w:r>
        <w:rPr>
          <w:color w:val="000000"/>
          <w:spacing w:val="0"/>
          <w:w w:val="100"/>
          <w:position w:val="0"/>
        </w:rPr>
        <w:t xml:space="preserve"> 相关公告。</w:t>
      </w:r>
    </w:p>
    <w:p>
      <w:pPr>
        <w:pStyle w:val="Style35"/>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公司需遵守《深圳证券交易所行业信息披露指引第</w:t>
      </w:r>
      <w:r>
        <w:rPr>
          <w:color w:val="000000"/>
          <w:spacing w:val="0"/>
          <w:w w:val="100"/>
          <w:position w:val="0"/>
          <w:sz w:val="24"/>
          <w:szCs w:val="24"/>
        </w:rPr>
        <w:t>12</w:t>
      </w:r>
      <w:r>
        <w:rPr>
          <w:color w:val="000000"/>
          <w:spacing w:val="0"/>
          <w:w w:val="100"/>
          <w:position w:val="0"/>
        </w:rPr>
        <w:t>号一一上市公司从事软件与信息技 术服务业务》的披露要求</w:t>
      </w:r>
    </w:p>
    <w:p>
      <w:pPr>
        <w:pStyle w:val="Style35"/>
        <w:keepNext w:val="0"/>
        <w:keepLines w:val="0"/>
        <w:widowControl w:val="0"/>
        <w:shd w:val="clear" w:color="auto" w:fill="auto"/>
        <w:bidi w:val="0"/>
        <w:spacing w:before="0" w:after="540" w:line="469" w:lineRule="exact"/>
        <w:ind w:left="0" w:right="0" w:firstLine="480"/>
        <w:jc w:val="left"/>
      </w:pPr>
      <w:r>
        <w:rPr>
          <w:color w:val="000000"/>
          <w:spacing w:val="0"/>
          <w:w w:val="100"/>
          <w:position w:val="0"/>
        </w:rPr>
        <w:t>本报告期计提股权激励费用</w:t>
      </w:r>
      <w:r>
        <w:rPr>
          <w:color w:val="000000"/>
          <w:spacing w:val="0"/>
          <w:w w:val="100"/>
          <w:position w:val="0"/>
          <w:sz w:val="24"/>
          <w:szCs w:val="24"/>
        </w:rPr>
        <w:t>-</w:t>
      </w:r>
      <w:r>
        <w:rPr>
          <w:color w:val="000000"/>
          <w:spacing w:val="0"/>
          <w:w w:val="100"/>
          <w:position w:val="0"/>
          <w:sz w:val="24"/>
          <w:szCs w:val="24"/>
        </w:rPr>
        <w:t>4,741,056.97</w:t>
      </w:r>
      <w:r>
        <w:rPr>
          <w:color w:val="000000"/>
          <w:spacing w:val="0"/>
          <w:w w:val="100"/>
          <w:position w:val="0"/>
        </w:rPr>
        <w:t>元，剔除股权激励费用后归属于上市公司股东 的净利润</w:t>
      </w:r>
      <w:r>
        <w:rPr>
          <w:color w:val="000000"/>
          <w:spacing w:val="0"/>
          <w:w w:val="100"/>
          <w:position w:val="0"/>
          <w:sz w:val="24"/>
          <w:szCs w:val="24"/>
        </w:rPr>
        <w:t>60,968,431.71</w:t>
      </w:r>
      <w:r>
        <w:rPr>
          <w:color w:val="000000"/>
          <w:spacing w:val="0"/>
          <w:w w:val="100"/>
          <w:position w:val="0"/>
        </w:rPr>
        <w:t>元，股权激励费用占剔除股权激励费用后归属于上市公司股东的净利 润的</w:t>
      </w:r>
      <w:r>
        <w:rPr>
          <w:color w:val="000000"/>
          <w:spacing w:val="0"/>
          <w:w w:val="100"/>
          <w:position w:val="0"/>
          <w:sz w:val="24"/>
          <w:szCs w:val="24"/>
        </w:rPr>
        <w:t>-7.78%</w:t>
      </w:r>
      <w:r>
        <w:rPr>
          <w:color w:val="000000"/>
          <w:spacing w:val="0"/>
          <w:w w:val="100"/>
          <w:position w:val="0"/>
        </w:rPr>
        <w:t>。其中，核心技术人员股权激励费用为</w:t>
      </w:r>
      <w:r>
        <w:rPr>
          <w:color w:val="000000"/>
          <w:spacing w:val="0"/>
          <w:w w:val="100"/>
          <w:position w:val="0"/>
          <w:sz w:val="24"/>
          <w:szCs w:val="24"/>
        </w:rPr>
        <w:t>-2,683,780.83</w:t>
      </w:r>
      <w:r>
        <w:rPr>
          <w:color w:val="000000"/>
          <w:spacing w:val="0"/>
          <w:w w:val="100"/>
          <w:position w:val="0"/>
        </w:rPr>
        <w:t xml:space="preserve">元，占股权激励总费用的 </w:t>
      </w:r>
      <w:r>
        <w:rPr>
          <w:color w:val="000000"/>
          <w:spacing w:val="0"/>
          <w:w w:val="100"/>
          <w:position w:val="0"/>
          <w:sz w:val="24"/>
          <w:szCs w:val="24"/>
        </w:rPr>
        <w:t>56.61%</w:t>
      </w:r>
      <w:r>
        <w:rPr>
          <w:color w:val="000000"/>
          <w:spacing w:val="0"/>
          <w:w w:val="100"/>
          <w:position w:val="0"/>
        </w:rPr>
        <w:t>。</w:t>
      </w:r>
    </w:p>
    <w:p>
      <w:pPr>
        <w:pStyle w:val="Style26"/>
        <w:keepNext/>
        <w:keepLines/>
        <w:widowControl w:val="0"/>
        <w:shd w:val="clear" w:color="auto" w:fill="auto"/>
        <w:bidi w:val="0"/>
        <w:spacing w:before="0" w:after="360" w:line="471" w:lineRule="exact"/>
        <w:ind w:left="0" w:right="0" w:firstLine="0"/>
        <w:jc w:val="left"/>
      </w:pPr>
      <w:bookmarkStart w:id="352" w:name="bookmark352"/>
      <w:bookmarkStart w:id="353" w:name="bookmark353"/>
      <w:bookmarkStart w:id="354" w:name="bookmark354"/>
      <w:r>
        <w:rPr>
          <w:color w:val="000000"/>
          <w:spacing w:val="0"/>
          <w:w w:val="100"/>
          <w:position w:val="0"/>
        </w:rPr>
        <w:t>十五、重大关联交易</w:t>
      </w:r>
      <w:bookmarkEnd w:id="352"/>
      <w:bookmarkEnd w:id="353"/>
      <w:bookmarkEnd w:id="354"/>
    </w:p>
    <w:p>
      <w:pPr>
        <w:pStyle w:val="Style38"/>
        <w:keepNext w:val="0"/>
        <w:keepLines w:val="0"/>
        <w:widowControl w:val="0"/>
        <w:shd w:val="clear" w:color="auto" w:fill="auto"/>
        <w:bidi w:val="0"/>
        <w:spacing w:before="0" w:after="0" w:line="240" w:lineRule="auto"/>
        <w:ind w:left="0" w:right="0" w:firstLine="0"/>
        <w:jc w:val="left"/>
      </w:pPr>
      <w:bookmarkStart w:id="355" w:name="bookmark355"/>
      <w:r>
        <w:rPr>
          <w:rFonts w:ascii="Times New Roman" w:eastAsia="Times New Roman" w:hAnsi="Times New Roman" w:cs="Times New Roman"/>
          <w:color w:val="000000"/>
          <w:spacing w:val="0"/>
          <w:w w:val="100"/>
          <w:position w:val="0"/>
        </w:rPr>
        <w:t>1</w:t>
      </w:r>
      <w:r>
        <w:rPr>
          <w:color w:val="000000"/>
          <w:spacing w:val="0"/>
          <w:w w:val="100"/>
          <w:position w:val="0"/>
        </w:rPr>
        <w:t>、与日常经营相关的关联交易</w:t>
      </w:r>
      <w:bookmarkEnd w:id="355"/>
    </w:p>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关联交易</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关联交 易金额</w:t>
            </w:r>
          </w:p>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获批的 交易额 度（万</w:t>
            </w:r>
          </w:p>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是否超 过获批 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披露索 引</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向关联 人采购 产品、 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采购软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按市场 公允价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定期结</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向关联 人采购 产品、 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采购软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按市场 公允价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定期结</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向关联 人采购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采购软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按市场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定期结</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产品、 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向关联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按市场</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定期结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人提供</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术服务</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公允价</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向关联</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按市场</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定期结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人提供</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公允价</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167.78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术服务</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向关联</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按市场</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定期结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人提供</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公允价</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789.44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劳务</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术服务</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590"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接受关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联人提</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接受服</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按市场</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公允价</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定期结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供的劳</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接受关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联人提</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接受服</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按市场</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公允价</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定期结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供的劳</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关联法</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联人提</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接受服</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公允价</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定期结</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供的劳</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向关联 人销售</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按市场</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公允价</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定期结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产品、 商品</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件</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向关联 人销售</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按市场</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公允价</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定期结</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302.16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产品、</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件</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委托关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联人销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按市场</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定期结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售产 品、商</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售软件</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公允价</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接受关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联人委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代售软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按市场</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定期结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托代为</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件</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公允价</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销售其</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66"/>
        <w:gridCol w:w="677"/>
        <w:gridCol w:w="677"/>
        <w:gridCol w:w="672"/>
        <w:gridCol w:w="677"/>
        <w:gridCol w:w="672"/>
        <w:gridCol w:w="677"/>
        <w:gridCol w:w="672"/>
        <w:gridCol w:w="672"/>
        <w:gridCol w:w="672"/>
        <w:gridCol w:w="653"/>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日，公司第四届董事会第十七次（临时）会议审议通过《关于增加</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年度日常关联交易预计的议案》，预计公司及子公司与关联方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年发生总金额 不超过</w:t>
            </w:r>
            <w:r>
              <w:rPr>
                <w:rFonts w:ascii="Times New Roman" w:eastAsia="Times New Roman" w:hAnsi="Times New Roman" w:cs="Times New Roman"/>
                <w:color w:val="000000"/>
                <w:spacing w:val="0"/>
                <w:w w:val="100"/>
                <w:position w:val="0"/>
                <w:sz w:val="18"/>
                <w:szCs w:val="18"/>
              </w:rPr>
              <w:t>21,700</w:t>
            </w:r>
            <w:r>
              <w:rPr>
                <w:color w:val="000000"/>
                <w:spacing w:val="0"/>
                <w:w w:val="100"/>
                <w:position w:val="0"/>
                <w:sz w:val="17"/>
                <w:szCs w:val="17"/>
              </w:rPr>
              <w:t>万元的日常关联交易。报告期内，实际发生的日常关联交易总金额未 超过预计总额度。</w:t>
            </w:r>
          </w:p>
        </w:tc>
      </w:tr>
      <w:tr>
        <w:trPr>
          <w:trHeight w:val="80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资产或股权收购、出售发生的关联交易</w:t>
      </w:r>
      <w:bookmarkEnd w:id="356"/>
      <w:bookmarkEnd w:id="357"/>
      <w:bookmarkEnd w:id="35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共同对外投资的关联交易</w:t>
      </w:r>
      <w:bookmarkEnd w:id="360"/>
      <w:bookmarkEnd w:id="361"/>
      <w:bookmarkEnd w:id="36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4</w:t>
      </w:r>
      <w:bookmarkEnd w:id="366"/>
      <w:r>
        <w:rPr>
          <w:color w:val="000000"/>
          <w:spacing w:val="0"/>
          <w:w w:val="100"/>
          <w:position w:val="0"/>
        </w:rPr>
        <w:t>、</w:t>
        <w:tab/>
        <w:t>关联债权债务往来</w:t>
      </w:r>
      <w:bookmarkEnd w:id="364"/>
      <w:bookmarkEnd w:id="365"/>
      <w:bookmarkEnd w:id="36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5</w:t>
      </w:r>
      <w:bookmarkEnd w:id="370"/>
      <w:r>
        <w:rPr>
          <w:color w:val="000000"/>
          <w:spacing w:val="0"/>
          <w:w w:val="100"/>
          <w:position w:val="0"/>
        </w:rPr>
        <w:t>、</w:t>
        <w:tab/>
        <w:t>其他重大关联交易</w:t>
      </w:r>
      <w:bookmarkEnd w:id="368"/>
      <w:bookmarkEnd w:id="369"/>
      <w:bookmarkEnd w:id="371"/>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466" w:lineRule="exact"/>
        <w:ind w:left="0" w:right="0" w:firstLine="500"/>
        <w:jc w:val="both"/>
      </w:pPr>
      <w:bookmarkStart w:id="372" w:name="bookmark372"/>
      <w:r>
        <w:rPr>
          <w:color w:val="000000"/>
          <w:spacing w:val="0"/>
          <w:w w:val="100"/>
          <w:position w:val="0"/>
          <w:sz w:val="24"/>
          <w:szCs w:val="24"/>
        </w:rPr>
        <w:t>1</w:t>
      </w:r>
      <w:bookmarkEnd w:id="372"/>
      <w:r>
        <w:rPr>
          <w:color w:val="000000"/>
          <w:spacing w:val="0"/>
          <w:w w:val="100"/>
          <w:position w:val="0"/>
        </w:rPr>
        <w:t>、</w:t>
      </w:r>
      <w:r>
        <w:rPr>
          <w:color w:val="000000"/>
          <w:spacing w:val="0"/>
          <w:w w:val="100"/>
          <w:position w:val="0"/>
          <w:sz w:val="24"/>
          <w:szCs w:val="24"/>
        </w:rPr>
        <w:t>202</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10</w:t>
      </w:r>
      <w:r>
        <w:rPr>
          <w:color w:val="000000"/>
          <w:spacing w:val="0"/>
          <w:w w:val="100"/>
          <w:position w:val="0"/>
        </w:rPr>
        <w:t xml:space="preserve">日召开的第四届董事会第六次（临时）会议审议通过了《关于参股子公 司上海甄汇信息科技有限公司股权转让及增资扩股暨关联交易的议案》，并且该议案由公司 </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26</w:t>
      </w:r>
      <w:r>
        <w:rPr>
          <w:color w:val="000000"/>
          <w:spacing w:val="0"/>
          <w:w w:val="100"/>
          <w:position w:val="0"/>
        </w:rPr>
        <w:t>日召开的</w:t>
      </w:r>
      <w:r>
        <w:rPr>
          <w:color w:val="000000"/>
          <w:spacing w:val="0"/>
          <w:w w:val="100"/>
          <w:position w:val="0"/>
          <w:sz w:val="24"/>
          <w:szCs w:val="24"/>
        </w:rPr>
        <w:t>2020</w:t>
      </w:r>
      <w:r>
        <w:rPr>
          <w:color w:val="000000"/>
          <w:spacing w:val="0"/>
          <w:w w:val="100"/>
          <w:position w:val="0"/>
        </w:rPr>
        <w:t>年第二次临时股东大会审议通过。</w:t>
      </w:r>
    </w:p>
    <w:p>
      <w:pPr>
        <w:pStyle w:val="Style35"/>
        <w:keepNext w:val="0"/>
        <w:keepLines w:val="0"/>
        <w:widowControl w:val="0"/>
        <w:shd w:val="clear" w:color="auto" w:fill="auto"/>
        <w:bidi w:val="0"/>
        <w:spacing w:before="0" w:after="300" w:line="466" w:lineRule="exact"/>
        <w:ind w:left="0" w:right="0" w:firstLine="500"/>
        <w:jc w:val="both"/>
      </w:pPr>
      <w:r>
        <w:rPr>
          <w:color w:val="000000"/>
          <w:spacing w:val="0"/>
          <w:w w:val="100"/>
          <w:position w:val="0"/>
        </w:rPr>
        <w:t xml:space="preserve">上海甄汇信息科技有限公司（以下简称“甄汇科技”或“标的公司”）现有股东汉得信 息、宁波软银稳定成长投资合伙企业（有限合伙）（以下简称“软银成长”）、上海众数联颂 创业投资合伙企业（有限合伙）（以下简称“众数投资”）、陈迪清、范建震、上海蓝三木 月投资中心（有限合伙）（以下简称“蓝湖资本”）、上海得泛企业管理咨询合伙企业（有 限合伙）（以下简称“上海得泛”）、上海众麟投资中心（有限合伙）（以下简称“众麟投 资”）、庄为群、上海汇宣企业管理咨询合伙企业（有限合伙）（以下简称“上海汇宣”） </w:t>
      </w:r>
      <w:r>
        <w:rPr>
          <w:color w:val="000000"/>
          <w:spacing w:val="0"/>
          <w:w w:val="100"/>
          <w:position w:val="0"/>
        </w:rPr>
        <w:t>及新增股东天津华兴丰茂科技发展合伙企业（有限合伙）（以下简称“华兴”）、</w:t>
      </w:r>
      <w:r>
        <w:rPr>
          <w:color w:val="000000"/>
          <w:spacing w:val="0"/>
          <w:w w:val="100"/>
          <w:position w:val="0"/>
          <w:sz w:val="24"/>
          <w:szCs w:val="24"/>
        </w:rPr>
        <w:t xml:space="preserve">Blue Lake Investment （HK） Limited </w:t>
      </w:r>
      <w:r>
        <w:rPr>
          <w:color w:val="000000"/>
          <w:spacing w:val="0"/>
          <w:w w:val="100"/>
          <w:position w:val="0"/>
        </w:rPr>
        <w:t>（以下简称</w:t>
      </w:r>
      <w:r>
        <w:rPr>
          <w:color w:val="000000"/>
          <w:spacing w:val="0"/>
          <w:w w:val="100"/>
          <w:position w:val="0"/>
          <w:sz w:val="24"/>
          <w:szCs w:val="24"/>
        </w:rPr>
        <w:t>“Blue Lake”</w:t>
      </w:r>
      <w:r>
        <w:rPr>
          <w:color w:val="000000"/>
          <w:spacing w:val="0"/>
          <w:w w:val="100"/>
          <w:position w:val="0"/>
        </w:rPr>
        <w:t>，与蓝湖资本合称“蓝湖”</w:t>
      </w:r>
      <w:r>
        <w:rPr>
          <w:color w:val="000000"/>
          <w:spacing w:val="0"/>
          <w:w w:val="100"/>
          <w:position w:val="0"/>
          <w:sz w:val="24"/>
          <w:szCs w:val="24"/>
        </w:rPr>
        <w:t>）</w:t>
      </w:r>
      <w:r>
        <w:rPr>
          <w:color w:val="000000"/>
          <w:spacing w:val="0"/>
          <w:w w:val="100"/>
          <w:position w:val="0"/>
        </w:rPr>
        <w:t>、倪纳达 成如下协议：张长征、范建震及陈迪清设立上海常甄企业管理咨询合伙企业（有限合伙）（以 下简称“常甄”），范建震、陈迪清已将其持有的标的公司全部股权以及相应的权利义务转 让给常甄；庄为群将其持有的标的公司全部股权以及相应的权利义务全部转让给倪纳；华兴 以人民币</w:t>
      </w:r>
      <w:r>
        <w:rPr>
          <w:color w:val="000000"/>
          <w:spacing w:val="0"/>
          <w:w w:val="100"/>
          <w:position w:val="0"/>
          <w:sz w:val="24"/>
          <w:szCs w:val="24"/>
        </w:rPr>
        <w:t>1,499.99</w:t>
      </w:r>
      <w:r>
        <w:rPr>
          <w:color w:val="000000"/>
          <w:spacing w:val="0"/>
          <w:w w:val="100"/>
          <w:position w:val="0"/>
        </w:rPr>
        <w:t>万元的对价购买众麟投资持有的标的公司人民币</w:t>
      </w:r>
      <w:r>
        <w:rPr>
          <w:color w:val="000000"/>
          <w:spacing w:val="0"/>
          <w:w w:val="100"/>
          <w:position w:val="0"/>
          <w:sz w:val="24"/>
          <w:szCs w:val="24"/>
        </w:rPr>
        <w:t>10.0285</w:t>
      </w:r>
      <w:r>
        <w:rPr>
          <w:color w:val="000000"/>
          <w:spacing w:val="0"/>
          <w:w w:val="100"/>
          <w:position w:val="0"/>
        </w:rPr>
        <w:t>万元的注册资本； 华兴、软银成长、众数投资、常甄、上海得泛以人民币</w:t>
      </w:r>
      <w:r>
        <w:rPr>
          <w:color w:val="000000"/>
          <w:spacing w:val="0"/>
          <w:w w:val="100"/>
          <w:position w:val="0"/>
          <w:sz w:val="24"/>
          <w:szCs w:val="24"/>
        </w:rPr>
        <w:t>21,685.83</w:t>
      </w:r>
      <w:r>
        <w:rPr>
          <w:color w:val="000000"/>
          <w:spacing w:val="0"/>
          <w:w w:val="100"/>
          <w:position w:val="0"/>
        </w:rPr>
        <w:t>万元的认购价款，认购标的 公司人民币</w:t>
      </w:r>
      <w:r>
        <w:rPr>
          <w:color w:val="000000"/>
          <w:spacing w:val="0"/>
          <w:w w:val="100"/>
          <w:position w:val="0"/>
          <w:sz w:val="24"/>
          <w:szCs w:val="24"/>
        </w:rPr>
        <w:t>144.9853</w:t>
      </w:r>
      <w:r>
        <w:rPr>
          <w:color w:val="000000"/>
          <w:spacing w:val="0"/>
          <w:w w:val="100"/>
          <w:position w:val="0"/>
        </w:rPr>
        <w:t>万元的新增注册资本；</w:t>
      </w:r>
      <w:r>
        <w:rPr>
          <w:color w:val="000000"/>
          <w:spacing w:val="0"/>
          <w:w w:val="100"/>
          <w:position w:val="0"/>
          <w:sz w:val="24"/>
          <w:szCs w:val="24"/>
        </w:rPr>
        <w:t>Blue Lake</w:t>
      </w:r>
      <w:r>
        <w:rPr>
          <w:color w:val="000000"/>
          <w:spacing w:val="0"/>
          <w:w w:val="100"/>
          <w:position w:val="0"/>
        </w:rPr>
        <w:t>以</w:t>
      </w:r>
      <w:r>
        <w:rPr>
          <w:color w:val="000000"/>
          <w:spacing w:val="0"/>
          <w:w w:val="100"/>
          <w:position w:val="0"/>
          <w:sz w:val="24"/>
          <w:szCs w:val="24"/>
        </w:rPr>
        <w:t>1,200</w:t>
      </w:r>
      <w:r>
        <w:rPr>
          <w:color w:val="000000"/>
          <w:spacing w:val="0"/>
          <w:w w:val="100"/>
          <w:position w:val="0"/>
        </w:rPr>
        <w:t xml:space="preserve">万美元的认购价款，基于 </w:t>
      </w:r>
      <w:r>
        <w:rPr>
          <w:color w:val="000000"/>
          <w:spacing w:val="0"/>
          <w:w w:val="100"/>
          <w:position w:val="0"/>
          <w:sz w:val="24"/>
          <w:szCs w:val="24"/>
        </w:rPr>
        <w:t>149.5725</w:t>
      </w:r>
      <w:r>
        <w:rPr>
          <w:color w:val="000000"/>
          <w:spacing w:val="0"/>
          <w:w w:val="100"/>
          <w:position w:val="0"/>
        </w:rPr>
        <w:t>元人民币的投资单位价格认购标的公司的新增注册资本；自美元交割日起，各方同 意上海汇宣应以零对价认购对应美元交割日后</w:t>
      </w:r>
      <w:r>
        <w:rPr>
          <w:color w:val="000000"/>
          <w:spacing w:val="0"/>
          <w:w w:val="100"/>
          <w:position w:val="0"/>
          <w:sz w:val="24"/>
          <w:szCs w:val="24"/>
        </w:rPr>
        <w:t>5%</w:t>
      </w:r>
      <w:r>
        <w:rPr>
          <w:color w:val="000000"/>
          <w:spacing w:val="0"/>
          <w:w w:val="100"/>
          <w:position w:val="0"/>
        </w:rPr>
        <w:t xml:space="preserve">公司股权的公司新增注册资本，因此包括 </w:t>
      </w:r>
      <w:r>
        <w:rPr>
          <w:color w:val="000000"/>
          <w:spacing w:val="0"/>
          <w:w w:val="100"/>
          <w:position w:val="0"/>
          <w:sz w:val="24"/>
          <w:szCs w:val="24"/>
        </w:rPr>
        <w:t>Blue Lak e</w:t>
      </w:r>
      <w:r>
        <w:rPr>
          <w:color w:val="000000"/>
          <w:spacing w:val="0"/>
          <w:w w:val="100"/>
          <w:position w:val="0"/>
        </w:rPr>
        <w:t>在内的公司各股东的股权比例将等比例的被稀释</w:t>
      </w:r>
      <w:r>
        <w:rPr>
          <w:color w:val="000000"/>
          <w:spacing w:val="0"/>
          <w:w w:val="100"/>
          <w:position w:val="0"/>
          <w:sz w:val="24"/>
          <w:szCs w:val="24"/>
        </w:rPr>
        <w:t>5%</w:t>
      </w:r>
      <w:r>
        <w:rPr>
          <w:color w:val="000000"/>
          <w:spacing w:val="0"/>
          <w:w w:val="100"/>
          <w:position w:val="0"/>
        </w:rPr>
        <w:t>。</w:t>
      </w:r>
    </w:p>
    <w:p>
      <w:pPr>
        <w:pStyle w:val="Style35"/>
        <w:keepNext w:val="0"/>
        <w:keepLines w:val="0"/>
        <w:widowControl w:val="0"/>
        <w:shd w:val="clear" w:color="auto" w:fill="auto"/>
        <w:bidi w:val="0"/>
        <w:spacing w:before="0" w:after="0" w:line="468" w:lineRule="exact"/>
        <w:ind w:left="0" w:right="0" w:firstLine="500"/>
        <w:jc w:val="both"/>
      </w:pPr>
      <w:bookmarkStart w:id="373" w:name="bookmark373"/>
      <w:r>
        <w:rPr>
          <w:color w:val="000000"/>
          <w:spacing w:val="0"/>
          <w:w w:val="100"/>
          <w:position w:val="0"/>
          <w:sz w:val="24"/>
          <w:szCs w:val="24"/>
        </w:rPr>
        <w:t>2</w:t>
      </w:r>
      <w:bookmarkEnd w:id="373"/>
      <w:r>
        <w:rPr>
          <w:color w:val="000000"/>
          <w:spacing w:val="0"/>
          <w:w w:val="100"/>
          <w:position w:val="0"/>
        </w:rPr>
        <w:t>、</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15</w:t>
      </w:r>
      <w:r>
        <w:rPr>
          <w:color w:val="000000"/>
          <w:spacing w:val="0"/>
          <w:w w:val="100"/>
          <w:position w:val="0"/>
        </w:rPr>
        <w:t>日召开的第四届董事会第十四次（临时）会议审议通过了《关于放弃参 股公司甄云信息科技有限公司增资优先认购权暨关联交易的议案》，并且该议案由公司</w:t>
      </w:r>
      <w:r>
        <w:rPr>
          <w:color w:val="000000"/>
          <w:spacing w:val="0"/>
          <w:w w:val="100"/>
          <w:position w:val="0"/>
          <w:sz w:val="24"/>
          <w:szCs w:val="24"/>
        </w:rPr>
        <w:t xml:space="preserve">2020 </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w:t>
      </w:r>
      <w:r>
        <w:rPr>
          <w:color w:val="000000"/>
          <w:spacing w:val="0"/>
          <w:w w:val="100"/>
          <w:position w:val="0"/>
        </w:rPr>
        <w:t>日召开的</w:t>
      </w:r>
      <w:r>
        <w:rPr>
          <w:color w:val="000000"/>
          <w:spacing w:val="0"/>
          <w:w w:val="100"/>
          <w:position w:val="0"/>
          <w:sz w:val="24"/>
          <w:szCs w:val="24"/>
        </w:rPr>
        <w:t>2020</w:t>
      </w:r>
      <w:r>
        <w:rPr>
          <w:color w:val="000000"/>
          <w:spacing w:val="0"/>
          <w:w w:val="100"/>
          <w:position w:val="0"/>
        </w:rPr>
        <w:t>年第六次临时股东大会审议通过。</w:t>
      </w:r>
    </w:p>
    <w:p>
      <w:pPr>
        <w:pStyle w:val="Style35"/>
        <w:keepNext w:val="0"/>
        <w:keepLines w:val="0"/>
        <w:widowControl w:val="0"/>
        <w:shd w:val="clear" w:color="auto" w:fill="auto"/>
        <w:bidi w:val="0"/>
        <w:spacing w:before="0" w:after="160" w:line="468" w:lineRule="exact"/>
        <w:ind w:left="0" w:right="0" w:firstLine="500"/>
        <w:jc w:val="both"/>
      </w:pPr>
      <w:r>
        <w:rPr>
          <w:color w:val="000000"/>
          <w:spacing w:val="0"/>
          <w:w w:val="100"/>
          <w:position w:val="0"/>
        </w:rPr>
        <w:t xml:space="preserve">上海甄云信息科技有限公司（以下简称“甄云信息”或“标的公司”）由成都天府蓝三 木月创业投资中心（有限合伙）（以下简称“蓝湖资本”）、苏州市德同合心创业投资合资 企业（有限合伙）（以下简称“德同”）、上海众数联颂创业投资合伙企业（有限合伙）（以 下简称“众数投资”）、太仓市钟鼎六号股权投资合伙企业（有限合伙）（以下简称“钟鼎 股权”）、太仓市钟鼎六号青蓝股权投资合伙企业（有限合伙）（以下简称“钟鼎青蓝”） 共同出资人民币 </w:t>
      </w:r>
      <w:r>
        <w:rPr>
          <w:color w:val="000000"/>
          <w:spacing w:val="0"/>
          <w:w w:val="100"/>
          <w:position w:val="0"/>
          <w:sz w:val="24"/>
          <w:szCs w:val="24"/>
        </w:rPr>
        <w:t>142,000,000</w:t>
      </w:r>
      <w:r>
        <w:rPr>
          <w:color w:val="000000"/>
          <w:spacing w:val="0"/>
          <w:w w:val="100"/>
          <w:position w:val="0"/>
        </w:rPr>
        <w:t>元进行增资扩股，由</w:t>
      </w:r>
      <w:r>
        <w:rPr>
          <w:color w:val="000000"/>
          <w:spacing w:val="0"/>
          <w:w w:val="100"/>
          <w:position w:val="0"/>
          <w:sz w:val="24"/>
          <w:szCs w:val="24"/>
        </w:rPr>
        <w:t>Blue Lake Investment （HK） Limited</w:t>
      </w:r>
      <w:r>
        <w:rPr>
          <w:color w:val="000000"/>
          <w:spacing w:val="0"/>
          <w:w w:val="100"/>
          <w:position w:val="0"/>
        </w:rPr>
        <w:t>、</w:t>
      </w:r>
      <w:r>
        <w:rPr>
          <w:color w:val="000000"/>
          <w:spacing w:val="0"/>
          <w:w w:val="100"/>
          <w:position w:val="0"/>
          <w:sz w:val="24"/>
          <w:szCs w:val="24"/>
        </w:rPr>
        <w:t xml:space="preserve">Blue Lake Capital III Investment （HK） Limited </w:t>
      </w:r>
      <w:r>
        <w:rPr>
          <w:color w:val="000000"/>
          <w:spacing w:val="0"/>
          <w:w w:val="100"/>
          <w:position w:val="0"/>
        </w:rPr>
        <w:t>（与</w:t>
      </w:r>
      <w:r>
        <w:rPr>
          <w:color w:val="000000"/>
          <w:spacing w:val="0"/>
          <w:w w:val="100"/>
          <w:position w:val="0"/>
          <w:sz w:val="24"/>
          <w:szCs w:val="24"/>
        </w:rPr>
        <w:t>Blue Lake Investment （HK） Limited</w:t>
      </w:r>
      <w:r>
        <w:rPr>
          <w:color w:val="000000"/>
          <w:spacing w:val="0"/>
          <w:w w:val="100"/>
          <w:position w:val="0"/>
        </w:rPr>
        <w:t xml:space="preserve">合称 </w:t>
      </w:r>
      <w:r>
        <w:rPr>
          <w:color w:val="000000"/>
          <w:spacing w:val="0"/>
          <w:w w:val="100"/>
          <w:position w:val="0"/>
          <w:sz w:val="24"/>
          <w:szCs w:val="24"/>
        </w:rPr>
        <w:t>“BlueLake"）</w:t>
      </w:r>
      <w:r>
        <w:rPr>
          <w:color w:val="000000"/>
          <w:spacing w:val="0"/>
          <w:w w:val="100"/>
          <w:position w:val="0"/>
        </w:rPr>
        <w:t>、</w:t>
      </w:r>
      <w:r>
        <w:rPr>
          <w:color w:val="000000"/>
          <w:spacing w:val="0"/>
          <w:w w:val="100"/>
          <w:position w:val="0"/>
          <w:sz w:val="24"/>
          <w:szCs w:val="24"/>
        </w:rPr>
        <w:t>ACE Redpoint Ventures China II, L.P. &gt; ACE Redpoint Associates China II, L.P.</w:t>
      </w:r>
      <w:r>
        <w:rPr>
          <w:color w:val="000000"/>
          <w:spacing w:val="0"/>
          <w:w w:val="100"/>
          <w:position w:val="0"/>
        </w:rPr>
        <w:t>（与</w:t>
      </w:r>
      <w:r>
        <w:rPr>
          <w:color w:val="000000"/>
          <w:spacing w:val="0"/>
          <w:w w:val="100"/>
          <w:position w:val="0"/>
          <w:sz w:val="24"/>
          <w:szCs w:val="24"/>
        </w:rPr>
        <w:t>ACE Redpoint Ventures China II, L.P.</w:t>
      </w:r>
      <w:r>
        <w:rPr>
          <w:color w:val="000000"/>
          <w:spacing w:val="0"/>
          <w:w w:val="100"/>
          <w:position w:val="0"/>
        </w:rPr>
        <w:t>合称“红点”，红点与</w:t>
      </w:r>
      <w:r>
        <w:rPr>
          <w:color w:val="000000"/>
          <w:spacing w:val="0"/>
          <w:w w:val="100"/>
          <w:position w:val="0"/>
          <w:sz w:val="24"/>
          <w:szCs w:val="24"/>
        </w:rPr>
        <w:t xml:space="preserve">Blue Lake </w:t>
      </w:r>
      <w:r>
        <w:rPr>
          <w:color w:val="000000"/>
          <w:spacing w:val="0"/>
          <w:w w:val="100"/>
          <w:position w:val="0"/>
        </w:rPr>
        <w:t>合称“外资投资人”）共同出资</w:t>
      </w:r>
      <w:r>
        <w:rPr>
          <w:color w:val="000000"/>
          <w:spacing w:val="0"/>
          <w:w w:val="100"/>
          <w:position w:val="0"/>
          <w:sz w:val="24"/>
          <w:szCs w:val="24"/>
        </w:rPr>
        <w:t>23,000,000</w:t>
      </w:r>
      <w:r>
        <w:rPr>
          <w:color w:val="000000"/>
          <w:spacing w:val="0"/>
          <w:w w:val="100"/>
          <w:position w:val="0"/>
        </w:rPr>
        <w:t>美元进行增资扩股。并且公司与宁波得厚领峰企 业管理咨询合伙企业（有限合伙）（以下简称“得厚领峰”）、江苏京东邦能投资管理有限 公司（以下简称“京东投资”）放弃其根据法律法规、公司章程的规定就本次投资事宜所享 有的优先认购权。本次甄云信息增资扩股前，公司持有甄云信息</w:t>
      </w:r>
      <w:r>
        <w:rPr>
          <w:color w:val="000000"/>
          <w:spacing w:val="0"/>
          <w:w w:val="100"/>
          <w:position w:val="0"/>
          <w:sz w:val="24"/>
          <w:szCs w:val="24"/>
        </w:rPr>
        <w:t>37.5%</w:t>
      </w:r>
      <w:r>
        <w:rPr>
          <w:color w:val="000000"/>
          <w:spacing w:val="0"/>
          <w:w w:val="100"/>
          <w:position w:val="0"/>
        </w:rPr>
        <w:t>股权。公司放弃对甄云 信息本次增资扩股的优先认购权，增资扩股交割完成后，公司持有的甄云信息股权将下降至</w:t>
      </w: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27.91%</w:t>
      </w:r>
      <w:r>
        <w:rPr>
          <w:color w:val="000000"/>
          <w:spacing w:val="0"/>
          <w:w w:val="100"/>
          <w:position w:val="0"/>
        </w:rPr>
        <w:t>。</w:t>
      </w:r>
    </w:p>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关于参股子公司上海甄汇信息科技有限公 司股权转让及增资扩股暨关联交易的进展 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www.cninfo.c</w:t>
            </w: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2020-082</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关于放弃参股公司上海甄云信息科技有限 公司增资优先认购权暨关联交易的进展公 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www.cninfo.c</w:t>
            </w: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2020-127</w:t>
            </w:r>
          </w:p>
        </w:tc>
      </w:tr>
    </w:tbl>
    <w:p>
      <w:pPr>
        <w:widowControl w:val="0"/>
        <w:spacing w:after="379" w:line="1" w:lineRule="exact"/>
      </w:pPr>
    </w:p>
    <w:p>
      <w:pPr>
        <w:pStyle w:val="Style26"/>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r>
        <w:rPr>
          <w:color w:val="000000"/>
          <w:spacing w:val="0"/>
          <w:w w:val="100"/>
          <w:position w:val="0"/>
        </w:rPr>
        <w:t>十六、重大合同及其履行情况</w:t>
      </w:r>
      <w:bookmarkEnd w:id="374"/>
      <w:bookmarkEnd w:id="375"/>
      <w:bookmarkEnd w:id="376"/>
    </w:p>
    <w:p>
      <w:pPr>
        <w:pStyle w:val="Style32"/>
        <w:keepNext/>
        <w:keepLines/>
        <w:widowControl w:val="0"/>
        <w:shd w:val="clear" w:color="auto" w:fill="auto"/>
        <w:tabs>
          <w:tab w:pos="368" w:val="left"/>
        </w:tabs>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w:t>
        <w:tab/>
        <w:t>托管、承包、租赁事项情况</w:t>
      </w:r>
      <w:bookmarkEnd w:id="377"/>
      <w:bookmarkEnd w:id="378"/>
      <w:bookmarkEnd w:id="380"/>
    </w:p>
    <w:p>
      <w:pPr>
        <w:pStyle w:val="Style41"/>
        <w:keepNext/>
        <w:keepLines/>
        <w:widowControl w:val="0"/>
        <w:shd w:val="clear" w:color="auto" w:fill="auto"/>
        <w:tabs>
          <w:tab w:pos="493" w:val="left"/>
        </w:tabs>
        <w:bidi w:val="0"/>
        <w:spacing w:before="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1"/>
      <w:bookmarkEnd w:id="382"/>
      <w:bookmarkEnd w:id="38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5"/>
      <w:bookmarkEnd w:id="386"/>
      <w:bookmarkEnd w:id="38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9"/>
      <w:bookmarkEnd w:id="390"/>
      <w:bookmarkEnd w:id="39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重大担保</w:t>
      </w:r>
      <w:bookmarkEnd w:id="393"/>
      <w:bookmarkEnd w:id="394"/>
      <w:bookmarkEnd w:id="39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3</w:t>
      </w:r>
      <w:bookmarkEnd w:id="399"/>
      <w:r>
        <w:rPr>
          <w:color w:val="000000"/>
          <w:spacing w:val="0"/>
          <w:w w:val="100"/>
          <w:position w:val="0"/>
        </w:rPr>
        <w:t>、</w:t>
        <w:tab/>
        <w:t>日常经营重大合同</w:t>
      </w:r>
      <w:bookmarkEnd w:id="397"/>
      <w:bookmarkEnd w:id="398"/>
      <w:bookmarkEnd w:id="40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4</w:t>
      </w:r>
      <w:bookmarkEnd w:id="403"/>
      <w:r>
        <w:rPr>
          <w:color w:val="000000"/>
          <w:spacing w:val="0"/>
          <w:w w:val="100"/>
          <w:position w:val="0"/>
        </w:rPr>
        <w:t>、</w:t>
        <w:tab/>
        <w:t>委托他人进行现金资产管理情况</w:t>
      </w:r>
      <w:bookmarkEnd w:id="401"/>
      <w:bookmarkEnd w:id="402"/>
      <w:bookmarkEnd w:id="404"/>
    </w:p>
    <w:p>
      <w:pPr>
        <w:pStyle w:val="Style41"/>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5"/>
      <w:bookmarkEnd w:id="406"/>
      <w:bookmarkEnd w:id="40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报告期内委托理财概况</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单项金额重大或安全性较低、流动性较差、不保本的高风险委托理财具体情况</w:t>
      </w:r>
    </w:p>
    <w:p>
      <w:pPr>
        <w:pStyle w:val="Style38"/>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适用</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不适用</w:t>
      </w:r>
    </w:p>
    <w:p>
      <w:pPr>
        <w:pStyle w:val="Style3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委托理财出现预期无法收回本金或存在其他可能导致减值的情形</w:t>
      </w:r>
    </w:p>
    <w:p>
      <w:pPr>
        <w:pStyle w:val="Style38"/>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适用</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不适用</w:t>
      </w:r>
    </w:p>
    <w:p>
      <w:pPr>
        <w:widowControl w:val="0"/>
        <w:spacing w:after="379" w:line="1" w:lineRule="exact"/>
      </w:pPr>
    </w:p>
    <w:p>
      <w:pPr>
        <w:pStyle w:val="Style41"/>
        <w:keepNext/>
        <w:keepLines/>
        <w:widowControl w:val="0"/>
        <w:numPr>
          <w:ilvl w:val="0"/>
          <w:numId w:val="5"/>
        </w:numPr>
        <w:shd w:val="clear" w:color="auto" w:fill="auto"/>
        <w:bidi w:val="0"/>
        <w:spacing w:before="0" w:line="240" w:lineRule="auto"/>
        <w:ind w:left="0" w:right="0" w:firstLine="0"/>
        <w:jc w:val="left"/>
      </w:pPr>
      <w:bookmarkStart w:id="409" w:name="bookmark409"/>
      <w:bookmarkStart w:id="410" w:name="bookmark410"/>
      <w:bookmarkStart w:id="411" w:name="bookmark411"/>
      <w:bookmarkStart w:id="412" w:name="bookmark412"/>
      <w:bookmarkEnd w:id="411"/>
      <w:r>
        <w:rPr>
          <w:color w:val="000000"/>
          <w:spacing w:val="0"/>
          <w:w w:val="100"/>
          <w:position w:val="0"/>
        </w:rPr>
        <w:t>委托贷款情况</w:t>
      </w:r>
      <w:bookmarkEnd w:id="409"/>
      <w:bookmarkEnd w:id="410"/>
      <w:bookmarkEnd w:id="41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5</w:t>
      </w:r>
      <w:bookmarkEnd w:id="415"/>
      <w:r>
        <w:rPr>
          <w:color w:val="000000"/>
          <w:spacing w:val="0"/>
          <w:w w:val="100"/>
          <w:position w:val="0"/>
        </w:rPr>
        <w:t>、其他重大合同</w:t>
      </w:r>
      <w:bookmarkEnd w:id="413"/>
      <w:bookmarkEnd w:id="414"/>
      <w:bookmarkEnd w:id="41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line="467" w:lineRule="exact"/>
        <w:ind w:left="0" w:right="0" w:firstLine="0"/>
        <w:jc w:val="left"/>
      </w:pPr>
      <w:bookmarkStart w:id="417" w:name="bookmark417"/>
      <w:bookmarkStart w:id="418" w:name="bookmark418"/>
      <w:bookmarkStart w:id="419" w:name="bookmark419"/>
      <w:r>
        <w:rPr>
          <w:color w:val="000000"/>
          <w:spacing w:val="0"/>
          <w:w w:val="100"/>
          <w:position w:val="0"/>
        </w:rPr>
        <w:t>十七、社会责任情况</w:t>
      </w:r>
      <w:bookmarkEnd w:id="417"/>
      <w:bookmarkEnd w:id="418"/>
      <w:bookmarkEnd w:id="419"/>
    </w:p>
    <w:p>
      <w:pPr>
        <w:pStyle w:val="Style32"/>
        <w:keepNext/>
        <w:keepLines/>
        <w:widowControl w:val="0"/>
        <w:shd w:val="clear" w:color="auto" w:fill="auto"/>
        <w:bidi w:val="0"/>
        <w:spacing w:before="0" w:after="22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1</w:t>
      </w:r>
      <w:bookmarkEnd w:id="422"/>
      <w:r>
        <w:rPr>
          <w:color w:val="000000"/>
          <w:spacing w:val="0"/>
          <w:w w:val="100"/>
          <w:position w:val="0"/>
        </w:rPr>
        <w:t>、履行社会责任情况</w:t>
      </w:r>
      <w:bookmarkEnd w:id="420"/>
      <w:bookmarkEnd w:id="421"/>
      <w:bookmarkEnd w:id="423"/>
    </w:p>
    <w:p>
      <w:pPr>
        <w:pStyle w:val="Style35"/>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公司的发展离不开社会的支持，回报社会是公司的责任和使命。公司在追求经济效益、 不断为股东创造价值的同时，积极维护职工的合法权益，诚信对待客户。</w:t>
      </w:r>
    </w:p>
    <w:p>
      <w:pPr>
        <w:pStyle w:val="Style35"/>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公司严格按照《公司法》、《深圳证券交易所创业板股票上市规则》、《上市公司信息 披露管理办法》等相关法律法规的要求，及时、准确、真实、完整地进行信息披露，秉承着 公平、公正、公开的原则对待全体投资者，维护广大投资者的利益。通过投资者电话、电子 邮箱、公司网站和投资者关系互动平台等多种方式与投资者进行沟通交流，提高了公司的透 明度和诚信度。同时，公司严格按照《公司章程》的规定和要求，规范股东大会的召集、召 开及表决程序，通过现场、网络等合法有效的方式，让更多的股东特别是中小股东能够参加 股东大会，确保股东对公司重大事项的知情权、参与权和表决权。</w:t>
      </w:r>
    </w:p>
    <w:p>
      <w:pPr>
        <w:pStyle w:val="Style35"/>
        <w:keepNext w:val="0"/>
        <w:keepLines w:val="0"/>
        <w:widowControl w:val="0"/>
        <w:shd w:val="clear" w:color="auto" w:fill="auto"/>
        <w:bidi w:val="0"/>
        <w:spacing w:before="0" w:after="300" w:line="467" w:lineRule="exact"/>
        <w:ind w:left="0" w:right="0" w:firstLine="500"/>
        <w:jc w:val="both"/>
      </w:pPr>
      <w:r>
        <w:rPr>
          <w:color w:val="000000"/>
          <w:spacing w:val="0"/>
          <w:w w:val="100"/>
          <w:position w:val="0"/>
        </w:rPr>
        <w:t>公司严格遵守《劳动法》等相关法律法规，通过多种方式为员工提供发展机会，尊重和 维护员工的个人权益，建立了较完善的绩效考核体系，公司通过为员工提供知识技能等方面 的培训，提升员工的专业技能和综合素质，实现员工与企业的共同成长。</w:t>
      </w:r>
      <w:r>
        <w:rPr>
          <w:color w:val="000000"/>
          <w:spacing w:val="0"/>
          <w:w w:val="100"/>
          <w:position w:val="0"/>
          <w:sz w:val="24"/>
          <w:szCs w:val="24"/>
        </w:rPr>
        <w:t>2021</w:t>
      </w:r>
      <w:r>
        <w:rPr>
          <w:color w:val="000000"/>
          <w:spacing w:val="0"/>
          <w:w w:val="100"/>
          <w:position w:val="0"/>
        </w:rPr>
        <w:t>年，公司将在 为股东创造价值的同时，继续回馈社会，贡献价值，以实际行动践行企业社会责任。</w:t>
      </w:r>
    </w:p>
    <w:p>
      <w:pPr>
        <w:pStyle w:val="Style35"/>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2</w:t>
      </w:r>
      <w:r>
        <w:rPr>
          <w:color w:val="000000"/>
          <w:spacing w:val="0"/>
          <w:w w:val="100"/>
          <w:position w:val="0"/>
        </w:rPr>
        <w:t>月至</w:t>
      </w:r>
      <w:r>
        <w:rPr>
          <w:color w:val="000000"/>
          <w:spacing w:val="0"/>
          <w:w w:val="100"/>
          <w:position w:val="0"/>
          <w:sz w:val="24"/>
          <w:szCs w:val="24"/>
        </w:rPr>
        <w:t>5</w:t>
      </w:r>
      <w:r>
        <w:rPr>
          <w:color w:val="000000"/>
          <w:spacing w:val="0"/>
          <w:w w:val="100"/>
          <w:position w:val="0"/>
        </w:rPr>
        <w:t>月疫情期间，公司产品燕千云面向社会免费开放产品使用申请，支持客户 开通并实施</w:t>
      </w:r>
      <w:r>
        <w:rPr>
          <w:color w:val="000000"/>
          <w:spacing w:val="0"/>
          <w:w w:val="100"/>
          <w:position w:val="0"/>
          <w:sz w:val="24"/>
          <w:szCs w:val="24"/>
        </w:rPr>
        <w:t>IT</w:t>
      </w:r>
      <w:r>
        <w:rPr>
          <w:color w:val="000000"/>
          <w:spacing w:val="0"/>
          <w:w w:val="100"/>
          <w:position w:val="0"/>
        </w:rPr>
        <w:t>管理或远程协作工作，共支持</w:t>
      </w:r>
      <w:r>
        <w:rPr>
          <w:color w:val="000000"/>
          <w:spacing w:val="0"/>
          <w:w w:val="100"/>
          <w:position w:val="0"/>
          <w:sz w:val="24"/>
          <w:szCs w:val="24"/>
        </w:rPr>
        <w:t>38</w:t>
      </w:r>
      <w:r>
        <w:rPr>
          <w:color w:val="000000"/>
          <w:spacing w:val="0"/>
          <w:w w:val="100"/>
          <w:position w:val="0"/>
        </w:rPr>
        <w:t>家客户在燕千云试用推广远程协作，以支持远 程复工复产，共减免客户使用年费约</w:t>
      </w:r>
      <w:r>
        <w:rPr>
          <w:color w:val="000000"/>
          <w:spacing w:val="0"/>
          <w:w w:val="100"/>
          <w:position w:val="0"/>
          <w:sz w:val="24"/>
          <w:szCs w:val="24"/>
        </w:rPr>
        <w:t>50</w:t>
      </w:r>
      <w:r>
        <w:rPr>
          <w:color w:val="000000"/>
          <w:spacing w:val="0"/>
          <w:w w:val="100"/>
          <w:position w:val="0"/>
        </w:rPr>
        <w:t>万元；支持汉得</w:t>
      </w:r>
      <w:r>
        <w:rPr>
          <w:color w:val="000000"/>
          <w:spacing w:val="0"/>
          <w:w w:val="100"/>
          <w:position w:val="0"/>
          <w:sz w:val="24"/>
          <w:szCs w:val="24"/>
        </w:rPr>
        <w:t>26</w:t>
      </w:r>
      <w:r>
        <w:rPr>
          <w:color w:val="000000"/>
          <w:spacing w:val="0"/>
          <w:w w:val="100"/>
          <w:position w:val="0"/>
        </w:rPr>
        <w:t>个项目组进行协作实施管理，以帮 助客户项目在远程情况下正常运行。</w:t>
      </w:r>
    </w:p>
    <w:p>
      <w:pPr>
        <w:pStyle w:val="Style35"/>
        <w:keepNext w:val="0"/>
        <w:keepLines w:val="0"/>
        <w:widowControl w:val="0"/>
        <w:shd w:val="clear" w:color="auto" w:fill="auto"/>
        <w:bidi w:val="0"/>
        <w:spacing w:before="0" w:after="140" w:line="449" w:lineRule="exact"/>
        <w:ind w:left="0" w:right="0" w:firstLine="500"/>
        <w:jc w:val="both"/>
      </w:pPr>
      <w:r>
        <w:rPr>
          <w:color w:val="000000"/>
          <w:spacing w:val="0"/>
          <w:w w:val="100"/>
          <w:position w:val="0"/>
        </w:rPr>
        <w:t>公司在疫情期间，汉得信息旗下鼎医团队发挥自身力量，紧急上线医疗应急物资统配平 台，并为社会免费提供，实现应急物资从需求申请到发放的全线上化管理，为物资需求方和 物资管理机构提供更便捷、更透明的一体化使用体验。</w:t>
      </w:r>
    </w:p>
    <w:p>
      <w:pPr>
        <w:pStyle w:val="Style35"/>
        <w:keepNext w:val="0"/>
        <w:keepLines w:val="0"/>
        <w:widowControl w:val="0"/>
        <w:shd w:val="clear" w:color="auto" w:fill="auto"/>
        <w:bidi w:val="0"/>
        <w:spacing w:before="0" w:after="680" w:line="240" w:lineRule="auto"/>
        <w:ind w:left="0" w:right="0" w:firstLine="500"/>
        <w:jc w:val="both"/>
      </w:pPr>
      <w:r>
        <w:rPr>
          <w:color w:val="000000"/>
          <w:spacing w:val="0"/>
          <w:w w:val="100"/>
          <w:position w:val="0"/>
        </w:rPr>
        <w:t>疫情期间，公司向云南省共计捐赠</w:t>
      </w:r>
      <w:r>
        <w:rPr>
          <w:rFonts w:ascii="Times New Roman" w:eastAsia="Times New Roman" w:hAnsi="Times New Roman" w:cs="Times New Roman"/>
          <w:color w:val="000000"/>
          <w:spacing w:val="0"/>
          <w:w w:val="100"/>
          <w:position w:val="0"/>
          <w:sz w:val="24"/>
          <w:szCs w:val="24"/>
        </w:rPr>
        <w:t>60000</w:t>
      </w:r>
      <w:r>
        <w:rPr>
          <w:color w:val="000000"/>
          <w:spacing w:val="0"/>
          <w:w w:val="100"/>
          <w:position w:val="0"/>
        </w:rPr>
        <w:t>一次性医用口罩，帮助其疫情防控。</w:t>
      </w:r>
    </w:p>
    <w:p>
      <w:pPr>
        <w:pStyle w:val="Style32"/>
        <w:keepNext/>
        <w:keepLines/>
        <w:widowControl w:val="0"/>
        <w:shd w:val="clear" w:color="auto" w:fill="auto"/>
        <w:tabs>
          <w:tab w:pos="382" w:val="left"/>
        </w:tabs>
        <w:bidi w:val="0"/>
        <w:spacing w:before="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w:t>
        <w:tab/>
        <w:t>履行精准扶贫社会责任情况</w:t>
      </w:r>
      <w:bookmarkEnd w:id="424"/>
      <w:bookmarkEnd w:id="425"/>
      <w:bookmarkEnd w:id="427"/>
    </w:p>
    <w:p>
      <w:pPr>
        <w:pStyle w:val="Style41"/>
        <w:keepNext/>
        <w:keepLines/>
        <w:widowControl w:val="0"/>
        <w:shd w:val="clear" w:color="auto" w:fill="auto"/>
        <w:tabs>
          <w:tab w:pos="493" w:val="left"/>
        </w:tabs>
        <w:bidi w:val="0"/>
        <w:spacing w:before="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28"/>
      <w:bookmarkEnd w:id="429"/>
      <w:bookmarkEnd w:id="43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32"/>
      <w:bookmarkEnd w:id="433"/>
      <w:bookmarkEnd w:id="43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w:t>
      </w:r>
      <w:bookmarkEnd w:id="438"/>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36"/>
      <w:bookmarkEnd w:id="437"/>
      <w:bookmarkEnd w:id="43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w:t>
      </w:r>
      <w:bookmarkEnd w:id="442"/>
      <w:r>
        <w:rPr>
          <w:rFonts w:ascii="Times New Roman" w:eastAsia="Times New Roman" w:hAnsi="Times New Roman" w:cs="Times New Roman"/>
          <w:color w:val="000000"/>
          <w:spacing w:val="0"/>
          <w:w w:val="100"/>
          <w:position w:val="0"/>
        </w:rPr>
        <w:t>4</w:t>
      </w:r>
      <w:r>
        <w:rPr>
          <w:color w:val="000000"/>
          <w:spacing w:val="0"/>
          <w:w w:val="100"/>
          <w:position w:val="0"/>
        </w:rPr>
        <w:t>）</w:t>
        <w:tab/>
        <w:t>后续精准扶贫计划</w:t>
      </w:r>
      <w:bookmarkEnd w:id="440"/>
      <w:bookmarkEnd w:id="441"/>
      <w:bookmarkEnd w:id="44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82" w:val="left"/>
        </w:tabs>
        <w:bidi w:val="0"/>
        <w:spacing w:before="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3</w:t>
      </w:r>
      <w:bookmarkEnd w:id="446"/>
      <w:r>
        <w:rPr>
          <w:color w:val="000000"/>
          <w:spacing w:val="0"/>
          <w:w w:val="100"/>
          <w:position w:val="0"/>
        </w:rPr>
        <w:t>、</w:t>
        <w:tab/>
        <w:t>环境保护相关的情况</w:t>
      </w:r>
      <w:bookmarkEnd w:id="444"/>
      <w:bookmarkEnd w:id="445"/>
      <w:bookmarkEnd w:id="44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pStyle w:val="Style35"/>
        <w:keepNext w:val="0"/>
        <w:keepLines w:val="0"/>
        <w:widowControl w:val="0"/>
        <w:shd w:val="clear" w:color="auto" w:fill="auto"/>
        <w:bidi w:val="0"/>
        <w:spacing w:before="0" w:after="380" w:line="470" w:lineRule="exact"/>
        <w:ind w:left="0" w:right="0" w:firstLine="880"/>
        <w:jc w:val="left"/>
      </w:pPr>
      <w:r>
        <w:rPr>
          <w:color w:val="000000"/>
          <w:spacing w:val="0"/>
          <w:w w:val="100"/>
          <w:position w:val="0"/>
        </w:rPr>
        <w:t>上市公司及其子公司不属于环境保护部门公布的重点排污单位。公司及子公司在日常 生产经营中认真执行国家有关环境保护方面的法律法规，报告期内未出现因违反环境保护相 关法律法规而受到处罚的情况。</w:t>
      </w:r>
    </w:p>
    <w:p>
      <w:pPr>
        <w:pStyle w:val="Style26"/>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r>
        <w:rPr>
          <w:color w:val="000000"/>
          <w:spacing w:val="0"/>
          <w:w w:val="100"/>
          <w:position w:val="0"/>
        </w:rPr>
        <w:t>十八、其他重大事项的说明</w:t>
      </w:r>
      <w:bookmarkEnd w:id="448"/>
      <w:bookmarkEnd w:id="449"/>
      <w:bookmarkEnd w:id="45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r>
        <w:rPr>
          <w:color w:val="000000"/>
          <w:spacing w:val="0"/>
          <w:w w:val="100"/>
          <w:position w:val="0"/>
        </w:rPr>
        <w:t>十九、公司子公司重大事项</w:t>
      </w:r>
      <w:bookmarkEnd w:id="451"/>
      <w:bookmarkEnd w:id="452"/>
      <w:bookmarkEnd w:id="45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after="540" w:line="240" w:lineRule="auto"/>
        <w:ind w:left="0" w:right="0" w:firstLine="0"/>
        <w:jc w:val="center"/>
      </w:pPr>
      <w:bookmarkStart w:id="454" w:name="bookmark454"/>
      <w:bookmarkStart w:id="455" w:name="bookmark455"/>
      <w:bookmarkStart w:id="456" w:name="bookmark456"/>
      <w:r>
        <w:rPr>
          <w:color w:val="000000"/>
          <w:spacing w:val="0"/>
          <w:w w:val="100"/>
          <w:position w:val="0"/>
        </w:rPr>
        <w:t>第六节股份变动及股东情况</w:t>
      </w:r>
      <w:bookmarkEnd w:id="454"/>
      <w:bookmarkEnd w:id="455"/>
      <w:bookmarkEnd w:id="456"/>
    </w:p>
    <w:p>
      <w:pPr>
        <w:pStyle w:val="Style26"/>
        <w:keepNext/>
        <w:keepLines/>
        <w:widowControl w:val="0"/>
        <w:shd w:val="clear" w:color="auto" w:fill="auto"/>
        <w:bidi w:val="0"/>
        <w:spacing w:before="0" w:after="360" w:line="240" w:lineRule="auto"/>
        <w:ind w:left="0" w:right="0" w:firstLine="0"/>
        <w:jc w:val="left"/>
      </w:pPr>
      <w:bookmarkStart w:id="457" w:name="bookmark457"/>
      <w:bookmarkStart w:id="458" w:name="bookmark458"/>
      <w:bookmarkStart w:id="459" w:name="bookmark459"/>
      <w:bookmarkStart w:id="460" w:name="bookmark460"/>
      <w:bookmarkStart w:id="461" w:name="bookmark461"/>
      <w:r>
        <w:rPr>
          <w:color w:val="000000"/>
          <w:spacing w:val="0"/>
          <w:w w:val="100"/>
          <w:position w:val="0"/>
        </w:rPr>
        <w:t>一</w:t>
      </w:r>
      <w:bookmarkEnd w:id="460"/>
      <w:r>
        <w:rPr>
          <w:color w:val="000000"/>
          <w:spacing w:val="0"/>
          <w:w w:val="100"/>
          <w:position w:val="0"/>
        </w:rPr>
        <w:t>、股份变动情况</w:t>
      </w:r>
      <w:bookmarkEnd w:id="458"/>
      <w:bookmarkEnd w:id="459"/>
      <w:bookmarkEnd w:id="461"/>
      <w:bookmarkEnd w:id="457"/>
    </w:p>
    <w:p>
      <w:pPr>
        <w:pStyle w:val="Style32"/>
        <w:keepNext/>
        <w:keepLines/>
        <w:widowControl w:val="0"/>
        <w:shd w:val="clear" w:color="auto" w:fill="auto"/>
        <w:bidi w:val="0"/>
        <w:spacing w:before="0" w:after="36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、股份变动情况</w:t>
      </w:r>
      <w:bookmarkEnd w:id="462"/>
      <w:bookmarkEnd w:id="463"/>
      <w:bookmarkEnd w:id="465"/>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公积金转</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153,603,7</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-72,265,6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-72,265,6</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81,338,13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153,561,7</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-72,265,6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-72,265,6</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81,296,13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153,561,7</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-72,265,6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-72,265,6</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81,296,13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730,413,1</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72,265,63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72,265,63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802,678,8</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730,413,1</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72,265,63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72,265,63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802,678,8</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884,016,9</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884,016,9</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股份变动的原因</w:t>
      </w:r>
    </w:p>
    <w:p>
      <w:pPr>
        <w:widowControl w:val="0"/>
        <w:spacing w:after="11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858" w:val="left"/>
        </w:tabs>
        <w:bidi w:val="0"/>
        <w:spacing w:before="0" w:after="180" w:line="240" w:lineRule="auto"/>
        <w:ind w:left="0" w:right="0" w:firstLine="480"/>
        <w:jc w:val="left"/>
      </w:pPr>
      <w:bookmarkStart w:id="466" w:name="bookmark466"/>
      <w:r>
        <w:rPr>
          <w:color w:val="000000"/>
          <w:spacing w:val="0"/>
          <w:w w:val="100"/>
          <w:position w:val="0"/>
          <w:sz w:val="24"/>
          <w:szCs w:val="24"/>
        </w:rPr>
        <w:t>1</w:t>
      </w:r>
      <w:bookmarkEnd w:id="466"/>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w:t>
      </w:r>
      <w:r>
        <w:rPr>
          <w:color w:val="000000"/>
          <w:spacing w:val="0"/>
          <w:w w:val="100"/>
          <w:position w:val="0"/>
        </w:rPr>
        <w:t>日，陈迪清的高管锁定股减少</w:t>
      </w:r>
      <w:r>
        <w:rPr>
          <w:color w:val="000000"/>
          <w:spacing w:val="0"/>
          <w:w w:val="100"/>
          <w:position w:val="0"/>
          <w:sz w:val="24"/>
          <w:szCs w:val="24"/>
        </w:rPr>
        <w:t>17,495,825</w:t>
      </w:r>
      <w:r>
        <w:rPr>
          <w:color w:val="000000"/>
          <w:spacing w:val="0"/>
          <w:w w:val="100"/>
          <w:position w:val="0"/>
        </w:rPr>
        <w:t>股；</w:t>
      </w:r>
    </w:p>
    <w:p>
      <w:pPr>
        <w:pStyle w:val="Style35"/>
        <w:keepNext w:val="0"/>
        <w:keepLines w:val="0"/>
        <w:widowControl w:val="0"/>
        <w:shd w:val="clear" w:color="auto" w:fill="auto"/>
        <w:tabs>
          <w:tab w:pos="392" w:val="left"/>
        </w:tabs>
        <w:bidi w:val="0"/>
        <w:spacing w:before="0" w:after="0" w:line="240" w:lineRule="auto"/>
        <w:ind w:left="0" w:right="0" w:firstLine="480"/>
        <w:jc w:val="left"/>
      </w:pPr>
      <w:bookmarkStart w:id="467" w:name="bookmark467"/>
      <w:r>
        <w:rPr>
          <w:color w:val="000000"/>
          <w:spacing w:val="0"/>
          <w:w w:val="100"/>
          <w:position w:val="0"/>
          <w:sz w:val="24"/>
          <w:szCs w:val="24"/>
        </w:rPr>
        <w:t>2</w:t>
      </w:r>
      <w:bookmarkEnd w:id="467"/>
      <w:r>
        <w:rPr>
          <w:color w:val="000000"/>
          <w:spacing w:val="0"/>
          <w:w w:val="100"/>
          <w:position w:val="0"/>
        </w:rPr>
        <w:t>、</w:t>
        <w:tab/>
        <w:t>董事会秘书李西平原定任期到</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日，公司于</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w:t>
      </w:r>
      <w:r>
        <w:rPr>
          <w:color w:val="000000"/>
          <w:spacing w:val="0"/>
          <w:w w:val="100"/>
          <w:position w:val="0"/>
        </w:rPr>
        <w:t xml:space="preserve">日提前换届，李西 </w:t>
      </w:r>
      <w:r>
        <w:rPr>
          <w:color w:val="000000"/>
          <w:spacing w:val="0"/>
          <w:w w:val="100"/>
          <w:position w:val="0"/>
        </w:rPr>
        <w:t>平先生当时持有公司有限售条件的流通股</w:t>
      </w:r>
      <w:r>
        <w:rPr>
          <w:color w:val="000000"/>
          <w:spacing w:val="0"/>
          <w:w w:val="100"/>
          <w:position w:val="0"/>
          <w:sz w:val="24"/>
          <w:szCs w:val="24"/>
        </w:rPr>
        <w:t>1,663,557</w:t>
      </w:r>
      <w:r>
        <w:rPr>
          <w:color w:val="000000"/>
          <w:spacing w:val="0"/>
          <w:w w:val="100"/>
          <w:position w:val="0"/>
        </w:rPr>
        <w:t>股，无限售流通股</w:t>
      </w:r>
      <w:r>
        <w:rPr>
          <w:color w:val="000000"/>
          <w:spacing w:val="0"/>
          <w:w w:val="100"/>
          <w:position w:val="0"/>
          <w:sz w:val="24"/>
          <w:szCs w:val="24"/>
        </w:rPr>
        <w:t>554,519</w:t>
      </w:r>
      <w:r>
        <w:rPr>
          <w:color w:val="000000"/>
          <w:spacing w:val="0"/>
          <w:w w:val="100"/>
          <w:position w:val="0"/>
        </w:rPr>
        <w:t>股。根据相 关规定，其离任后半年内不得转让所持公司股份，导致公司有限售条件的股份增加</w:t>
      </w:r>
      <w:r>
        <w:rPr>
          <w:color w:val="000000"/>
          <w:spacing w:val="0"/>
          <w:w w:val="100"/>
          <w:position w:val="0"/>
          <w:sz w:val="24"/>
          <w:szCs w:val="24"/>
        </w:rPr>
        <w:t xml:space="preserve">554,519 </w:t>
      </w:r>
      <w:r>
        <w:rPr>
          <w:color w:val="000000"/>
          <w:spacing w:val="0"/>
          <w:w w:val="100"/>
          <w:position w:val="0"/>
        </w:rPr>
        <w:t>股。</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3</w:t>
      </w:r>
      <w:r>
        <w:rPr>
          <w:color w:val="000000"/>
          <w:spacing w:val="0"/>
          <w:w w:val="100"/>
          <w:position w:val="0"/>
        </w:rPr>
        <w:t>日，李西平先生离职期满</w:t>
      </w:r>
      <w:r>
        <w:rPr>
          <w:color w:val="000000"/>
          <w:spacing w:val="0"/>
          <w:w w:val="100"/>
          <w:position w:val="0"/>
          <w:sz w:val="24"/>
          <w:szCs w:val="24"/>
        </w:rPr>
        <w:t>6</w:t>
      </w:r>
      <w:r>
        <w:rPr>
          <w:color w:val="000000"/>
          <w:spacing w:val="0"/>
          <w:w w:val="100"/>
          <w:position w:val="0"/>
        </w:rPr>
        <w:t>个月，但仍在原定任期届满</w:t>
      </w:r>
      <w:r>
        <w:rPr>
          <w:color w:val="000000"/>
          <w:spacing w:val="0"/>
          <w:w w:val="100"/>
          <w:position w:val="0"/>
          <w:sz w:val="24"/>
          <w:szCs w:val="24"/>
        </w:rPr>
        <w:t>6</w:t>
      </w:r>
      <w:r>
        <w:rPr>
          <w:color w:val="000000"/>
          <w:spacing w:val="0"/>
          <w:w w:val="100"/>
          <w:position w:val="0"/>
        </w:rPr>
        <w:t>个月内，导致公司有 限售条件的股份减少</w:t>
      </w:r>
      <w:r>
        <w:rPr>
          <w:color w:val="000000"/>
          <w:spacing w:val="0"/>
          <w:w w:val="100"/>
          <w:position w:val="0"/>
          <w:sz w:val="24"/>
          <w:szCs w:val="24"/>
        </w:rPr>
        <w:t>554,519</w:t>
      </w:r>
      <w:r>
        <w:rPr>
          <w:color w:val="000000"/>
          <w:spacing w:val="0"/>
          <w:w w:val="100"/>
          <w:position w:val="0"/>
        </w:rPr>
        <w:t>股。</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28</w:t>
      </w:r>
      <w:r>
        <w:rPr>
          <w:color w:val="000000"/>
          <w:spacing w:val="0"/>
          <w:w w:val="100"/>
          <w:position w:val="0"/>
        </w:rPr>
        <w:t>日，李西平先生原定任期届满</w:t>
      </w:r>
      <w:r>
        <w:rPr>
          <w:color w:val="000000"/>
          <w:spacing w:val="0"/>
          <w:w w:val="100"/>
          <w:position w:val="0"/>
          <w:sz w:val="24"/>
          <w:szCs w:val="24"/>
        </w:rPr>
        <w:t>6</w:t>
      </w:r>
      <w:r>
        <w:rPr>
          <w:color w:val="000000"/>
          <w:spacing w:val="0"/>
          <w:w w:val="100"/>
          <w:position w:val="0"/>
        </w:rPr>
        <w:t>个月，导致公司 有限售条件的股份减少</w:t>
      </w:r>
      <w:r>
        <w:rPr>
          <w:color w:val="000000"/>
          <w:spacing w:val="0"/>
          <w:w w:val="100"/>
          <w:position w:val="0"/>
          <w:sz w:val="24"/>
          <w:szCs w:val="24"/>
        </w:rPr>
        <w:t>1,621,557</w:t>
      </w:r>
      <w:r>
        <w:rPr>
          <w:color w:val="000000"/>
          <w:spacing w:val="0"/>
          <w:w w:val="100"/>
          <w:position w:val="0"/>
        </w:rPr>
        <w:t>股；</w:t>
      </w:r>
    </w:p>
    <w:p>
      <w:pPr>
        <w:pStyle w:val="Style35"/>
        <w:keepNext w:val="0"/>
        <w:keepLines w:val="0"/>
        <w:widowControl w:val="0"/>
        <w:shd w:val="clear" w:color="auto" w:fill="auto"/>
        <w:tabs>
          <w:tab w:pos="877" w:val="left"/>
        </w:tabs>
        <w:bidi w:val="0"/>
        <w:spacing w:before="0" w:after="0" w:line="471" w:lineRule="exact"/>
        <w:ind w:left="0" w:right="0" w:firstLine="480"/>
        <w:jc w:val="both"/>
      </w:pPr>
      <w:bookmarkStart w:id="468" w:name="bookmark468"/>
      <w:r>
        <w:rPr>
          <w:color w:val="000000"/>
          <w:spacing w:val="0"/>
          <w:w w:val="100"/>
          <w:position w:val="0"/>
          <w:sz w:val="24"/>
          <w:szCs w:val="24"/>
        </w:rPr>
        <w:t>3</w:t>
      </w:r>
      <w:bookmarkEnd w:id="468"/>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28</w:t>
      </w:r>
      <w:r>
        <w:rPr>
          <w:color w:val="000000"/>
          <w:spacing w:val="0"/>
          <w:w w:val="100"/>
          <w:position w:val="0"/>
        </w:rPr>
        <w:t>日，公司原董事范建震先生原定任期届满</w:t>
      </w:r>
      <w:r>
        <w:rPr>
          <w:color w:val="000000"/>
          <w:spacing w:val="0"/>
          <w:w w:val="100"/>
          <w:position w:val="0"/>
          <w:sz w:val="24"/>
          <w:szCs w:val="24"/>
        </w:rPr>
        <w:t>6</w:t>
      </w:r>
      <w:r>
        <w:rPr>
          <w:color w:val="000000"/>
          <w:spacing w:val="0"/>
          <w:w w:val="100"/>
          <w:position w:val="0"/>
        </w:rPr>
        <w:t>个月，导致公司有限售条件的 股份减少</w:t>
      </w:r>
      <w:r>
        <w:rPr>
          <w:color w:val="000000"/>
          <w:spacing w:val="0"/>
          <w:w w:val="100"/>
          <w:position w:val="0"/>
          <w:sz w:val="24"/>
          <w:szCs w:val="24"/>
        </w:rPr>
        <w:t>52,487,361</w:t>
      </w:r>
      <w:r>
        <w:rPr>
          <w:color w:val="000000"/>
          <w:spacing w:val="0"/>
          <w:w w:val="100"/>
          <w:position w:val="0"/>
        </w:rPr>
        <w:t>股；</w:t>
      </w:r>
    </w:p>
    <w:p>
      <w:pPr>
        <w:pStyle w:val="Style35"/>
        <w:keepNext w:val="0"/>
        <w:keepLines w:val="0"/>
        <w:widowControl w:val="0"/>
        <w:shd w:val="clear" w:color="auto" w:fill="auto"/>
        <w:tabs>
          <w:tab w:pos="877" w:val="left"/>
        </w:tabs>
        <w:bidi w:val="0"/>
        <w:spacing w:before="0" w:after="520" w:line="471" w:lineRule="exact"/>
        <w:ind w:left="0" w:right="0" w:firstLine="480"/>
        <w:jc w:val="both"/>
      </w:pPr>
      <w:bookmarkStart w:id="469" w:name="bookmark469"/>
      <w:r>
        <w:rPr>
          <w:color w:val="000000"/>
          <w:spacing w:val="0"/>
          <w:w w:val="100"/>
          <w:position w:val="0"/>
          <w:sz w:val="24"/>
          <w:szCs w:val="24"/>
        </w:rPr>
        <w:t>4</w:t>
      </w:r>
      <w:bookmarkEnd w:id="469"/>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28</w:t>
      </w:r>
      <w:r>
        <w:rPr>
          <w:color w:val="000000"/>
          <w:spacing w:val="0"/>
          <w:w w:val="100"/>
          <w:position w:val="0"/>
        </w:rPr>
        <w:t>日，公司原财务总监王辛夷女士原定任期届满</w:t>
      </w:r>
      <w:r>
        <w:rPr>
          <w:color w:val="000000"/>
          <w:spacing w:val="0"/>
          <w:w w:val="100"/>
          <w:position w:val="0"/>
          <w:sz w:val="24"/>
          <w:szCs w:val="24"/>
        </w:rPr>
        <w:t>6</w:t>
      </w:r>
      <w:r>
        <w:rPr>
          <w:color w:val="000000"/>
          <w:spacing w:val="0"/>
          <w:w w:val="100"/>
          <w:position w:val="0"/>
        </w:rPr>
        <w:t>个月，导致公司有限售条 件的股份减少</w:t>
      </w:r>
      <w:r>
        <w:rPr>
          <w:color w:val="000000"/>
          <w:spacing w:val="0"/>
          <w:w w:val="100"/>
          <w:position w:val="0"/>
          <w:sz w:val="24"/>
          <w:szCs w:val="24"/>
        </w:rPr>
        <w:t>106,377</w:t>
      </w:r>
      <w:r>
        <w:rPr>
          <w:color w:val="000000"/>
          <w:spacing w:val="0"/>
          <w:w w:val="100"/>
          <w:position w:val="0"/>
        </w:rPr>
        <w:t>股；</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872" w:val="left"/>
        </w:tabs>
        <w:bidi w:val="0"/>
        <w:spacing w:before="0" w:after="0" w:line="470" w:lineRule="exact"/>
        <w:ind w:left="0" w:right="0" w:firstLine="480"/>
        <w:jc w:val="left"/>
      </w:pPr>
      <w:bookmarkStart w:id="470" w:name="bookmark470"/>
      <w:r>
        <w:rPr>
          <w:color w:val="000000"/>
          <w:spacing w:val="0"/>
          <w:w w:val="100"/>
          <w:position w:val="0"/>
          <w:sz w:val="24"/>
          <w:szCs w:val="24"/>
        </w:rPr>
        <w:t>1</w:t>
      </w:r>
      <w:bookmarkEnd w:id="470"/>
      <w:r>
        <w:rPr>
          <w:color w:val="000000"/>
          <w:spacing w:val="0"/>
          <w:w w:val="100"/>
          <w:position w:val="0"/>
        </w:rPr>
        <w:t>、</w:t>
        <w:tab/>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15</w:t>
      </w:r>
      <w:r>
        <w:rPr>
          <w:color w:val="000000"/>
          <w:spacing w:val="0"/>
          <w:w w:val="100"/>
          <w:position w:val="0"/>
        </w:rPr>
        <w:t>日召开的第四届董事会第四次（临时）会议、第四届监事会第四次（临 时）会议，分别审议通过《关于回购公司股份方案的议案》，并且该议案由公司</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2</w:t>
      </w:r>
      <w:r>
        <w:rPr>
          <w:color w:val="000000"/>
          <w:spacing w:val="0"/>
          <w:w w:val="100"/>
          <w:position w:val="0"/>
        </w:rPr>
        <w:t>日召开的</w:t>
      </w:r>
      <w:r>
        <w:rPr>
          <w:color w:val="000000"/>
          <w:spacing w:val="0"/>
          <w:w w:val="100"/>
          <w:position w:val="0"/>
          <w:sz w:val="24"/>
          <w:szCs w:val="24"/>
        </w:rPr>
        <w:t>2019</w:t>
      </w:r>
      <w:r>
        <w:rPr>
          <w:color w:val="000000"/>
          <w:spacing w:val="0"/>
          <w:w w:val="100"/>
          <w:position w:val="0"/>
        </w:rPr>
        <w:t>年第四次临时股东大会审议通过。</w:t>
      </w:r>
    </w:p>
    <w:p>
      <w:pPr>
        <w:pStyle w:val="Style35"/>
        <w:keepNext w:val="0"/>
        <w:keepLines w:val="0"/>
        <w:widowControl w:val="0"/>
        <w:shd w:val="clear" w:color="auto" w:fill="auto"/>
        <w:tabs>
          <w:tab w:pos="877" w:val="left"/>
        </w:tabs>
        <w:bidi w:val="0"/>
        <w:spacing w:before="0" w:after="0" w:line="470" w:lineRule="exact"/>
        <w:ind w:left="0" w:right="0" w:firstLine="480"/>
        <w:jc w:val="left"/>
      </w:pPr>
      <w:bookmarkStart w:id="471" w:name="bookmark471"/>
      <w:r>
        <w:rPr>
          <w:color w:val="000000"/>
          <w:spacing w:val="0"/>
          <w:w w:val="100"/>
          <w:position w:val="0"/>
          <w:sz w:val="24"/>
          <w:szCs w:val="24"/>
        </w:rPr>
        <w:t>2</w:t>
      </w:r>
      <w:bookmarkEnd w:id="471"/>
      <w:r>
        <w:rPr>
          <w:color w:val="000000"/>
          <w:spacing w:val="0"/>
          <w:w w:val="100"/>
          <w:position w:val="0"/>
        </w:rPr>
        <w:t>、</w:t>
        <w:tab/>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4</w:t>
      </w:r>
      <w:r>
        <w:rPr>
          <w:color w:val="000000"/>
          <w:spacing w:val="0"/>
          <w:w w:val="100"/>
          <w:position w:val="0"/>
        </w:rPr>
        <w:t>日，公司首次通过股份回购专用证券账户以集中竞价交易方式回购公司 股份</w:t>
      </w:r>
      <w:r>
        <w:rPr>
          <w:color w:val="000000"/>
          <w:spacing w:val="0"/>
          <w:w w:val="100"/>
          <w:position w:val="0"/>
          <w:sz w:val="24"/>
          <w:szCs w:val="24"/>
        </w:rPr>
        <w:t>1,686,805</w:t>
      </w:r>
      <w:r>
        <w:rPr>
          <w:color w:val="000000"/>
          <w:spacing w:val="0"/>
          <w:w w:val="100"/>
          <w:position w:val="0"/>
        </w:rPr>
        <w:t>股，占公司当时总股本的</w:t>
      </w:r>
      <w:r>
        <w:rPr>
          <w:color w:val="000000"/>
          <w:spacing w:val="0"/>
          <w:w w:val="100"/>
          <w:position w:val="0"/>
          <w:sz w:val="24"/>
          <w:szCs w:val="24"/>
        </w:rPr>
        <w:t>0.19%</w:t>
      </w:r>
      <w:r>
        <w:rPr>
          <w:color w:val="000000"/>
          <w:spacing w:val="0"/>
          <w:w w:val="100"/>
          <w:position w:val="0"/>
        </w:rPr>
        <w:t>。</w:t>
      </w:r>
    </w:p>
    <w:p>
      <w:pPr>
        <w:pStyle w:val="Style35"/>
        <w:keepNext w:val="0"/>
        <w:keepLines w:val="0"/>
        <w:widowControl w:val="0"/>
        <w:shd w:val="clear" w:color="auto" w:fill="auto"/>
        <w:tabs>
          <w:tab w:pos="877" w:val="left"/>
        </w:tabs>
        <w:bidi w:val="0"/>
        <w:spacing w:before="0" w:after="520" w:line="470" w:lineRule="exact"/>
        <w:ind w:left="0" w:right="0" w:firstLine="480"/>
        <w:jc w:val="left"/>
      </w:pPr>
      <w:bookmarkStart w:id="472" w:name="bookmark472"/>
      <w:r>
        <w:rPr>
          <w:color w:val="000000"/>
          <w:spacing w:val="0"/>
          <w:w w:val="100"/>
          <w:position w:val="0"/>
          <w:sz w:val="24"/>
          <w:szCs w:val="24"/>
        </w:rPr>
        <w:t>3</w:t>
      </w:r>
      <w:bookmarkEnd w:id="472"/>
      <w:r>
        <w:rPr>
          <w:color w:val="000000"/>
          <w:spacing w:val="0"/>
          <w:w w:val="100"/>
          <w:position w:val="0"/>
        </w:rPr>
        <w:t>、</w:t>
        <w:tab/>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w:t>
      </w:r>
      <w:r>
        <w:rPr>
          <w:color w:val="000000"/>
          <w:spacing w:val="0"/>
          <w:w w:val="100"/>
          <w:position w:val="0"/>
        </w:rPr>
        <w:t>日，公司本次回购股份方案回购期限已经届满，回购股份方案已实 施完毕。公司通过股份回购专用证券账户以集中竞价交易方式累计回购公司股份</w:t>
      </w:r>
      <w:r>
        <w:rPr>
          <w:color w:val="000000"/>
          <w:spacing w:val="0"/>
          <w:w w:val="100"/>
          <w:position w:val="0"/>
          <w:sz w:val="24"/>
          <w:szCs w:val="24"/>
        </w:rPr>
        <w:t xml:space="preserve">7,000,018 </w:t>
      </w:r>
      <w:r>
        <w:rPr>
          <w:color w:val="000000"/>
          <w:spacing w:val="0"/>
          <w:w w:val="100"/>
          <w:position w:val="0"/>
        </w:rPr>
        <w:t>股，占公司总股本的</w:t>
      </w:r>
      <w:r>
        <w:rPr>
          <w:color w:val="000000"/>
          <w:spacing w:val="0"/>
          <w:w w:val="100"/>
          <w:position w:val="0"/>
          <w:sz w:val="24"/>
          <w:szCs w:val="24"/>
        </w:rPr>
        <w:t>0.79%,</w:t>
      </w:r>
      <w:r>
        <w:rPr>
          <w:color w:val="000000"/>
          <w:spacing w:val="0"/>
          <w:w w:val="100"/>
          <w:position w:val="0"/>
        </w:rPr>
        <w:t>最高成交价为</w:t>
      </w:r>
      <w:r>
        <w:rPr>
          <w:color w:val="000000"/>
          <w:spacing w:val="0"/>
          <w:w w:val="100"/>
          <w:position w:val="0"/>
          <w:sz w:val="24"/>
          <w:szCs w:val="24"/>
        </w:rPr>
        <w:t>9.96</w:t>
      </w:r>
      <w:r>
        <w:rPr>
          <w:color w:val="000000"/>
          <w:spacing w:val="0"/>
          <w:w w:val="100"/>
          <w:position w:val="0"/>
        </w:rPr>
        <w:t>元</w:t>
      </w:r>
      <w:r>
        <w:rPr>
          <w:color w:val="000000"/>
          <w:spacing w:val="0"/>
          <w:w w:val="100"/>
          <w:position w:val="0"/>
          <w:sz w:val="24"/>
          <w:szCs w:val="24"/>
        </w:rPr>
        <w:t>/</w:t>
      </w:r>
      <w:r>
        <w:rPr>
          <w:color w:val="000000"/>
          <w:spacing w:val="0"/>
          <w:w w:val="100"/>
          <w:position w:val="0"/>
        </w:rPr>
        <w:t>股，最低成交价为</w:t>
      </w:r>
      <w:r>
        <w:rPr>
          <w:color w:val="000000"/>
          <w:spacing w:val="0"/>
          <w:w w:val="100"/>
          <w:position w:val="0"/>
          <w:sz w:val="24"/>
          <w:szCs w:val="24"/>
        </w:rPr>
        <w:t>9.36</w:t>
      </w:r>
      <w:r>
        <w:rPr>
          <w:color w:val="000000"/>
          <w:spacing w:val="0"/>
          <w:w w:val="100"/>
          <w:position w:val="0"/>
        </w:rPr>
        <w:t>元</w:t>
      </w:r>
      <w:r>
        <w:rPr>
          <w:color w:val="000000"/>
          <w:spacing w:val="0"/>
          <w:w w:val="100"/>
          <w:position w:val="0"/>
          <w:sz w:val="24"/>
          <w:szCs w:val="24"/>
        </w:rPr>
        <w:t>/</w:t>
      </w:r>
      <w:r>
        <w:rPr>
          <w:color w:val="000000"/>
          <w:spacing w:val="0"/>
          <w:w w:val="100"/>
          <w:position w:val="0"/>
        </w:rPr>
        <w:t xml:space="preserve">股，成交均价为 </w:t>
      </w:r>
      <w:r>
        <w:rPr>
          <w:color w:val="000000"/>
          <w:spacing w:val="0"/>
          <w:w w:val="100"/>
          <w:position w:val="0"/>
          <w:sz w:val="24"/>
          <w:szCs w:val="24"/>
        </w:rPr>
        <w:t>9.69</w:t>
      </w:r>
      <w:r>
        <w:rPr>
          <w:color w:val="000000"/>
          <w:spacing w:val="0"/>
          <w:w w:val="100"/>
          <w:position w:val="0"/>
        </w:rPr>
        <w:t>元</w:t>
      </w:r>
      <w:r>
        <w:rPr>
          <w:color w:val="000000"/>
          <w:spacing w:val="0"/>
          <w:w w:val="100"/>
          <w:position w:val="0"/>
          <w:sz w:val="24"/>
          <w:szCs w:val="24"/>
        </w:rPr>
        <w:t>/</w:t>
      </w:r>
      <w:r>
        <w:rPr>
          <w:color w:val="000000"/>
          <w:spacing w:val="0"/>
          <w:w w:val="100"/>
          <w:position w:val="0"/>
        </w:rPr>
        <w:t>股，成交总金额为</w:t>
      </w:r>
      <w:r>
        <w:rPr>
          <w:color w:val="000000"/>
          <w:spacing w:val="0"/>
          <w:w w:val="100"/>
          <w:position w:val="0"/>
          <w:sz w:val="24"/>
          <w:szCs w:val="24"/>
        </w:rPr>
        <w:t>67,706,472.74</w:t>
      </w:r>
      <w:r>
        <w:rPr>
          <w:color w:val="000000"/>
          <w:spacing w:val="0"/>
          <w:w w:val="100"/>
          <w:position w:val="0"/>
        </w:rPr>
        <w:t>元（不含交易费用）。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、限售股份变动情况</w:t>
      </w:r>
      <w:bookmarkEnd w:id="473"/>
      <w:bookmarkEnd w:id="474"/>
      <w:bookmarkEnd w:id="476"/>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拟解除限售日 期</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69,983,300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17,495,825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52,487,475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董监高任职锁 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任职期间执行 董监高限售规 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范建震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52,487,361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52,487,361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李西平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王辛夷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124,795,114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72,265,639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52,529,475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6"/>
        <w:keepNext/>
        <w:keepLines/>
        <w:widowControl w:val="0"/>
        <w:shd w:val="clear" w:color="auto" w:fill="auto"/>
        <w:tabs>
          <w:tab w:pos="517" w:val="left"/>
        </w:tabs>
        <w:bidi w:val="0"/>
        <w:spacing w:before="0" w:after="36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二</w:t>
      </w:r>
      <w:bookmarkEnd w:id="479"/>
      <w:r>
        <w:rPr>
          <w:color w:val="000000"/>
          <w:spacing w:val="0"/>
          <w:w w:val="100"/>
          <w:position w:val="0"/>
        </w:rPr>
        <w:t>、</w:t>
        <w:tab/>
        <w:t>证券发行与上市情况</w:t>
      </w:r>
      <w:bookmarkEnd w:id="477"/>
      <w:bookmarkEnd w:id="478"/>
      <w:bookmarkEnd w:id="480"/>
    </w:p>
    <w:p>
      <w:pPr>
        <w:pStyle w:val="Style32"/>
        <w:keepNext/>
        <w:keepLines/>
        <w:widowControl w:val="0"/>
        <w:shd w:val="clear" w:color="auto" w:fill="auto"/>
        <w:tabs>
          <w:tab w:pos="381" w:val="left"/>
        </w:tabs>
        <w:bidi w:val="0"/>
        <w:spacing w:before="0" w:after="36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w:t>
        <w:tab/>
        <w:t>报告期内证券发行（不含优先股）情况</w:t>
      </w:r>
      <w:bookmarkEnd w:id="481"/>
      <w:bookmarkEnd w:id="482"/>
      <w:bookmarkEnd w:id="48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81" w:val="left"/>
        </w:tabs>
        <w:bidi w:val="0"/>
        <w:spacing w:before="0" w:after="36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2</w:t>
      </w:r>
      <w:bookmarkEnd w:id="487"/>
      <w:r>
        <w:rPr>
          <w:color w:val="000000"/>
          <w:spacing w:val="0"/>
          <w:w w:val="100"/>
          <w:position w:val="0"/>
        </w:rPr>
        <w:t>、</w:t>
        <w:tab/>
        <w:t>公司股份总数及股东结构的变动、公司资产和负债结构的变动情况说明</w:t>
      </w:r>
      <w:bookmarkEnd w:id="485"/>
      <w:bookmarkEnd w:id="486"/>
      <w:bookmarkEnd w:id="48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81" w:val="left"/>
        </w:tabs>
        <w:bidi w:val="0"/>
        <w:spacing w:before="0" w:after="36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w:t>
        <w:tab/>
        <w:t>现存的内部职工股情况</w:t>
      </w:r>
      <w:bookmarkEnd w:id="489"/>
      <w:bookmarkEnd w:id="490"/>
      <w:bookmarkEnd w:id="49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三</w:t>
      </w:r>
      <w:bookmarkEnd w:id="495"/>
      <w:r>
        <w:rPr>
          <w:color w:val="000000"/>
          <w:spacing w:val="0"/>
          <w:w w:val="100"/>
          <w:position w:val="0"/>
        </w:rPr>
        <w:t>、</w:t>
        <w:tab/>
        <w:t>股东和实际控制人情况</w:t>
      </w:r>
      <w:bookmarkEnd w:id="493"/>
      <w:bookmarkEnd w:id="494"/>
      <w:bookmarkEnd w:id="496"/>
    </w:p>
    <w:p>
      <w:pPr>
        <w:pStyle w:val="Style32"/>
        <w:keepNext/>
        <w:keepLines/>
        <w:widowControl w:val="0"/>
        <w:shd w:val="clear" w:color="auto" w:fill="auto"/>
        <w:bidi w:val="0"/>
        <w:spacing w:before="0" w:after="36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1</w:t>
      </w:r>
      <w:bookmarkEnd w:id="499"/>
      <w:r>
        <w:rPr>
          <w:color w:val="000000"/>
          <w:spacing w:val="0"/>
          <w:w w:val="100"/>
          <w:position w:val="0"/>
        </w:rPr>
        <w:t>、公司股东数量及持股情况</w:t>
      </w:r>
      <w:bookmarkEnd w:id="497"/>
      <w:bookmarkEnd w:id="498"/>
      <w:bookmarkEnd w:id="50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58,169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年度报告 披露日前 上_月末 普通股股 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报告期末表 决权恢复的 优先股股东 总数（如有）</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年度报告披露日前上_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持有有限售</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条件的股份</w:t>
            </w:r>
          </w:p>
          <w:p>
            <w:pPr>
              <w:pStyle w:val="Style22"/>
              <w:keepNext w:val="0"/>
              <w:keepLines w:val="0"/>
              <w:widowControl w:val="0"/>
              <w:shd w:val="clear" w:color="auto" w:fill="auto"/>
              <w:bidi w:val="0"/>
              <w:spacing w:before="0" w:after="120" w:line="240" w:lineRule="auto"/>
              <w:ind w:left="0" w:right="340" w:firstLine="0"/>
              <w:jc w:val="right"/>
              <w:rPr>
                <w:sz w:val="17"/>
                <w:szCs w:val="17"/>
              </w:rPr>
            </w:pPr>
            <w:r>
              <w:rPr>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r>
    </w:tbl>
    <w:p>
      <w:pPr>
        <w:spacing w:lineRule="exact" w:line="1"/>
        <w:rPr>
          <w:sz w:val="2"/>
          <w:szCs w:val="2"/>
        </w:rPr>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69,983,300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52,487,475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17,495,825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33,543,300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范建震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69,983,148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69,983,148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25,851,800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北京百度网讯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46,655,483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邓辉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7,338,202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7,338,202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上海汉得信息 技术股份有限 公司回购专用 证券账户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境内非国有法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7,000,018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7,000,018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石胜利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香港中央结算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4,219,434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4,219,434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中信建投证券 股份有限公司 —富国中证科 技</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策略交易 型开放式指数 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3,078,100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陈志骏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w:t>
            </w:r>
          </w:p>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上述股东中陈迪清、范建震二者为一致行动人及公司实际控制人，公司未知其他股东的关联 关系或一致行动关系。</w:t>
            </w:r>
          </w:p>
        </w:tc>
      </w:tr>
      <w:tr>
        <w:trPr>
          <w:trHeight w:val="3206"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 权、放弃表决权情况的说明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日，公司实际控制人陈迪清、范建震与百度签署《北京百度网讯科技有限公 司与范建震、陈迪清之股份购买协议》（以下简称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股份购买协议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）。根据《股份购买协议》 约定，自交割日起的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年内，范建震和陈迪清分别将其持有的公司股份</w:t>
            </w:r>
            <w:r>
              <w:rPr>
                <w:rFonts w:ascii="Times New Roman" w:eastAsia="Times New Roman" w:hAnsi="Times New Roman" w:cs="Times New Roman"/>
                <w:color w:val="000000"/>
                <w:spacing w:val="0"/>
                <w:w w:val="100"/>
                <w:position w:val="0"/>
                <w:sz w:val="18"/>
                <w:szCs w:val="18"/>
              </w:rPr>
              <w:t>22,189,565</w:t>
            </w:r>
            <w:r>
              <w:rPr>
                <w:color w:val="000000"/>
                <w:spacing w:val="0"/>
                <w:w w:val="100"/>
                <w:position w:val="0"/>
                <w:sz w:val="17"/>
                <w:szCs w:val="17"/>
              </w:rPr>
              <w:t xml:space="preserve">股（合计 </w:t>
            </w:r>
            <w:r>
              <w:rPr>
                <w:rFonts w:ascii="Times New Roman" w:eastAsia="Times New Roman" w:hAnsi="Times New Roman" w:cs="Times New Roman"/>
                <w:color w:val="000000"/>
                <w:spacing w:val="0"/>
                <w:w w:val="100"/>
                <w:position w:val="0"/>
                <w:sz w:val="18"/>
                <w:szCs w:val="18"/>
              </w:rPr>
              <w:t>44,379,130</w:t>
            </w:r>
            <w:r>
              <w:rPr>
                <w:color w:val="000000"/>
                <w:spacing w:val="0"/>
                <w:w w:val="100"/>
                <w:position w:val="0"/>
                <w:sz w:val="17"/>
                <w:szCs w:val="17"/>
              </w:rPr>
              <w:t>股，占公司当时股本总额的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）所对应的表决权不可撤销地委托给百度行使。 同日，公司实际控制人陈迪清、范建震签署并向百度出具了《表决权授权委托书》。本次股 份转让于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日办理完过户，具体内容见公司于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日在巨潮资讯网 上披露的《关于引入战略投资者暨控股股东、实际控制人协议转让公司部分股份的权益变动 提示性公告》（公告编号：</w:t>
            </w:r>
            <w:r>
              <w:rPr>
                <w:rFonts w:ascii="Times New Roman" w:eastAsia="Times New Roman" w:hAnsi="Times New Roman" w:cs="Times New Roman"/>
                <w:color w:val="000000"/>
                <w:spacing w:val="0"/>
                <w:w w:val="100"/>
                <w:position w:val="0"/>
                <w:sz w:val="18"/>
                <w:szCs w:val="18"/>
              </w:rPr>
              <w:t>2019-018</w:t>
            </w:r>
            <w:r>
              <w:rPr>
                <w:color w:val="000000"/>
                <w:spacing w:val="0"/>
                <w:w w:val="100"/>
                <w:position w:val="0"/>
                <w:sz w:val="17"/>
                <w:szCs w:val="17"/>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日披露的《关于控股股东、实际控 制人协议转让公司部分股份过户登记完成的公告》（公告编号：</w:t>
            </w:r>
            <w:r>
              <w:rPr>
                <w:rFonts w:ascii="Times New Roman" w:eastAsia="Times New Roman" w:hAnsi="Times New Roman" w:cs="Times New Roman"/>
                <w:color w:val="000000"/>
                <w:spacing w:val="0"/>
                <w:w w:val="100"/>
                <w:position w:val="0"/>
                <w:sz w:val="18"/>
                <w:szCs w:val="18"/>
              </w:rPr>
              <w:t>2019-025</w:t>
            </w:r>
            <w:r>
              <w:rPr>
                <w:color w:val="000000"/>
                <w:spacing w:val="0"/>
                <w:w w:val="100"/>
                <w:position w:val="0"/>
                <w:sz w:val="17"/>
                <w:szCs w:val="17"/>
              </w:rPr>
              <w:t>）。《表决权授权委 托书》自委托期限（即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日）届满之日起终止。</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r>
      <w:tr>
        <w:trPr>
          <w:trHeight w:val="413"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范建震</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69,983,148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69,983,148</w:t>
            </w:r>
          </w:p>
        </w:tc>
      </w:tr>
    </w:tbl>
    <w:p>
      <w:pPr>
        <w:spacing w:lineRule="exact" w:line="1"/>
        <w:rPr>
          <w:sz w:val="2"/>
          <w:szCs w:val="2"/>
        </w:rPr>
      </w:pPr>
      <w:r>
        <w:br w:type="page"/>
      </w:r>
    </w:p>
    <w:tbl>
      <w:tblPr>
        <w:tblOverlap w:val="never"/>
        <w:jc w:val="center"/>
        <w:tblLayout w:type="fixed"/>
      </w:tblPr>
      <w:tblGrid>
        <w:gridCol w:w="2405"/>
        <w:gridCol w:w="5045"/>
        <w:gridCol w:w="1070"/>
        <w:gridCol w:w="106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北京百度网讯科技有限公司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46,655,483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17,495,825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17,495,825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7,338,202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7,338,202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上海汉得信息技术股份有限公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司回购专用证券账户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7,000,018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7,000,018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石胜利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6,100,000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4,219,434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4,219,434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3,570,000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中信建投证券股份有限公司一 富国中证科技</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策略交易型 开放式指数证券投资基金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3,078,100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3,078,100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吴晓通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3,040,000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 关系或一致行动的说明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上述股东中陈迪清、范建震二者为一致行动人及公司实际控制人，公司未知其他股东的关联 关系或一致行动关系。</w:t>
            </w:r>
          </w:p>
        </w:tc>
      </w:tr>
      <w:tr>
        <w:trPr>
          <w:trHeight w:val="27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88" w:lineRule="exact"/>
              <w:ind w:left="0" w:right="0" w:firstLine="0"/>
              <w:jc w:val="left"/>
              <w:rPr>
                <w:sz w:val="17"/>
                <w:szCs w:val="17"/>
              </w:rPr>
            </w:pPr>
            <w:r>
              <w:rPr>
                <w:color w:val="000000"/>
                <w:spacing w:val="0"/>
                <w:w w:val="100"/>
                <w:position w:val="0"/>
                <w:sz w:val="17"/>
                <w:szCs w:val="17"/>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312" w:lineRule="exact"/>
              <w:ind w:left="0" w:right="0" w:firstLine="0"/>
              <w:jc w:val="both"/>
              <w:rPr>
                <w:sz w:val="17"/>
                <w:szCs w:val="17"/>
              </w:rPr>
            </w:pPr>
            <w:r>
              <w:rPr>
                <w:color w:val="000000"/>
                <w:spacing w:val="0"/>
                <w:w w:val="100"/>
                <w:position w:val="0"/>
                <w:sz w:val="17"/>
                <w:szCs w:val="17"/>
              </w:rPr>
              <w:t>股东邓辉除通过普通证券账户持有</w:t>
            </w:r>
            <w:r>
              <w:rPr>
                <w:rFonts w:ascii="Times New Roman" w:eastAsia="Times New Roman" w:hAnsi="Times New Roman" w:cs="Times New Roman"/>
                <w:color w:val="000000"/>
                <w:spacing w:val="0"/>
                <w:w w:val="100"/>
                <w:position w:val="0"/>
                <w:sz w:val="18"/>
                <w:szCs w:val="18"/>
              </w:rPr>
              <w:t>3,633,902</w:t>
            </w:r>
            <w:r>
              <w:rPr>
                <w:color w:val="000000"/>
                <w:spacing w:val="0"/>
                <w:w w:val="100"/>
                <w:position w:val="0"/>
                <w:sz w:val="17"/>
                <w:szCs w:val="17"/>
              </w:rPr>
              <w:t>股外，还通过兴业证券股份有限公司客户信用 交易担保证券账户持有</w:t>
            </w:r>
            <w:r>
              <w:rPr>
                <w:rFonts w:ascii="Times New Roman" w:eastAsia="Times New Roman" w:hAnsi="Times New Roman" w:cs="Times New Roman"/>
                <w:color w:val="000000"/>
                <w:spacing w:val="0"/>
                <w:w w:val="100"/>
                <w:position w:val="0"/>
                <w:sz w:val="18"/>
                <w:szCs w:val="18"/>
              </w:rPr>
              <w:t>3,704,300</w:t>
            </w:r>
            <w:r>
              <w:rPr>
                <w:color w:val="000000"/>
                <w:spacing w:val="0"/>
                <w:w w:val="100"/>
                <w:position w:val="0"/>
                <w:sz w:val="17"/>
                <w:szCs w:val="17"/>
              </w:rPr>
              <w:t>股，实际合计持有无限售流通股</w:t>
            </w:r>
            <w:r>
              <w:rPr>
                <w:rFonts w:ascii="Times New Roman" w:eastAsia="Times New Roman" w:hAnsi="Times New Roman" w:cs="Times New Roman"/>
                <w:color w:val="000000"/>
                <w:spacing w:val="0"/>
                <w:w w:val="100"/>
                <w:position w:val="0"/>
                <w:sz w:val="18"/>
                <w:szCs w:val="18"/>
              </w:rPr>
              <w:t>7,338,202</w:t>
            </w:r>
            <w:r>
              <w:rPr>
                <w:color w:val="000000"/>
                <w:spacing w:val="0"/>
                <w:w w:val="100"/>
                <w:position w:val="0"/>
                <w:sz w:val="17"/>
                <w:szCs w:val="17"/>
              </w:rPr>
              <w:t>股。</w:t>
            </w:r>
          </w:p>
          <w:p>
            <w:pPr>
              <w:pStyle w:val="Style22"/>
              <w:keepNext w:val="0"/>
              <w:keepLines w:val="0"/>
              <w:widowControl w:val="0"/>
              <w:shd w:val="clear" w:color="auto" w:fill="auto"/>
              <w:bidi w:val="0"/>
              <w:spacing w:before="0" w:after="40" w:line="312" w:lineRule="exact"/>
              <w:ind w:left="0" w:right="0" w:firstLine="0"/>
              <w:jc w:val="both"/>
              <w:rPr>
                <w:sz w:val="17"/>
                <w:szCs w:val="17"/>
              </w:rPr>
            </w:pPr>
            <w:r>
              <w:rPr>
                <w:color w:val="000000"/>
                <w:spacing w:val="0"/>
                <w:w w:val="100"/>
                <w:position w:val="0"/>
                <w:sz w:val="17"/>
                <w:szCs w:val="17"/>
              </w:rPr>
              <w:t>股东石胜利除通过普通证券账户持有</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sz w:val="17"/>
                <w:szCs w:val="17"/>
              </w:rPr>
              <w:t>股外，还通过招商证券股份有限公司客户信 用交易担保证券账户持有</w:t>
            </w:r>
            <w:r>
              <w:rPr>
                <w:rFonts w:ascii="Times New Roman" w:eastAsia="Times New Roman" w:hAnsi="Times New Roman" w:cs="Times New Roman"/>
                <w:color w:val="000000"/>
                <w:spacing w:val="0"/>
                <w:w w:val="100"/>
                <w:position w:val="0"/>
                <w:sz w:val="18"/>
                <w:szCs w:val="18"/>
              </w:rPr>
              <w:t>4,800,000</w:t>
            </w:r>
            <w:r>
              <w:rPr>
                <w:color w:val="000000"/>
                <w:spacing w:val="0"/>
                <w:w w:val="100"/>
                <w:position w:val="0"/>
                <w:sz w:val="17"/>
                <w:szCs w:val="17"/>
              </w:rPr>
              <w:t>股，实际合计持有无限售流通股</w:t>
            </w:r>
            <w:r>
              <w:rPr>
                <w:rFonts w:ascii="Times New Roman" w:eastAsia="Times New Roman" w:hAnsi="Times New Roman" w:cs="Times New Roman"/>
                <w:color w:val="000000"/>
                <w:spacing w:val="0"/>
                <w:w w:val="100"/>
                <w:position w:val="0"/>
                <w:sz w:val="18"/>
                <w:szCs w:val="18"/>
              </w:rPr>
              <w:t>6,100,000</w:t>
            </w:r>
            <w:r>
              <w:rPr>
                <w:color w:val="000000"/>
                <w:spacing w:val="0"/>
                <w:w w:val="100"/>
                <w:position w:val="0"/>
                <w:sz w:val="17"/>
                <w:szCs w:val="17"/>
              </w:rPr>
              <w:t>股。</w:t>
            </w:r>
          </w:p>
          <w:p>
            <w:pPr>
              <w:pStyle w:val="Style22"/>
              <w:keepNext w:val="0"/>
              <w:keepLines w:val="0"/>
              <w:widowControl w:val="0"/>
              <w:shd w:val="clear" w:color="auto" w:fill="auto"/>
              <w:bidi w:val="0"/>
              <w:spacing w:before="0" w:after="80" w:line="307" w:lineRule="exact"/>
              <w:ind w:left="0" w:right="0" w:firstLine="0"/>
              <w:jc w:val="both"/>
              <w:rPr>
                <w:sz w:val="17"/>
                <w:szCs w:val="17"/>
              </w:rPr>
            </w:pPr>
            <w:r>
              <w:rPr>
                <w:color w:val="000000"/>
                <w:spacing w:val="0"/>
                <w:w w:val="100"/>
                <w:position w:val="0"/>
                <w:sz w:val="17"/>
                <w:szCs w:val="17"/>
              </w:rPr>
              <w:t>股东杨虹除通过普通证券账户持有</w:t>
            </w:r>
            <w:r>
              <w:rPr>
                <w:rFonts w:ascii="Times New Roman" w:eastAsia="Times New Roman" w:hAnsi="Times New Roman" w:cs="Times New Roman"/>
                <w:color w:val="000000"/>
                <w:spacing w:val="0"/>
                <w:w w:val="100"/>
                <w:position w:val="0"/>
                <w:sz w:val="18"/>
                <w:szCs w:val="18"/>
              </w:rPr>
              <w:t>1,020,000</w:t>
            </w:r>
            <w:r>
              <w:rPr>
                <w:color w:val="000000"/>
                <w:spacing w:val="0"/>
                <w:w w:val="100"/>
                <w:position w:val="0"/>
                <w:sz w:val="17"/>
                <w:szCs w:val="17"/>
              </w:rPr>
              <w:t>股外，还通过招商证券股份有限公司客户信用 交易担保证券账户持有</w:t>
            </w:r>
            <w:r>
              <w:rPr>
                <w:rFonts w:ascii="Times New Roman" w:eastAsia="Times New Roman" w:hAnsi="Times New Roman" w:cs="Times New Roman"/>
                <w:color w:val="000000"/>
                <w:spacing w:val="0"/>
                <w:w w:val="100"/>
                <w:position w:val="0"/>
                <w:sz w:val="18"/>
                <w:szCs w:val="18"/>
              </w:rPr>
              <w:t>2,550,000</w:t>
            </w:r>
            <w:r>
              <w:rPr>
                <w:color w:val="000000"/>
                <w:spacing w:val="0"/>
                <w:w w:val="100"/>
                <w:position w:val="0"/>
                <w:sz w:val="17"/>
                <w:szCs w:val="17"/>
              </w:rPr>
              <w:t>股，实际合计持有无限售流通股</w:t>
            </w:r>
            <w:r>
              <w:rPr>
                <w:rFonts w:ascii="Times New Roman" w:eastAsia="Times New Roman" w:hAnsi="Times New Roman" w:cs="Times New Roman"/>
                <w:color w:val="000000"/>
                <w:spacing w:val="0"/>
                <w:w w:val="100"/>
                <w:position w:val="0"/>
                <w:sz w:val="18"/>
                <w:szCs w:val="18"/>
              </w:rPr>
              <w:t>3,570,000</w:t>
            </w:r>
            <w:r>
              <w:rPr>
                <w:color w:val="000000"/>
                <w:spacing w:val="0"/>
                <w:w w:val="100"/>
                <w:position w:val="0"/>
                <w:sz w:val="17"/>
                <w:szCs w:val="17"/>
              </w:rPr>
              <w:t>股。</w:t>
            </w:r>
          </w:p>
          <w:p>
            <w:pPr>
              <w:pStyle w:val="Style22"/>
              <w:keepNext w:val="0"/>
              <w:keepLines w:val="0"/>
              <w:widowControl w:val="0"/>
              <w:shd w:val="clear" w:color="auto" w:fill="auto"/>
              <w:bidi w:val="0"/>
              <w:spacing w:before="0" w:after="60" w:line="307" w:lineRule="exact"/>
              <w:ind w:left="0" w:right="0" w:firstLine="0"/>
              <w:jc w:val="both"/>
              <w:rPr>
                <w:sz w:val="17"/>
                <w:szCs w:val="17"/>
              </w:rPr>
            </w:pPr>
            <w:r>
              <w:rPr>
                <w:color w:val="000000"/>
                <w:spacing w:val="0"/>
                <w:w w:val="100"/>
                <w:position w:val="0"/>
                <w:sz w:val="17"/>
                <w:szCs w:val="17"/>
              </w:rPr>
              <w:t>股东吴晓通除通过普通证券账户持有</w:t>
            </w:r>
            <w:r>
              <w:rPr>
                <w:rFonts w:ascii="Times New Roman" w:eastAsia="Times New Roman" w:hAnsi="Times New Roman" w:cs="Times New Roman"/>
                <w:color w:val="000000"/>
                <w:spacing w:val="0"/>
                <w:w w:val="100"/>
                <w:position w:val="0"/>
                <w:sz w:val="18"/>
                <w:szCs w:val="18"/>
              </w:rPr>
              <w:t>1,520,000</w:t>
            </w:r>
            <w:r>
              <w:rPr>
                <w:color w:val="000000"/>
                <w:spacing w:val="0"/>
                <w:w w:val="100"/>
                <w:position w:val="0"/>
                <w:sz w:val="17"/>
                <w:szCs w:val="17"/>
              </w:rPr>
              <w:t>股外，还通过兴业证券股份有限公司客户信 用交易担保证券账户持有</w:t>
            </w:r>
            <w:r>
              <w:rPr>
                <w:rFonts w:ascii="Times New Roman" w:eastAsia="Times New Roman" w:hAnsi="Times New Roman" w:cs="Times New Roman"/>
                <w:color w:val="000000"/>
                <w:spacing w:val="0"/>
                <w:w w:val="100"/>
                <w:position w:val="0"/>
                <w:sz w:val="18"/>
                <w:szCs w:val="18"/>
              </w:rPr>
              <w:t>1,520,000</w:t>
            </w:r>
            <w:r>
              <w:rPr>
                <w:color w:val="000000"/>
                <w:spacing w:val="0"/>
                <w:w w:val="100"/>
                <w:position w:val="0"/>
                <w:sz w:val="17"/>
                <w:szCs w:val="17"/>
              </w:rPr>
              <w:t>股，实际合计持有无限售流通股</w:t>
            </w:r>
            <w:r>
              <w:rPr>
                <w:rFonts w:ascii="Times New Roman" w:eastAsia="Times New Roman" w:hAnsi="Times New Roman" w:cs="Times New Roman"/>
                <w:color w:val="000000"/>
                <w:spacing w:val="0"/>
                <w:w w:val="100"/>
                <w:position w:val="0"/>
                <w:sz w:val="18"/>
                <w:szCs w:val="18"/>
              </w:rPr>
              <w:t>3,040,000</w:t>
            </w:r>
            <w:r>
              <w:rPr>
                <w:color w:val="000000"/>
                <w:spacing w:val="0"/>
                <w:w w:val="100"/>
                <w:position w:val="0"/>
                <w:sz w:val="17"/>
                <w:szCs w:val="17"/>
              </w:rPr>
              <w:t>股。</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line="24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、公司控股股东情况</w:t>
      </w:r>
      <w:bookmarkEnd w:id="501"/>
      <w:bookmarkEnd w:id="502"/>
      <w:bookmarkEnd w:id="504"/>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控股股东性质：自然人控股</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控股股东类型：自然人</w:t>
      </w:r>
      <w:r>
        <w:br w:type="page"/>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范建震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陈迪清担任公司董事长，范建震于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日担任 公司董事</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3</w:t>
      </w:r>
      <w:bookmarkEnd w:id="507"/>
      <w:r>
        <w:rPr>
          <w:color w:val="000000"/>
          <w:spacing w:val="0"/>
          <w:w w:val="100"/>
          <w:position w:val="0"/>
        </w:rPr>
        <w:t>、公司实际控制人及其一致行动人</w:t>
      </w:r>
      <w:bookmarkEnd w:id="505"/>
      <w:bookmarkEnd w:id="506"/>
      <w:bookmarkEnd w:id="50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一致行动（含协议、亲属、同 一控制）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范建震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一致行动（含协议、亲属、同 一控制）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陈迪清担任公司董事长，范建震于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日担任公司董事</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676015" cy="262763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3676015" cy="2627630"/>
                    </a:xfrm>
                    <a:prstGeom prst="rect"/>
                  </pic:spPr>
                </pic:pic>
              </a:graphicData>
            </a:graphic>
          </wp:inline>
        </w:drawing>
      </w:r>
    </w:p>
    <w:p>
      <w:pPr>
        <w:widowControl w:val="0"/>
        <w:spacing w:after="3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4</w:t>
      </w:r>
      <w:bookmarkEnd w:id="51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9"/>
      <w:bookmarkEnd w:id="510"/>
      <w:bookmarkEnd w:id="512"/>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5</w:t>
      </w:r>
      <w:bookmarkEnd w:id="515"/>
      <w:r>
        <w:rPr>
          <w:color w:val="000000"/>
          <w:spacing w:val="0"/>
          <w:w w:val="100"/>
          <w:position w:val="0"/>
        </w:rPr>
        <w:t>、</w:t>
        <w:tab/>
        <w:t>控股股东、实际控制人、重组方及其他承诺主体股份限制减持情况</w:t>
      </w:r>
      <w:bookmarkEnd w:id="513"/>
      <w:bookmarkEnd w:id="514"/>
      <w:bookmarkEnd w:id="516"/>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249" w:right="1064" w:bottom="1446" w:left="103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17" w:name="bookmark517"/>
                            <w:bookmarkStart w:id="518" w:name="bookmark518"/>
                            <w:bookmarkStart w:id="519" w:name="bookmark519"/>
                            <w:r>
                              <w:rPr>
                                <w:color w:val="000000"/>
                                <w:spacing w:val="0"/>
                                <w:w w:val="100"/>
                                <w:position w:val="0"/>
                              </w:rPr>
                              <w:t>第七节优先股相关情况</w:t>
                            </w:r>
                            <w:bookmarkEnd w:id="517"/>
                            <w:bookmarkEnd w:id="518"/>
                            <w:bookmarkEnd w:id="519"/>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17" w:name="bookmark517"/>
                      <w:bookmarkStart w:id="518" w:name="bookmark518"/>
                      <w:bookmarkStart w:id="519" w:name="bookmark519"/>
                      <w:r>
                        <w:rPr>
                          <w:color w:val="000000"/>
                          <w:spacing w:val="0"/>
                          <w:w w:val="100"/>
                          <w:position w:val="0"/>
                        </w:rPr>
                        <w:t>第七节优先股相关情况</w:t>
                      </w:r>
                      <w:bookmarkEnd w:id="517"/>
                      <w:bookmarkEnd w:id="518"/>
                      <w:bookmarkEnd w:id="519"/>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0"/>
        <w:jc w:val="left"/>
      </w:pPr>
      <w:bookmarkStart w:id="520" w:name="bookmark52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0"/>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600" w:after="560" w:line="240" w:lineRule="auto"/>
        <w:ind w:left="0" w:right="0" w:firstLine="0"/>
        <w:jc w:val="center"/>
      </w:pPr>
      <w:bookmarkStart w:id="521" w:name="bookmark521"/>
      <w:bookmarkStart w:id="522" w:name="bookmark522"/>
      <w:bookmarkStart w:id="523" w:name="bookmark523"/>
      <w:r>
        <w:rPr>
          <w:color w:val="000000"/>
          <w:spacing w:val="0"/>
          <w:w w:val="100"/>
          <w:position w:val="0"/>
        </w:rPr>
        <w:t>第八节可转换公司债券相关情况</w:t>
      </w:r>
      <w:bookmarkEnd w:id="521"/>
      <w:bookmarkEnd w:id="522"/>
      <w:bookmarkEnd w:id="523"/>
    </w:p>
    <w:p>
      <w:pPr>
        <w:pStyle w:val="Style28"/>
        <w:keepNext w:val="0"/>
        <w:keepLines w:val="0"/>
        <w:widowControl w:val="0"/>
        <w:shd w:val="clear" w:color="auto" w:fill="auto"/>
        <w:bidi w:val="0"/>
        <w:spacing w:before="0" w:after="380" w:line="240" w:lineRule="auto"/>
        <w:ind w:left="0" w:right="0" w:firstLine="0"/>
        <w:jc w:val="left"/>
      </w:pPr>
      <w:bookmarkStart w:id="524" w:name="bookmark524"/>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524"/>
    </w:p>
    <w:p>
      <w:pPr>
        <w:pStyle w:val="Style26"/>
        <w:keepNext/>
        <w:keepLines/>
        <w:widowControl w:val="0"/>
        <w:shd w:val="clear" w:color="auto" w:fill="auto"/>
        <w:tabs>
          <w:tab w:pos="517" w:val="left"/>
        </w:tabs>
        <w:bidi w:val="0"/>
        <w:spacing w:before="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一</w:t>
      </w:r>
      <w:bookmarkEnd w:id="527"/>
      <w:r>
        <w:rPr>
          <w:color w:val="000000"/>
          <w:spacing w:val="0"/>
          <w:w w:val="100"/>
          <w:position w:val="0"/>
        </w:rPr>
        <w:t>、</w:t>
        <w:tab/>
        <w:t>转股价格历次调整情况</w:t>
      </w:r>
      <w:bookmarkEnd w:id="525"/>
      <w:bookmarkEnd w:id="526"/>
      <w:bookmarkEnd w:id="52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517" w:val="left"/>
        </w:tabs>
        <w:bidi w:val="0"/>
        <w:spacing w:before="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二</w:t>
      </w:r>
      <w:bookmarkEnd w:id="531"/>
      <w:r>
        <w:rPr>
          <w:color w:val="000000"/>
          <w:spacing w:val="0"/>
          <w:w w:val="100"/>
          <w:position w:val="0"/>
        </w:rPr>
        <w:t>、</w:t>
        <w:tab/>
        <w:t>累计转股情况</w:t>
      </w:r>
      <w:bookmarkEnd w:id="529"/>
      <w:bookmarkEnd w:id="530"/>
      <w:bookmarkEnd w:id="532"/>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三</w:t>
      </w:r>
      <w:bookmarkEnd w:id="535"/>
      <w:r>
        <w:rPr>
          <w:color w:val="000000"/>
          <w:spacing w:val="0"/>
          <w:w w:val="100"/>
          <w:position w:val="0"/>
        </w:rPr>
        <w:t>、</w:t>
        <w:tab/>
        <w:t>前十名可转债持有人情况</w:t>
      </w:r>
      <w:bookmarkEnd w:id="533"/>
      <w:bookmarkEnd w:id="534"/>
      <w:bookmarkEnd w:id="53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可转债持有人名称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可转债持有人性质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报告期末持有可转 债数量（张）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报告期末持有可转 债金额（元）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报告期末持有可转 债占比</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UBS AG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95,400,489.00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中国建设银行股份 有限公司一易方达 双债增强债券型证 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70,261,152.60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全国社保基金一零</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零二组合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43,855,564.00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基本养老保险基金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一零五组合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30,269,131.60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平安精选增值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 混合型养老金产品 —中国工商银行股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24,862,384.60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中国民生银行股份 有限公司一光大保 德信信用添益债券 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20,119,094.60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中国工商银行股份 有限公司一兴全恒 益债券型证券投资 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20,118,893.40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中国工商银行股份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18,304,673.00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有限公司一汇添富 可转换债券债券型 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中国工商银行股份 有限公司一汇添富 双利债券型证券投 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15,089,195.20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中国光大银行股份 有限公司一易方达 裕景添利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个月定 期开放债券型证券 投资基金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14,894,534.20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bl>
    <w:p>
      <w:pPr>
        <w:pStyle w:val="Style38"/>
        <w:keepNext w:val="0"/>
        <w:keepLines w:val="0"/>
        <w:widowControl w:val="0"/>
        <w:shd w:val="clear" w:color="auto" w:fill="auto"/>
        <w:bidi w:val="0"/>
        <w:spacing w:before="0" w:after="0" w:line="240" w:lineRule="auto"/>
        <w:ind w:left="10" w:right="0" w:firstLine="0"/>
        <w:jc w:val="left"/>
        <w:rPr>
          <w:sz w:val="22"/>
          <w:szCs w:val="22"/>
        </w:rPr>
      </w:pPr>
      <w:bookmarkStart w:id="537" w:name="bookmark537"/>
      <w:r>
        <w:rPr>
          <w:color w:val="000000"/>
          <w:spacing w:val="0"/>
          <w:w w:val="100"/>
          <w:position w:val="0"/>
          <w:sz w:val="22"/>
          <w:szCs w:val="22"/>
        </w:rPr>
        <w:t>四、担保人盈利能力、资产状况和信用状况发生重大变化的情况</w:t>
      </w:r>
      <w:bookmarkEnd w:id="537"/>
    </w:p>
    <w:p>
      <w:pPr>
        <w:widowControl w:val="0"/>
        <w:spacing w:after="339" w:line="1" w:lineRule="exact"/>
      </w:pPr>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left"/>
        <w:rPr>
          <w:sz w:val="22"/>
          <w:szCs w:val="22"/>
        </w:rPr>
      </w:pPr>
      <w:bookmarkStart w:id="538" w:name="bookmark538"/>
      <w:r>
        <w:rPr>
          <w:color w:val="000000"/>
          <w:spacing w:val="0"/>
          <w:w w:val="100"/>
          <w:position w:val="0"/>
          <w:sz w:val="22"/>
          <w:szCs w:val="22"/>
        </w:rPr>
        <w:t>五、报告期末公司的负债情况、资信变化情况以及在未来年度还债的现金安排</w:t>
      </w:r>
      <w:bookmarkEnd w:id="538"/>
    </w:p>
    <w:tbl>
      <w:tblPr>
        <w:tblOverlap w:val="never"/>
        <w:jc w:val="center"/>
        <w:tblLayout w:type="fixed"/>
      </w:tblPr>
      <w:tblGrid>
        <w:gridCol w:w="1795"/>
        <w:gridCol w:w="2102"/>
        <w:gridCol w:w="2083"/>
        <w:gridCol w:w="3696"/>
      </w:tblGrid>
      <w:tr>
        <w:trPr>
          <w:trHeight w:val="302" w:hRule="exact"/>
        </w:trPr>
        <w:tc>
          <w:tcPr>
            <w:gridSpan w:val="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1.</w:t>
            </w:r>
            <w:r>
              <w:rPr>
                <w:color w:val="000000"/>
                <w:spacing w:val="0"/>
                <w:w w:val="100"/>
                <w:position w:val="0"/>
              </w:rPr>
              <w:t>截至报告期末公司主要会计数据、财务指标及变动情况说明：</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本报告期末比上年度末增减</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36.68%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流动比率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0.63</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本报告期比上年同期增减</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4.62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EBITDA</w:t>
            </w:r>
            <w:r>
              <w:rPr>
                <w:color w:val="000000"/>
                <w:spacing w:val="0"/>
                <w:w w:val="100"/>
                <w:position w:val="0"/>
                <w:sz w:val="20"/>
                <w:szCs w:val="20"/>
              </w:rPr>
              <w:t>利息保障</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倍数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6.15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8.82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贷款偿还率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利息偿付率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3.62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w:t>
            </w:r>
          </w:p>
        </w:tc>
      </w:tr>
    </w:tbl>
    <w:p>
      <w:pPr>
        <w:widowControl w:val="0"/>
        <w:spacing w:after="179" w:line="1" w:lineRule="exact"/>
      </w:pPr>
    </w:p>
    <w:p>
      <w:pPr>
        <w:pStyle w:val="Style35"/>
        <w:keepNext w:val="0"/>
        <w:keepLines w:val="0"/>
        <w:widowControl w:val="0"/>
        <w:shd w:val="clear" w:color="auto" w:fill="auto"/>
        <w:tabs>
          <w:tab w:pos="817" w:val="left"/>
        </w:tabs>
        <w:bidi w:val="0"/>
        <w:spacing w:before="0" w:after="0" w:line="469" w:lineRule="exact"/>
        <w:ind w:left="0" w:right="0" w:firstLine="480"/>
        <w:jc w:val="both"/>
      </w:pPr>
      <w:bookmarkStart w:id="539" w:name="bookmark539"/>
      <w:r>
        <w:rPr>
          <w:color w:val="000000"/>
          <w:spacing w:val="0"/>
          <w:w w:val="100"/>
          <w:position w:val="0"/>
          <w:sz w:val="24"/>
          <w:szCs w:val="24"/>
        </w:rPr>
        <w:t>2</w:t>
      </w:r>
      <w:bookmarkEnd w:id="539"/>
      <w:r>
        <w:rPr>
          <w:color w:val="000000"/>
          <w:spacing w:val="0"/>
          <w:w w:val="100"/>
          <w:position w:val="0"/>
        </w:rPr>
        <w:t>、</w:t>
        <w:tab/>
        <w:t>报告期末公司可转债资信评级状况：上海新世纪资信评估投资服务有限公司于</w:t>
      </w:r>
      <w:r>
        <w:rPr>
          <w:color w:val="000000"/>
          <w:spacing w:val="0"/>
          <w:w w:val="100"/>
          <w:position w:val="0"/>
          <w:sz w:val="24"/>
          <w:szCs w:val="24"/>
        </w:rPr>
        <w:t xml:space="preserve">2020 </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13</w:t>
      </w:r>
      <w:r>
        <w:rPr>
          <w:color w:val="000000"/>
          <w:spacing w:val="0"/>
          <w:w w:val="100"/>
          <w:position w:val="0"/>
        </w:rPr>
        <w:t>日出具了《上海汉得信息技术股份有限公司创业板公开发行可转换公司债券信用评级 报告》，公司主体信用等级为</w:t>
      </w:r>
      <w:r>
        <w:rPr>
          <w:color w:val="000000"/>
          <w:spacing w:val="0"/>
          <w:w w:val="100"/>
          <w:position w:val="0"/>
          <w:sz w:val="24"/>
          <w:szCs w:val="24"/>
        </w:rPr>
        <w:t>AA,</w:t>
      </w:r>
      <w:r>
        <w:rPr>
          <w:color w:val="000000"/>
          <w:spacing w:val="0"/>
          <w:w w:val="100"/>
          <w:position w:val="0"/>
        </w:rPr>
        <w:t>评级展望为“稳定”，汉得转债信用等级为</w:t>
      </w:r>
      <w:r>
        <w:rPr>
          <w:color w:val="000000"/>
          <w:spacing w:val="0"/>
          <w:w w:val="100"/>
          <w:position w:val="0"/>
          <w:sz w:val="24"/>
          <w:szCs w:val="24"/>
        </w:rPr>
        <w:t>AA；</w:t>
      </w:r>
      <w:r>
        <w:rPr>
          <w:color w:val="000000"/>
          <w:spacing w:val="0"/>
          <w:w w:val="100"/>
          <w:position w:val="0"/>
        </w:rPr>
        <w:t>上海新世 纪资信评估投资服务有限公司于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22</w:t>
      </w:r>
      <w:r>
        <w:rPr>
          <w:color w:val="000000"/>
          <w:spacing w:val="0"/>
          <w:w w:val="100"/>
          <w:position w:val="0"/>
        </w:rPr>
        <w:t>日出具了《上海汉得信息技术股份有限公司创业 板公开发行可转换公司债券跟踪评级报告》，本次跟踪评级结果与上一次评级结果相比未发 生变化。上述信用评级报告及跟踪评级报告详见巨潮资讯网</w:t>
      </w:r>
      <w:r>
        <w:rPr>
          <w:color w:val="000000"/>
          <w:spacing w:val="0"/>
          <w:w w:val="100"/>
          <w:position w:val="0"/>
          <w:sz w:val="24"/>
          <w:szCs w:val="24"/>
        </w:rPr>
        <w:t>(</w:t>
      </w:r>
      <w:r>
        <w:fldChar w:fldCharType="begin"/>
      </w:r>
      <w:r>
        <w:rPr/>
        <w:instrText> HYPERLINK "http://www.cninfo.com.cn" </w:instrText>
      </w:r>
      <w:r>
        <w:fldChar w:fldCharType="separate"/>
      </w:r>
      <w:r>
        <w:rPr>
          <w:color w:val="000000"/>
          <w:spacing w:val="0"/>
          <w:w w:val="100"/>
          <w:position w:val="0"/>
          <w:sz w:val="24"/>
          <w:szCs w:val="24"/>
        </w:rPr>
        <w:t>www.cninfo.com.cn</w:t>
      </w:r>
      <w:r>
        <w:fldChar w:fldCharType="end"/>
      </w:r>
      <w:r>
        <w:rPr>
          <w:color w:val="000000"/>
          <w:spacing w:val="0"/>
          <w:w w:val="100"/>
          <w:position w:val="0"/>
          <w:sz w:val="24"/>
          <w:szCs w:val="24"/>
        </w:rPr>
        <w:t xml:space="preserve"> </w:t>
      </w:r>
      <w:r>
        <w:rPr>
          <w:color w:val="000000"/>
          <w:spacing w:val="0"/>
          <w:w w:val="100"/>
          <w:position w:val="0"/>
        </w:rPr>
        <w:t>)。</w:t>
      </w:r>
    </w:p>
    <w:p>
      <w:pPr>
        <w:pStyle w:val="Style35"/>
        <w:keepNext w:val="0"/>
        <w:keepLines w:val="0"/>
        <w:widowControl w:val="0"/>
        <w:shd w:val="clear" w:color="auto" w:fill="auto"/>
        <w:tabs>
          <w:tab w:pos="814" w:val="left"/>
        </w:tabs>
        <w:bidi w:val="0"/>
        <w:spacing w:before="0" w:after="0" w:line="469" w:lineRule="exact"/>
        <w:ind w:left="0" w:right="0" w:firstLine="480"/>
        <w:jc w:val="both"/>
      </w:pPr>
      <w:bookmarkStart w:id="540" w:name="bookmark540"/>
      <w:r>
        <w:rPr>
          <w:color w:val="000000"/>
          <w:spacing w:val="0"/>
          <w:w w:val="100"/>
          <w:position w:val="0"/>
          <w:sz w:val="24"/>
          <w:szCs w:val="24"/>
        </w:rPr>
        <w:t>3</w:t>
      </w:r>
      <w:bookmarkEnd w:id="540"/>
      <w:r>
        <w:rPr>
          <w:color w:val="000000"/>
          <w:spacing w:val="0"/>
          <w:w w:val="100"/>
          <w:position w:val="0"/>
        </w:rPr>
        <w:t>、</w:t>
        <w:tab/>
        <w:t xml:space="preserve">未来年度还债现金安排公司资信情况良好，资产负债结构合理，公司经营稳定、业绩 良好，能通过内生增长获得稳定的经营性现金流，具有较强的偿债能力。同时，公司将积极 </w:t>
      </w:r>
      <w:r>
        <w:rPr>
          <w:color w:val="000000"/>
          <w:spacing w:val="0"/>
          <w:w w:val="100"/>
          <w:position w:val="0"/>
        </w:rPr>
        <w:t>推进可转换公司债券募投项目的实施，进一步提升公司的盈利能力。</w:t>
      </w:r>
      <w:r>
        <w:br w:type="page"/>
      </w:r>
    </w:p>
    <w:p>
      <w:pPr>
        <w:pStyle w:val="Style14"/>
        <w:keepNext/>
        <w:keepLines/>
        <w:widowControl w:val="0"/>
        <w:shd w:val="clear" w:color="auto" w:fill="auto"/>
        <w:bidi w:val="0"/>
        <w:spacing w:before="0" w:after="540" w:line="240" w:lineRule="auto"/>
        <w:ind w:left="0" w:right="0" w:firstLine="0"/>
        <w:jc w:val="center"/>
      </w:pPr>
      <w:bookmarkStart w:id="541" w:name="bookmark541"/>
      <w:bookmarkStart w:id="542" w:name="bookmark542"/>
      <w:bookmarkStart w:id="543" w:name="bookmark543"/>
      <w:r>
        <w:rPr>
          <w:color w:val="000000"/>
          <w:spacing w:val="0"/>
          <w:w w:val="100"/>
          <w:position w:val="0"/>
        </w:rPr>
        <w:t>第九节董事、监事、高级管理人员和员工情况</w:t>
      </w:r>
      <w:bookmarkEnd w:id="541"/>
      <w:bookmarkEnd w:id="542"/>
      <w:bookmarkEnd w:id="543"/>
    </w:p>
    <w:p>
      <w:pPr>
        <w:pStyle w:val="Style26"/>
        <w:keepNext/>
        <w:keepLines/>
        <w:widowControl w:val="0"/>
        <w:shd w:val="clear" w:color="auto" w:fill="auto"/>
        <w:bidi w:val="0"/>
        <w:spacing w:before="0" w:after="320" w:line="240" w:lineRule="auto"/>
        <w:ind w:left="0" w:right="0" w:firstLine="0"/>
        <w:jc w:val="left"/>
      </w:pPr>
      <w:bookmarkStart w:id="544" w:name="bookmark544"/>
      <w:bookmarkStart w:id="545" w:name="bookmark545"/>
      <w:bookmarkStart w:id="546" w:name="bookmark546"/>
      <w:bookmarkStart w:id="547" w:name="bookmark547"/>
      <w:bookmarkStart w:id="548" w:name="bookmark548"/>
      <w:r>
        <w:rPr>
          <w:color w:val="000000"/>
          <w:spacing w:val="0"/>
          <w:w w:val="100"/>
          <w:position w:val="0"/>
        </w:rPr>
        <w:t>一</w:t>
      </w:r>
      <w:bookmarkEnd w:id="547"/>
      <w:r>
        <w:rPr>
          <w:color w:val="000000"/>
          <w:spacing w:val="0"/>
          <w:w w:val="100"/>
          <w:position w:val="0"/>
        </w:rPr>
        <w:t>、董事、监事和高级管理人员持股变动</w:t>
      </w:r>
      <w:bookmarkEnd w:id="545"/>
      <w:bookmarkEnd w:id="546"/>
      <w:bookmarkEnd w:id="548"/>
      <w:bookmarkEnd w:id="544"/>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left"/>
              <w:rPr>
                <w:sz w:val="17"/>
                <w:szCs w:val="17"/>
              </w:rPr>
            </w:pPr>
            <w:r>
              <w:rPr>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本期增持 股份数量</w:t>
            </w:r>
          </w:p>
          <w:p>
            <w:pPr>
              <w:pStyle w:val="Style2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本期减持 股份数量</w:t>
            </w:r>
          </w:p>
          <w:p>
            <w:pPr>
              <w:pStyle w:val="Style2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69,983,30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69,983,30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总经理、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1,183,807</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陈熠星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贾殿龙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廖卫平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颜克益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刘静波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沈雁冰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r>
    </w:tbl>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书、财务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尹世明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71,277,10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71,277,10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38"/>
        <w:keepNext w:val="0"/>
        <w:keepLines w:val="0"/>
        <w:widowControl w:val="0"/>
        <w:shd w:val="clear" w:color="auto" w:fill="auto"/>
        <w:bidi w:val="0"/>
        <w:spacing w:before="0" w:after="0" w:line="240" w:lineRule="auto"/>
        <w:ind w:left="0" w:right="0" w:firstLine="0"/>
        <w:jc w:val="left"/>
        <w:rPr>
          <w:sz w:val="22"/>
          <w:szCs w:val="22"/>
        </w:rPr>
      </w:pPr>
      <w:bookmarkStart w:id="549" w:name="bookmark549"/>
      <w:r>
        <w:rPr>
          <w:color w:val="000000"/>
          <w:spacing w:val="0"/>
          <w:w w:val="100"/>
          <w:position w:val="0"/>
          <w:sz w:val="22"/>
          <w:szCs w:val="22"/>
        </w:rPr>
        <w:t>二、公司董事、监事、高级管理人员变动情况</w:t>
      </w:r>
      <w:bookmarkEnd w:id="549"/>
    </w:p>
    <w:p>
      <w:pPr>
        <w:widowControl w:val="0"/>
        <w:spacing w:after="319" w:line="1" w:lineRule="exact"/>
      </w:pPr>
    </w:p>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尹世明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个人原因申请辞去公司董事职务</w:t>
            </w:r>
          </w:p>
        </w:tc>
      </w:tr>
    </w:tbl>
    <w:p>
      <w:pPr>
        <w:pStyle w:val="Style38"/>
        <w:keepNext w:val="0"/>
        <w:keepLines w:val="0"/>
        <w:widowControl w:val="0"/>
        <w:shd w:val="clear" w:color="auto" w:fill="auto"/>
        <w:bidi w:val="0"/>
        <w:spacing w:before="0" w:after="0" w:line="240" w:lineRule="auto"/>
        <w:ind w:left="0" w:right="0" w:firstLine="0"/>
        <w:jc w:val="left"/>
        <w:rPr>
          <w:sz w:val="22"/>
          <w:szCs w:val="22"/>
        </w:rPr>
      </w:pPr>
      <w:bookmarkStart w:id="550" w:name="bookmark550"/>
      <w:r>
        <w:rPr>
          <w:color w:val="000000"/>
          <w:spacing w:val="0"/>
          <w:w w:val="100"/>
          <w:position w:val="0"/>
          <w:sz w:val="22"/>
          <w:szCs w:val="22"/>
        </w:rPr>
        <w:t>三、任职情况</w:t>
      </w:r>
      <w:bookmarkEnd w:id="550"/>
    </w:p>
    <w:p>
      <w:pPr>
        <w:widowControl w:val="0"/>
        <w:spacing w:after="359" w:line="1" w:lineRule="exact"/>
      </w:pP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35"/>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陈迪清先生：中国国籍，</w:t>
      </w:r>
      <w:r>
        <w:rPr>
          <w:color w:val="000000"/>
          <w:spacing w:val="0"/>
          <w:w w:val="100"/>
          <w:position w:val="0"/>
          <w:sz w:val="24"/>
          <w:szCs w:val="24"/>
        </w:rPr>
        <w:t>1963</w:t>
      </w:r>
      <w:r>
        <w:rPr>
          <w:color w:val="000000"/>
          <w:spacing w:val="0"/>
          <w:w w:val="100"/>
          <w:position w:val="0"/>
        </w:rPr>
        <w:t>年出生，拥有新加坡永久居留权。复旦大学电子工程系理 学学士、美国</w:t>
      </w:r>
      <w:r>
        <w:rPr>
          <w:color w:val="000000"/>
          <w:spacing w:val="0"/>
          <w:w w:val="100"/>
          <w:position w:val="0"/>
          <w:sz w:val="24"/>
          <w:szCs w:val="24"/>
        </w:rPr>
        <w:t>LouisianaTechUniversity</w:t>
      </w:r>
      <w:r>
        <w:rPr>
          <w:color w:val="000000"/>
          <w:spacing w:val="0"/>
          <w:w w:val="100"/>
          <w:position w:val="0"/>
        </w:rPr>
        <w:t>理学硕士学位。曾任中国惠普有限公司上海分公司地 区销售经理，美国</w:t>
      </w:r>
      <w:r>
        <w:rPr>
          <w:color w:val="000000"/>
          <w:spacing w:val="0"/>
          <w:w w:val="100"/>
          <w:position w:val="0"/>
          <w:sz w:val="24"/>
          <w:szCs w:val="24"/>
        </w:rPr>
        <w:t>SkywellTechnology</w:t>
      </w:r>
      <w:r>
        <w:rPr>
          <w:color w:val="000000"/>
          <w:spacing w:val="0"/>
          <w:w w:val="100"/>
          <w:position w:val="0"/>
        </w:rPr>
        <w:t>公司工程师，西门子一利多富华东</w:t>
      </w:r>
      <w:r>
        <w:rPr>
          <w:color w:val="000000"/>
          <w:spacing w:val="0"/>
          <w:w w:val="100"/>
          <w:position w:val="0"/>
          <w:sz w:val="24"/>
          <w:szCs w:val="24"/>
        </w:rPr>
        <w:t>/</w:t>
      </w:r>
      <w:r>
        <w:rPr>
          <w:color w:val="000000"/>
          <w:spacing w:val="0"/>
          <w:w w:val="100"/>
          <w:position w:val="0"/>
        </w:rPr>
        <w:t>华中区总经理，思 爱普（北京）软件技术有限公司</w:t>
      </w:r>
      <w:r>
        <w:rPr>
          <w:color w:val="000000"/>
          <w:spacing w:val="0"/>
          <w:w w:val="100"/>
          <w:position w:val="0"/>
          <w:sz w:val="24"/>
          <w:szCs w:val="24"/>
        </w:rPr>
        <w:t>（SAP</w:t>
      </w:r>
      <w:r>
        <w:rPr>
          <w:color w:val="000000"/>
          <w:spacing w:val="0"/>
          <w:w w:val="100"/>
          <w:position w:val="0"/>
        </w:rPr>
        <w:t>中国）市场及销售总监，上海汉得信息技术有限公司总 裁。</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2</w:t>
      </w:r>
      <w:r>
        <w:rPr>
          <w:color w:val="000000"/>
          <w:spacing w:val="0"/>
          <w:w w:val="100"/>
          <w:position w:val="0"/>
        </w:rPr>
        <w:t>月至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月担任公司总经理、董事，</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月至今担任公司董事长。兼任随 身科技（上海）有限公司董事长、上海汉得微扬信息技术有限公司董事长、上海甄实建筑科 技有限公司董事长、上海亿砹科技有限公司执行董事。</w:t>
      </w:r>
    </w:p>
    <w:p>
      <w:pPr>
        <w:pStyle w:val="Style35"/>
        <w:keepNext w:val="0"/>
        <w:keepLines w:val="0"/>
        <w:widowControl w:val="0"/>
        <w:shd w:val="clear" w:color="auto" w:fill="auto"/>
        <w:bidi w:val="0"/>
        <w:spacing w:before="0" w:after="340" w:line="470" w:lineRule="exact"/>
        <w:ind w:left="0" w:right="0" w:firstLine="980"/>
        <w:jc w:val="left"/>
      </w:pPr>
      <w:r>
        <w:rPr>
          <w:color w:val="000000"/>
          <w:spacing w:val="0"/>
          <w:w w:val="100"/>
          <w:position w:val="0"/>
        </w:rPr>
        <w:t>黄益全先生：中国国籍，</w:t>
      </w:r>
      <w:r>
        <w:rPr>
          <w:color w:val="000000"/>
          <w:spacing w:val="0"/>
          <w:w w:val="100"/>
          <w:position w:val="0"/>
          <w:sz w:val="24"/>
          <w:szCs w:val="24"/>
        </w:rPr>
        <w:t>1978</w:t>
      </w:r>
      <w:r>
        <w:rPr>
          <w:color w:val="000000"/>
          <w:spacing w:val="0"/>
          <w:w w:val="100"/>
          <w:position w:val="0"/>
        </w:rPr>
        <w:t>年出生，无永久境外居留权。</w:t>
      </w:r>
      <w:r>
        <w:rPr>
          <w:color w:val="000000"/>
          <w:spacing w:val="0"/>
          <w:w w:val="100"/>
          <w:position w:val="0"/>
          <w:sz w:val="24"/>
          <w:szCs w:val="24"/>
        </w:rPr>
        <w:t>2000</w:t>
      </w:r>
      <w:r>
        <w:rPr>
          <w:color w:val="000000"/>
          <w:spacing w:val="0"/>
          <w:w w:val="100"/>
          <w:position w:val="0"/>
        </w:rPr>
        <w:t>年毕业于复旦大学 管理学院管理信息系统专业，并于同年加入公司任职</w:t>
      </w:r>
      <w:r>
        <w:rPr>
          <w:color w:val="000000"/>
          <w:spacing w:val="0"/>
          <w:w w:val="100"/>
          <w:position w:val="0"/>
          <w:sz w:val="24"/>
          <w:szCs w:val="24"/>
        </w:rPr>
        <w:t>ERP</w:t>
      </w:r>
      <w:r>
        <w:rPr>
          <w:color w:val="000000"/>
          <w:spacing w:val="0"/>
          <w:w w:val="100"/>
          <w:position w:val="0"/>
        </w:rPr>
        <w:t>咨询顾问，</w:t>
      </w:r>
      <w:r>
        <w:rPr>
          <w:color w:val="000000"/>
          <w:spacing w:val="0"/>
          <w:w w:val="100"/>
          <w:position w:val="0"/>
          <w:sz w:val="24"/>
          <w:szCs w:val="24"/>
        </w:rPr>
        <w:t>2006</w:t>
      </w:r>
      <w:r>
        <w:rPr>
          <w:color w:val="000000"/>
          <w:spacing w:val="0"/>
          <w:w w:val="100"/>
          <w:position w:val="0"/>
        </w:rPr>
        <w:t>年担任公司北方区总 经理，</w:t>
      </w:r>
      <w:r>
        <w:rPr>
          <w:color w:val="000000"/>
          <w:spacing w:val="0"/>
          <w:w w:val="100"/>
          <w:position w:val="0"/>
          <w:sz w:val="24"/>
          <w:szCs w:val="24"/>
        </w:rPr>
        <w:t>2007</w:t>
      </w:r>
      <w:r>
        <w:rPr>
          <w:color w:val="000000"/>
          <w:spacing w:val="0"/>
          <w:w w:val="100"/>
          <w:position w:val="0"/>
        </w:rPr>
        <w:t>年至</w:t>
      </w:r>
      <w:r>
        <w:rPr>
          <w:color w:val="000000"/>
          <w:spacing w:val="0"/>
          <w:w w:val="100"/>
          <w:position w:val="0"/>
          <w:sz w:val="24"/>
          <w:szCs w:val="24"/>
        </w:rPr>
        <w:t>2014</w:t>
      </w:r>
      <w:r>
        <w:rPr>
          <w:color w:val="000000"/>
          <w:spacing w:val="0"/>
          <w:w w:val="100"/>
          <w:position w:val="0"/>
        </w:rPr>
        <w:t>年担任公司华东区总经理，</w:t>
      </w:r>
      <w:r>
        <w:rPr>
          <w:color w:val="000000"/>
          <w:spacing w:val="0"/>
          <w:w w:val="100"/>
          <w:position w:val="0"/>
          <w:sz w:val="24"/>
          <w:szCs w:val="24"/>
        </w:rPr>
        <w:t>2015</w:t>
      </w:r>
      <w:r>
        <w:rPr>
          <w:color w:val="000000"/>
          <w:spacing w:val="0"/>
          <w:w w:val="100"/>
          <w:position w:val="0"/>
        </w:rPr>
        <w:t>年至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月担任公司运营总监，</w:t>
      </w:r>
      <w:r>
        <w:rPr>
          <w:color w:val="000000"/>
          <w:spacing w:val="0"/>
          <w:w w:val="100"/>
          <w:position w:val="0"/>
          <w:sz w:val="24"/>
          <w:szCs w:val="24"/>
        </w:rPr>
        <w:t xml:space="preserve">2016 </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月至今担任公司总经理。兼任上海达美信息技术有限公司执行董事兼总经理，扬州达美投 资管理有限公司执行董事，上海禹哲投资管理合伙企业（有限合伙）执行事务合伙人、上海 汉得欧俊信息技术有限公司董事长、上海汉得甄领信息科技有限公司执行董事兼总经理、上 海鼎医信息技术有限公司执行董事、上海甄恒信息科技有限公司执行董事兼总经理、上海汇 羿信息技术有限公司执行董事、上海汉得知云软件有限公司董事长、上海汉得融晶信息科技 有限公司董事长、上海甄自信息科技有限公司执行董事兼总经理。</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陈熠星先生：中国国籍，</w:t>
      </w:r>
      <w:r>
        <w:rPr>
          <w:color w:val="000000"/>
          <w:spacing w:val="0"/>
          <w:w w:val="100"/>
          <w:position w:val="0"/>
          <w:sz w:val="24"/>
          <w:szCs w:val="24"/>
        </w:rPr>
        <w:t>1984</w:t>
      </w:r>
      <w:r>
        <w:rPr>
          <w:color w:val="000000"/>
          <w:spacing w:val="0"/>
          <w:w w:val="100"/>
          <w:position w:val="0"/>
        </w:rPr>
        <w:t>年出生，无永久境外居留权，博士学历。拥有福州大学法 学学士、美国杜兰大学法学硕士、美国杜兰大学法学博士学位。曾在北京君合律师事务所担 任律师，在中信证券股份有限公司投资银行部及新天资本进行投融资和并购相关工作。</w:t>
      </w:r>
      <w:r>
        <w:rPr>
          <w:color w:val="000000"/>
          <w:spacing w:val="0"/>
          <w:w w:val="100"/>
          <w:position w:val="0"/>
          <w:sz w:val="24"/>
          <w:szCs w:val="24"/>
        </w:rPr>
        <w:t xml:space="preserve">2017 </w:t>
      </w:r>
      <w:r>
        <w:rPr>
          <w:color w:val="000000"/>
          <w:spacing w:val="0"/>
          <w:w w:val="100"/>
          <w:position w:val="0"/>
        </w:rPr>
        <w:t>年加入百度至今，担任投资总监，负责百度</w:t>
      </w:r>
      <w:r>
        <w:rPr>
          <w:color w:val="000000"/>
          <w:spacing w:val="0"/>
          <w:w w:val="100"/>
          <w:position w:val="0"/>
          <w:sz w:val="24"/>
          <w:szCs w:val="24"/>
        </w:rPr>
        <w:t>AI</w:t>
      </w:r>
      <w:r>
        <w:rPr>
          <w:color w:val="000000"/>
          <w:spacing w:val="0"/>
          <w:w w:val="100"/>
          <w:position w:val="0"/>
        </w:rPr>
        <w:t>、</w:t>
      </w:r>
      <w:r>
        <w:rPr>
          <w:color w:val="000000"/>
          <w:spacing w:val="0"/>
          <w:w w:val="100"/>
          <w:position w:val="0"/>
        </w:rPr>
        <w:t>技术、云及企业服务相关投资。</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贾殿龙先生：中国国籍，</w:t>
      </w:r>
      <w:r>
        <w:rPr>
          <w:color w:val="000000"/>
          <w:spacing w:val="0"/>
          <w:w w:val="100"/>
          <w:position w:val="0"/>
          <w:sz w:val="24"/>
          <w:szCs w:val="24"/>
        </w:rPr>
        <w:t>1981</w:t>
      </w:r>
      <w:r>
        <w:rPr>
          <w:color w:val="000000"/>
          <w:spacing w:val="0"/>
          <w:w w:val="100"/>
          <w:position w:val="0"/>
        </w:rPr>
        <w:t>年出生，</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3</w:t>
      </w:r>
      <w:r>
        <w:rPr>
          <w:color w:val="000000"/>
          <w:spacing w:val="0"/>
          <w:w w:val="100"/>
          <w:position w:val="0"/>
        </w:rPr>
        <w:t>月硕士毕业于东北大学计算机系统结构专 业，曾在艾威梯科技(北京)有限公司负责无线通信应用研发管理工作。</w:t>
      </w:r>
      <w:r>
        <w:rPr>
          <w:color w:val="000000"/>
          <w:spacing w:val="0"/>
          <w:w w:val="100"/>
          <w:position w:val="0"/>
          <w:sz w:val="24"/>
          <w:szCs w:val="24"/>
        </w:rPr>
        <w:t>2009</w:t>
      </w:r>
      <w:r>
        <w:rPr>
          <w:color w:val="000000"/>
          <w:spacing w:val="0"/>
          <w:w w:val="100"/>
          <w:position w:val="0"/>
        </w:rPr>
        <w:t>年加入百度至 今，现任百度智能云副总经理，负责百度智能云交付、售后等工作。</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廖卫平先生：中国国籍，</w:t>
      </w:r>
      <w:r>
        <w:rPr>
          <w:color w:val="000000"/>
          <w:spacing w:val="0"/>
          <w:w w:val="100"/>
          <w:position w:val="0"/>
          <w:sz w:val="24"/>
          <w:szCs w:val="24"/>
        </w:rPr>
        <w:t>1968</w:t>
      </w:r>
      <w:r>
        <w:rPr>
          <w:color w:val="000000"/>
          <w:spacing w:val="0"/>
          <w:w w:val="100"/>
          <w:position w:val="0"/>
        </w:rPr>
        <w:t>年出生，无永久境外居留权，复旦大学</w:t>
      </w:r>
      <w:r>
        <w:rPr>
          <w:color w:val="000000"/>
          <w:spacing w:val="0"/>
          <w:w w:val="100"/>
          <w:position w:val="0"/>
          <w:sz w:val="24"/>
          <w:szCs w:val="24"/>
        </w:rPr>
        <w:t>EMBA</w:t>
      </w:r>
      <w:r>
        <w:rPr>
          <w:color w:val="000000"/>
          <w:spacing w:val="0"/>
          <w:w w:val="100"/>
          <w:position w:val="0"/>
        </w:rPr>
        <w:t>。曾任兴业证 券投资银行部内核部高级经理、国金证券投行部质控部总经理、国金证券内核部总经理。现 任国金证券股份有限公司总裁助理，上海证券承销保荐分公司副总经理。</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颜克益先生：中国国籍，</w:t>
      </w:r>
      <w:r>
        <w:rPr>
          <w:color w:val="000000"/>
          <w:spacing w:val="0"/>
          <w:w w:val="100"/>
          <w:position w:val="0"/>
          <w:sz w:val="24"/>
          <w:szCs w:val="24"/>
        </w:rPr>
        <w:t>1972</w:t>
      </w:r>
      <w:r>
        <w:rPr>
          <w:color w:val="000000"/>
          <w:spacing w:val="0"/>
          <w:w w:val="100"/>
          <w:position w:val="0"/>
        </w:rPr>
        <w:t>年出生，无永久境外居留权，复旦大学产业经济学博士， 中国注册会计师。曾任兴业证券股份有限公司研发中心分析师、兴业证券股份有限公司证券 投资部投资经理、兴安证券有限公司证券投资部副总经理、兴业证券股份有限公司资产管理 部总经理、兴业证券股份有限公司研究所所长。现任上海大朴资产管理有限公司总经理。</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王新先生：中国国籍，</w:t>
      </w:r>
      <w:r>
        <w:rPr>
          <w:color w:val="000000"/>
          <w:spacing w:val="0"/>
          <w:w w:val="100"/>
          <w:position w:val="0"/>
          <w:sz w:val="24"/>
          <w:szCs w:val="24"/>
        </w:rPr>
        <w:t>1966</w:t>
      </w:r>
      <w:r>
        <w:rPr>
          <w:color w:val="000000"/>
          <w:spacing w:val="0"/>
          <w:w w:val="100"/>
          <w:position w:val="0"/>
        </w:rPr>
        <w:t>年出生，无永久境外居留权，先后获得北京大学法学学士、 硕士和博士学位，并在加拿大麦吉尔大学</w:t>
      </w:r>
      <w:r>
        <w:rPr>
          <w:color w:val="000000"/>
          <w:spacing w:val="0"/>
          <w:w w:val="100"/>
          <w:position w:val="0"/>
          <w:sz w:val="24"/>
          <w:szCs w:val="24"/>
        </w:rPr>
        <w:t>(</w:t>
      </w:r>
      <w:r>
        <w:rPr>
          <w:color w:val="000000"/>
          <w:spacing w:val="0"/>
          <w:w w:val="100"/>
          <w:position w:val="0"/>
          <w:sz w:val="24"/>
          <w:szCs w:val="24"/>
        </w:rPr>
        <w:t>McGill University</w:t>
      </w:r>
      <w:r>
        <w:rPr>
          <w:color w:val="000000"/>
          <w:spacing w:val="0"/>
          <w:w w:val="100"/>
          <w:position w:val="0"/>
          <w:sz w:val="24"/>
          <w:szCs w:val="24"/>
        </w:rPr>
        <w:t>)</w:t>
      </w:r>
      <w:r>
        <w:rPr>
          <w:color w:val="000000"/>
          <w:spacing w:val="0"/>
          <w:w w:val="100"/>
          <w:position w:val="0"/>
        </w:rPr>
        <w:t>获得法学硕士</w:t>
      </w:r>
      <w:r>
        <w:rPr>
          <w:color w:val="000000"/>
          <w:spacing w:val="0"/>
          <w:w w:val="100"/>
          <w:position w:val="0"/>
          <w:sz w:val="24"/>
          <w:szCs w:val="24"/>
        </w:rPr>
        <w:t>(LL.M.</w:t>
      </w:r>
      <w:r>
        <w:rPr>
          <w:color w:val="000000"/>
          <w:spacing w:val="0"/>
          <w:w w:val="100"/>
          <w:position w:val="0"/>
        </w:rPr>
        <w:t>)学 位。</w:t>
      </w:r>
      <w:r>
        <w:rPr>
          <w:color w:val="000000"/>
          <w:spacing w:val="0"/>
          <w:w w:val="100"/>
          <w:position w:val="0"/>
          <w:sz w:val="24"/>
          <w:szCs w:val="24"/>
        </w:rPr>
        <w:t>1995</w:t>
      </w:r>
      <w:r>
        <w:rPr>
          <w:color w:val="000000"/>
          <w:spacing w:val="0"/>
          <w:w w:val="100"/>
          <w:position w:val="0"/>
        </w:rPr>
        <w:t>年至今任职于北京大学法学院，现为北京大学法学院教授、博士生导师，刑法学科 召集人，北京大学刑事法治研究中心副主任，法学院学位委员会副主席。</w:t>
      </w:r>
      <w:r>
        <w:rPr>
          <w:color w:val="000000"/>
          <w:spacing w:val="0"/>
          <w:w w:val="100"/>
          <w:position w:val="0"/>
          <w:sz w:val="24"/>
          <w:szCs w:val="24"/>
        </w:rPr>
        <w:t>1986</w:t>
      </w:r>
      <w:r>
        <w:rPr>
          <w:color w:val="000000"/>
          <w:spacing w:val="0"/>
          <w:w w:val="100"/>
          <w:position w:val="0"/>
        </w:rPr>
        <w:t>年至</w:t>
      </w:r>
      <w:r>
        <w:rPr>
          <w:color w:val="000000"/>
          <w:spacing w:val="0"/>
          <w:w w:val="100"/>
          <w:position w:val="0"/>
          <w:sz w:val="24"/>
          <w:szCs w:val="24"/>
        </w:rPr>
        <w:t>1989</w:t>
      </w:r>
      <w:r>
        <w:rPr>
          <w:color w:val="000000"/>
          <w:spacing w:val="0"/>
          <w:w w:val="100"/>
          <w:position w:val="0"/>
        </w:rPr>
        <w:t>年， 在新疆自治区人民检察院工作，担任书记员、助理检察员；</w:t>
      </w:r>
      <w:r>
        <w:rPr>
          <w:color w:val="000000"/>
          <w:spacing w:val="0"/>
          <w:w w:val="100"/>
          <w:position w:val="0"/>
          <w:sz w:val="24"/>
          <w:szCs w:val="24"/>
        </w:rPr>
        <w:t>1999</w:t>
      </w:r>
      <w:r>
        <w:rPr>
          <w:color w:val="000000"/>
          <w:spacing w:val="0"/>
          <w:w w:val="100"/>
          <w:position w:val="0"/>
        </w:rPr>
        <w:t>年至</w:t>
      </w:r>
      <w:r>
        <w:rPr>
          <w:color w:val="000000"/>
          <w:spacing w:val="0"/>
          <w:w w:val="100"/>
          <w:position w:val="0"/>
          <w:sz w:val="24"/>
          <w:szCs w:val="24"/>
        </w:rPr>
        <w:t>2000</w:t>
      </w:r>
      <w:r>
        <w:rPr>
          <w:color w:val="000000"/>
          <w:spacing w:val="0"/>
          <w:w w:val="100"/>
          <w:position w:val="0"/>
        </w:rPr>
        <w:t>年，借调到澳门立 法会，担任议员高级法律顾问。现为中国刑法学研究会常务理事、中国行为法学会金融法律 行为研究会副会长、北京市刑法学研究会常务理事。</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吴滨先生：男，中国国籍，无永久境外居留权，</w:t>
      </w:r>
      <w:r>
        <w:rPr>
          <w:color w:val="000000"/>
          <w:spacing w:val="0"/>
          <w:w w:val="100"/>
          <w:position w:val="0"/>
          <w:sz w:val="24"/>
          <w:szCs w:val="24"/>
        </w:rPr>
        <w:t>1972</w:t>
      </w:r>
      <w:r>
        <w:rPr>
          <w:color w:val="000000"/>
          <w:spacing w:val="0"/>
          <w:w w:val="100"/>
          <w:position w:val="0"/>
        </w:rPr>
        <w:t>年出生，研究生学历。</w:t>
      </w:r>
      <w:r>
        <w:rPr>
          <w:color w:val="000000"/>
          <w:spacing w:val="0"/>
          <w:w w:val="100"/>
          <w:position w:val="0"/>
          <w:sz w:val="24"/>
          <w:szCs w:val="24"/>
        </w:rPr>
        <w:t>1993</w:t>
      </w:r>
      <w:r>
        <w:rPr>
          <w:color w:val="000000"/>
          <w:spacing w:val="0"/>
          <w:w w:val="100"/>
          <w:position w:val="0"/>
        </w:rPr>
        <w:t>年毕业 于华中理工大学固体电子学系，获工学学士学位；</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rPr>
        <w:t>年毕业于复旦大学物理系，获理学硕 士学位。曾任洛克机电系统工程有限公司程序员，</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年加入公司。历任</w:t>
      </w:r>
      <w:r>
        <w:rPr>
          <w:rFonts w:ascii="Times New Roman" w:eastAsia="Times New Roman" w:hAnsi="Times New Roman" w:cs="Times New Roman"/>
          <w:color w:val="000000"/>
          <w:spacing w:val="0"/>
          <w:w w:val="100"/>
          <w:position w:val="0"/>
          <w:sz w:val="24"/>
          <w:szCs w:val="24"/>
        </w:rPr>
        <w:t>O racle</w:t>
      </w:r>
      <w:r>
        <w:rPr>
          <w:color w:val="000000"/>
          <w:spacing w:val="0"/>
          <w:w w:val="100"/>
          <w:position w:val="0"/>
        </w:rPr>
        <w:t>部门资深技 术顾问，</w:t>
      </w:r>
      <w:r>
        <w:rPr>
          <w:rFonts w:ascii="Times New Roman" w:eastAsia="Times New Roman" w:hAnsi="Times New Roman" w:cs="Times New Roman"/>
          <w:color w:val="000000"/>
          <w:spacing w:val="0"/>
          <w:w w:val="100"/>
          <w:position w:val="0"/>
          <w:sz w:val="24"/>
          <w:szCs w:val="24"/>
        </w:rPr>
        <w:t>MAS</w:t>
      </w:r>
      <w:r>
        <w:rPr>
          <w:color w:val="000000"/>
          <w:spacing w:val="0"/>
          <w:w w:val="100"/>
          <w:position w:val="0"/>
        </w:rPr>
        <w:t>产品部门技术总监，及</w:t>
      </w:r>
      <w:r>
        <w:rPr>
          <w:rFonts w:ascii="Times New Roman" w:eastAsia="Times New Roman" w:hAnsi="Times New Roman" w:cs="Times New Roman"/>
          <w:color w:val="000000"/>
          <w:spacing w:val="0"/>
          <w:w w:val="100"/>
          <w:position w:val="0"/>
          <w:sz w:val="24"/>
          <w:szCs w:val="24"/>
        </w:rPr>
        <w:t>Advanced Development Center(ADC)</w:t>
      </w:r>
      <w:r>
        <w:rPr>
          <w:color w:val="000000"/>
          <w:spacing w:val="0"/>
          <w:w w:val="100"/>
          <w:position w:val="0"/>
        </w:rPr>
        <w:t>总监，公司第四届监 事会主席。现担任公司</w:t>
      </w:r>
      <w:r>
        <w:rPr>
          <w:rFonts w:ascii="Times New Roman" w:eastAsia="Times New Roman" w:hAnsi="Times New Roman" w:cs="Times New Roman"/>
          <w:color w:val="000000"/>
          <w:spacing w:val="0"/>
          <w:w w:val="100"/>
          <w:position w:val="0"/>
          <w:sz w:val="24"/>
          <w:szCs w:val="24"/>
        </w:rPr>
        <w:t>C TO</w:t>
      </w:r>
      <w:r>
        <w:rPr>
          <w:color w:val="000000"/>
          <w:spacing w:val="0"/>
          <w:w w:val="100"/>
          <w:position w:val="0"/>
        </w:rPr>
        <w:t>。</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刘静波先生：中国国籍，无永久境外居留权</w:t>
      </w:r>
      <w:r>
        <w:rPr>
          <w:color w:val="000000"/>
          <w:spacing w:val="0"/>
          <w:w w:val="100"/>
          <w:position w:val="0"/>
          <w:sz w:val="24"/>
          <w:szCs w:val="24"/>
        </w:rPr>
        <w:t>，1962</w:t>
      </w:r>
      <w:r>
        <w:rPr>
          <w:color w:val="000000"/>
          <w:spacing w:val="0"/>
          <w:w w:val="100"/>
          <w:position w:val="0"/>
        </w:rPr>
        <w:t>年出生，研究生学历。</w:t>
      </w:r>
      <w:r>
        <w:rPr>
          <w:color w:val="000000"/>
          <w:spacing w:val="0"/>
          <w:w w:val="100"/>
          <w:position w:val="0"/>
          <w:sz w:val="24"/>
          <w:szCs w:val="24"/>
        </w:rPr>
        <w:t>1980-1988</w:t>
      </w:r>
      <w:r>
        <w:rPr>
          <w:color w:val="000000"/>
          <w:spacing w:val="0"/>
          <w:w w:val="100"/>
          <w:position w:val="0"/>
        </w:rPr>
        <w:t>年毕 业于同济大学电气工程系，获工业自动化硕士学位；</w:t>
      </w:r>
      <w:r>
        <w:rPr>
          <w:color w:val="000000"/>
          <w:spacing w:val="0"/>
          <w:w w:val="100"/>
          <w:position w:val="0"/>
          <w:sz w:val="24"/>
          <w:szCs w:val="24"/>
        </w:rPr>
        <w:t>2004</w:t>
      </w:r>
      <w:r>
        <w:rPr>
          <w:color w:val="000000"/>
          <w:spacing w:val="0"/>
          <w:w w:val="100"/>
          <w:position w:val="0"/>
        </w:rPr>
        <w:t xml:space="preserve">年毕业于中欧国际工商管理学院， 获工商管理硕士学位。曾任中国纺织大学教师，上海华霆自动化设备公司总经理，现任上海 </w:t>
      </w:r>
      <w:r>
        <w:rPr>
          <w:color w:val="000000"/>
          <w:spacing w:val="0"/>
          <w:w w:val="100"/>
          <w:position w:val="0"/>
        </w:rPr>
        <w:t>东电自动控制有限公司董事长、总经理，公司监事。</w:t>
      </w:r>
    </w:p>
    <w:p>
      <w:pPr>
        <w:pStyle w:val="Style35"/>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黄青先生：中国国籍，无永久境外居留权，</w:t>
      </w:r>
      <w:r>
        <w:rPr>
          <w:color w:val="000000"/>
          <w:spacing w:val="0"/>
          <w:w w:val="100"/>
          <w:position w:val="0"/>
          <w:sz w:val="24"/>
          <w:szCs w:val="24"/>
        </w:rPr>
        <w:t>1963</w:t>
      </w:r>
      <w:r>
        <w:rPr>
          <w:color w:val="000000"/>
          <w:spacing w:val="0"/>
          <w:w w:val="100"/>
          <w:position w:val="0"/>
        </w:rPr>
        <w:t>年出生，研究生学历。</w:t>
      </w:r>
      <w:r>
        <w:rPr>
          <w:color w:val="000000"/>
          <w:spacing w:val="0"/>
          <w:w w:val="100"/>
          <w:position w:val="0"/>
          <w:sz w:val="24"/>
          <w:szCs w:val="24"/>
        </w:rPr>
        <w:t>1985</w:t>
      </w:r>
      <w:r>
        <w:rPr>
          <w:color w:val="000000"/>
          <w:spacing w:val="0"/>
          <w:w w:val="100"/>
          <w:position w:val="0"/>
        </w:rPr>
        <w:t>年毕业于同 济大学建筑材料系，获工程学学士学位；</w:t>
      </w:r>
      <w:r>
        <w:rPr>
          <w:color w:val="000000"/>
          <w:spacing w:val="0"/>
          <w:w w:val="100"/>
          <w:position w:val="0"/>
          <w:sz w:val="24"/>
          <w:szCs w:val="24"/>
        </w:rPr>
        <w:t>1993</w:t>
      </w:r>
      <w:r>
        <w:rPr>
          <w:color w:val="000000"/>
          <w:spacing w:val="0"/>
          <w:w w:val="100"/>
          <w:position w:val="0"/>
        </w:rPr>
        <w:t>年毕业于东京大学大学院，获合成化学硕士学 位；</w:t>
      </w:r>
      <w:r>
        <w:rPr>
          <w:color w:val="000000"/>
          <w:spacing w:val="0"/>
          <w:w w:val="100"/>
          <w:position w:val="0"/>
          <w:sz w:val="24"/>
          <w:szCs w:val="24"/>
        </w:rPr>
        <w:t>2008</w:t>
      </w:r>
      <w:r>
        <w:rPr>
          <w:color w:val="000000"/>
          <w:spacing w:val="0"/>
          <w:w w:val="100"/>
          <w:position w:val="0"/>
        </w:rPr>
        <w:t>年至今任逸和农业科技有限公司董事长，现任公司监事。</w:t>
      </w:r>
    </w:p>
    <w:p>
      <w:pPr>
        <w:pStyle w:val="Style35"/>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沈雁冰先生：中国国籍，</w:t>
      </w:r>
      <w:r>
        <w:rPr>
          <w:color w:val="000000"/>
          <w:spacing w:val="0"/>
          <w:w w:val="100"/>
          <w:position w:val="0"/>
          <w:sz w:val="24"/>
          <w:szCs w:val="24"/>
        </w:rPr>
        <w:t>1978</w:t>
      </w:r>
      <w:r>
        <w:rPr>
          <w:color w:val="000000"/>
          <w:spacing w:val="0"/>
          <w:w w:val="100"/>
          <w:position w:val="0"/>
        </w:rPr>
        <w:t>年出生，拥有新加坡永久居留权。复旦大学经济学学士、 英国威尔士大学工商管理硕士。曾任公司</w:t>
      </w:r>
      <w:r>
        <w:rPr>
          <w:color w:val="000000"/>
          <w:spacing w:val="0"/>
          <w:w w:val="100"/>
          <w:position w:val="0"/>
          <w:sz w:val="24"/>
          <w:szCs w:val="24"/>
        </w:rPr>
        <w:t>SAP</w:t>
      </w:r>
      <w:r>
        <w:rPr>
          <w:color w:val="000000"/>
          <w:spacing w:val="0"/>
          <w:w w:val="100"/>
          <w:position w:val="0"/>
        </w:rPr>
        <w:t>集团财务事业部总经理、公司</w:t>
      </w:r>
      <w:r>
        <w:rPr>
          <w:color w:val="000000"/>
          <w:spacing w:val="0"/>
          <w:w w:val="100"/>
          <w:position w:val="0"/>
          <w:sz w:val="24"/>
          <w:szCs w:val="24"/>
        </w:rPr>
        <w:t xml:space="preserve">S APGloba </w:t>
      </w:r>
      <w:r>
        <w:rPr>
          <w:color w:val="000000"/>
          <w:spacing w:val="0"/>
          <w:w w:val="100"/>
          <w:position w:val="0"/>
          <w:sz w:val="24"/>
          <w:szCs w:val="24"/>
        </w:rPr>
        <w:t>1</w:t>
      </w:r>
      <w:r>
        <w:rPr>
          <w:color w:val="000000"/>
          <w:spacing w:val="0"/>
          <w:w w:val="100"/>
          <w:position w:val="0"/>
        </w:rPr>
        <w:t>事业部 总经理，现任公司财务总监、董事会秘书，兼任上海夏尔软件有限公司总经理、上海汉得商 业保理有限公司董事兼总经理。</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任期起始日期</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随身科技（上海）有限公司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上海汉得微扬信息技术有限公司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上海甄实建筑科技有限公司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上海亿砹科技有限公司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廖卫平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国金证券股份有限公司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总裁助理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廖卫平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上海证券承销保荐分公司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颜克益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上海大朴资产管理有限公司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扬州达美投资管理有限公司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上海禹哲投资管理合伙企业（有限合伙）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执行事务合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上海汉得欧俊信息技术有限公司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上海达美信息技术有限公司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执行董事兼</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上海汉得甄领信息科技有限公司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执行董事兼</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上海鼎医信息技术有限公司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上海甄恒信息科技有限公司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执行董事兼</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上海汇羿信息技术有限公司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上海汉得知云软件有限公司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tbl>
      <w:tblPr>
        <w:tblOverlap w:val="never"/>
        <w:jc w:val="center"/>
        <w:tblLayout w:type="fixed"/>
      </w:tblPr>
      <w:tblGrid>
        <w:gridCol w:w="1210"/>
        <w:gridCol w:w="3192"/>
        <w:gridCol w:w="1061"/>
        <w:gridCol w:w="1195"/>
        <w:gridCol w:w="1325"/>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上海汉得融晶信息科技有限公司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上海甄自信息科技有限公司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执行董事兼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陈熠星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百度在线网络技术（北京）有限公司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贾殿龙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百度在线网络技术（北京）有限公司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智能云副总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沈雁冰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上海夏尔软件有限公司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沈雁冰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上海汉得商业保理有限公司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刘静波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上海东电自动控制有限公司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董事长、总经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逸和农业科技有限公司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北京大学法学院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教授、博士生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浙江盾安人工环境股份有限公司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王府井集团股份有限公司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中冶美利云产业投资股份有限公司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四</w:t>
      </w:r>
      <w:bookmarkEnd w:id="553"/>
      <w:r>
        <w:rPr>
          <w:color w:val="000000"/>
          <w:spacing w:val="0"/>
          <w:w w:val="100"/>
          <w:position w:val="0"/>
        </w:rPr>
        <w:t>、董事、监事、高级管理人员报酬情况</w:t>
      </w:r>
      <w:bookmarkEnd w:id="551"/>
      <w:bookmarkEnd w:id="552"/>
      <w:bookmarkEnd w:id="554"/>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bidi w:val="0"/>
        <w:spacing w:before="0" w:after="0" w:line="473" w:lineRule="exact"/>
        <w:ind w:left="0" w:right="0" w:firstLine="480"/>
        <w:jc w:val="both"/>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公司董事、监事报酬由股东大会决定，高级管理人员报酬由董事会决定；在公司承担职 务的监事、高级管理人员报酬由公司支付，监事不另外支付津贴。独立董事津贴依据股东大 会决议支付。</w:t>
      </w:r>
    </w:p>
    <w:p>
      <w:pPr>
        <w:pStyle w:val="Style35"/>
        <w:keepNext w:val="0"/>
        <w:keepLines w:val="0"/>
        <w:widowControl w:val="0"/>
        <w:shd w:val="clear" w:color="auto" w:fill="auto"/>
        <w:bidi w:val="0"/>
        <w:spacing w:before="0" w:after="0" w:line="473" w:lineRule="exact"/>
        <w:ind w:left="0" w:right="0" w:firstLine="480"/>
        <w:jc w:val="both"/>
      </w:pPr>
      <w:r>
        <w:rPr>
          <w:color w:val="000000"/>
          <w:spacing w:val="0"/>
          <w:w w:val="100"/>
          <w:position w:val="0"/>
        </w:rPr>
        <w:t>董事、监事、高级管理人员报酬确定依据：</w:t>
      </w:r>
    </w:p>
    <w:p>
      <w:pPr>
        <w:pStyle w:val="Style35"/>
        <w:keepNext w:val="0"/>
        <w:keepLines w:val="0"/>
        <w:widowControl w:val="0"/>
        <w:shd w:val="clear" w:color="auto" w:fill="auto"/>
        <w:bidi w:val="0"/>
        <w:spacing w:before="0" w:after="0" w:line="473" w:lineRule="exact"/>
        <w:ind w:left="0" w:right="0" w:firstLine="480"/>
        <w:jc w:val="both"/>
      </w:pPr>
      <w:r>
        <w:rPr>
          <w:color w:val="000000"/>
          <w:spacing w:val="0"/>
          <w:w w:val="100"/>
          <w:position w:val="0"/>
        </w:rPr>
        <w:t>依据董事、监事、高级管理人员的分工及履行情况确定。</w:t>
      </w:r>
    </w:p>
    <w:p>
      <w:pPr>
        <w:pStyle w:val="Style35"/>
        <w:keepNext w:val="0"/>
        <w:keepLines w:val="0"/>
        <w:widowControl w:val="0"/>
        <w:shd w:val="clear" w:color="auto" w:fill="auto"/>
        <w:bidi w:val="0"/>
        <w:spacing w:before="0" w:after="0" w:line="475" w:lineRule="exact"/>
        <w:ind w:left="0" w:right="0" w:firstLine="480"/>
        <w:jc w:val="both"/>
      </w:pPr>
      <w:r>
        <w:rPr>
          <w:color w:val="000000"/>
          <w:spacing w:val="0"/>
          <w:w w:val="100"/>
          <w:position w:val="0"/>
        </w:rPr>
        <w:t>董事、监事和高级管理人员报酬的实际支付情况：</w:t>
      </w:r>
    </w:p>
    <w:p>
      <w:pPr>
        <w:pStyle w:val="Style35"/>
        <w:keepNext w:val="0"/>
        <w:keepLines w:val="0"/>
        <w:widowControl w:val="0"/>
        <w:shd w:val="clear" w:color="auto" w:fill="auto"/>
        <w:bidi w:val="0"/>
        <w:spacing w:before="0" w:after="500" w:line="475" w:lineRule="exact"/>
        <w:ind w:left="0" w:right="0" w:firstLine="960"/>
        <w:jc w:val="both"/>
      </w:pPr>
      <w:r>
        <w:rPr>
          <w:color w:val="000000"/>
          <w:spacing w:val="0"/>
          <w:w w:val="100"/>
          <w:position w:val="0"/>
        </w:rPr>
        <w:t>公司现有董事、监事、高级管理人员共</w:t>
      </w:r>
      <w:r>
        <w:rPr>
          <w:color w:val="000000"/>
          <w:spacing w:val="0"/>
          <w:w w:val="100"/>
          <w:position w:val="0"/>
          <w:sz w:val="24"/>
          <w:szCs w:val="24"/>
        </w:rPr>
        <w:t>11</w:t>
      </w:r>
      <w:r>
        <w:rPr>
          <w:color w:val="000000"/>
          <w:spacing w:val="0"/>
          <w:w w:val="100"/>
          <w:position w:val="0"/>
        </w:rPr>
        <w:t>人，</w:t>
      </w:r>
      <w:r>
        <w:rPr>
          <w:color w:val="000000"/>
          <w:spacing w:val="0"/>
          <w:w w:val="100"/>
          <w:position w:val="0"/>
          <w:sz w:val="24"/>
          <w:szCs w:val="24"/>
        </w:rPr>
        <w:t>2020</w:t>
      </w:r>
      <w:r>
        <w:rPr>
          <w:color w:val="000000"/>
          <w:spacing w:val="0"/>
          <w:w w:val="100"/>
          <w:position w:val="0"/>
        </w:rPr>
        <w:t>年实际支付薪酬如下表，董事、 监事和高级管理人员的薪酬均已按规定支付。</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陈迪清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黄益全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贾殿龙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陈熠星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沈雁冰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财务总监、董事</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廖卫平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颜克益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刘静波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五</w:t>
      </w:r>
      <w:bookmarkEnd w:id="557"/>
      <w:r>
        <w:rPr>
          <w:color w:val="000000"/>
          <w:spacing w:val="0"/>
          <w:w w:val="100"/>
          <w:position w:val="0"/>
        </w:rPr>
        <w:t>、公司员工情况</w:t>
      </w:r>
      <w:bookmarkEnd w:id="555"/>
      <w:bookmarkEnd w:id="556"/>
      <w:bookmarkEnd w:id="558"/>
    </w:p>
    <w:p>
      <w:pPr>
        <w:pStyle w:val="Style32"/>
        <w:keepNext/>
        <w:keepLines/>
        <w:widowControl w:val="0"/>
        <w:shd w:val="clear" w:color="auto" w:fill="auto"/>
        <w:bidi w:val="0"/>
        <w:spacing w:before="0" w:after="30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、员工数量、专业构成及教育程度</w:t>
      </w:r>
      <w:bookmarkEnd w:id="559"/>
      <w:bookmarkEnd w:id="560"/>
      <w:bookmarkEnd w:id="56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3,084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8,915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8,915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4,613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4,022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8,915</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7,240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专科及以下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8,915</w:t>
            </w:r>
          </w:p>
        </w:tc>
      </w:tr>
    </w:tbl>
    <w:p>
      <w:pPr>
        <w:pStyle w:val="Style38"/>
        <w:keepNext w:val="0"/>
        <w:keepLines w:val="0"/>
        <w:widowControl w:val="0"/>
        <w:shd w:val="clear" w:color="auto" w:fill="auto"/>
        <w:bidi w:val="0"/>
        <w:spacing w:before="0" w:after="0" w:line="240" w:lineRule="auto"/>
        <w:ind w:left="0" w:right="0" w:firstLine="0"/>
        <w:jc w:val="left"/>
      </w:pPr>
      <w:bookmarkStart w:id="563" w:name="bookmark563"/>
      <w:r>
        <w:rPr>
          <w:rFonts w:ascii="Times New Roman" w:eastAsia="Times New Roman" w:hAnsi="Times New Roman" w:cs="Times New Roman"/>
          <w:color w:val="000000"/>
          <w:spacing w:val="0"/>
          <w:w w:val="100"/>
          <w:position w:val="0"/>
        </w:rPr>
        <w:t>2</w:t>
      </w:r>
      <w:r>
        <w:rPr>
          <w:color w:val="000000"/>
          <w:spacing w:val="0"/>
          <w:w w:val="100"/>
          <w:position w:val="0"/>
        </w:rPr>
        <w:t>、薪酬政策</w:t>
      </w:r>
      <w:bookmarkEnd w:id="563"/>
    </w:p>
    <w:p>
      <w:pPr>
        <w:widowControl w:val="0"/>
        <w:spacing w:after="199" w:line="1" w:lineRule="exact"/>
      </w:pPr>
    </w:p>
    <w:p>
      <w:pPr>
        <w:pStyle w:val="Style35"/>
        <w:keepNext w:val="0"/>
        <w:keepLines w:val="0"/>
        <w:widowControl w:val="0"/>
        <w:shd w:val="clear" w:color="auto" w:fill="auto"/>
        <w:bidi w:val="0"/>
        <w:spacing w:before="0" w:after="660" w:line="469" w:lineRule="exact"/>
        <w:ind w:left="0" w:right="0" w:firstLine="500"/>
        <w:jc w:val="both"/>
      </w:pPr>
      <w:r>
        <w:rPr>
          <w:color w:val="000000"/>
          <w:spacing w:val="0"/>
          <w:w w:val="100"/>
          <w:position w:val="0"/>
        </w:rPr>
        <w:t>公司在遵守国家相关法律法规的基础上，根据公司战略方向、经营目标和岗位情况，对 比同行业公司、参考同地区公司、基于公平、公正和市场化原则，建立了具备市场竞争力的 薪酬体系：</w:t>
      </w:r>
      <w:r>
        <w:rPr>
          <w:color w:val="000000"/>
          <w:spacing w:val="0"/>
          <w:w w:val="100"/>
          <w:position w:val="0"/>
          <w:sz w:val="24"/>
          <w:szCs w:val="24"/>
        </w:rPr>
        <w:t>（1）</w:t>
      </w:r>
      <w:r>
        <w:rPr>
          <w:color w:val="000000"/>
          <w:spacing w:val="0"/>
          <w:w w:val="100"/>
          <w:position w:val="0"/>
        </w:rPr>
        <w:t>责任原则：按工作岗位、工作成绩、贡献大小及责权利相结合等因素确定基 本工资薪酬标准。</w:t>
      </w:r>
      <w:r>
        <w:rPr>
          <w:color w:val="000000"/>
          <w:spacing w:val="0"/>
          <w:w w:val="100"/>
          <w:position w:val="0"/>
          <w:sz w:val="24"/>
          <w:szCs w:val="24"/>
        </w:rPr>
        <w:t>（2）</w:t>
      </w:r>
      <w:r>
        <w:rPr>
          <w:color w:val="000000"/>
          <w:spacing w:val="0"/>
          <w:w w:val="100"/>
          <w:position w:val="0"/>
        </w:rPr>
        <w:t>绩效原则：薪酬方案与公司经营业绩及经营目标的完成情况挂钩。绩 效薪酬与个人岗位职责目标完成情况挂钩，与公司经营业绩、工作创新、奖罚、年度绩效考 核结果等相结合。</w:t>
      </w:r>
      <w:r>
        <w:rPr>
          <w:color w:val="000000"/>
          <w:spacing w:val="0"/>
          <w:w w:val="100"/>
          <w:position w:val="0"/>
          <w:sz w:val="24"/>
          <w:szCs w:val="24"/>
        </w:rPr>
        <w:t>（3）</w:t>
      </w:r>
      <w:r>
        <w:rPr>
          <w:color w:val="000000"/>
          <w:spacing w:val="0"/>
          <w:w w:val="100"/>
          <w:position w:val="0"/>
        </w:rPr>
        <w:t>竞争原则：注重收入市场化，制定合理的薪资结构比例，保持公司薪 酬的吸引力以及在市场上的竞争力，有利于公司吸引人才。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460" w:line="467" w:lineRule="exact"/>
        <w:ind w:left="0" w:right="0" w:firstLine="500"/>
        <w:jc w:val="both"/>
        <w:rPr>
          <w:sz w:val="24"/>
          <w:szCs w:val="24"/>
        </w:rPr>
      </w:pPr>
      <w:r>
        <w:rPr>
          <w:color w:val="000000"/>
          <w:spacing w:val="0"/>
          <w:w w:val="100"/>
          <w:position w:val="0"/>
          <w:sz w:val="22"/>
          <w:szCs w:val="22"/>
        </w:rPr>
        <w:t>报告期内，职工薪酬总额（计入成本部分）为</w:t>
      </w:r>
      <w:r>
        <w:rPr>
          <w:color w:val="000000"/>
          <w:spacing w:val="0"/>
          <w:w w:val="100"/>
          <w:position w:val="0"/>
          <w:sz w:val="24"/>
          <w:szCs w:val="24"/>
        </w:rPr>
        <w:t>1,104,251,873.83</w:t>
      </w:r>
      <w:r>
        <w:rPr>
          <w:color w:val="000000"/>
          <w:spacing w:val="0"/>
          <w:w w:val="100"/>
          <w:position w:val="0"/>
          <w:sz w:val="22"/>
          <w:szCs w:val="22"/>
        </w:rPr>
        <w:t xml:space="preserve">元，占公司营业成本的 </w:t>
      </w:r>
      <w:r>
        <w:rPr>
          <w:color w:val="000000"/>
          <w:spacing w:val="0"/>
          <w:w w:val="100"/>
          <w:position w:val="0"/>
          <w:sz w:val="24"/>
          <w:szCs w:val="24"/>
        </w:rPr>
        <w:t>66.89%</w:t>
      </w:r>
      <w:r>
        <w:rPr>
          <w:color w:val="000000"/>
          <w:spacing w:val="0"/>
          <w:w w:val="100"/>
          <w:position w:val="0"/>
          <w:sz w:val="22"/>
          <w:szCs w:val="22"/>
        </w:rPr>
        <w:t>。截至</w:t>
      </w:r>
      <w:r>
        <w:rPr>
          <w:color w:val="000000"/>
          <w:spacing w:val="0"/>
          <w:w w:val="100"/>
          <w:position w:val="0"/>
          <w:sz w:val="24"/>
          <w:szCs w:val="24"/>
        </w:rPr>
        <w:t>2020</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日，公司核心技术人员为</w:t>
      </w:r>
      <w:r>
        <w:rPr>
          <w:color w:val="000000"/>
          <w:spacing w:val="0"/>
          <w:w w:val="100"/>
          <w:position w:val="0"/>
          <w:sz w:val="24"/>
          <w:szCs w:val="24"/>
        </w:rPr>
        <w:t>726</w:t>
      </w:r>
      <w:r>
        <w:rPr>
          <w:color w:val="000000"/>
          <w:spacing w:val="0"/>
          <w:w w:val="100"/>
          <w:position w:val="0"/>
          <w:sz w:val="22"/>
          <w:szCs w:val="22"/>
        </w:rPr>
        <w:t>人，占全体员工人数的</w:t>
      </w:r>
      <w:r>
        <w:rPr>
          <w:color w:val="000000"/>
          <w:spacing w:val="0"/>
          <w:w w:val="100"/>
          <w:position w:val="0"/>
          <w:sz w:val="24"/>
          <w:szCs w:val="24"/>
        </w:rPr>
        <w:t>8.14%，</w:t>
      </w:r>
      <w:r>
        <w:rPr>
          <w:color w:val="000000"/>
          <w:spacing w:val="0"/>
          <w:w w:val="100"/>
          <w:position w:val="0"/>
          <w:sz w:val="22"/>
          <w:szCs w:val="22"/>
        </w:rPr>
        <w:t>上年 同期核心技术人员为</w:t>
      </w:r>
      <w:r>
        <w:rPr>
          <w:color w:val="000000"/>
          <w:spacing w:val="0"/>
          <w:w w:val="100"/>
          <w:position w:val="0"/>
          <w:sz w:val="24"/>
          <w:szCs w:val="24"/>
        </w:rPr>
        <w:t>649</w:t>
      </w:r>
      <w:r>
        <w:rPr>
          <w:color w:val="000000"/>
          <w:spacing w:val="0"/>
          <w:w w:val="100"/>
          <w:position w:val="0"/>
          <w:sz w:val="22"/>
          <w:szCs w:val="22"/>
        </w:rPr>
        <w:t>人，占当时全体员工人数的</w:t>
      </w:r>
      <w:r>
        <w:rPr>
          <w:color w:val="000000"/>
          <w:spacing w:val="0"/>
          <w:w w:val="100"/>
          <w:position w:val="0"/>
          <w:sz w:val="24"/>
          <w:szCs w:val="24"/>
        </w:rPr>
        <w:t>6.27% ；</w:t>
      </w:r>
      <w:r>
        <w:rPr>
          <w:color w:val="000000"/>
          <w:spacing w:val="0"/>
          <w:w w:val="100"/>
          <w:position w:val="0"/>
          <w:sz w:val="22"/>
          <w:szCs w:val="22"/>
        </w:rPr>
        <w:t>截至报告期末，核心技术人员薪 酬占全体员工薪酬的</w:t>
      </w:r>
      <w:r>
        <w:rPr>
          <w:color w:val="000000"/>
          <w:spacing w:val="0"/>
          <w:w w:val="100"/>
          <w:position w:val="0"/>
          <w:sz w:val="24"/>
          <w:szCs w:val="24"/>
        </w:rPr>
        <w:t>14.90%,</w:t>
      </w:r>
      <w:r>
        <w:rPr>
          <w:color w:val="000000"/>
          <w:spacing w:val="0"/>
          <w:w w:val="100"/>
          <w:position w:val="0"/>
          <w:sz w:val="22"/>
          <w:szCs w:val="22"/>
        </w:rPr>
        <w:t>上年同期为</w:t>
      </w:r>
      <w:r>
        <w:rPr>
          <w:color w:val="000000"/>
          <w:spacing w:val="0"/>
          <w:w w:val="100"/>
          <w:position w:val="0"/>
          <w:sz w:val="24"/>
          <w:szCs w:val="24"/>
        </w:rPr>
        <w:t>14.02%</w:t>
      </w:r>
    </w:p>
    <w:p>
      <w:pPr>
        <w:pStyle w:val="Style32"/>
        <w:keepNext/>
        <w:keepLines/>
        <w:widowControl w:val="0"/>
        <w:shd w:val="clear" w:color="auto" w:fill="auto"/>
        <w:tabs>
          <w:tab w:pos="321" w:val="left"/>
        </w:tabs>
        <w:bidi w:val="0"/>
        <w:spacing w:before="0" w:after="200" w:line="240" w:lineRule="auto"/>
        <w:ind w:left="0" w:right="0" w:firstLine="0"/>
        <w:jc w:val="both"/>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3</w:t>
      </w:r>
      <w:bookmarkEnd w:id="566"/>
      <w:r>
        <w:rPr>
          <w:color w:val="000000"/>
          <w:spacing w:val="0"/>
          <w:w w:val="100"/>
          <w:position w:val="0"/>
        </w:rPr>
        <w:t>、</w:t>
        <w:tab/>
        <w:t>培训计划</w:t>
      </w:r>
      <w:bookmarkEnd w:id="564"/>
      <w:bookmarkEnd w:id="565"/>
      <w:bookmarkEnd w:id="567"/>
    </w:p>
    <w:p>
      <w:pPr>
        <w:pStyle w:val="Style35"/>
        <w:keepNext w:val="0"/>
        <w:keepLines w:val="0"/>
        <w:widowControl w:val="0"/>
        <w:shd w:val="clear" w:color="auto" w:fill="auto"/>
        <w:bidi w:val="0"/>
        <w:spacing w:before="0" w:after="760" w:line="470" w:lineRule="exact"/>
        <w:ind w:left="0" w:right="0" w:firstLine="500"/>
        <w:jc w:val="left"/>
      </w:pPr>
      <w:r>
        <w:rPr>
          <w:color w:val="000000"/>
          <w:spacing w:val="0"/>
          <w:w w:val="100"/>
          <w:position w:val="0"/>
        </w:rPr>
        <w:t>公司十分重视员工培训，建立了完善的培训体系。针对公司不同时期、不同职能的员工, 分别开展了新入职员工培训、专业能力培训、中层主管训练营等多项培训。保障了公司管理 体系的有效运行，提高公司新进人员、专业技术人员以及管理人员的综合素质及能力水平， 从而切实有效地加强企业文化建设和提高各类人员的专业水平。</w:t>
      </w:r>
    </w:p>
    <w:p>
      <w:pPr>
        <w:pStyle w:val="Style32"/>
        <w:keepNext/>
        <w:keepLines/>
        <w:widowControl w:val="0"/>
        <w:shd w:val="clear" w:color="auto" w:fill="auto"/>
        <w:tabs>
          <w:tab w:pos="321" w:val="left"/>
        </w:tabs>
        <w:bidi w:val="0"/>
        <w:spacing w:before="0" w:after="360" w:line="240" w:lineRule="auto"/>
        <w:ind w:left="0" w:right="0" w:firstLine="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4</w:t>
      </w:r>
      <w:bookmarkEnd w:id="570"/>
      <w:r>
        <w:rPr>
          <w:color w:val="000000"/>
          <w:spacing w:val="0"/>
          <w:w w:val="100"/>
          <w:position w:val="0"/>
        </w:rPr>
        <w:t>、</w:t>
        <w:tab/>
        <w:t>劳务外包情况</w:t>
      </w:r>
      <w:bookmarkEnd w:id="568"/>
      <w:bookmarkEnd w:id="569"/>
      <w:bookmarkEnd w:id="571"/>
    </w:p>
    <w:p>
      <w:pPr>
        <w:pStyle w:val="Style28"/>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360" w:line="240" w:lineRule="auto"/>
        <w:ind w:left="0" w:right="0" w:firstLine="0"/>
        <w:jc w:val="center"/>
      </w:pPr>
      <w:bookmarkStart w:id="572" w:name="bookmark572"/>
      <w:bookmarkStart w:id="573" w:name="bookmark573"/>
      <w:bookmarkStart w:id="574" w:name="bookmark574"/>
      <w:r>
        <w:rPr>
          <w:color w:val="000000"/>
          <w:spacing w:val="0"/>
          <w:w w:val="100"/>
          <w:position w:val="0"/>
        </w:rPr>
        <w:t>第十节公司治理</w:t>
      </w:r>
      <w:bookmarkEnd w:id="572"/>
      <w:bookmarkEnd w:id="573"/>
      <w:bookmarkEnd w:id="574"/>
    </w:p>
    <w:p>
      <w:pPr>
        <w:pStyle w:val="Style26"/>
        <w:keepNext/>
        <w:keepLines/>
        <w:widowControl w:val="0"/>
        <w:shd w:val="clear" w:color="auto" w:fill="auto"/>
        <w:bidi w:val="0"/>
        <w:spacing w:before="0" w:after="200" w:line="467" w:lineRule="exact"/>
        <w:ind w:left="0" w:right="0" w:firstLine="0"/>
        <w:jc w:val="left"/>
      </w:pPr>
      <w:bookmarkStart w:id="575" w:name="bookmark575"/>
      <w:bookmarkStart w:id="576" w:name="bookmark576"/>
      <w:bookmarkStart w:id="577" w:name="bookmark577"/>
      <w:bookmarkStart w:id="578" w:name="bookmark578"/>
      <w:bookmarkStart w:id="579" w:name="bookmark579"/>
      <w:r>
        <w:rPr>
          <w:color w:val="000000"/>
          <w:spacing w:val="0"/>
          <w:w w:val="100"/>
          <w:position w:val="0"/>
        </w:rPr>
        <w:t>一</w:t>
      </w:r>
      <w:bookmarkEnd w:id="578"/>
      <w:r>
        <w:rPr>
          <w:color w:val="000000"/>
          <w:spacing w:val="0"/>
          <w:w w:val="100"/>
          <w:position w:val="0"/>
        </w:rPr>
        <w:t>、公司治理的基本状况</w:t>
      </w:r>
      <w:bookmarkEnd w:id="576"/>
      <w:bookmarkEnd w:id="577"/>
      <w:bookmarkEnd w:id="579"/>
      <w:bookmarkEnd w:id="575"/>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报告期内，公司严格按照《公司法》、《证券法》、《深圳证券交易所创业板股票上市 规则》、《深圳证券交易所创业板上市公司规范运作指引》等法律法规及规范性文件的要求, 不断完善公司法人治理结构，建立健全公司内部管理和控制制度，进一步规范公司运作，努 力做好信息披露工作及投资者关系管理，持续提高公司治理水平。截止本报告期末，公司治 理结构的实际情况符合中国证监会发布的有关上市公司治理的规范性文件的要求。</w:t>
      </w:r>
    </w:p>
    <w:p>
      <w:pPr>
        <w:pStyle w:val="Style35"/>
        <w:keepNext w:val="0"/>
        <w:keepLines w:val="0"/>
        <w:widowControl w:val="0"/>
        <w:shd w:val="clear" w:color="auto" w:fill="auto"/>
        <w:tabs>
          <w:tab w:pos="1111" w:val="left"/>
        </w:tabs>
        <w:bidi w:val="0"/>
        <w:spacing w:before="0" w:after="0" w:line="469" w:lineRule="exact"/>
        <w:ind w:left="0" w:right="0" w:firstLine="480"/>
        <w:jc w:val="both"/>
      </w:pPr>
      <w:bookmarkStart w:id="580" w:name="bookmark580"/>
      <w:r>
        <w:rPr>
          <w:color w:val="000000"/>
          <w:spacing w:val="0"/>
          <w:w w:val="100"/>
          <w:position w:val="0"/>
        </w:rPr>
        <w:t>（</w:t>
      </w:r>
      <w:bookmarkEnd w:id="580"/>
      <w:r>
        <w:rPr>
          <w:color w:val="000000"/>
          <w:spacing w:val="0"/>
          <w:w w:val="100"/>
          <w:position w:val="0"/>
        </w:rPr>
        <w:t>一）</w:t>
        <w:tab/>
        <w:t>关于股东与股东大会</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公司严格按照《深圳证券交易所创业板股票上市规则》、《深圳证券交易所创业板上市 公司规范运作指引》、《股东大会议事规则》等法规制度的要求；出席股东大会的股东及股 东代理人的资格合法、有效；股东大会的表决程序及表决结果合法、有效。公司历次股东大 会均向中小股东提供了网络投票服务，为中小股东行使权利提供便利条件，使其充分行使自 己的权利。公司股东大会均由董事会召集召开，并由律师进行现场见证。</w:t>
      </w:r>
    </w:p>
    <w:p>
      <w:pPr>
        <w:pStyle w:val="Style35"/>
        <w:keepNext w:val="0"/>
        <w:keepLines w:val="0"/>
        <w:widowControl w:val="0"/>
        <w:shd w:val="clear" w:color="auto" w:fill="auto"/>
        <w:tabs>
          <w:tab w:pos="1111" w:val="left"/>
        </w:tabs>
        <w:bidi w:val="0"/>
        <w:spacing w:before="0" w:after="0" w:line="467" w:lineRule="exact"/>
        <w:ind w:left="0" w:right="0" w:firstLine="480"/>
        <w:jc w:val="both"/>
      </w:pPr>
      <w:bookmarkStart w:id="581" w:name="bookmark581"/>
      <w:r>
        <w:rPr>
          <w:color w:val="000000"/>
          <w:spacing w:val="0"/>
          <w:w w:val="100"/>
          <w:position w:val="0"/>
        </w:rPr>
        <w:t>（</w:t>
      </w:r>
      <w:bookmarkEnd w:id="581"/>
      <w:r>
        <w:rPr>
          <w:color w:val="000000"/>
          <w:spacing w:val="0"/>
          <w:w w:val="100"/>
          <w:position w:val="0"/>
        </w:rPr>
        <w:t>二）</w:t>
        <w:tab/>
        <w:t>关于董事和董事会</w:t>
      </w:r>
    </w:p>
    <w:p>
      <w:pPr>
        <w:pStyle w:val="Style3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公司严格按照《公司法》、《公司章程》规定的选聘程序选举董事，公司董事会人数和 人员构成符合法律、法规的要求，各位董事能够以认真负责的态度出席董事会和股东大会， 从公司和全体股东的利益出发，严格按照《董事会议事规则》、《独立董事议事规则》等规 章制度开展工作，认真出席董事会和股东大会，正确行使权利和勤勉履行义务，确保董事会 的有效运作和科学决策。会议程序符合规定，会议记录完整、真实，会议相关信息披露及时、 准确、充分。</w:t>
      </w:r>
    </w:p>
    <w:p>
      <w:pPr>
        <w:pStyle w:val="Style35"/>
        <w:keepNext w:val="0"/>
        <w:keepLines w:val="0"/>
        <w:widowControl w:val="0"/>
        <w:shd w:val="clear" w:color="auto" w:fill="auto"/>
        <w:tabs>
          <w:tab w:pos="1111" w:val="left"/>
        </w:tabs>
        <w:bidi w:val="0"/>
        <w:spacing w:before="0" w:after="0" w:line="467" w:lineRule="exact"/>
        <w:ind w:left="0" w:right="0" w:firstLine="480"/>
        <w:jc w:val="both"/>
      </w:pPr>
      <w:bookmarkStart w:id="582" w:name="bookmark582"/>
      <w:r>
        <w:rPr>
          <w:color w:val="000000"/>
          <w:spacing w:val="0"/>
          <w:w w:val="100"/>
          <w:position w:val="0"/>
        </w:rPr>
        <w:t>（</w:t>
      </w:r>
      <w:bookmarkEnd w:id="582"/>
      <w:r>
        <w:rPr>
          <w:color w:val="000000"/>
          <w:spacing w:val="0"/>
          <w:w w:val="100"/>
          <w:position w:val="0"/>
        </w:rPr>
        <w:t>三）</w:t>
        <w:tab/>
        <w:t>关于监事和监事会</w:t>
      </w:r>
    </w:p>
    <w:p>
      <w:pPr>
        <w:pStyle w:val="Style3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公司严格按照《公司法》、《公司章程》规定的选聘程序选举监事，公司监事会人数和 人员构成符合法律、法规的要求。公司监事本着对全体股东负责的态度，切实行使监察、督 促职能，对公司董事、经理及其他高级管理人员履行职务情况进行监督，对公司财务状况进 行检查，对相关重大事项发表意见，维护公司及股东的合法权益。</w:t>
      </w:r>
    </w:p>
    <w:p>
      <w:pPr>
        <w:pStyle w:val="Style35"/>
        <w:keepNext w:val="0"/>
        <w:keepLines w:val="0"/>
        <w:widowControl w:val="0"/>
        <w:shd w:val="clear" w:color="auto" w:fill="auto"/>
        <w:tabs>
          <w:tab w:pos="1111" w:val="left"/>
        </w:tabs>
        <w:bidi w:val="0"/>
        <w:spacing w:before="0" w:after="0" w:line="467" w:lineRule="exact"/>
        <w:ind w:left="0" w:right="0" w:firstLine="480"/>
        <w:jc w:val="both"/>
      </w:pPr>
      <w:bookmarkStart w:id="583" w:name="bookmark583"/>
      <w:r>
        <w:rPr>
          <w:color w:val="000000"/>
          <w:spacing w:val="0"/>
          <w:w w:val="100"/>
          <w:position w:val="0"/>
        </w:rPr>
        <w:t>（</w:t>
      </w:r>
      <w:bookmarkEnd w:id="583"/>
      <w:r>
        <w:rPr>
          <w:color w:val="000000"/>
          <w:spacing w:val="0"/>
          <w:w w:val="100"/>
          <w:position w:val="0"/>
        </w:rPr>
        <w:t>四）</w:t>
        <w:tab/>
        <w:t>关于绩效评价与激励约束机制：</w:t>
      </w:r>
    </w:p>
    <w:p>
      <w:pPr>
        <w:pStyle w:val="Style3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 xml:space="preserve">公司建立并逐步完善公正、透明的董事、监事、高级管理人员的绩效评价标准与激励约 </w:t>
      </w:r>
      <w:r>
        <w:rPr>
          <w:color w:val="000000"/>
          <w:spacing w:val="0"/>
          <w:w w:val="100"/>
          <w:position w:val="0"/>
        </w:rPr>
        <w:t>束机制；高级管理人员的聘任公开、透明，符合相关法律、法规的规定。</w:t>
      </w:r>
    </w:p>
    <w:p>
      <w:pPr>
        <w:pStyle w:val="Style35"/>
        <w:keepNext w:val="0"/>
        <w:keepLines w:val="0"/>
        <w:widowControl w:val="0"/>
        <w:shd w:val="clear" w:color="auto" w:fill="auto"/>
        <w:tabs>
          <w:tab w:pos="1126" w:val="left"/>
        </w:tabs>
        <w:bidi w:val="0"/>
        <w:spacing w:before="0" w:after="0" w:line="470" w:lineRule="exact"/>
        <w:ind w:left="0" w:right="0" w:firstLine="480"/>
        <w:jc w:val="left"/>
      </w:pPr>
      <w:bookmarkStart w:id="584" w:name="bookmark584"/>
      <w:r>
        <w:rPr>
          <w:color w:val="000000"/>
          <w:spacing w:val="0"/>
          <w:w w:val="100"/>
          <w:position w:val="0"/>
        </w:rPr>
        <w:t>（</w:t>
      </w:r>
      <w:bookmarkEnd w:id="584"/>
      <w:r>
        <w:rPr>
          <w:color w:val="000000"/>
          <w:spacing w:val="0"/>
          <w:w w:val="100"/>
          <w:position w:val="0"/>
        </w:rPr>
        <w:t>五）</w:t>
        <w:tab/>
        <w:t>关于信息披露与透明度：</w:t>
      </w:r>
    </w:p>
    <w:p>
      <w:pPr>
        <w:pStyle w:val="Style35"/>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公司严格按照有关法律法规以及《公司章程》、《深圳证券交易所创业板股票上市规则》 等的要求，真实、准确、及时、公平、完整地披露有关信息，指定公司董事会秘书负责信息 披露工作，协调公司与投资者的关系，接待股东来访，回答投资者咨询，向投资者提供公司 已披露的资料，并指定《证券时报》、《中国证券报》、《上海证券报》、和巨潮资讯</w:t>
      </w:r>
    </w:p>
    <w:p>
      <w:pPr>
        <w:pStyle w:val="Style35"/>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（www.cninfo.com.cn）</w:t>
      </w:r>
      <w:r>
        <w:rPr>
          <w:color w:val="000000"/>
          <w:spacing w:val="0"/>
          <w:w w:val="100"/>
          <w:position w:val="0"/>
        </w:rPr>
        <w:t>为公司信息披露的指定报纸和网站，确保公司所有股东能够以平等的 机会获得信息。</w:t>
      </w:r>
    </w:p>
    <w:p>
      <w:pPr>
        <w:pStyle w:val="Style35"/>
        <w:keepNext w:val="0"/>
        <w:keepLines w:val="0"/>
        <w:widowControl w:val="0"/>
        <w:shd w:val="clear" w:color="auto" w:fill="auto"/>
        <w:tabs>
          <w:tab w:pos="1126" w:val="left"/>
        </w:tabs>
        <w:bidi w:val="0"/>
        <w:spacing w:before="0" w:after="0" w:line="470" w:lineRule="exact"/>
        <w:ind w:left="0" w:right="0" w:firstLine="480"/>
        <w:jc w:val="left"/>
      </w:pPr>
      <w:bookmarkStart w:id="585" w:name="bookmark585"/>
      <w:r>
        <w:rPr>
          <w:color w:val="000000"/>
          <w:spacing w:val="0"/>
          <w:w w:val="100"/>
          <w:position w:val="0"/>
        </w:rPr>
        <w:t>（</w:t>
      </w:r>
      <w:bookmarkEnd w:id="585"/>
      <w:r>
        <w:rPr>
          <w:color w:val="000000"/>
          <w:spacing w:val="0"/>
          <w:w w:val="100"/>
          <w:position w:val="0"/>
        </w:rPr>
        <w:t>六）</w:t>
        <w:tab/>
        <w:t>关于相关利益者</w:t>
      </w:r>
    </w:p>
    <w:p>
      <w:pPr>
        <w:pStyle w:val="Style35"/>
        <w:keepNext w:val="0"/>
        <w:keepLines w:val="0"/>
        <w:widowControl w:val="0"/>
        <w:shd w:val="clear" w:color="auto" w:fill="auto"/>
        <w:bidi w:val="0"/>
        <w:spacing w:before="0" w:after="500" w:line="470" w:lineRule="exact"/>
        <w:ind w:left="0" w:right="0" w:firstLine="480"/>
        <w:jc w:val="both"/>
      </w:pPr>
      <w:r>
        <w:rPr>
          <w:color w:val="000000"/>
          <w:spacing w:val="0"/>
          <w:w w:val="100"/>
          <w:position w:val="0"/>
        </w:rPr>
        <w:t>公司充分尊重和维护相关利益者的合法权益，积极与相关利益者合作，加强与各方的沟 通和交流，实现股东、员工、社会等各方利益的协调平衡，共同推动公司持续、健康的发展。</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bidi w:val="0"/>
        <w:spacing w:before="0" w:after="220" w:line="470" w:lineRule="exact"/>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二</w:t>
      </w:r>
      <w:bookmarkEnd w:id="588"/>
      <w:r>
        <w:rPr>
          <w:color w:val="000000"/>
          <w:spacing w:val="0"/>
          <w:w w:val="100"/>
          <w:position w:val="0"/>
        </w:rPr>
        <w:t>、公司相对于控股股东在业务、人员、资产、机构、财务等方面的独立情况</w:t>
      </w:r>
      <w:bookmarkEnd w:id="586"/>
      <w:bookmarkEnd w:id="587"/>
      <w:bookmarkEnd w:id="589"/>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公司严格按照《公司法》、《证券法》等有关法律、法规和《公司章程》的要求规范运 作，与控股股东在业务、人员、资产、机构、财务等方面完全独立，具有独立完整的业务及 自主经营能力。</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业务独立：本公司具有独立的研发、销售、服务业务体系，独立签署各项与其经营有关 的合同，独立开展各项经营活动，本公司的业务独立于控股股东、实际控制人，与控股股东、 实际控制人不存在同业竞争或者显失公平的关联交易。</w:t>
      </w:r>
    </w:p>
    <w:p>
      <w:pPr>
        <w:pStyle w:val="Style35"/>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人员独立：公司的董事、监事均严格按照《公司法》、《公司章程》的有关规定产生， 履行了合法程序；本公司的总经理、董事会秘书、财务负责人、核心技术人员等人员在本公 司工作，并在公司领取薪酬。本公司已建立独立的劳动、人事、社会保障体系及工资管理体 系，与员工签订了劳动合同，并按国家规定办理了社会保险。</w:t>
      </w:r>
    </w:p>
    <w:p>
      <w:pPr>
        <w:pStyle w:val="Style35"/>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资产独立：公司资产独立完整、权属清晰。公司具备与经营服务有关的研发系统、服务 系统、辅助系统和配套设施，合法拥有经营活动所需的土地、房屋、软件、专利权等资产的 所有权或使用权，上述资产可以完整地用于公司所从事的经营服务。</w:t>
      </w:r>
    </w:p>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机构独立：公司建立健全了独立的股东大会、董事会、监事会、经理的法人治理结构。 </w:t>
      </w:r>
      <w:r>
        <w:rPr>
          <w:color w:val="000000"/>
          <w:spacing w:val="0"/>
          <w:w w:val="100"/>
          <w:position w:val="0"/>
        </w:rPr>
        <w:t>并严格按照《公司法》、《公司章程》的规定履行各自的职责；建立了独立的、适应自身发 展需要的组织结构，制定了完善的岗位职责和管理制度，各部门按照规定的职责独立运作。</w:t>
      </w:r>
    </w:p>
    <w:p>
      <w:pPr>
        <w:pStyle w:val="Style35"/>
        <w:keepNext w:val="0"/>
        <w:keepLines w:val="0"/>
        <w:widowControl w:val="0"/>
        <w:shd w:val="clear" w:color="auto" w:fill="auto"/>
        <w:bidi w:val="0"/>
        <w:spacing w:before="0" w:after="520" w:line="467" w:lineRule="exact"/>
        <w:ind w:left="0" w:right="0" w:firstLine="980"/>
        <w:jc w:val="both"/>
      </w:pPr>
      <w:r>
        <w:rPr>
          <w:color w:val="000000"/>
          <w:spacing w:val="0"/>
          <w:w w:val="100"/>
          <w:position w:val="0"/>
        </w:rPr>
        <w:t>财务独立：本公司设立了独立的财务部门，配备了必要的财务人员，建立了独立的 财务核算体系，能够独立做出财务决策，制定了符合企业会计准则的财务会计管理制度。公 司在银行独立开设账户，依法独立纳税，不存在与主要股东及其控制的其他企业共用银行账 户的情形。</w:t>
      </w:r>
    </w:p>
    <w:p>
      <w:pPr>
        <w:pStyle w:val="Style26"/>
        <w:keepNext/>
        <w:keepLines/>
        <w:widowControl w:val="0"/>
        <w:shd w:val="clear" w:color="auto" w:fill="auto"/>
        <w:bidi w:val="0"/>
        <w:spacing w:before="0" w:line="467" w:lineRule="exact"/>
        <w:ind w:left="0" w:right="0" w:firstLine="0"/>
        <w:jc w:val="both"/>
      </w:pPr>
      <w:bookmarkStart w:id="590" w:name="bookmark590"/>
      <w:bookmarkStart w:id="591" w:name="bookmark591"/>
      <w:bookmarkStart w:id="592" w:name="bookmark592"/>
      <w:bookmarkStart w:id="593" w:name="bookmark593"/>
      <w:r>
        <w:rPr>
          <w:color w:val="000000"/>
          <w:spacing w:val="0"/>
          <w:w w:val="100"/>
          <w:position w:val="0"/>
        </w:rPr>
        <w:t>三</w:t>
      </w:r>
      <w:bookmarkEnd w:id="592"/>
      <w:r>
        <w:rPr>
          <w:color w:val="000000"/>
          <w:spacing w:val="0"/>
          <w:w w:val="100"/>
          <w:position w:val="0"/>
        </w:rPr>
        <w:t>、同业竞争情况</w:t>
      </w:r>
      <w:bookmarkEnd w:id="590"/>
      <w:bookmarkEnd w:id="591"/>
      <w:bookmarkEnd w:id="593"/>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594" w:name="bookmark594"/>
      <w:bookmarkStart w:id="595" w:name="bookmark595"/>
      <w:bookmarkStart w:id="596" w:name="bookmark596"/>
      <w:bookmarkStart w:id="597" w:name="bookmark597"/>
      <w:r>
        <w:rPr>
          <w:color w:val="000000"/>
          <w:spacing w:val="0"/>
          <w:w w:val="100"/>
          <w:position w:val="0"/>
        </w:rPr>
        <w:t>四</w:t>
      </w:r>
      <w:bookmarkEnd w:id="596"/>
      <w:r>
        <w:rPr>
          <w:color w:val="000000"/>
          <w:spacing w:val="0"/>
          <w:w w:val="100"/>
          <w:position w:val="0"/>
        </w:rPr>
        <w:t>、报告期内召开的年度股东大会和临时股东大会的有关情况</w:t>
      </w:r>
      <w:bookmarkEnd w:id="594"/>
      <w:bookmarkEnd w:id="595"/>
      <w:bookmarkEnd w:id="597"/>
    </w:p>
    <w:p>
      <w:pPr>
        <w:pStyle w:val="Style32"/>
        <w:keepNext/>
        <w:keepLines/>
        <w:widowControl w:val="0"/>
        <w:shd w:val="clear" w:color="auto" w:fill="auto"/>
        <w:bidi w:val="0"/>
        <w:spacing w:before="0" w:after="320" w:line="240" w:lineRule="auto"/>
        <w:ind w:left="0" w:right="0" w:firstLine="0"/>
        <w:jc w:val="both"/>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、本报告期股东大会情况</w:t>
      </w:r>
      <w:bookmarkEnd w:id="598"/>
      <w:bookmarkEnd w:id="599"/>
      <w:bookmarkEnd w:id="60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披露索引</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2020-002</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2020-016</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2020-020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年第四次临时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2020-030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2020-052</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年第五次临时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2020-061</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年第六次临时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2020-106</w:t>
            </w:r>
          </w:p>
        </w:tc>
      </w:tr>
    </w:tbl>
    <w:p>
      <w:pPr>
        <w:pStyle w:val="Style32"/>
        <w:keepNext/>
        <w:keepLines/>
        <w:widowControl w:val="0"/>
        <w:shd w:val="clear" w:color="auto" w:fill="auto"/>
        <w:bidi w:val="0"/>
        <w:spacing w:before="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、表决权恢复的优先股股东请求召开临时股东大会</w:t>
      </w:r>
      <w:bookmarkEnd w:id="602"/>
      <w:bookmarkEnd w:id="603"/>
      <w:bookmarkEnd w:id="60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五</w:t>
      </w:r>
      <w:bookmarkEnd w:id="608"/>
      <w:r>
        <w:rPr>
          <w:color w:val="000000"/>
          <w:spacing w:val="0"/>
          <w:w w:val="100"/>
          <w:position w:val="0"/>
        </w:rPr>
        <w:t>、报告期内独立董事履行职责的情况</w:t>
      </w:r>
      <w:bookmarkEnd w:id="606"/>
      <w:bookmarkEnd w:id="607"/>
      <w:bookmarkEnd w:id="609"/>
    </w:p>
    <w:p>
      <w:pPr>
        <w:pStyle w:val="Style32"/>
        <w:keepNext/>
        <w:keepLines/>
        <w:widowControl w:val="0"/>
        <w:shd w:val="clear" w:color="auto" w:fill="auto"/>
        <w:bidi w:val="0"/>
        <w:spacing w:before="0" w:after="32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、独立董事出席董事会及股东大会的情况</w:t>
      </w:r>
      <w:bookmarkEnd w:id="610"/>
      <w:bookmarkEnd w:id="611"/>
      <w:bookmarkEnd w:id="61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本报告期应参</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廖卫平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颜克益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连续两次未亲自出席董事会的说明</w:t>
      </w:r>
    </w:p>
    <w:p>
      <w:pPr>
        <w:widowControl w:val="0"/>
        <w:spacing w:after="37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w:t>
        <w:tab/>
        <w:t>独立董事对公司有关事项提出异议的情况</w:t>
      </w:r>
      <w:bookmarkEnd w:id="614"/>
      <w:bookmarkEnd w:id="615"/>
      <w:bookmarkEnd w:id="61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3</w:t>
      </w:r>
      <w:bookmarkEnd w:id="620"/>
      <w:r>
        <w:rPr>
          <w:color w:val="000000"/>
          <w:spacing w:val="0"/>
          <w:w w:val="100"/>
          <w:position w:val="0"/>
        </w:rPr>
        <w:t>、</w:t>
        <w:tab/>
        <w:t>独立董事履行职责的其他说明</w:t>
      </w:r>
      <w:bookmarkEnd w:id="618"/>
      <w:bookmarkEnd w:id="619"/>
      <w:bookmarkEnd w:id="62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报告期内，公司独立董事严格按照《关于在上市公司建立独立董事制度的指导意见》、 《深圳证券交易所创业板上市公司规范运作指引》及其他有关法律、法规和《公司章程》、 《独立董事议事规则》的规定和要求，忠实履行独立董事的职责，充分发挥独立董事的独立 性和专业性作用，全面关注公司的发展状况，及时了解公司的生产经营信息，对公司财务及 经营活动进行了有效监督，对维护公司和全体股东的合法权益发挥了应有的作用。</w:t>
      </w:r>
    </w:p>
    <w:p>
      <w:pPr>
        <w:pStyle w:val="Style35"/>
        <w:keepNext w:val="0"/>
        <w:keepLines w:val="0"/>
        <w:widowControl w:val="0"/>
        <w:shd w:val="clear" w:color="auto" w:fill="auto"/>
        <w:bidi w:val="0"/>
        <w:spacing w:before="0" w:after="380" w:line="470" w:lineRule="exact"/>
        <w:ind w:left="0" w:right="0" w:firstLine="500"/>
        <w:jc w:val="both"/>
      </w:pPr>
      <w:r>
        <w:rPr>
          <w:color w:val="000000"/>
          <w:spacing w:val="0"/>
          <w:w w:val="100"/>
          <w:position w:val="0"/>
        </w:rPr>
        <w:t>公司独立董事勤勉尽责、恪尽职守，会前认真审阅董事会议案及相关资料，积极参加董 事会会议，按照相关要求发表独立意见，同时深入了解公司的经营、管理和内部控制等制度 的完善及执行情况、董事会决议执行情况、财务管理、业务发展等相关事项，审阅有关资料, 与相关人员沟通，关注公司的经营、治理情况，为董事会和股东大会的科学决策发挥了积极 的作用。</w:t>
      </w:r>
    </w:p>
    <w:p>
      <w:pPr>
        <w:pStyle w:val="Style26"/>
        <w:keepNext/>
        <w:keepLines/>
        <w:widowControl w:val="0"/>
        <w:shd w:val="clear" w:color="auto" w:fill="auto"/>
        <w:tabs>
          <w:tab w:pos="517" w:val="left"/>
        </w:tabs>
        <w:bidi w:val="0"/>
        <w:spacing w:before="0" w:after="220" w:line="466" w:lineRule="exact"/>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六</w:t>
      </w:r>
      <w:bookmarkEnd w:id="624"/>
      <w:r>
        <w:rPr>
          <w:color w:val="000000"/>
          <w:spacing w:val="0"/>
          <w:w w:val="100"/>
          <w:position w:val="0"/>
        </w:rPr>
        <w:t>、</w:t>
        <w:tab/>
        <w:t>董事会下设专门委员会在报告期内履行职责情况</w:t>
      </w:r>
      <w:bookmarkEnd w:id="622"/>
      <w:bookmarkEnd w:id="623"/>
      <w:bookmarkEnd w:id="625"/>
    </w:p>
    <w:p>
      <w:pPr>
        <w:pStyle w:val="Style35"/>
        <w:keepNext w:val="0"/>
        <w:keepLines w:val="0"/>
        <w:widowControl w:val="0"/>
        <w:shd w:val="clear" w:color="auto" w:fill="auto"/>
        <w:bidi w:val="0"/>
        <w:spacing w:before="0" w:after="0" w:line="466" w:lineRule="exact"/>
        <w:ind w:left="0" w:right="0" w:firstLine="500"/>
        <w:jc w:val="both"/>
      </w:pPr>
      <w:r>
        <w:rPr>
          <w:color w:val="000000"/>
          <w:spacing w:val="0"/>
          <w:w w:val="100"/>
          <w:position w:val="0"/>
        </w:rPr>
        <w:t>为进一步完善公司法人治理结构，促进公司董事会科学、高效决策以及建立对公司管理 层绩效评价机制和激励机制，参照《上市公司治理准则》及《公司章程》等有关规定，公司 董事会设立审计委员会、薪酬与考核委员会、提名委员会、战略发展委员会四个专门委员会, 报告期内，各委员会履职情况如下：</w:t>
      </w:r>
    </w:p>
    <w:p>
      <w:pPr>
        <w:pStyle w:val="Style35"/>
        <w:keepNext w:val="0"/>
        <w:keepLines w:val="0"/>
        <w:widowControl w:val="0"/>
        <w:shd w:val="clear" w:color="auto" w:fill="auto"/>
        <w:tabs>
          <w:tab w:pos="1146" w:val="left"/>
        </w:tabs>
        <w:bidi w:val="0"/>
        <w:spacing w:before="0" w:after="0" w:line="466" w:lineRule="exact"/>
        <w:ind w:left="0" w:right="0" w:firstLine="500"/>
        <w:jc w:val="both"/>
      </w:pPr>
      <w:bookmarkStart w:id="626" w:name="bookmark626"/>
      <w:r>
        <w:rPr>
          <w:color w:val="000000"/>
          <w:spacing w:val="0"/>
          <w:w w:val="100"/>
          <w:position w:val="0"/>
        </w:rPr>
        <w:t>（</w:t>
      </w:r>
      <w:bookmarkEnd w:id="626"/>
      <w:r>
        <w:rPr>
          <w:color w:val="000000"/>
          <w:spacing w:val="0"/>
          <w:w w:val="100"/>
          <w:position w:val="0"/>
        </w:rPr>
        <w:t>一）</w:t>
        <w:tab/>
        <w:t>审计委员会履职情况</w:t>
      </w:r>
    </w:p>
    <w:p>
      <w:pPr>
        <w:pStyle w:val="Style35"/>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报告期内，审计委员会按照《独立董事议事规则》、《董事会审计委员会议事规则》等 相关制度的规定，对公司定期报告、内部审计工作报告等进行审议，对内部控制制度的健全 和执行情况进行监督；在公司定期报告的编制和披露过程中，仔细审阅相关资料，积极了解 公司财务情况，认真审阅审计机构出具的审计意见，发挥审计委员会的专业职能和监督作用。</w:t>
      </w:r>
    </w:p>
    <w:p>
      <w:pPr>
        <w:pStyle w:val="Style35"/>
        <w:keepNext w:val="0"/>
        <w:keepLines w:val="0"/>
        <w:widowControl w:val="0"/>
        <w:shd w:val="clear" w:color="auto" w:fill="auto"/>
        <w:tabs>
          <w:tab w:pos="1146" w:val="left"/>
        </w:tabs>
        <w:bidi w:val="0"/>
        <w:spacing w:before="0" w:after="0" w:line="466" w:lineRule="exact"/>
        <w:ind w:left="0" w:right="0" w:firstLine="500"/>
        <w:jc w:val="both"/>
      </w:pPr>
      <w:bookmarkStart w:id="627" w:name="bookmark627"/>
      <w:r>
        <w:rPr>
          <w:color w:val="000000"/>
          <w:spacing w:val="0"/>
          <w:w w:val="100"/>
          <w:position w:val="0"/>
        </w:rPr>
        <w:t>（</w:t>
      </w:r>
      <w:bookmarkEnd w:id="627"/>
      <w:r>
        <w:rPr>
          <w:color w:val="000000"/>
          <w:spacing w:val="0"/>
          <w:w w:val="100"/>
          <w:position w:val="0"/>
        </w:rPr>
        <w:t>二）</w:t>
        <w:tab/>
        <w:t>薪酬与考核委员会履职情况</w:t>
      </w:r>
    </w:p>
    <w:p>
      <w:pPr>
        <w:pStyle w:val="Style35"/>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报告期内，薪酬与考核委员会对公司薪酬及绩效考核情况进行监督，审查董事、监事及 高级管理人员的薪酬情况，对考核和评价标准提出建议，对公司《</w:t>
      </w:r>
      <w:r>
        <w:rPr>
          <w:color w:val="000000"/>
          <w:spacing w:val="0"/>
          <w:w w:val="100"/>
          <w:position w:val="0"/>
          <w:sz w:val="24"/>
          <w:szCs w:val="24"/>
        </w:rPr>
        <w:t>2017</w:t>
      </w:r>
      <w:r>
        <w:rPr>
          <w:color w:val="000000"/>
          <w:spacing w:val="0"/>
          <w:w w:val="100"/>
          <w:position w:val="0"/>
        </w:rPr>
        <w:t>年激励计划》第二期、 《</w:t>
      </w:r>
      <w:r>
        <w:rPr>
          <w:color w:val="000000"/>
          <w:spacing w:val="0"/>
          <w:w w:val="100"/>
          <w:position w:val="0"/>
          <w:sz w:val="24"/>
          <w:szCs w:val="24"/>
        </w:rPr>
        <w:t>2018</w:t>
      </w:r>
      <w:r>
        <w:rPr>
          <w:color w:val="000000"/>
          <w:spacing w:val="0"/>
          <w:w w:val="100"/>
          <w:position w:val="0"/>
        </w:rPr>
        <w:t>年激励计划》第一期解锁条件是否达成情况及激励对象名单进行了核查。</w:t>
      </w:r>
    </w:p>
    <w:p>
      <w:pPr>
        <w:pStyle w:val="Style35"/>
        <w:keepNext w:val="0"/>
        <w:keepLines w:val="0"/>
        <w:widowControl w:val="0"/>
        <w:shd w:val="clear" w:color="auto" w:fill="auto"/>
        <w:tabs>
          <w:tab w:pos="1146" w:val="left"/>
        </w:tabs>
        <w:bidi w:val="0"/>
        <w:spacing w:before="0" w:after="0" w:line="466" w:lineRule="exact"/>
        <w:ind w:left="0" w:right="0" w:firstLine="500"/>
        <w:jc w:val="both"/>
      </w:pPr>
      <w:bookmarkStart w:id="628" w:name="bookmark628"/>
      <w:r>
        <w:rPr>
          <w:color w:val="000000"/>
          <w:spacing w:val="0"/>
          <w:w w:val="100"/>
          <w:position w:val="0"/>
        </w:rPr>
        <w:t>（</w:t>
      </w:r>
      <w:bookmarkEnd w:id="628"/>
      <w:r>
        <w:rPr>
          <w:color w:val="000000"/>
          <w:spacing w:val="0"/>
          <w:w w:val="100"/>
          <w:position w:val="0"/>
        </w:rPr>
        <w:t>三）</w:t>
        <w:tab/>
        <w:t>提名委员会履职情况</w:t>
      </w:r>
    </w:p>
    <w:p>
      <w:pPr>
        <w:pStyle w:val="Style35"/>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报告期内，公司提名委员会严格按照《董事会提名委员会议事规则》的相关要求，勤勉 尽责地履行职责，持续研究与关注高级管理人员选拔制度，对开展对外投资活动中派出的管 理人员的教育背景、职业经历和专业素养等综合情况，进行了充分的调查和了解。</w:t>
      </w:r>
    </w:p>
    <w:p>
      <w:pPr>
        <w:pStyle w:val="Style35"/>
        <w:keepNext w:val="0"/>
        <w:keepLines w:val="0"/>
        <w:widowControl w:val="0"/>
        <w:shd w:val="clear" w:color="auto" w:fill="auto"/>
        <w:tabs>
          <w:tab w:pos="1146" w:val="left"/>
        </w:tabs>
        <w:bidi w:val="0"/>
        <w:spacing w:before="0" w:after="0" w:line="466" w:lineRule="exact"/>
        <w:ind w:left="0" w:right="0" w:firstLine="500"/>
        <w:jc w:val="both"/>
      </w:pPr>
      <w:bookmarkStart w:id="629" w:name="bookmark629"/>
      <w:r>
        <w:rPr>
          <w:color w:val="000000"/>
          <w:spacing w:val="0"/>
          <w:w w:val="100"/>
          <w:position w:val="0"/>
        </w:rPr>
        <w:t>（</w:t>
      </w:r>
      <w:bookmarkEnd w:id="629"/>
      <w:r>
        <w:rPr>
          <w:color w:val="000000"/>
          <w:spacing w:val="0"/>
          <w:w w:val="100"/>
          <w:position w:val="0"/>
        </w:rPr>
        <w:t>四）</w:t>
        <w:tab/>
        <w:t>战略发展委员会履职情况</w:t>
      </w:r>
    </w:p>
    <w:p>
      <w:pPr>
        <w:pStyle w:val="Style35"/>
        <w:keepNext w:val="0"/>
        <w:keepLines w:val="0"/>
        <w:widowControl w:val="0"/>
        <w:shd w:val="clear" w:color="auto" w:fill="auto"/>
        <w:bidi w:val="0"/>
        <w:spacing w:before="0" w:after="520" w:line="466" w:lineRule="exact"/>
        <w:ind w:left="0" w:right="0" w:firstLine="740"/>
        <w:jc w:val="both"/>
      </w:pPr>
      <w:r>
        <w:rPr>
          <w:color w:val="000000"/>
          <w:spacing w:val="0"/>
          <w:w w:val="100"/>
          <w:position w:val="0"/>
        </w:rPr>
        <w:t>报告期内，战略发展委员会主要对公司长期发展战略及对外投资情况进行审议，日常 工作中，对公司重大投资决策及其他影响公司发展的重大事项进行研究，提出相关建议，并 与公司管理层保持密切沟通，对促进公司持续、健康发展，提高公司战略决策的合理性和科 学性起到积极良好的作用。</w:t>
      </w:r>
    </w:p>
    <w:p>
      <w:pPr>
        <w:pStyle w:val="Style26"/>
        <w:keepNext/>
        <w:keepLines/>
        <w:widowControl w:val="0"/>
        <w:shd w:val="clear" w:color="auto" w:fill="auto"/>
        <w:tabs>
          <w:tab w:pos="522" w:val="left"/>
        </w:tabs>
        <w:bidi w:val="0"/>
        <w:spacing w:before="0" w:line="466" w:lineRule="exact"/>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七</w:t>
      </w:r>
      <w:bookmarkEnd w:id="632"/>
      <w:r>
        <w:rPr>
          <w:color w:val="000000"/>
          <w:spacing w:val="0"/>
          <w:w w:val="100"/>
          <w:position w:val="0"/>
        </w:rPr>
        <w:t>、</w:t>
        <w:tab/>
        <w:t>监事会工作情况</w:t>
      </w:r>
      <w:bookmarkEnd w:id="630"/>
      <w:bookmarkEnd w:id="631"/>
      <w:bookmarkEnd w:id="63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17" w:val="left"/>
        </w:tabs>
        <w:bidi w:val="0"/>
        <w:spacing w:before="0" w:after="220" w:line="467" w:lineRule="exact"/>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八</w:t>
      </w:r>
      <w:bookmarkEnd w:id="636"/>
      <w:r>
        <w:rPr>
          <w:color w:val="000000"/>
          <w:spacing w:val="0"/>
          <w:w w:val="100"/>
          <w:position w:val="0"/>
        </w:rPr>
        <w:t>、</w:t>
        <w:tab/>
        <w:t>高级管理人员的考评及激励情况</w:t>
      </w:r>
      <w:bookmarkEnd w:id="634"/>
      <w:bookmarkEnd w:id="635"/>
      <w:bookmarkEnd w:id="637"/>
    </w:p>
    <w:p>
      <w:pPr>
        <w:pStyle w:val="Style35"/>
        <w:keepNext w:val="0"/>
        <w:keepLines w:val="0"/>
        <w:widowControl w:val="0"/>
        <w:shd w:val="clear" w:color="auto" w:fill="auto"/>
        <w:bidi w:val="0"/>
        <w:spacing w:before="0" w:after="520" w:line="467" w:lineRule="exact"/>
        <w:ind w:left="0" w:right="0" w:firstLine="480"/>
        <w:jc w:val="both"/>
      </w:pPr>
      <w:r>
        <w:rPr>
          <w:color w:val="000000"/>
          <w:spacing w:val="0"/>
          <w:w w:val="100"/>
          <w:position w:val="0"/>
        </w:rPr>
        <w:t>公司建立了高级管理人员的选择、考评、激励与约束机制，最大限度地调动公司高级管 理人员的积极性及创造性。董事会下设的薪酬与考核委员会负责对高级管理人员的工作能力、 履职情况进行年终考评，制定薪酬方案并报董事会审批。报告期内，高级管理人员能够严格 按照《公司法》、《公司章程》及国家有关法律法规认真履行职责，积极落实公司股东大会 和董事会相关决议，有效的提升了公司治理水平确保公司各项业务的顺利开展，促进了公司 业绩稳定持续发展。</w:t>
      </w:r>
    </w:p>
    <w:p>
      <w:pPr>
        <w:pStyle w:val="Style26"/>
        <w:keepNext/>
        <w:keepLines/>
        <w:widowControl w:val="0"/>
        <w:shd w:val="clear" w:color="auto" w:fill="auto"/>
        <w:tabs>
          <w:tab w:pos="517" w:val="left"/>
        </w:tabs>
        <w:bidi w:val="0"/>
        <w:spacing w:before="0" w:after="360" w:line="467" w:lineRule="exact"/>
        <w:ind w:left="0" w:right="0" w:firstLine="0"/>
        <w:jc w:val="both"/>
      </w:pPr>
      <w:bookmarkStart w:id="638" w:name="bookmark638"/>
      <w:bookmarkStart w:id="639" w:name="bookmark639"/>
      <w:bookmarkStart w:id="640" w:name="bookmark640"/>
      <w:bookmarkStart w:id="641" w:name="bookmark641"/>
      <w:r>
        <w:rPr>
          <w:color w:val="000000"/>
          <w:spacing w:val="0"/>
          <w:w w:val="100"/>
          <w:position w:val="0"/>
        </w:rPr>
        <w:t>九</w:t>
      </w:r>
      <w:bookmarkEnd w:id="640"/>
      <w:r>
        <w:rPr>
          <w:color w:val="000000"/>
          <w:spacing w:val="0"/>
          <w:w w:val="100"/>
          <w:position w:val="0"/>
        </w:rPr>
        <w:t>、</w:t>
        <w:tab/>
        <w:t>内部控制评价报告</w:t>
      </w:r>
      <w:bookmarkEnd w:id="638"/>
      <w:bookmarkEnd w:id="639"/>
      <w:bookmarkEnd w:id="641"/>
    </w:p>
    <w:p>
      <w:pPr>
        <w:pStyle w:val="Style32"/>
        <w:keepNext/>
        <w:keepLines/>
        <w:widowControl w:val="0"/>
        <w:shd w:val="clear" w:color="auto" w:fill="auto"/>
        <w:bidi w:val="0"/>
        <w:spacing w:before="0" w:after="360" w:line="240" w:lineRule="auto"/>
        <w:ind w:left="0" w:right="0" w:firstLine="0"/>
        <w:jc w:val="both"/>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1</w:t>
      </w:r>
      <w:bookmarkEnd w:id="644"/>
      <w:r>
        <w:rPr>
          <w:color w:val="000000"/>
          <w:spacing w:val="0"/>
          <w:w w:val="100"/>
          <w:position w:val="0"/>
        </w:rPr>
        <w:t>、报告期内发现的内部控制重大缺陷的具体情况</w:t>
      </w:r>
      <w:bookmarkEnd w:id="642"/>
      <w:bookmarkEnd w:id="643"/>
      <w:bookmarkEnd w:id="645"/>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both"/>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2</w:t>
      </w:r>
      <w:bookmarkEnd w:id="648"/>
      <w:r>
        <w:rPr>
          <w:color w:val="000000"/>
          <w:spacing w:val="0"/>
          <w:w w:val="100"/>
          <w:position w:val="0"/>
        </w:rPr>
        <w:t>、内控自我评价报告</w:t>
      </w:r>
      <w:bookmarkEnd w:id="646"/>
      <w:bookmarkEnd w:id="647"/>
      <w:bookmarkEnd w:id="649"/>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44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公司确定的财务报告内部控制缺陷评价的 定性标准如下：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）重大缺陷的评价标准① 董事、监事和高级管理人员在经营管理活 动中舞弊；②对已经公告的财务报表进行 重大差错更正；③外部审计机构发现当期 财务报表存在重大错报，而内部控制在运 行过程中未能发现该错报。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）重要缺陷的 评价标准①未依照公认的会计准则选择和 应用会计政策；②未建立经营管理活动相 关的反舞弊程序和控制措施；③对于非常 规或特殊交易的账务处理没有建立相应的 控制机制或没有实施且没有相应的补偿性 机制。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）一般缺陷的评价标准不构成重大 缺陷和重要缺陷的内部控制缺陷，认定为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公司确定的非财务报告内部控制缺陷 评价的定性标准如下：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）重大缺陷的 评价标准①公司重要业务事项、环节和 高风险领域缺乏制度控制或制度体系 失效，对公司经营造成重大影响；②公 司经营活动严重违反国家法律法规；③ 媒体出现负面新闻，涉及面广且负面影 响一直未能消除；④公司核心管理人员 和高级技术人员流失严重，造成经营活 动难以正常进行。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）重要缺陷的评价 标准①公司重要业务事项、环节和高风 险领域相关的制度控制或系统存在缺 陷，对公司经营造成重要影响；②公司 重大决策、重大事项、重要人事任免事</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项及大额资金支付业务决策程序不完 善或不规范，导致公司出现重要损失； ③公司违犯国家法律、法规或规范性文 件，受到除责令停产停业、暂扣或吊销 许可证及执照以外的行政处罚；④公司 关键岗位业务人员流失严重。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一般 缺陷的评价标准不构成重大缺陷和重 要缺陷的内部控制缺陷，认定为一般缺 陷。</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以本年度财务报表数据为基准，确定公司 财务报表错报（包括漏报）重要程度的定 量标准:重大缺陷:错报</w:t>
            </w:r>
            <w:r>
              <w:rPr>
                <w:color w:val="000000"/>
                <w:spacing w:val="0"/>
                <w:w w:val="100"/>
                <w:position w:val="0"/>
                <w:sz w:val="18"/>
                <w:szCs w:val="18"/>
              </w:rPr>
              <w:t>〉二</w:t>
            </w:r>
            <w:r>
              <w:rPr>
                <w:color w:val="000000"/>
                <w:spacing w:val="0"/>
                <w:w w:val="100"/>
                <w:position w:val="0"/>
                <w:sz w:val="17"/>
                <w:szCs w:val="17"/>
              </w:rPr>
              <w:t>营业利润的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重要缺陷：营业利润的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错报</w:t>
            </w:r>
            <w:r>
              <w:rPr>
                <w:color w:val="000000"/>
                <w:spacing w:val="0"/>
                <w:w w:val="100"/>
                <w:position w:val="0"/>
                <w:sz w:val="18"/>
                <w:szCs w:val="18"/>
              </w:rPr>
              <w:t>〈</w:t>
            </w:r>
            <w:r>
              <w:rPr>
                <w:color w:val="000000"/>
                <w:spacing w:val="0"/>
                <w:w w:val="100"/>
                <w:position w:val="0"/>
                <w:sz w:val="17"/>
                <w:szCs w:val="17"/>
              </w:rPr>
              <w:t>营业利 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；一般缺陷:错报</w:t>
            </w:r>
            <w:r>
              <w:rPr>
                <w:color w:val="000000"/>
                <w:spacing w:val="0"/>
                <w:w w:val="100"/>
                <w:position w:val="0"/>
                <w:sz w:val="18"/>
                <w:szCs w:val="18"/>
              </w:rPr>
              <w:t>〈</w:t>
            </w:r>
            <w:r>
              <w:rPr>
                <w:color w:val="000000"/>
                <w:spacing w:val="0"/>
                <w:w w:val="100"/>
                <w:position w:val="0"/>
                <w:sz w:val="17"/>
                <w:szCs w:val="17"/>
              </w:rPr>
              <w:t>营业利润的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重大缺陷：损失金额达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万或以上 的；重要缺陷：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万</w:t>
            </w:r>
            <w:r>
              <w:rPr>
                <w:rFonts w:ascii="Arial" w:eastAsia="Arial" w:hAnsi="Arial" w:cs="Arial"/>
                <w:color w:val="000000"/>
                <w:spacing w:val="0"/>
                <w:w w:val="100"/>
                <w:position w:val="0"/>
                <w:sz w:val="18"/>
                <w:szCs w:val="18"/>
              </w:rPr>
              <w:t>M</w:t>
            </w:r>
            <w:r>
              <w:rPr>
                <w:color w:val="000000"/>
                <w:spacing w:val="0"/>
                <w:w w:val="100"/>
                <w:position w:val="0"/>
                <w:sz w:val="17"/>
                <w:szCs w:val="17"/>
              </w:rPr>
              <w:t>损失金额</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7"/>
                <w:szCs w:val="17"/>
              </w:rPr>
              <w:t>万的；一般缺陷：损失金额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万的。</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650" w:name="bookmark650"/>
      <w:bookmarkStart w:id="651" w:name="bookmark651"/>
      <w:bookmarkStart w:id="652" w:name="bookmark652"/>
      <w:r>
        <w:rPr>
          <w:color w:val="000000"/>
          <w:spacing w:val="0"/>
          <w:w w:val="100"/>
          <w:position w:val="0"/>
        </w:rPr>
        <w:t>十、内部控制审计报告或鉴证报告</w:t>
      </w:r>
      <w:bookmarkEnd w:id="650"/>
      <w:bookmarkEnd w:id="651"/>
      <w:bookmarkEnd w:id="652"/>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30" w:right="1039" w:bottom="1445" w:left="1055"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653" w:name="bookmark653"/>
      <w:bookmarkStart w:id="654" w:name="bookmark654"/>
      <w:bookmarkStart w:id="655" w:name="bookmark655"/>
      <w:r>
        <w:rPr>
          <w:color w:val="000000"/>
          <w:spacing w:val="0"/>
          <w:w w:val="100"/>
          <w:position w:val="0"/>
        </w:rPr>
        <w:t>第十一节公司债券相关情况</w:t>
      </w:r>
      <w:bookmarkEnd w:id="653"/>
      <w:bookmarkEnd w:id="654"/>
      <w:bookmarkEnd w:id="655"/>
    </w:p>
    <w:p>
      <w:pPr>
        <w:pStyle w:val="Style28"/>
        <w:keepNext w:val="0"/>
        <w:keepLines w:val="0"/>
        <w:widowControl w:val="0"/>
        <w:shd w:val="clear" w:color="auto" w:fill="auto"/>
        <w:bidi w:val="0"/>
        <w:spacing w:before="0" w:line="240" w:lineRule="auto"/>
        <w:ind w:left="0" w:right="0" w:firstLine="0"/>
        <w:jc w:val="left"/>
      </w:pPr>
      <w:bookmarkStart w:id="656" w:name="bookmark656"/>
      <w:r>
        <w:rPr>
          <w:color w:val="000000"/>
          <w:spacing w:val="0"/>
          <w:w w:val="100"/>
          <w:position w:val="0"/>
        </w:rPr>
        <w:t>公司是否存在公开发行并在证券交易所上市，且在年度报告批准报出日未到期或到期未能全额兑付的公司债券</w:t>
      </w:r>
      <w:bookmarkEnd w:id="656"/>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00" w:bottom="1921" w:left="111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600" w:after="560" w:line="240" w:lineRule="auto"/>
        <w:ind w:left="0" w:right="0" w:firstLine="0"/>
        <w:jc w:val="center"/>
      </w:pPr>
      <w:bookmarkStart w:id="657" w:name="bookmark657"/>
      <w:bookmarkStart w:id="658" w:name="bookmark658"/>
      <w:bookmarkStart w:id="659" w:name="bookmark659"/>
      <w:r>
        <w:rPr>
          <w:color w:val="000000"/>
          <w:spacing w:val="0"/>
          <w:w w:val="100"/>
          <w:position w:val="0"/>
        </w:rPr>
        <w:t>第十二节财务报告</w:t>
      </w:r>
      <w:bookmarkEnd w:id="657"/>
      <w:bookmarkEnd w:id="658"/>
      <w:bookmarkEnd w:id="659"/>
    </w:p>
    <w:p>
      <w:pPr>
        <w:pStyle w:val="Style38"/>
        <w:keepNext w:val="0"/>
        <w:keepLines w:val="0"/>
        <w:widowControl w:val="0"/>
        <w:shd w:val="clear" w:color="auto" w:fill="auto"/>
        <w:bidi w:val="0"/>
        <w:spacing w:before="0" w:after="0" w:line="240" w:lineRule="auto"/>
        <w:ind w:left="0" w:right="0" w:firstLine="0"/>
        <w:jc w:val="left"/>
        <w:rPr>
          <w:sz w:val="22"/>
          <w:szCs w:val="22"/>
        </w:rPr>
      </w:pPr>
      <w:bookmarkStart w:id="660" w:name="bookmark660"/>
      <w:bookmarkStart w:id="661" w:name="bookmark661"/>
      <w:r>
        <w:rPr>
          <w:color w:val="000000"/>
          <w:spacing w:val="0"/>
          <w:w w:val="100"/>
          <w:position w:val="0"/>
          <w:sz w:val="22"/>
          <w:szCs w:val="22"/>
        </w:rPr>
        <w:t>一、审计报告</w:t>
      </w:r>
      <w:bookmarkEnd w:id="661"/>
      <w:bookmarkEnd w:id="66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ZA11788</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戴金燕、林伟</w:t>
            </w:r>
          </w:p>
        </w:tc>
      </w:tr>
    </w:tbl>
    <w:p>
      <w:pPr>
        <w:pStyle w:val="Style38"/>
        <w:keepNext w:val="0"/>
        <w:keepLines w:val="0"/>
        <w:widowControl w:val="0"/>
        <w:shd w:val="clear" w:color="auto" w:fill="auto"/>
        <w:bidi w:val="0"/>
        <w:spacing w:before="0" w:after="0" w:line="240" w:lineRule="auto"/>
        <w:ind w:left="4277" w:right="0" w:firstLine="0"/>
        <w:jc w:val="left"/>
        <w:rPr>
          <w:sz w:val="17"/>
          <w:szCs w:val="17"/>
        </w:rPr>
      </w:pPr>
      <w:r>
        <w:rPr>
          <w:b w:val="0"/>
          <w:bCs w:val="0"/>
          <w:color w:val="000000"/>
          <w:spacing w:val="0"/>
          <w:w w:val="100"/>
          <w:position w:val="0"/>
          <w:sz w:val="17"/>
          <w:szCs w:val="17"/>
        </w:rPr>
        <w:t>审计报告正文</w:t>
      </w:r>
    </w:p>
    <w:p>
      <w:pPr>
        <w:pStyle w:val="Style3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信会师报字</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第</w:t>
      </w:r>
      <w:r>
        <w:rPr>
          <w:rFonts w:ascii="Times New Roman" w:eastAsia="Times New Roman" w:hAnsi="Times New Roman" w:cs="Times New Roman"/>
          <w:b w:val="0"/>
          <w:bCs w:val="0"/>
          <w:color w:val="000000"/>
          <w:spacing w:val="0"/>
          <w:w w:val="100"/>
          <w:position w:val="0"/>
        </w:rPr>
        <w:t>ZA11788</w:t>
      </w:r>
      <w:r>
        <w:rPr>
          <w:b w:val="0"/>
          <w:bCs w:val="0"/>
          <w:color w:val="000000"/>
          <w:spacing w:val="0"/>
          <w:w w:val="100"/>
          <w:position w:val="0"/>
        </w:rPr>
        <w:t>号</w:t>
      </w:r>
    </w:p>
    <w:p>
      <w:pPr>
        <w:widowControl w:val="0"/>
        <w:spacing w:after="779" w:line="1" w:lineRule="exact"/>
      </w:pPr>
    </w:p>
    <w:p>
      <w:pPr>
        <w:pStyle w:val="Style16"/>
        <w:keepNext w:val="0"/>
        <w:keepLines w:val="0"/>
        <w:widowControl w:val="0"/>
        <w:shd w:val="clear" w:color="auto" w:fill="auto"/>
        <w:bidi w:val="0"/>
        <w:spacing w:before="0" w:after="920" w:line="240" w:lineRule="auto"/>
        <w:ind w:left="0" w:right="0" w:firstLine="0"/>
        <w:jc w:val="left"/>
      </w:pPr>
      <w:r>
        <w:rPr>
          <w:color w:val="000000"/>
          <w:spacing w:val="0"/>
          <w:w w:val="100"/>
          <w:position w:val="0"/>
        </w:rPr>
        <w:t>上海汉得信息技术股份有限公司全体股东:</w:t>
      </w:r>
    </w:p>
    <w:p>
      <w:pPr>
        <w:pStyle w:val="Style16"/>
        <w:keepNext w:val="0"/>
        <w:keepLines w:val="0"/>
        <w:widowControl w:val="0"/>
        <w:shd w:val="clear" w:color="auto" w:fill="auto"/>
        <w:bidi w:val="0"/>
        <w:spacing w:before="0" w:after="620" w:line="240" w:lineRule="auto"/>
        <w:ind w:left="0" w:right="0" w:firstLine="1000"/>
        <w:jc w:val="both"/>
      </w:pPr>
      <w:bookmarkStart w:id="662" w:name="bookmark662"/>
      <w:r>
        <w:rPr>
          <w:color w:val="000000"/>
          <w:spacing w:val="0"/>
          <w:w w:val="100"/>
          <w:position w:val="0"/>
        </w:rPr>
        <w:t>一</w:t>
      </w:r>
      <w:bookmarkEnd w:id="662"/>
      <w:r>
        <w:rPr>
          <w:color w:val="000000"/>
          <w:spacing w:val="0"/>
          <w:w w:val="100"/>
          <w:position w:val="0"/>
        </w:rPr>
        <w:t>、审计意见</w:t>
      </w:r>
    </w:p>
    <w:p>
      <w:pPr>
        <w:pStyle w:val="Style16"/>
        <w:keepNext w:val="0"/>
        <w:keepLines w:val="0"/>
        <w:widowControl w:val="0"/>
        <w:shd w:val="clear" w:color="auto" w:fill="auto"/>
        <w:bidi w:val="0"/>
        <w:spacing w:before="0" w:after="0" w:line="626" w:lineRule="exact"/>
        <w:ind w:left="0" w:right="0"/>
        <w:jc w:val="both"/>
        <w:rPr>
          <w:sz w:val="26"/>
          <w:szCs w:val="26"/>
        </w:rPr>
      </w:pPr>
      <w:r>
        <w:rPr>
          <w:b w:val="0"/>
          <w:bCs w:val="0"/>
          <w:color w:val="000000"/>
          <w:spacing w:val="0"/>
          <w:w w:val="100"/>
          <w:position w:val="0"/>
          <w:sz w:val="26"/>
          <w:szCs w:val="26"/>
        </w:rPr>
        <w:t>我们审计了上海汉得信息技术股份有限公司（以下简称汉得信息）财务报 表，包括</w:t>
      </w:r>
      <w:r>
        <w:rPr>
          <w:rFonts w:ascii="Times New Roman" w:eastAsia="Times New Roman" w:hAnsi="Times New Roman" w:cs="Times New Roman"/>
          <w:b w:val="0"/>
          <w:bCs w:val="0"/>
          <w:color w:val="000000"/>
          <w:spacing w:val="0"/>
          <w:w w:val="100"/>
          <w:position w:val="0"/>
          <w:sz w:val="28"/>
          <w:szCs w:val="28"/>
        </w:rPr>
        <w:t>202</w:t>
      </w:r>
      <w:r>
        <w:rPr>
          <w:b w:val="0"/>
          <w:bCs w:val="0"/>
          <w:color w:val="000000"/>
          <w:spacing w:val="0"/>
          <w:w w:val="100"/>
          <w:position w:val="0"/>
          <w:sz w:val="28"/>
          <w:szCs w:val="28"/>
        </w:rPr>
        <w:t>。</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日的合并及母公司资产负债表，</w:t>
      </w:r>
      <w:r>
        <w:rPr>
          <w:rFonts w:ascii="Times New Roman" w:eastAsia="Times New Roman" w:hAnsi="Times New Roman" w:cs="Times New Roman"/>
          <w:b w:val="0"/>
          <w:bCs w:val="0"/>
          <w:color w:val="000000"/>
          <w:spacing w:val="0"/>
          <w:w w:val="100"/>
          <w:position w:val="0"/>
          <w:sz w:val="28"/>
          <w:szCs w:val="28"/>
        </w:rPr>
        <w:t>202</w:t>
      </w:r>
      <w:r>
        <w:rPr>
          <w:b w:val="0"/>
          <w:bCs w:val="0"/>
          <w:color w:val="000000"/>
          <w:spacing w:val="0"/>
          <w:w w:val="100"/>
          <w:position w:val="0"/>
          <w:sz w:val="28"/>
          <w:szCs w:val="28"/>
        </w:rPr>
        <w:t>。</w:t>
      </w:r>
      <w:r>
        <w:rPr>
          <w:b w:val="0"/>
          <w:bCs w:val="0"/>
          <w:color w:val="000000"/>
          <w:spacing w:val="0"/>
          <w:w w:val="100"/>
          <w:position w:val="0"/>
          <w:sz w:val="26"/>
          <w:szCs w:val="26"/>
        </w:rPr>
        <w:t>年度的合并及母公 司利润表、合并及母公司现金流量表、合并及母公司所有者权益变动表以及相 关财务报表附注。</w:t>
      </w:r>
    </w:p>
    <w:p>
      <w:pPr>
        <w:pStyle w:val="Style16"/>
        <w:keepNext w:val="0"/>
        <w:keepLines w:val="0"/>
        <w:widowControl w:val="0"/>
        <w:shd w:val="clear" w:color="auto" w:fill="auto"/>
        <w:bidi w:val="0"/>
        <w:spacing w:before="0" w:after="920" w:line="626" w:lineRule="exact"/>
        <w:ind w:left="0" w:right="0"/>
        <w:jc w:val="both"/>
        <w:rPr>
          <w:sz w:val="26"/>
          <w:szCs w:val="26"/>
        </w:rPr>
      </w:pPr>
      <w:r>
        <w:rPr>
          <w:b w:val="0"/>
          <w:bCs w:val="0"/>
          <w:color w:val="000000"/>
          <w:spacing w:val="0"/>
          <w:w w:val="100"/>
          <w:position w:val="0"/>
          <w:sz w:val="26"/>
          <w:szCs w:val="26"/>
        </w:rPr>
        <w:t>我们认为，后附的财务报表在所有重大方面按照企业会计准则的规定编制, 公允反映了汉得信息</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日的合并及母公司财务状况以及</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sz w:val="26"/>
          <w:szCs w:val="26"/>
        </w:rPr>
        <w:t>年度的 合并及母公司经营成果和现金流量。</w:t>
      </w:r>
    </w:p>
    <w:p>
      <w:pPr>
        <w:pStyle w:val="Style16"/>
        <w:keepNext w:val="0"/>
        <w:keepLines w:val="0"/>
        <w:widowControl w:val="0"/>
        <w:shd w:val="clear" w:color="auto" w:fill="auto"/>
        <w:bidi w:val="0"/>
        <w:spacing w:before="0" w:after="0" w:line="240" w:lineRule="auto"/>
        <w:ind w:left="0" w:right="0" w:firstLine="1000"/>
        <w:jc w:val="both"/>
      </w:pPr>
      <w:bookmarkStart w:id="663" w:name="bookmark663"/>
      <w:r>
        <w:rPr>
          <w:color w:val="000000"/>
          <w:spacing w:val="0"/>
          <w:w w:val="100"/>
          <w:position w:val="0"/>
        </w:rPr>
        <w:t>二</w:t>
      </w:r>
      <w:bookmarkEnd w:id="663"/>
      <w:r>
        <w:rPr>
          <w:color w:val="000000"/>
          <w:spacing w:val="0"/>
          <w:w w:val="100"/>
          <w:position w:val="0"/>
        </w:rPr>
        <w:t>、形成审计意见的基础</w:t>
      </w:r>
    </w:p>
    <w:p>
      <w:pPr>
        <w:pStyle w:val="Style16"/>
        <w:keepNext w:val="0"/>
        <w:keepLines w:val="0"/>
        <w:widowControl w:val="0"/>
        <w:shd w:val="clear" w:color="auto" w:fill="auto"/>
        <w:bidi w:val="0"/>
        <w:spacing w:before="0" w:after="620" w:line="624" w:lineRule="exact"/>
        <w:ind w:left="0" w:right="0"/>
        <w:jc w:val="both"/>
        <w:rPr>
          <w:sz w:val="26"/>
          <w:szCs w:val="26"/>
        </w:rPr>
      </w:pPr>
      <w:r>
        <w:rPr>
          <w:b w:val="0"/>
          <w:bCs w:val="0"/>
          <w:color w:val="000000"/>
          <w:spacing w:val="0"/>
          <w:w w:val="100"/>
          <w:position w:val="0"/>
          <w:sz w:val="26"/>
          <w:szCs w:val="26"/>
        </w:rPr>
        <w:t>我们按照中国注册会计师审计准则的规定执行了审计工作。审计报告的</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注 册会计师对财务报表审计的责任</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部分进一步阐述了我们在这些准则下的责任。 按照中国注册会计师职业道德守则，我们独立于汉得信息，并履行了职业道德 方面的其他责任。我们相信，我们获取的审计证据是充分、适当的，为发表审 计意见提供了基础。</w:t>
      </w:r>
    </w:p>
    <w:p>
      <w:pPr>
        <w:pStyle w:val="Style16"/>
        <w:keepNext w:val="0"/>
        <w:keepLines w:val="0"/>
        <w:widowControl w:val="0"/>
        <w:shd w:val="clear" w:color="auto" w:fill="auto"/>
        <w:bidi w:val="0"/>
        <w:spacing w:before="0" w:after="620" w:line="624" w:lineRule="exact"/>
        <w:ind w:left="0" w:right="0" w:firstLine="840"/>
        <w:jc w:val="left"/>
      </w:pPr>
      <w:bookmarkStart w:id="664" w:name="bookmark664"/>
      <w:r>
        <w:rPr>
          <w:color w:val="000000"/>
          <w:spacing w:val="0"/>
          <w:w w:val="100"/>
          <w:position w:val="0"/>
        </w:rPr>
        <w:t>三</w:t>
      </w:r>
      <w:bookmarkEnd w:id="664"/>
      <w:r>
        <w:rPr>
          <w:color w:val="000000"/>
          <w:spacing w:val="0"/>
          <w:w w:val="100"/>
          <w:position w:val="0"/>
        </w:rPr>
        <w:t>、关键审计事项</w:t>
      </w:r>
    </w:p>
    <w:p>
      <w:pPr>
        <w:pStyle w:val="Style16"/>
        <w:keepNext w:val="0"/>
        <w:keepLines w:val="0"/>
        <w:widowControl w:val="0"/>
        <w:shd w:val="clear" w:color="auto" w:fill="auto"/>
        <w:bidi w:val="0"/>
        <w:spacing w:before="0" w:after="300" w:line="622" w:lineRule="exact"/>
        <w:ind w:left="0" w:right="0"/>
        <w:jc w:val="both"/>
        <w:rPr>
          <w:sz w:val="26"/>
          <w:szCs w:val="26"/>
        </w:rPr>
      </w:pPr>
      <w:r>
        <w:rPr>
          <w:b w:val="0"/>
          <w:bCs w:val="0"/>
          <w:color w:val="000000"/>
          <w:spacing w:val="0"/>
          <w:w w:val="100"/>
          <w:position w:val="0"/>
          <w:sz w:val="26"/>
          <w:szCs w:val="26"/>
        </w:rPr>
        <w:t>关键审计事项是我们根据职业判断，认为对本期财务报表审计最为重要的 事项。这些事项的应对以对财务报表整体进行审计并形成审计意见为背景，我 们不对这些事项单独发表意见。</w:t>
      </w:r>
    </w:p>
    <w:p>
      <w:pPr>
        <w:pStyle w:val="Style16"/>
        <w:keepNext w:val="0"/>
        <w:keepLines w:val="0"/>
        <w:widowControl w:val="0"/>
        <w:shd w:val="clear" w:color="auto" w:fill="auto"/>
        <w:bidi w:val="0"/>
        <w:spacing w:before="0" w:after="160" w:line="240" w:lineRule="auto"/>
        <w:ind w:left="0" w:right="0"/>
        <w:jc w:val="both"/>
        <w:rPr>
          <w:sz w:val="26"/>
          <w:szCs w:val="26"/>
        </w:rPr>
      </w:pPr>
      <w:r>
        <w:rPr>
          <w:b w:val="0"/>
          <w:bCs w:val="0"/>
          <w:color w:val="000000"/>
          <w:spacing w:val="0"/>
          <w:w w:val="100"/>
          <w:position w:val="0"/>
          <w:sz w:val="26"/>
          <w:szCs w:val="26"/>
        </w:rPr>
        <w:t>我们在审计中识别出的关键审计事项汇总如下:</w:t>
      </w:r>
    </w:p>
    <w:tbl>
      <w:tblPr>
        <w:tblOverlap w:val="never"/>
        <w:jc w:val="center"/>
        <w:tblLayout w:type="fixed"/>
      </w:tblPr>
      <w:tblGrid>
        <w:gridCol w:w="4147"/>
        <w:gridCol w:w="5530"/>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50" w:hRule="exact"/>
        </w:trPr>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（一）营业收入的确认</w:t>
            </w:r>
          </w:p>
        </w:tc>
      </w:tr>
      <w:tr>
        <w:trPr>
          <w:trHeight w:val="567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请参阅财务报表附注五、（三十九）所 示，汉得信息</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年度主营业务收入 </w:t>
            </w:r>
            <w:r>
              <w:rPr>
                <w:rFonts w:ascii="Times New Roman" w:eastAsia="Times New Roman" w:hAnsi="Times New Roman" w:cs="Times New Roman"/>
                <w:color w:val="000000"/>
                <w:spacing w:val="0"/>
                <w:w w:val="100"/>
                <w:position w:val="0"/>
                <w:sz w:val="24"/>
                <w:szCs w:val="24"/>
              </w:rPr>
              <w:t>248,708.08</w:t>
            </w:r>
            <w:r>
              <w:rPr>
                <w:color w:val="000000"/>
                <w:spacing w:val="0"/>
                <w:w w:val="100"/>
                <w:position w:val="0"/>
              </w:rPr>
              <w:t>万元，包括自主软件产品的销 售和实施、第三方软件产品的销售和实 施、客户支持和软件外包等收入，相关 收入确认时点详见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附注三、（二十二）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其中自主软件产品的销售和实施、第三 方软件产品的销售和实施、软件外包占 主营业务收入的比重为</w:t>
            </w:r>
            <w:r>
              <w:rPr>
                <w:rFonts w:ascii="Times New Roman" w:eastAsia="Times New Roman" w:hAnsi="Times New Roman" w:cs="Times New Roman"/>
                <w:color w:val="000000"/>
                <w:spacing w:val="0"/>
                <w:w w:val="100"/>
                <w:position w:val="0"/>
                <w:sz w:val="24"/>
                <w:szCs w:val="24"/>
              </w:rPr>
              <w:t>75.67%</w:t>
            </w:r>
            <w:r>
              <w:rPr>
                <w:color w:val="000000"/>
                <w:spacing w:val="0"/>
                <w:w w:val="100"/>
                <w:position w:val="0"/>
              </w:rPr>
              <w:t>，上述收 入的确认涉及更多的专业判断，是否适 当对经营成果存在很大影响，需要管理 层做出重大会计估计和判断，因此我们 将收入的确认作为关键审计事项。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针对营业收入的确认，我们实施的审计程序主要包 括：</w:t>
            </w:r>
          </w:p>
          <w:p>
            <w:pPr>
              <w:pStyle w:val="Style22"/>
              <w:keepNext w:val="0"/>
              <w:keepLines w:val="0"/>
              <w:widowControl w:val="0"/>
              <w:shd w:val="clear" w:color="auto" w:fill="auto"/>
              <w:tabs>
                <w:tab w:pos="586"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了解和评价与收入确认相关的关键内部控制的 设计和运行有效性，评价管理层选用投入法确认收入 的恰当性以及是否符合企业会计准则的相关规定；</w:t>
            </w:r>
          </w:p>
          <w:p>
            <w:pPr>
              <w:pStyle w:val="Style22"/>
              <w:keepNext w:val="0"/>
              <w:keepLines w:val="0"/>
              <w:widowControl w:val="0"/>
              <w:shd w:val="clear" w:color="auto" w:fill="auto"/>
              <w:tabs>
                <w:tab w:pos="600" w:val="left"/>
              </w:tabs>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对营业收入及毛利率波动执行分析性程序，结 合不同业务大类收入占比及不同销售项目收入的确 认分析毛利率变动的合理性；</w:t>
            </w:r>
          </w:p>
          <w:p>
            <w:pPr>
              <w:pStyle w:val="Style22"/>
              <w:keepNext w:val="0"/>
              <w:keepLines w:val="0"/>
              <w:widowControl w:val="0"/>
              <w:shd w:val="clear" w:color="auto" w:fill="auto"/>
              <w:tabs>
                <w:tab w:pos="600" w:val="left"/>
              </w:tabs>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选取销售样本，复核销售合同金额、项目分阶 段预算工时、实际工时记录、项目各阶段的进度确认 文件等相关资料，并重新测算投入，复核收入确认准 确性；</w:t>
            </w:r>
          </w:p>
          <w:p>
            <w:pPr>
              <w:pStyle w:val="Style22"/>
              <w:keepNext w:val="0"/>
              <w:keepLines w:val="0"/>
              <w:widowControl w:val="0"/>
              <w:shd w:val="clear" w:color="auto" w:fill="auto"/>
              <w:tabs>
                <w:tab w:pos="600" w:val="left"/>
              </w:tabs>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选取销售样本，复核销售合同金额、项目分阶 段预算工时、实际工时记录、项目验收文件等相关资 料，评价收入确认时点是否符合会计准则规定，复核 收入确认金额的准确性；</w:t>
            </w:r>
          </w:p>
          <w:p>
            <w:pPr>
              <w:pStyle w:val="Style22"/>
              <w:keepNext w:val="0"/>
              <w:keepLines w:val="0"/>
              <w:widowControl w:val="0"/>
              <w:shd w:val="clear" w:color="auto" w:fill="auto"/>
              <w:tabs>
                <w:tab w:pos="571" w:val="left"/>
              </w:tabs>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结合应收账款函证程序，判断客户对已完工作 的认可情况。</w:t>
            </w:r>
          </w:p>
        </w:tc>
      </w:tr>
    </w:tbl>
    <w:p>
      <w:pPr>
        <w:widowControl w:val="0"/>
        <w:spacing w:line="1" w:lineRule="exact"/>
      </w:pPr>
    </w:p>
    <w:tbl>
      <w:tblPr>
        <w:tblOverlap w:val="never"/>
        <w:jc w:val="center"/>
        <w:tblLayout w:type="fixed"/>
      </w:tblPr>
      <w:tblGrid>
        <w:gridCol w:w="4147"/>
        <w:gridCol w:w="5530"/>
      </w:tblGrid>
      <w:tr>
        <w:trPr>
          <w:trHeight w:val="36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（二）开发支出</w:t>
            </w:r>
          </w:p>
        </w:tc>
      </w:tr>
      <w:tr>
        <w:trPr>
          <w:trHeight w:val="53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请参阅财务报表附注三、（十四）和附 注五、（十六）相关披露，截至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日汉得信息开发支出期末账面价 值为</w:t>
            </w:r>
            <w:r>
              <w:rPr>
                <w:rFonts w:ascii="Times New Roman" w:eastAsia="Times New Roman" w:hAnsi="Times New Roman" w:cs="Times New Roman"/>
                <w:color w:val="000000"/>
                <w:spacing w:val="0"/>
                <w:w w:val="100"/>
                <w:position w:val="0"/>
                <w:sz w:val="24"/>
                <w:szCs w:val="24"/>
              </w:rPr>
              <w:t>21,010.58</w:t>
            </w:r>
            <w:r>
              <w:rPr>
                <w:color w:val="000000"/>
                <w:spacing w:val="0"/>
                <w:w w:val="100"/>
                <w:position w:val="0"/>
              </w:rPr>
              <w:t xml:space="preserve">万元，占期末资产总额的 </w:t>
            </w:r>
            <w:r>
              <w:rPr>
                <w:rFonts w:ascii="Times New Roman" w:eastAsia="Times New Roman" w:hAnsi="Times New Roman" w:cs="Times New Roman"/>
                <w:color w:val="000000"/>
                <w:spacing w:val="0"/>
                <w:w w:val="100"/>
                <w:position w:val="0"/>
                <w:sz w:val="24"/>
                <w:szCs w:val="24"/>
              </w:rPr>
              <w:t>4.03%</w:t>
            </w:r>
            <w:r>
              <w:rPr>
                <w:color w:val="000000"/>
                <w:spacing w:val="0"/>
                <w:w w:val="100"/>
                <w:position w:val="0"/>
              </w:rPr>
              <w:t xml:space="preserve">，本期增加的开发支出金额为 </w:t>
            </w:r>
            <w:r>
              <w:rPr>
                <w:rFonts w:ascii="Times New Roman" w:eastAsia="Times New Roman" w:hAnsi="Times New Roman" w:cs="Times New Roman"/>
                <w:color w:val="000000"/>
                <w:spacing w:val="0"/>
                <w:w w:val="100"/>
                <w:position w:val="0"/>
                <w:sz w:val="24"/>
                <w:szCs w:val="24"/>
              </w:rPr>
              <w:t>21,449.74</w:t>
            </w:r>
            <w:r>
              <w:rPr>
                <w:color w:val="000000"/>
                <w:spacing w:val="0"/>
                <w:w w:val="100"/>
                <w:position w:val="0"/>
              </w:rPr>
              <w:t>万元。汉得信息作为管理信息 系统软件服务提供商，在标准套装软件 为代表的市场基础上，积极拓展自主软 件产品的开发和实施，自主产品技术的 研发和升级是汉得信息近年来的重要目 标，其研发活动的内部控制是否满足开 发支出的核算要求，内部研发阶段的划 分及开发支出资本化条件涉及管理层重 大会计判断和估计，因此我们将该事项 作为关键审计事项。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针对开发支出的确认，我们实施的审计程序主要包 括：</w:t>
            </w:r>
          </w:p>
          <w:p>
            <w:pPr>
              <w:pStyle w:val="Style22"/>
              <w:keepNext w:val="0"/>
              <w:keepLines w:val="0"/>
              <w:widowControl w:val="0"/>
              <w:shd w:val="clear" w:color="auto" w:fill="auto"/>
              <w:tabs>
                <w:tab w:pos="470"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对研发支出执行内部控制流程的了解和测试；</w:t>
            </w:r>
          </w:p>
          <w:p>
            <w:pPr>
              <w:pStyle w:val="Style22"/>
              <w:keepNext w:val="0"/>
              <w:keepLines w:val="0"/>
              <w:widowControl w:val="0"/>
              <w:shd w:val="clear" w:color="auto" w:fill="auto"/>
              <w:tabs>
                <w:tab w:pos="586"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了解汉得信息管理层采用的研究和开发阶段划 分以及开发支出资本化条件的判断，结合企业会计准 则的要求评估这些判断的合理性；</w:t>
            </w:r>
          </w:p>
          <w:p>
            <w:pPr>
              <w:pStyle w:val="Style22"/>
              <w:keepNext w:val="0"/>
              <w:keepLines w:val="0"/>
              <w:widowControl w:val="0"/>
              <w:shd w:val="clear" w:color="auto" w:fill="auto"/>
              <w:tabs>
                <w:tab w:pos="595"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获取研发项目相关文件，包括项目的立项审批, 项目可研报告，项目阶段验收成果，项目申报软件著 作权相关资料，结合访谈等程序，评价各研发项目资 本化的合理性；</w:t>
            </w:r>
          </w:p>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 检查开发支出成本的归集过程，对支出的相关 性和准确性进行评估和测算；</w:t>
            </w:r>
          </w:p>
          <w:p>
            <w:pPr>
              <w:pStyle w:val="Style22"/>
              <w:keepNext w:val="0"/>
              <w:keepLines w:val="0"/>
              <w:widowControl w:val="0"/>
              <w:shd w:val="clear" w:color="auto" w:fill="auto"/>
              <w:tabs>
                <w:tab w:pos="605"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复核管理层对开发支出进行减值测试的相关考 虑和客观证据，评价管理层是否充分识别已发生减值 的开发支出；</w:t>
            </w:r>
          </w:p>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rPr>
              <w:t>）检查财务报表中对研发支出相关信息的列报和 披露。</w:t>
            </w:r>
          </w:p>
        </w:tc>
      </w:tr>
    </w:tbl>
    <w:p>
      <w:pPr>
        <w:widowControl w:val="0"/>
        <w:spacing w:after="759" w:line="1" w:lineRule="exact"/>
      </w:pPr>
    </w:p>
    <w:p>
      <w:pPr>
        <w:pStyle w:val="Style16"/>
        <w:keepNext w:val="0"/>
        <w:keepLines w:val="0"/>
        <w:widowControl w:val="0"/>
        <w:shd w:val="clear" w:color="auto" w:fill="auto"/>
        <w:bidi w:val="0"/>
        <w:spacing w:before="0" w:after="600" w:line="240" w:lineRule="auto"/>
        <w:ind w:left="0" w:right="0" w:firstLine="1000"/>
        <w:jc w:val="both"/>
      </w:pPr>
      <w:bookmarkStart w:id="665" w:name="bookmark665"/>
      <w:r>
        <w:rPr>
          <w:color w:val="000000"/>
          <w:spacing w:val="0"/>
          <w:w w:val="100"/>
          <w:position w:val="0"/>
        </w:rPr>
        <w:t>四</w:t>
      </w:r>
      <w:bookmarkEnd w:id="665"/>
      <w:r>
        <w:rPr>
          <w:color w:val="000000"/>
          <w:spacing w:val="0"/>
          <w:w w:val="100"/>
          <w:position w:val="0"/>
        </w:rPr>
        <w:t>、其他信息</w:t>
      </w:r>
    </w:p>
    <w:p>
      <w:pPr>
        <w:pStyle w:val="Style16"/>
        <w:keepNext w:val="0"/>
        <w:keepLines w:val="0"/>
        <w:widowControl w:val="0"/>
        <w:shd w:val="clear" w:color="auto" w:fill="auto"/>
        <w:bidi w:val="0"/>
        <w:spacing w:before="0" w:after="0" w:line="620" w:lineRule="exact"/>
        <w:ind w:left="0" w:right="0"/>
        <w:jc w:val="both"/>
        <w:rPr>
          <w:sz w:val="26"/>
          <w:szCs w:val="26"/>
        </w:rPr>
      </w:pPr>
      <w:r>
        <w:rPr>
          <w:b w:val="0"/>
          <w:bCs w:val="0"/>
          <w:color w:val="000000"/>
          <w:spacing w:val="0"/>
          <w:w w:val="100"/>
          <w:position w:val="0"/>
          <w:sz w:val="26"/>
          <w:szCs w:val="26"/>
        </w:rPr>
        <w:t>汉得信息管理层（以下简称管理层）对其他信息负责。其他信息包括汉得 信息</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sz w:val="26"/>
          <w:szCs w:val="26"/>
        </w:rPr>
        <w:t>年年度报告中涵盖的信息，但不包括财务报表和我们的审计报告。</w:t>
      </w:r>
    </w:p>
    <w:p>
      <w:pPr>
        <w:pStyle w:val="Style16"/>
        <w:keepNext w:val="0"/>
        <w:keepLines w:val="0"/>
        <w:widowControl w:val="0"/>
        <w:shd w:val="clear" w:color="auto" w:fill="auto"/>
        <w:bidi w:val="0"/>
        <w:spacing w:before="0" w:after="0" w:line="620" w:lineRule="exact"/>
        <w:ind w:left="0" w:right="0"/>
        <w:jc w:val="both"/>
        <w:rPr>
          <w:sz w:val="26"/>
          <w:szCs w:val="26"/>
        </w:rPr>
      </w:pPr>
      <w:r>
        <w:rPr>
          <w:b w:val="0"/>
          <w:bCs w:val="0"/>
          <w:color w:val="000000"/>
          <w:spacing w:val="0"/>
          <w:w w:val="100"/>
          <w:position w:val="0"/>
          <w:sz w:val="26"/>
          <w:szCs w:val="26"/>
        </w:rPr>
        <w:t>我们对财务报表发表的审计意见不涵盖其他信息，我们也不对其他信息发 表任何形式的鉴证结论。</w:t>
      </w:r>
    </w:p>
    <w:p>
      <w:pPr>
        <w:pStyle w:val="Style16"/>
        <w:keepNext w:val="0"/>
        <w:keepLines w:val="0"/>
        <w:widowControl w:val="0"/>
        <w:shd w:val="clear" w:color="auto" w:fill="auto"/>
        <w:bidi w:val="0"/>
        <w:spacing w:before="0" w:after="0" w:line="620" w:lineRule="exact"/>
        <w:ind w:left="0" w:right="0"/>
        <w:jc w:val="both"/>
        <w:rPr>
          <w:sz w:val="26"/>
          <w:szCs w:val="26"/>
        </w:rPr>
      </w:pPr>
      <w:r>
        <w:rPr>
          <w:b w:val="0"/>
          <w:bCs w:val="0"/>
          <w:color w:val="000000"/>
          <w:spacing w:val="0"/>
          <w:w w:val="100"/>
          <w:position w:val="0"/>
          <w:sz w:val="26"/>
          <w:szCs w:val="26"/>
        </w:rPr>
        <w:t>结合我们对财务报表的审计，我们的责任是阅读其他信息，在此过程中， 考虑其他信息是否与财务报表或我们在审计过程中了解到的情况存在重大不一 致或者似乎存在重大错报。</w:t>
      </w:r>
    </w:p>
    <w:p>
      <w:pPr>
        <w:pStyle w:val="Style16"/>
        <w:keepNext w:val="0"/>
        <w:keepLines w:val="0"/>
        <w:widowControl w:val="0"/>
        <w:shd w:val="clear" w:color="auto" w:fill="auto"/>
        <w:bidi w:val="0"/>
        <w:spacing w:before="0" w:after="300" w:line="620" w:lineRule="exact"/>
        <w:ind w:left="0" w:right="0"/>
        <w:jc w:val="both"/>
        <w:rPr>
          <w:sz w:val="26"/>
          <w:szCs w:val="26"/>
        </w:rPr>
      </w:pPr>
      <w:r>
        <w:rPr>
          <w:b w:val="0"/>
          <w:bCs w:val="0"/>
          <w:color w:val="000000"/>
          <w:spacing w:val="0"/>
          <w:w w:val="100"/>
          <w:position w:val="0"/>
          <w:sz w:val="26"/>
          <w:szCs w:val="26"/>
        </w:rPr>
        <w:t>基于我们已执行的工作，如果我们确定其他信息存在重大错报，我们应当 报告该事实。在这方面，我们无任何事项需要报告。</w:t>
      </w:r>
    </w:p>
    <w:p>
      <w:pPr>
        <w:pStyle w:val="Style16"/>
        <w:keepNext w:val="0"/>
        <w:keepLines w:val="0"/>
        <w:widowControl w:val="0"/>
        <w:shd w:val="clear" w:color="auto" w:fill="auto"/>
        <w:bidi w:val="0"/>
        <w:spacing w:before="0" w:after="620" w:line="624" w:lineRule="exact"/>
        <w:ind w:left="0" w:right="0" w:firstLine="1000"/>
        <w:jc w:val="left"/>
      </w:pPr>
      <w:bookmarkStart w:id="666" w:name="bookmark666"/>
      <w:r>
        <w:rPr>
          <w:color w:val="000000"/>
          <w:spacing w:val="0"/>
          <w:w w:val="100"/>
          <w:position w:val="0"/>
        </w:rPr>
        <w:t>五</w:t>
      </w:r>
      <w:bookmarkEnd w:id="666"/>
      <w:r>
        <w:rPr>
          <w:color w:val="000000"/>
          <w:spacing w:val="0"/>
          <w:w w:val="100"/>
          <w:position w:val="0"/>
        </w:rPr>
        <w:t>、管理层和治理层对财务报表的责任</w:t>
      </w:r>
    </w:p>
    <w:p>
      <w:pPr>
        <w:pStyle w:val="Style16"/>
        <w:keepNext w:val="0"/>
        <w:keepLines w:val="0"/>
        <w:widowControl w:val="0"/>
        <w:shd w:val="clear" w:color="auto" w:fill="auto"/>
        <w:bidi w:val="0"/>
        <w:spacing w:before="0" w:after="0" w:line="622" w:lineRule="exact"/>
        <w:ind w:left="0" w:right="0"/>
        <w:jc w:val="both"/>
        <w:rPr>
          <w:sz w:val="26"/>
          <w:szCs w:val="26"/>
        </w:rPr>
      </w:pPr>
      <w:r>
        <w:rPr>
          <w:b w:val="0"/>
          <w:bCs w:val="0"/>
          <w:color w:val="000000"/>
          <w:spacing w:val="0"/>
          <w:w w:val="100"/>
          <w:position w:val="0"/>
          <w:sz w:val="26"/>
          <w:szCs w:val="26"/>
        </w:rPr>
        <w:t>管理层负责按照企业会计准则的规定编制财务报表，使其实现公允反映， 并设计、执行和维护必要的内部控制，以使财务报表不存在由于舞弊或错误导 致的重大错报。</w:t>
      </w:r>
    </w:p>
    <w:p>
      <w:pPr>
        <w:pStyle w:val="Style16"/>
        <w:keepNext w:val="0"/>
        <w:keepLines w:val="0"/>
        <w:widowControl w:val="0"/>
        <w:shd w:val="clear" w:color="auto" w:fill="auto"/>
        <w:bidi w:val="0"/>
        <w:spacing w:before="0" w:after="0" w:line="622" w:lineRule="exact"/>
        <w:ind w:left="0" w:right="0"/>
        <w:jc w:val="both"/>
        <w:rPr>
          <w:sz w:val="26"/>
          <w:szCs w:val="26"/>
        </w:rPr>
      </w:pPr>
      <w:r>
        <w:rPr>
          <w:b w:val="0"/>
          <w:bCs w:val="0"/>
          <w:color w:val="000000"/>
          <w:spacing w:val="0"/>
          <w:w w:val="100"/>
          <w:position w:val="0"/>
          <w:sz w:val="26"/>
          <w:szCs w:val="26"/>
        </w:rPr>
        <w:t>在编制财务报表时，管理层负责评估汉得信息的持续经营能力，披露与持 续经营相关的事项（如适用），并运用持续经营假设，除非计划进行清算、终 止运营或别无其他现实的选择。</w:t>
      </w:r>
    </w:p>
    <w:p>
      <w:pPr>
        <w:pStyle w:val="Style16"/>
        <w:keepNext w:val="0"/>
        <w:keepLines w:val="0"/>
        <w:widowControl w:val="0"/>
        <w:shd w:val="clear" w:color="auto" w:fill="auto"/>
        <w:bidi w:val="0"/>
        <w:spacing w:before="0" w:after="620" w:line="622" w:lineRule="exact"/>
        <w:ind w:left="0" w:right="0"/>
        <w:jc w:val="left"/>
        <w:rPr>
          <w:sz w:val="26"/>
          <w:szCs w:val="26"/>
        </w:rPr>
      </w:pPr>
      <w:r>
        <w:rPr>
          <w:b w:val="0"/>
          <w:bCs w:val="0"/>
          <w:color w:val="000000"/>
          <w:spacing w:val="0"/>
          <w:w w:val="100"/>
          <w:position w:val="0"/>
          <w:sz w:val="26"/>
          <w:szCs w:val="26"/>
        </w:rPr>
        <w:t>治理层负责监督汉得信息的财务报告过程。</w:t>
      </w:r>
    </w:p>
    <w:p>
      <w:pPr>
        <w:pStyle w:val="Style16"/>
        <w:keepNext w:val="0"/>
        <w:keepLines w:val="0"/>
        <w:widowControl w:val="0"/>
        <w:shd w:val="clear" w:color="auto" w:fill="auto"/>
        <w:bidi w:val="0"/>
        <w:spacing w:before="0" w:after="620" w:line="624" w:lineRule="exact"/>
        <w:ind w:left="0" w:right="0" w:firstLine="840"/>
        <w:jc w:val="left"/>
      </w:pPr>
      <w:bookmarkStart w:id="667" w:name="bookmark667"/>
      <w:r>
        <w:rPr>
          <w:color w:val="000000"/>
          <w:spacing w:val="0"/>
          <w:w w:val="100"/>
          <w:position w:val="0"/>
        </w:rPr>
        <w:t>六</w:t>
      </w:r>
      <w:bookmarkEnd w:id="667"/>
      <w:r>
        <w:rPr>
          <w:color w:val="000000"/>
          <w:spacing w:val="0"/>
          <w:w w:val="100"/>
          <w:position w:val="0"/>
        </w:rPr>
        <w:t>、注册会计师对财务报表审计的责任</w:t>
      </w:r>
    </w:p>
    <w:p>
      <w:pPr>
        <w:pStyle w:val="Style16"/>
        <w:keepNext w:val="0"/>
        <w:keepLines w:val="0"/>
        <w:widowControl w:val="0"/>
        <w:shd w:val="clear" w:color="auto" w:fill="auto"/>
        <w:bidi w:val="0"/>
        <w:spacing w:before="0" w:after="0" w:line="624" w:lineRule="exact"/>
        <w:ind w:left="0" w:right="0"/>
        <w:jc w:val="both"/>
        <w:rPr>
          <w:sz w:val="26"/>
          <w:szCs w:val="26"/>
        </w:rPr>
      </w:pPr>
      <w:r>
        <w:rPr>
          <w:b w:val="0"/>
          <w:bCs w:val="0"/>
          <w:color w:val="000000"/>
          <w:spacing w:val="0"/>
          <w:w w:val="100"/>
          <w:position w:val="0"/>
          <w:sz w:val="26"/>
          <w:szCs w:val="26"/>
        </w:rPr>
        <w:t>我们的目标是对财务报表整体是否不存在由于舞弊或错误导致的重大错报 获取合理保证，并出具包含审计意见的审计报告。合理保证是高水平的保证， 但并不能保证按照审计准则执行的审计在某一重大错报存在时总能发现。错报 可能由于舞弊或错误导致，如果合理预期错报单独或汇总起来可能影响财务报 表使用者依据财务报表作出的经济决策，则通常认为错报是重大的。</w:t>
      </w:r>
    </w:p>
    <w:p>
      <w:pPr>
        <w:pStyle w:val="Style16"/>
        <w:keepNext w:val="0"/>
        <w:keepLines w:val="0"/>
        <w:widowControl w:val="0"/>
        <w:shd w:val="clear" w:color="auto" w:fill="auto"/>
        <w:bidi w:val="0"/>
        <w:spacing w:before="0" w:after="0" w:line="624" w:lineRule="exact"/>
        <w:ind w:left="0" w:right="0"/>
        <w:jc w:val="both"/>
        <w:rPr>
          <w:sz w:val="26"/>
          <w:szCs w:val="26"/>
        </w:rPr>
      </w:pPr>
      <w:r>
        <w:rPr>
          <w:b w:val="0"/>
          <w:bCs w:val="0"/>
          <w:color w:val="000000"/>
          <w:spacing w:val="0"/>
          <w:w w:val="100"/>
          <w:position w:val="0"/>
          <w:sz w:val="26"/>
          <w:szCs w:val="26"/>
        </w:rPr>
        <w:t>在按照审计准则执行审计工作的过程中，我们运用职业判断，并保持职业 怀疑。同时，我们也执行以下工作：</w:t>
      </w:r>
    </w:p>
    <w:p>
      <w:pPr>
        <w:pStyle w:val="Style16"/>
        <w:keepNext w:val="0"/>
        <w:keepLines w:val="0"/>
        <w:widowControl w:val="0"/>
        <w:shd w:val="clear" w:color="auto" w:fill="auto"/>
        <w:bidi w:val="0"/>
        <w:spacing w:before="0" w:after="0" w:line="624" w:lineRule="exact"/>
        <w:ind w:left="0" w:right="0"/>
        <w:jc w:val="both"/>
        <w:rPr>
          <w:sz w:val="26"/>
          <w:szCs w:val="26"/>
        </w:rPr>
      </w:pPr>
      <w:bookmarkStart w:id="668" w:name="bookmark668"/>
      <w:r>
        <w:rPr>
          <w:b w:val="0"/>
          <w:bCs w:val="0"/>
          <w:color w:val="000000"/>
          <w:spacing w:val="0"/>
          <w:w w:val="100"/>
          <w:position w:val="0"/>
          <w:sz w:val="26"/>
          <w:szCs w:val="26"/>
        </w:rPr>
        <w:t>（</w:t>
      </w:r>
      <w:bookmarkEnd w:id="668"/>
      <w:r>
        <w:rPr>
          <w:b w:val="0"/>
          <w:bCs w:val="0"/>
          <w:color w:val="000000"/>
          <w:spacing w:val="0"/>
          <w:w w:val="100"/>
          <w:position w:val="0"/>
          <w:sz w:val="26"/>
          <w:szCs w:val="26"/>
        </w:rPr>
        <w:t xml:space="preserve">一）识别和评估由于舞弊或错误导致的财务报表重大错报风险，设计和 实施审计程序以应对这些风险，并获取充分、适当的审计证据，作为发表审计 意见的基础。由于舞弊可能涉及串通、伪造、故意遗漏、虚假陈述或凌驾于内 </w:t>
      </w:r>
      <w:r>
        <w:rPr>
          <w:b w:val="0"/>
          <w:bCs w:val="0"/>
          <w:color w:val="000000"/>
          <w:spacing w:val="0"/>
          <w:w w:val="100"/>
          <w:position w:val="0"/>
          <w:sz w:val="26"/>
          <w:szCs w:val="26"/>
        </w:rPr>
        <w:t>部控制之上，未能发现由于舞弊导致的重大错报的风险高于未能发现由于错误 导致的重大错报的风险。</w:t>
      </w:r>
    </w:p>
    <w:p>
      <w:pPr>
        <w:pStyle w:val="Style16"/>
        <w:keepNext w:val="0"/>
        <w:keepLines w:val="0"/>
        <w:widowControl w:val="0"/>
        <w:shd w:val="clear" w:color="auto" w:fill="auto"/>
        <w:tabs>
          <w:tab w:pos="1429" w:val="left"/>
        </w:tabs>
        <w:bidi w:val="0"/>
        <w:spacing w:before="0" w:after="0" w:line="672" w:lineRule="exact"/>
        <w:ind w:left="0" w:right="0"/>
        <w:jc w:val="both"/>
        <w:rPr>
          <w:sz w:val="26"/>
          <w:szCs w:val="26"/>
        </w:rPr>
      </w:pPr>
      <w:bookmarkStart w:id="669" w:name="bookmark669"/>
      <w:r>
        <w:rPr>
          <w:b w:val="0"/>
          <w:bCs w:val="0"/>
          <w:color w:val="000000"/>
          <w:spacing w:val="0"/>
          <w:w w:val="100"/>
          <w:position w:val="0"/>
          <w:sz w:val="26"/>
          <w:szCs w:val="26"/>
        </w:rPr>
        <w:t>（</w:t>
      </w:r>
      <w:bookmarkEnd w:id="669"/>
      <w:r>
        <w:rPr>
          <w:b w:val="0"/>
          <w:bCs w:val="0"/>
          <w:color w:val="000000"/>
          <w:spacing w:val="0"/>
          <w:w w:val="100"/>
          <w:position w:val="0"/>
          <w:sz w:val="26"/>
          <w:szCs w:val="26"/>
        </w:rPr>
        <w:t>二）</w:t>
        <w:tab/>
        <w:t>了解与审计相关的内部控制，以设计恰当的审计程序，但目的并非 对内部控制的有效性发表意见。</w:t>
      </w:r>
    </w:p>
    <w:p>
      <w:pPr>
        <w:pStyle w:val="Style16"/>
        <w:keepNext w:val="0"/>
        <w:keepLines w:val="0"/>
        <w:widowControl w:val="0"/>
        <w:shd w:val="clear" w:color="auto" w:fill="auto"/>
        <w:tabs>
          <w:tab w:pos="1420" w:val="left"/>
        </w:tabs>
        <w:bidi w:val="0"/>
        <w:spacing w:before="0" w:after="0" w:line="624" w:lineRule="exact"/>
        <w:ind w:left="0" w:right="0"/>
        <w:jc w:val="both"/>
        <w:rPr>
          <w:sz w:val="26"/>
          <w:szCs w:val="26"/>
        </w:rPr>
      </w:pPr>
      <w:bookmarkStart w:id="670" w:name="bookmark670"/>
      <w:r>
        <w:rPr>
          <w:b w:val="0"/>
          <w:bCs w:val="0"/>
          <w:color w:val="000000"/>
          <w:spacing w:val="0"/>
          <w:w w:val="100"/>
          <w:position w:val="0"/>
          <w:sz w:val="26"/>
          <w:szCs w:val="26"/>
        </w:rPr>
        <w:t>（</w:t>
      </w:r>
      <w:bookmarkEnd w:id="670"/>
      <w:r>
        <w:rPr>
          <w:b w:val="0"/>
          <w:bCs w:val="0"/>
          <w:color w:val="000000"/>
          <w:spacing w:val="0"/>
          <w:w w:val="100"/>
          <w:position w:val="0"/>
          <w:sz w:val="26"/>
          <w:szCs w:val="26"/>
        </w:rPr>
        <w:t>三）</w:t>
        <w:tab/>
        <w:t>评价管理层选用会计政策的恰当性和作出会计估计及相关披露的合 理性。</w:t>
      </w:r>
    </w:p>
    <w:p>
      <w:pPr>
        <w:pStyle w:val="Style16"/>
        <w:keepNext w:val="0"/>
        <w:keepLines w:val="0"/>
        <w:widowControl w:val="0"/>
        <w:shd w:val="clear" w:color="auto" w:fill="auto"/>
        <w:tabs>
          <w:tab w:pos="1424" w:val="left"/>
        </w:tabs>
        <w:bidi w:val="0"/>
        <w:spacing w:before="0" w:after="0" w:line="624" w:lineRule="exact"/>
        <w:ind w:left="0" w:right="0"/>
        <w:jc w:val="both"/>
        <w:rPr>
          <w:sz w:val="26"/>
          <w:szCs w:val="26"/>
        </w:rPr>
      </w:pPr>
      <w:bookmarkStart w:id="671" w:name="bookmark671"/>
      <w:r>
        <w:rPr>
          <w:b w:val="0"/>
          <w:bCs w:val="0"/>
          <w:color w:val="000000"/>
          <w:spacing w:val="0"/>
          <w:w w:val="100"/>
          <w:position w:val="0"/>
          <w:sz w:val="26"/>
          <w:szCs w:val="26"/>
        </w:rPr>
        <w:t>（</w:t>
      </w:r>
      <w:bookmarkEnd w:id="671"/>
      <w:r>
        <w:rPr>
          <w:b w:val="0"/>
          <w:bCs w:val="0"/>
          <w:color w:val="000000"/>
          <w:spacing w:val="0"/>
          <w:w w:val="100"/>
          <w:position w:val="0"/>
          <w:sz w:val="26"/>
          <w:szCs w:val="26"/>
        </w:rPr>
        <w:t>四）</w:t>
        <w:tab/>
        <w:t>对管理层使用持续经营假设的恰当性得出结论。同时，根据获取的 审计证据，就可能导致对汉得信息持续经营能力产生重大疑虑的事项或情况是 否存在重大不确定性得出结论。如果我们得出结论认为存在重大不确定性，审 计准则要求我们在审计报告中提请报表使用者注意财务报表中的相关披露；如 果披露不充分，我们应当发表非无保留意见。我们的结论基于截至审计报告日 可获得的信息。然而，未来的事项或情况可能导致汉得信息不能持续经营。</w:t>
      </w:r>
    </w:p>
    <w:p>
      <w:pPr>
        <w:pStyle w:val="Style16"/>
        <w:keepNext w:val="0"/>
        <w:keepLines w:val="0"/>
        <w:widowControl w:val="0"/>
        <w:shd w:val="clear" w:color="auto" w:fill="auto"/>
        <w:tabs>
          <w:tab w:pos="1424" w:val="left"/>
        </w:tabs>
        <w:bidi w:val="0"/>
        <w:spacing w:before="0" w:after="0" w:line="624" w:lineRule="exact"/>
        <w:ind w:left="0" w:right="0"/>
        <w:jc w:val="both"/>
        <w:rPr>
          <w:sz w:val="26"/>
          <w:szCs w:val="26"/>
        </w:rPr>
      </w:pPr>
      <w:bookmarkStart w:id="672" w:name="bookmark672"/>
      <w:r>
        <w:rPr>
          <w:b w:val="0"/>
          <w:bCs w:val="0"/>
          <w:color w:val="000000"/>
          <w:spacing w:val="0"/>
          <w:w w:val="100"/>
          <w:position w:val="0"/>
          <w:sz w:val="26"/>
          <w:szCs w:val="26"/>
        </w:rPr>
        <w:t>（</w:t>
      </w:r>
      <w:bookmarkEnd w:id="672"/>
      <w:r>
        <w:rPr>
          <w:b w:val="0"/>
          <w:bCs w:val="0"/>
          <w:color w:val="000000"/>
          <w:spacing w:val="0"/>
          <w:w w:val="100"/>
          <w:position w:val="0"/>
          <w:sz w:val="26"/>
          <w:szCs w:val="26"/>
        </w:rPr>
        <w:t>五）</w:t>
        <w:tab/>
        <w:t>评价财务报表的总体列报（包括披露）、结构和内容，并评价财务 报表是否公允反映相关交易和事项。</w:t>
      </w:r>
    </w:p>
    <w:p>
      <w:pPr>
        <w:pStyle w:val="Style16"/>
        <w:keepNext w:val="0"/>
        <w:keepLines w:val="0"/>
        <w:widowControl w:val="0"/>
        <w:shd w:val="clear" w:color="auto" w:fill="auto"/>
        <w:tabs>
          <w:tab w:pos="1429" w:val="left"/>
        </w:tabs>
        <w:bidi w:val="0"/>
        <w:spacing w:before="0" w:after="0" w:line="624" w:lineRule="exact"/>
        <w:ind w:left="0" w:right="0"/>
        <w:jc w:val="both"/>
        <w:rPr>
          <w:sz w:val="26"/>
          <w:szCs w:val="26"/>
        </w:rPr>
      </w:pPr>
      <w:bookmarkStart w:id="673" w:name="bookmark673"/>
      <w:r>
        <w:rPr>
          <w:b w:val="0"/>
          <w:bCs w:val="0"/>
          <w:color w:val="000000"/>
          <w:spacing w:val="0"/>
          <w:w w:val="100"/>
          <w:position w:val="0"/>
          <w:sz w:val="26"/>
          <w:szCs w:val="26"/>
        </w:rPr>
        <w:t>（</w:t>
      </w:r>
      <w:bookmarkEnd w:id="673"/>
      <w:r>
        <w:rPr>
          <w:b w:val="0"/>
          <w:bCs w:val="0"/>
          <w:color w:val="000000"/>
          <w:spacing w:val="0"/>
          <w:w w:val="100"/>
          <w:position w:val="0"/>
          <w:sz w:val="26"/>
          <w:szCs w:val="26"/>
        </w:rPr>
        <w:t>六）</w:t>
        <w:tab/>
        <w:t>就汉得信息中实体或业务活动的财务信息获取充分、适当的审计证 据，以对合并财务报表发表审计意见。我们负责指导、监督和执行集团审计， 并对审计意见承担全部责任。</w:t>
      </w:r>
    </w:p>
    <w:p>
      <w:pPr>
        <w:pStyle w:val="Style16"/>
        <w:keepNext w:val="0"/>
        <w:keepLines w:val="0"/>
        <w:widowControl w:val="0"/>
        <w:shd w:val="clear" w:color="auto" w:fill="auto"/>
        <w:bidi w:val="0"/>
        <w:spacing w:before="0" w:after="0" w:line="624" w:lineRule="exact"/>
        <w:ind w:left="0" w:right="0"/>
        <w:jc w:val="both"/>
        <w:rPr>
          <w:sz w:val="26"/>
          <w:szCs w:val="26"/>
        </w:rPr>
      </w:pPr>
      <w:r>
        <w:rPr>
          <w:b w:val="0"/>
          <w:bCs w:val="0"/>
          <w:color w:val="000000"/>
          <w:spacing w:val="0"/>
          <w:w w:val="100"/>
          <w:position w:val="0"/>
          <w:sz w:val="26"/>
          <w:szCs w:val="26"/>
        </w:rPr>
        <w:t>我们与治理层就计划的审计范围、时间安排和重大审计发现等事项进行沟 通，包括沟通我们在审计中识别出的值得关注的内部控制缺陷。</w:t>
      </w:r>
    </w:p>
    <w:p>
      <w:pPr>
        <w:pStyle w:val="Style16"/>
        <w:keepNext w:val="0"/>
        <w:keepLines w:val="0"/>
        <w:widowControl w:val="0"/>
        <w:shd w:val="clear" w:color="auto" w:fill="auto"/>
        <w:bidi w:val="0"/>
        <w:spacing w:before="0" w:after="0" w:line="624" w:lineRule="exact"/>
        <w:ind w:left="0" w:right="0"/>
        <w:jc w:val="both"/>
        <w:rPr>
          <w:sz w:val="26"/>
          <w:szCs w:val="26"/>
        </w:rPr>
      </w:pPr>
      <w:r>
        <w:rPr>
          <w:b w:val="0"/>
          <w:bCs w:val="0"/>
          <w:color w:val="000000"/>
          <w:spacing w:val="0"/>
          <w:w w:val="100"/>
          <w:position w:val="0"/>
          <w:sz w:val="26"/>
          <w:szCs w:val="26"/>
        </w:rPr>
        <w:t>我们还就已遵守与独立性相关的职业道德要求向治理层提供声明，并与治 理层沟通可能被合理认为影响我们独立性的所有关系和其他事项，以及相关的 防范措施（如适用）。</w:t>
      </w:r>
    </w:p>
    <w:p>
      <w:pPr>
        <w:pStyle w:val="Style16"/>
        <w:keepNext w:val="0"/>
        <w:keepLines w:val="0"/>
        <w:widowControl w:val="0"/>
        <w:shd w:val="clear" w:color="auto" w:fill="auto"/>
        <w:bidi w:val="0"/>
        <w:spacing w:before="0" w:after="2800" w:line="625" w:lineRule="exact"/>
        <w:ind w:left="0" w:right="0"/>
        <w:jc w:val="both"/>
        <w:rPr>
          <w:sz w:val="26"/>
          <w:szCs w:val="26"/>
        </w:rPr>
      </w:pPr>
      <w:r>
        <w:rPr>
          <w:b w:val="0"/>
          <w:bCs w:val="0"/>
          <w:color w:val="000000"/>
          <w:spacing w:val="0"/>
          <w:w w:val="100"/>
          <w:position w:val="0"/>
          <w:sz w:val="26"/>
          <w:szCs w:val="26"/>
        </w:rPr>
        <w:t>从与治理层沟通过的事项中，我们确定哪些事项对本期财务报表审计最为 重要，因而构成关键审计事项。我们在审计报告中描述这些事项，除非法律法 规禁止公开披露这些事项，或在极少数情形下，如果合理预期在审计报告中沟 通某事项造成的负面后果超过在公众利益方面产生的益处，我们确定不应在审 计报告中沟通该事项。</w:t>
      </w:r>
    </w:p>
    <w:p>
      <w:pPr>
        <w:pStyle w:val="Style16"/>
        <w:keepNext w:val="0"/>
        <w:keepLines w:val="0"/>
        <w:widowControl w:val="0"/>
        <w:shd w:val="clear" w:color="auto" w:fill="auto"/>
        <w:tabs>
          <w:tab w:pos="3198" w:val="left"/>
        </w:tabs>
        <w:bidi w:val="0"/>
        <w:spacing w:before="0" w:after="300" w:line="240" w:lineRule="auto"/>
        <w:ind w:left="0" w:right="0" w:firstLine="280"/>
        <w:jc w:val="left"/>
      </w:pPr>
      <w:r>
        <w:rPr>
          <w:color w:val="000000"/>
          <w:spacing w:val="0"/>
          <w:w w:val="100"/>
          <w:position w:val="0"/>
        </w:rPr>
        <w:t>立信会计师事务所</w:t>
        <w:tab/>
        <w:t>中国注册会计师：戴金燕（项目合伙人）</w:t>
      </w:r>
    </w:p>
    <w:p>
      <w:pPr>
        <w:pStyle w:val="Style16"/>
        <w:keepNext w:val="0"/>
        <w:keepLines w:val="0"/>
        <w:widowControl w:val="0"/>
        <w:shd w:val="clear" w:color="auto" w:fill="auto"/>
        <w:bidi w:val="0"/>
        <w:spacing w:before="0" w:after="1540" w:line="240" w:lineRule="auto"/>
        <w:ind w:left="0" w:right="0" w:firstLine="280"/>
        <w:jc w:val="both"/>
      </w:pPr>
      <w:r>
        <w:rPr>
          <w:color w:val="000000"/>
          <w:spacing w:val="0"/>
          <w:w w:val="100"/>
          <w:position w:val="0"/>
        </w:rPr>
        <w:t>（特殊普通合伙）</w:t>
      </w:r>
    </w:p>
    <w:p>
      <w:pPr>
        <w:pStyle w:val="Style16"/>
        <w:keepNext w:val="0"/>
        <w:keepLines w:val="0"/>
        <w:widowControl w:val="0"/>
        <w:shd w:val="clear" w:color="auto" w:fill="auto"/>
        <w:bidi w:val="0"/>
        <w:spacing w:before="0" w:after="1540" w:line="240" w:lineRule="auto"/>
        <w:ind w:left="0" w:right="1920" w:firstLine="0"/>
        <w:jc w:val="right"/>
      </w:pPr>
      <w:r>
        <w:rPr>
          <w:color w:val="000000"/>
          <w:spacing w:val="0"/>
          <w:w w:val="100"/>
          <w:position w:val="0"/>
        </w:rPr>
        <w:t>中国注册会计师：林伟</w:t>
      </w:r>
    </w:p>
    <w:p>
      <w:pPr>
        <w:pStyle w:val="Style16"/>
        <w:keepNext w:val="0"/>
        <w:keepLines w:val="0"/>
        <w:widowControl w:val="0"/>
        <w:shd w:val="clear" w:color="auto" w:fill="auto"/>
        <w:tabs>
          <w:tab w:pos="2714" w:val="left"/>
        </w:tabs>
        <w:bidi w:val="0"/>
        <w:spacing w:before="0" w:after="0" w:line="240" w:lineRule="auto"/>
        <w:ind w:left="0" w:right="0" w:firstLine="28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tab/>
        <w:t>二。二一年四月二十二日</w:t>
      </w:r>
      <w:r>
        <w:br w:type="page"/>
      </w:r>
    </w:p>
    <w:p>
      <w:pPr>
        <w:pStyle w:val="Style26"/>
        <w:keepNext/>
        <w:keepLines/>
        <w:widowControl w:val="0"/>
        <w:shd w:val="clear" w:color="auto" w:fill="auto"/>
        <w:bidi w:val="0"/>
        <w:spacing w:before="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二</w:t>
      </w:r>
      <w:bookmarkEnd w:id="676"/>
      <w:r>
        <w:rPr>
          <w:color w:val="000000"/>
          <w:spacing w:val="0"/>
          <w:w w:val="100"/>
          <w:position w:val="0"/>
        </w:rPr>
        <w:t>、财务报表</w:t>
      </w:r>
      <w:bookmarkEnd w:id="674"/>
      <w:bookmarkEnd w:id="675"/>
      <w:bookmarkEnd w:id="67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1</w:t>
      </w:r>
      <w:bookmarkEnd w:id="680"/>
      <w:r>
        <w:rPr>
          <w:color w:val="000000"/>
          <w:spacing w:val="0"/>
          <w:w w:val="100"/>
          <w:position w:val="0"/>
        </w:rPr>
        <w:t>、合并资产负债表</w:t>
      </w:r>
      <w:bookmarkEnd w:id="678"/>
      <w:bookmarkEnd w:id="679"/>
      <w:bookmarkEnd w:id="68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编制单位：上海汉得信息技术股份有限公司</w:t>
      </w:r>
    </w:p>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2,050,485,816.83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1,096,322,939.51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19,573,320.74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57,601,020.69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72,335,866.02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1,060,875,108.58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1,802,930,318.70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7,617,606.50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15,496,829.22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32,567,922.98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35,423,940.72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263,624,443.24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64,513.27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307,194,888.39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24,566,641.95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20,061,385.56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3,825,964,769.90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3,047,300,793.00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212,509,025.66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128,324,215.63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23,436,180.00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47,383,638.36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279,393,121.85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294,227,678.96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408,367,006.19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389,205,028.23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210,105,822.25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72,514,139.50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93,960,012.11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93,960,012.11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3,213,989.34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3,685,376.81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110,644,987.92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85,787,857.40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2,154,169.84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7,164,483.08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1,391,612,484.32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1,145,688,610.08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5,217,577,254.22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4,192,989,403.08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574,218,435.05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12,480,899.92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44,484,116.76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51,919,575.73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15,649,798.19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151,265,755.41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214,756,828.78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219,080,696.21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27,625,711.08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25,802,858.11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104,711,147.33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170,192,458.76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9,637,598.06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1,126,699,592.47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1,099,626,286.92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756,173,164.29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9,093,907.10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9,642,436.22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21,774,730.32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20,576,808.13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787,041,801.71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30,219,244.35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1,913,741,394.18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1,129,845,531.27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884,016,939.00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884,016,939.00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170,119,772.95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914,149,956.48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771,220,820.44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224,794,368.74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-10,880,875.09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-708,542.36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178,625,376.08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181,604,375.08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1,400,293,621.76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1,455,562,203.77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3,311,530,422.44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3,066,901,427.19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-7,694,562.40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-3,757,555.38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3,303,835,860.04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3,063,143,871.81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5,217,577,254.22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4,192,989,403.08</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2390" simplePos="0" relativeHeight="125829380" behindDoc="0" locked="0" layoutInCell="1" allowOverlap="1">
                <wp:simplePos x="0" y="0"/>
                <wp:positionH relativeFrom="page">
                  <wp:posOffset>702310</wp:posOffset>
                </wp:positionH>
                <wp:positionV relativeFrom="margin">
                  <wp:posOffset>2618105</wp:posOffset>
                </wp:positionV>
                <wp:extent cx="1051560" cy="149225"/>
                <wp:wrapTopAndBottom/>
                <wp:docPr id="14" name="Shape 1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法定代表人：陈迪清</w:t>
                            </w:r>
                          </w:p>
                        </w:txbxContent>
                      </wps:txbx>
                      <wps:bodyPr wrap="none" lIns="0" tIns="0" rIns="0" bIns="0">
                        <a:noAutoFit/>
                      </wps:bodyPr>
                    </wps:wsp>
                  </a:graphicData>
                </a:graphic>
              </wp:anchor>
            </w:drawing>
          </mc:Choice>
          <mc:Fallback>
            <w:pict>
              <v:shape id="_x0000_s1040" type="#_x0000_t202" style="position:absolute;margin-left:55.300000000000004pt;margin-top:206.15000000000001pt;width:82.799999999999997pt;height:11.75pt;z-index:-125829373;mso-wrap-distance-left:9.pt;mso-wrap-distance-top:11.pt;mso-wrap-distance-right:405.69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法定代表人：陈迪清</w:t>
                      </w:r>
                    </w:p>
                  </w:txbxContent>
                </v:textbox>
                <w10:wrap type="topAndBottom" anchorx="page" anchory="margin"/>
              </v:shape>
            </w:pict>
          </mc:Fallback>
        </mc:AlternateContent>
      </w:r>
      <w:r>
        <mc:AlternateContent>
          <mc:Choice Requires="wps">
            <w:drawing>
              <wp:anchor distT="139700" distB="3175" distL="2293620" distR="2519045" simplePos="0" relativeHeight="125829382" behindDoc="0" locked="0" layoutInCell="1" allowOverlap="1">
                <wp:simplePos x="0" y="0"/>
                <wp:positionH relativeFrom="page">
                  <wp:posOffset>2881630</wp:posOffset>
                </wp:positionH>
                <wp:positionV relativeFrom="margin">
                  <wp:posOffset>2618105</wp:posOffset>
                </wp:positionV>
                <wp:extent cx="1505585" cy="146050"/>
                <wp:wrapTopAndBottom/>
                <wp:docPr id="16" name="Shape 1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主管会计工作负责人：沈雁冰</w:t>
                            </w:r>
                          </w:p>
                        </w:txbxContent>
                      </wps:txbx>
                      <wps:bodyPr wrap="none" lIns="0" tIns="0" rIns="0" bIns="0">
                        <a:noAutoFit/>
                      </wps:bodyPr>
                    </wps:wsp>
                  </a:graphicData>
                </a:graphic>
              </wp:anchor>
            </w:drawing>
          </mc:Choice>
          <mc:Fallback>
            <w:pict>
              <v:shape id="_x0000_s1042" type="#_x0000_t202" style="position:absolute;margin-left:226.90000000000001pt;margin-top:206.15000000000001pt;width:118.55pt;height:11.5pt;z-index:-125829371;mso-wrap-distance-left:180.59999999999999pt;mso-wrap-distance-top:11.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主管会计工作负责人：沈雁冰</w:t>
                      </w:r>
                    </w:p>
                  </w:txbxContent>
                </v:textbox>
                <w10:wrap type="topAndBottom" anchorx="page" anchory="margin"/>
              </v:shape>
            </w:pict>
          </mc:Fallback>
        </mc:AlternateContent>
      </w:r>
      <w:r>
        <mc:AlternateContent>
          <mc:Choice Requires="wps">
            <w:drawing>
              <wp:anchor distT="139700" distB="0" distL="4918075" distR="113665" simplePos="0" relativeHeight="125829384" behindDoc="0" locked="0" layoutInCell="1" allowOverlap="1">
                <wp:simplePos x="0" y="0"/>
                <wp:positionH relativeFrom="page">
                  <wp:posOffset>5506085</wp:posOffset>
                </wp:positionH>
                <wp:positionV relativeFrom="margin">
                  <wp:posOffset>2618105</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会计机构负责人：沈雁冰</w:t>
                            </w:r>
                          </w:p>
                        </w:txbxContent>
                      </wps:txbx>
                      <wps:bodyPr wrap="none" lIns="0" tIns="0" rIns="0" bIns="0">
                        <a:noAutoFit/>
                      </wps:bodyPr>
                    </wps:wsp>
                  </a:graphicData>
                </a:graphic>
              </wp:anchor>
            </w:drawing>
          </mc:Choice>
          <mc:Fallback>
            <w:pict>
              <v:shape id="_x0000_s1044" type="#_x0000_t202" style="position:absolute;margin-left:433.55000000000001pt;margin-top:206.15000000000001pt;width:101.3pt;height:11.75pt;z-index:-125829369;mso-wrap-distance-left:387.25pt;mso-wrap-distance-top:11.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会计机构负责人：沈雁冰</w:t>
                      </w:r>
                    </w:p>
                  </w:txbxContent>
                </v:textbox>
                <w10:wrap type="topAndBottom" anchorx="page" anchory="margin"/>
              </v:shape>
            </w:pict>
          </mc:Fallback>
        </mc:AlternateContent>
      </w: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2</w:t>
      </w:r>
      <w:bookmarkEnd w:id="684"/>
      <w:r>
        <w:rPr>
          <w:color w:val="000000"/>
          <w:spacing w:val="0"/>
          <w:w w:val="100"/>
          <w:position w:val="0"/>
        </w:rPr>
        <w:t>、母公司资产负债表</w:t>
      </w:r>
      <w:bookmarkEnd w:id="682"/>
      <w:bookmarkEnd w:id="683"/>
      <w:bookmarkEnd w:id="68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1,414,286,222.71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575,435,836.99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48,246,988.80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60,457,888.38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1,066,787,949.89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1,666,988,215.05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5,708,511.32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13,191,543.87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725,652,146.30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666,204,474.17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266,034,024.01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293,996,923.67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22,119,762.58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18,732,390.47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3,844,162,529.28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3,004,654,348.93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657,479,715.93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566,067,731.91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23,436,180.00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39,709,818.36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275,999,333.27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290,879,912.96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352,662,217.54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345,255,308.16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201,492,711.66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58,090,496.33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2,559,167.19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3,616,411.60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103,089,023.71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78,114,846.27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1,932,169.84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6,573,483.08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1,666,478,688.30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1,411,744,188.67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5,510,641,217.58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4,416,398,537.60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574,218,435.05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585,000,000.00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31,980,899.92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361,083,453.95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314,176,752.77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5,947,794.15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140,044,676.89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157,876,209.85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165,513,393.83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6,210,572.52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4,490,038.28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173,141,964.93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261,341,869.97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9,117,033.05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1,421,692,346.24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1,368,450,748.92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756,173,164.29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9,093,907.10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9,642,436.22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765,267,071.39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9,642,436.22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2,186,959,417.63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1,378,093,185.14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884,016,939.00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884,016,939.00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170,119,772.95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961,506,767.96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818,577,631.92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224,794,368.74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-1,889,218.50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-4,006,747.00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178,625,376.08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181,604,375.08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1,356,096,531.20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1,382,907,522.20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3,323,681,799.95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3,038,305,352.46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5,510,641,217.58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4,416,398,537.60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3</w:t>
      </w:r>
      <w:bookmarkEnd w:id="688"/>
      <w:r>
        <w:rPr>
          <w:color w:val="000000"/>
          <w:spacing w:val="0"/>
          <w:w w:val="100"/>
          <w:position w:val="0"/>
        </w:rPr>
        <w:t>、合并利润表</w:t>
      </w:r>
      <w:bookmarkEnd w:id="686"/>
      <w:bookmarkEnd w:id="687"/>
      <w:bookmarkEnd w:id="68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2,723,440,576.81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2,723,440,576.81</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2,271,566,844.43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2,558,509,152.35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1,650,757,917.69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1,890,216,065.72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15,745,502.55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15,226,445.48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134,862,584.47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185,707,624.43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179,730,463.99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194,768,230.25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240,812,431.21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273,093,954.41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49,657,944.52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-503,167.94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34,637,868.29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18,214,232.83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20,933,622.73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7,896,595.19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36,988,219.95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38,163,065.12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-68,126,260.29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-27,147,793.84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-61,119,629.05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-30,393,442.20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-121,585,508.58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-116,542,575.38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资产减值损失（损失以号填 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-17,838,072.05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72,249.10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51,227,613.78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59,476,369.46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10,181,160.30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7,191,729.44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1,067,022.20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819,520.38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60,341,751.88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65,848,578.52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-1,105,629.14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-20,618,133.91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61,447,381.02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86,466,712.43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61,447,381.02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86,466,712.43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65,709,488.68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86,114,201.71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-4,262,107.66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352,510.72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-10,172,332.73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-1,667,256.78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-10,172,332.73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-1,667,256.78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2,117,528.50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-4,006,747.00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2,117,528.50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-4,006,747.00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-12,289,861.23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2,339,490.22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-12,289,861.23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2,339,490.22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51,275,048.29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84,799,455.65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55,537,155.95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84,446,944.93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-4,262,107.66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352,510.72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8"/>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法定代表人：陈迪清</w:t>
        <w:tab/>
        <w:t>主管会计工作负责人：沈雁冰</w:t>
        <w:tab/>
        <w:t>会计机构负责人：沈雁冰</w:t>
      </w:r>
    </w:p>
    <w:p>
      <w:pPr>
        <w:pStyle w:val="Style32"/>
        <w:keepNext/>
        <w:keepLines/>
        <w:widowControl w:val="0"/>
        <w:shd w:val="clear" w:color="auto" w:fill="auto"/>
        <w:bidi w:val="0"/>
        <w:spacing w:before="0" w:after="40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4</w:t>
      </w:r>
      <w:bookmarkEnd w:id="692"/>
      <w:r>
        <w:rPr>
          <w:color w:val="000000"/>
          <w:spacing w:val="0"/>
          <w:w w:val="100"/>
          <w:position w:val="0"/>
        </w:rPr>
        <w:t>、母公司利润表</w:t>
      </w:r>
      <w:bookmarkEnd w:id="690"/>
      <w:bookmarkEnd w:id="691"/>
      <w:bookmarkEnd w:id="69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2,266,359,921.78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2,534,050,158.36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1,523,660,838.90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1,804,174,436.03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13,001,469.22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12,229,264.45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113,034,894.61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153,262,222.34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130,118,551.08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145,189,956.30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197,831,269.86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248,678,765.22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47,507,108.59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-174,517.67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33,394,162.67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17,828,888.32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9,713,107.29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5,184,132.84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30,255,878.65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34,355,201.69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-63,139,353.18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-30,393,442.20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其中：对联营企业和合营企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-63,736,911.94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-30,393,442.20</w:t>
            </w:r>
          </w:p>
        </w:tc>
      </w:tr>
    </w:tbl>
    <w:p>
      <w:pPr>
        <w:widowControl w:val="0"/>
        <w:spacing w:line="1" w:lineRule="exact"/>
      </w:pPr>
      <w:r>
        <w:br w:type="page"/>
      </w:r>
    </w:p>
    <w:tbl>
      <w:tblPr>
        <w:tblOverlap w:val="never"/>
        <w:jc w:val="center"/>
        <w:tblLayout w:type="fixed"/>
      </w:tblPr>
      <w:tblGrid>
        <w:gridCol w:w="2976"/>
        <w:gridCol w:w="3298"/>
        <w:gridCol w:w="331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100" w:right="0" w:firstLine="0"/>
              <w:jc w:val="both"/>
              <w:rPr>
                <w:sz w:val="17"/>
                <w:szCs w:val="17"/>
              </w:rPr>
            </w:pPr>
            <w:r>
              <w:rPr>
                <w:color w:val="000000"/>
                <w:spacing w:val="0"/>
                <w:w w:val="100"/>
                <w:position w:val="0"/>
                <w:sz w:val="17"/>
                <w:szCs w:val="17"/>
              </w:rPr>
              <w:t>以摊余成本计量的金融</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rPr>
                <w:sz w:val="17"/>
                <w:szCs w:val="17"/>
              </w:rPr>
            </w:pPr>
            <w:r>
              <w:rPr>
                <w:color w:val="000000"/>
                <w:spacing w:val="0"/>
                <w:w w:val="100"/>
                <w:position w:val="0"/>
                <w:sz w:val="17"/>
                <w:szCs w:val="17"/>
              </w:rPr>
              <w:t>净敞口套期收益（损失以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-134,450,093.75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-116,577,274.12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-10,314,189.12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622,218.58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74,187.40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64,180,250.70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58,148,704.46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6,957,900.00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6,331,709.47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71,138,150.70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64,480,413.93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-7,193,783.78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-26,638,332.29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78,331,934.48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91,118,746.22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9" w:lineRule="exact"/>
              <w:ind w:left="0" w:right="0" w:firstLine="38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78,331,934.48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91,118,746.22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38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2,117,528.50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-4,006,747.00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2,117,528.50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-4,006,747.00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2,117,528.50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-4,006,747.00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80,449,462.98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87,111,999.22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5</w:t>
      </w:r>
      <w:bookmarkEnd w:id="696"/>
      <w:r>
        <w:rPr>
          <w:color w:val="000000"/>
          <w:spacing w:val="0"/>
          <w:w w:val="100"/>
          <w:position w:val="0"/>
        </w:rPr>
        <w:t>、合并现金流量表</w:t>
      </w:r>
      <w:bookmarkEnd w:id="694"/>
      <w:bookmarkEnd w:id="695"/>
      <w:bookmarkEnd w:id="69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2,579,259,441.30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2,606,307,824.02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3,822,049.18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1,552,786.16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946,767,896.61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1,481,505,775.97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3,529,849,387.09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4,089,366,386.15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564,850,546.96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726,802,749.69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1,502,402,037.36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1,562,723,249.45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129,520,548.07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184,420,494.36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886,563,544.09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1,549,161,338.24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3,083,336,676.48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4,023,107,831.74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446,512,710.61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66,258,554.41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3,872,859.20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84,797,991.32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597,558.76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3,245,648.36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465,303.30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238,702.31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4,935,721.26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88,282,341.99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225,302,657.45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231,447,061.98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29,073,320.74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5,595,760.00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254,375,978.19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237,042,821.98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-249,440,256.93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-148,760,479.99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76,441,120.00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其中：子公司吸收少数股东投资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1,973,955,080.36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702,355,061.13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1,979,955,080.36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778,796,181.13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1,060,706,745.31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352,855,061.13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30,171,092.11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44,813,282.53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66,978,251.00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109,628,504.04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1,157,856,088.42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507,296,847.70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822,098,991.94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271,499,333.43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-32,526,931.78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6,910,361.83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986,644,513.84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195,907,769.68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1,059,294,798.99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863,387,029.31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2,045,939,312.83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1,059,294,798.99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6</w:t>
      </w:r>
      <w:bookmarkEnd w:id="700"/>
      <w:r>
        <w:rPr>
          <w:color w:val="000000"/>
          <w:spacing w:val="0"/>
          <w:w w:val="100"/>
          <w:position w:val="0"/>
        </w:rPr>
        <w:t>、母公司现金流量表</w:t>
      </w:r>
      <w:bookmarkEnd w:id="698"/>
      <w:bookmarkEnd w:id="699"/>
      <w:bookmarkEnd w:id="70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2,268,546,069.77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2,289,728,513.07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3,491,832.08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1,378,720.72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575,198,678.72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1,499,797,562.49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2,847,236,580.57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3,790,904,796.28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904,299,250.02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1,107,239,784.56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1,006,856,648.59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1,129,875,457.53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74,180,016.57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135,939,768.61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584,700,745.19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1,549,201,636.11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2,570,036,660.37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3,922,256,646.81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277,199,920.20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-131,351,850.53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3,872,859.20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285,823.89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597,558.76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300,494.01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108,104.85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11,276,721.35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5,298,103.22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16,047,633.32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5,692,031.96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212,933,099.36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202,642,349.38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3,412,500.00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227,433,099.36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206,054,849.38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-211,385,466.04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-200,362,817.42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76,441,120.00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1,973,955,080.36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682,855,061.13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1,973,955,080.36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759,296,181.13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1,060,706,745.31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352,855,061.13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30,171,092.11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44,427,938.02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66,978,251.00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86,132,074.74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1,157,856,088.42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483,415,073.89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816,098,991.94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275,881,107.24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-10,581,423.86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-2,106,053.69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871,332,022.24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-57,939,614.40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538,407,696.47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596,347,310.87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1,409,739,718.71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538,407,696.47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7</w:t>
      </w:r>
      <w:bookmarkEnd w:id="704"/>
      <w:r>
        <w:rPr>
          <w:color w:val="000000"/>
          <w:spacing w:val="0"/>
          <w:w w:val="100"/>
          <w:position w:val="0"/>
        </w:rPr>
        <w:t>、合并所有者权益变动表</w:t>
      </w:r>
      <w:bookmarkEnd w:id="702"/>
      <w:bookmarkEnd w:id="703"/>
      <w:bookmarkEnd w:id="70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3,063,</w:t>
            </w:r>
          </w:p>
        </w:tc>
      </w:tr>
      <w:tr>
        <w:trPr>
          <w:trHeight w:val="158"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901,42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143,87</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555.38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5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w:t>
            </w:r>
          </w:p>
        </w:tc>
      </w:tr>
      <w:tr>
        <w:trPr>
          <w:trHeight w:val="158"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57,069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31,969</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2,938,</w:t>
            </w:r>
          </w:p>
        </w:tc>
      </w:tr>
      <w:tr>
        <w:trPr>
          <w:trHeight w:val="158"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944,35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511,90</w:t>
            </w:r>
          </w:p>
        </w:tc>
      </w:tr>
      <w:tr>
        <w:trPr>
          <w:trHeight w:val="139"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454.74</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60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142,92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57,876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368,58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365,32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3,957.</w:t>
            </w:r>
          </w:p>
        </w:tc>
      </w:tr>
      <w:tr>
        <w:trPr>
          <w:trHeight w:val="144"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193.45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107.66</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59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65,709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55,537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-4,262,</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51,275</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,048.2</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107.66</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595"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142,92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313,04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314,04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8,908.</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170,11</w:t>
            </w:r>
          </w:p>
        </w:tc>
      </w:tr>
      <w:tr>
        <w:trPr>
          <w:trHeight w:val="31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具持有者投入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9,772.</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-4,741,</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056.97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056.97</w:t>
            </w: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147,67</w:t>
            </w:r>
          </w:p>
        </w:tc>
      </w:tr>
      <w:tr>
        <w:trPr>
          <w:trHeight w:val="312"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0,193.</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914,14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9,956.</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178,62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293,62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上期金额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6"/>
        <w:gridCol w:w="638"/>
        <w:gridCol w:w="66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权益合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5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2,939,4</w:t>
            </w:r>
          </w:p>
        </w:tc>
      </w:tr>
      <w:tr>
        <w:trPr>
          <w:trHeight w:val="302"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038,73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598,95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066.10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88,884.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58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33,588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33,588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33,588,</w:t>
            </w:r>
          </w:p>
        </w:tc>
      </w:tr>
      <w:tr>
        <w:trPr>
          <w:trHeight w:val="168"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191,94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2,973,0</w:t>
            </w:r>
          </w:p>
        </w:tc>
      </w:tr>
      <w:tr>
        <w:trPr>
          <w:trHeight w:val="158"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187,82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77,758.</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066.10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446"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三、本期增减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变动金额（减</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53,692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352,510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90,066,</w:t>
            </w:r>
          </w:p>
        </w:tc>
      </w:tr>
      <w:tr>
        <w:trPr>
          <w:trHeight w:val="139"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,594.5</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86,114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84,446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84,799,</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31,865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707.03</w:t>
            </w:r>
          </w:p>
        </w:tc>
      </w:tr>
      <w:tr>
        <w:trPr>
          <w:trHeight w:val="307"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投入和减少资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41,090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52,112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12,460,</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399.77</w:t>
            </w: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142,35</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19,405,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9,607.</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,049.70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0,557.</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9,049.</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0,820.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8</w:t>
      </w:r>
      <w:bookmarkEnd w:id="708"/>
      <w:r>
        <w:rPr>
          <w:color w:val="000000"/>
          <w:spacing w:val="0"/>
          <w:w w:val="100"/>
          <w:position w:val="0"/>
        </w:rPr>
        <w:t>、母公司所有者权益变动表</w:t>
      </w:r>
      <w:bookmarkEnd w:id="706"/>
      <w:bookmarkEnd w:id="707"/>
      <w:bookmarkEnd w:id="70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818,577,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224,794,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3,038,305,</w:t>
            </w:r>
          </w:p>
        </w:tc>
      </w:tr>
      <w:tr>
        <w:trPr>
          <w:trHeight w:val="149"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额</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07,522.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631.92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368.74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352.46</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-108,121,9</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w:t>
            </w: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818,577,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224,794,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170,792,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2,930,183,</w:t>
            </w:r>
          </w:p>
        </w:tc>
      </w:tr>
      <w:tr>
        <w:trPr>
          <w:trHeight w:val="149"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额</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97,790.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631.92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368.74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182.63</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427.98</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三、本期增减变 动金额（减少以</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142,929,</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2,117,52</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7,833,19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70,498,</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393,498,3</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9,772.9</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136.04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w:t>
            </w: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80,449,46</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r>
        <w:trPr>
          <w:trHeight w:val="27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9,772.9</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142,929,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313,048,9</w:t>
            </w:r>
          </w:p>
        </w:tc>
      </w:tr>
      <w:tr>
        <w:trPr>
          <w:trHeight w:val="499"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136.04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170,119,77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30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具持有者投入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-4,741,056</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147,670,1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193.01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9,772.9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224,794,</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3,323,681,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799.95</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减:库存</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盈余公</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一、上年期末余</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872,99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764,884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191,944,</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169,023</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1,296,281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2,911,239,8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34,686,82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34,686,828.</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前期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二、本年期初余</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872,99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764,884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191,944,</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169,023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1,330,968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2,945,926,6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53,692,</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32,849,5</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12,580,</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51,939,13</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92,378,656.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91,118,74</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87,111,999.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53,692,</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32,849,5</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31,865,707.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41,090,</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52,112,4</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12,460,</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12,460,399.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-19,262,</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19,405,307.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12,580,</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-39,179,6</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-26,599,049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12,580,</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-12,580,5</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-26,599,0</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-26,599,049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818,577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224,794,</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3,038,305,3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三</w:t>
      </w:r>
      <w:bookmarkEnd w:id="712"/>
      <w:r>
        <w:rPr>
          <w:color w:val="000000"/>
          <w:spacing w:val="0"/>
          <w:w w:val="100"/>
          <w:position w:val="0"/>
        </w:rPr>
        <w:t>、公司基本情况</w:t>
      </w:r>
      <w:bookmarkEnd w:id="710"/>
      <w:bookmarkEnd w:id="711"/>
      <w:bookmarkEnd w:id="713"/>
    </w:p>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（一）公司概况</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上海汉得信息技术股份有限公司（以下简称“公司”或“本公司”</w:t>
      </w:r>
      <w:r>
        <w:rPr>
          <w:color w:val="000000"/>
          <w:spacing w:val="0"/>
          <w:w w:val="100"/>
          <w:position w:val="0"/>
          <w:sz w:val="22"/>
          <w:szCs w:val="22"/>
        </w:rPr>
        <w:t>）</w:t>
      </w:r>
      <w:r>
        <w:rPr>
          <w:color w:val="000000"/>
          <w:spacing w:val="0"/>
          <w:w w:val="100"/>
          <w:position w:val="0"/>
        </w:rPr>
        <w:t>前身是上海全富汉得软件技术有限公司，系于</w:t>
      </w:r>
      <w:r>
        <w:rPr>
          <w:rFonts w:ascii="Arial" w:eastAsia="Arial" w:hAnsi="Arial" w:cs="Arial"/>
          <w:color w:val="000000"/>
          <w:spacing w:val="0"/>
          <w:w w:val="100"/>
          <w:position w:val="0"/>
          <w:sz w:val="18"/>
          <w:szCs w:val="18"/>
        </w:rPr>
        <w:t>2002</w:t>
      </w:r>
      <w:r>
        <w:rPr>
          <w:color w:val="000000"/>
          <w:spacing w:val="0"/>
          <w:w w:val="100"/>
          <w:position w:val="0"/>
        </w:rPr>
        <w:t>年</w:t>
      </w:r>
      <w:r>
        <w:rPr>
          <w:rFonts w:ascii="Arial" w:eastAsia="Arial" w:hAnsi="Arial" w:cs="Arial"/>
          <w:color w:val="000000"/>
          <w:spacing w:val="0"/>
          <w:w w:val="100"/>
          <w:position w:val="0"/>
          <w:sz w:val="18"/>
          <w:szCs w:val="18"/>
        </w:rPr>
        <w:t xml:space="preserve">6 </w:t>
      </w:r>
      <w:r>
        <w:rPr>
          <w:color w:val="000000"/>
          <w:spacing w:val="0"/>
          <w:w w:val="100"/>
          <w:position w:val="0"/>
        </w:rPr>
        <w:t>月经上海市人民政府批准，由</w:t>
      </w:r>
      <w:r>
        <w:rPr>
          <w:rFonts w:ascii="Arial" w:eastAsia="Arial" w:hAnsi="Arial" w:cs="Arial"/>
          <w:color w:val="000000"/>
          <w:spacing w:val="0"/>
          <w:w w:val="100"/>
          <w:position w:val="0"/>
          <w:sz w:val="18"/>
          <w:szCs w:val="18"/>
        </w:rPr>
        <w:t>SINO-TWINWOOD PTE.</w:t>
      </w: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LTD</w:t>
      </w:r>
      <w:r>
        <w:rPr>
          <w:color w:val="000000"/>
          <w:spacing w:val="0"/>
          <w:w w:val="100"/>
          <w:position w:val="0"/>
        </w:rPr>
        <w:t>投资设立的有限公司，注册资本为</w:t>
      </w:r>
      <w:r>
        <w:rPr>
          <w:rFonts w:ascii="Arial" w:eastAsia="Arial" w:hAnsi="Arial" w:cs="Arial"/>
          <w:color w:val="000000"/>
          <w:spacing w:val="0"/>
          <w:w w:val="100"/>
          <w:position w:val="0"/>
          <w:sz w:val="18"/>
          <w:szCs w:val="18"/>
        </w:rPr>
        <w:t>215</w:t>
      </w:r>
      <w:r>
        <w:rPr>
          <w:color w:val="000000"/>
          <w:spacing w:val="0"/>
          <w:w w:val="100"/>
          <w:position w:val="0"/>
        </w:rPr>
        <w:t>万美元。中华人民共和国外商 投资企业批准证书的批准号为商外资沪青独资字</w:t>
      </w:r>
      <w:r>
        <w:rPr>
          <w:rFonts w:ascii="Arial" w:eastAsia="Arial" w:hAnsi="Arial" w:cs="Arial"/>
          <w:color w:val="000000"/>
          <w:spacing w:val="0"/>
          <w:w w:val="100"/>
          <w:position w:val="0"/>
          <w:sz w:val="18"/>
          <w:szCs w:val="18"/>
        </w:rPr>
        <w:t>[2002]1793</w:t>
      </w:r>
      <w:r>
        <w:rPr>
          <w:color w:val="000000"/>
          <w:spacing w:val="0"/>
          <w:w w:val="100"/>
          <w:position w:val="0"/>
        </w:rPr>
        <w:t>。公司的企业法人营业执照注册号：</w:t>
      </w:r>
      <w:r>
        <w:rPr>
          <w:rFonts w:ascii="Arial" w:eastAsia="Arial" w:hAnsi="Arial" w:cs="Arial"/>
          <w:color w:val="000000"/>
          <w:spacing w:val="0"/>
          <w:w w:val="100"/>
          <w:position w:val="0"/>
          <w:sz w:val="18"/>
          <w:szCs w:val="18"/>
        </w:rPr>
        <w:t xml:space="preserve">310000400308460 </w:t>
      </w:r>
      <w:r>
        <w:rPr>
          <w:color w:val="000000"/>
          <w:spacing w:val="0"/>
          <w:w w:val="100"/>
          <w:position w:val="0"/>
        </w:rPr>
        <w:t xml:space="preserve">（青浦）。 </w:t>
      </w:r>
      <w:r>
        <w:rPr>
          <w:rFonts w:ascii="Arial" w:eastAsia="Arial" w:hAnsi="Arial" w:cs="Arial"/>
          <w:color w:val="000000"/>
          <w:spacing w:val="0"/>
          <w:w w:val="100"/>
          <w:position w:val="0"/>
          <w:sz w:val="18"/>
          <w:szCs w:val="18"/>
        </w:rPr>
        <w:t>2010</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6</w:t>
      </w:r>
      <w:r>
        <w:rPr>
          <w:color w:val="000000"/>
          <w:spacing w:val="0"/>
          <w:w w:val="100"/>
          <w:position w:val="0"/>
        </w:rPr>
        <w:t>日，经上海商务委沪商外资批</w:t>
      </w:r>
      <w:r>
        <w:rPr>
          <w:rFonts w:ascii="Arial" w:eastAsia="Arial" w:hAnsi="Arial" w:cs="Arial"/>
          <w:color w:val="000000"/>
          <w:spacing w:val="0"/>
          <w:w w:val="100"/>
          <w:position w:val="0"/>
          <w:sz w:val="18"/>
          <w:szCs w:val="18"/>
        </w:rPr>
        <w:t>[2010]28</w:t>
      </w:r>
      <w:r>
        <w:rPr>
          <w:color w:val="000000"/>
          <w:spacing w:val="0"/>
          <w:w w:val="100"/>
          <w:position w:val="0"/>
        </w:rPr>
        <w:t>号《市商务委关于同意上海汉得信息技术有限公司变更为外商投资股份有 限公司的批复》批准，本公司整体变更为股份有限公司，并于</w:t>
      </w:r>
      <w:r>
        <w:rPr>
          <w:rFonts w:ascii="Arial" w:eastAsia="Arial" w:hAnsi="Arial" w:cs="Arial"/>
          <w:color w:val="000000"/>
          <w:spacing w:val="0"/>
          <w:w w:val="100"/>
          <w:position w:val="0"/>
          <w:sz w:val="18"/>
          <w:szCs w:val="18"/>
        </w:rPr>
        <w:t>2010</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11</w:t>
      </w:r>
      <w:r>
        <w:rPr>
          <w:color w:val="000000"/>
          <w:spacing w:val="0"/>
          <w:w w:val="100"/>
          <w:position w:val="0"/>
        </w:rPr>
        <w:t>日颁发商外资沪股份字</w:t>
      </w:r>
      <w:r>
        <w:rPr>
          <w:rFonts w:ascii="Arial" w:eastAsia="Arial" w:hAnsi="Arial" w:cs="Arial"/>
          <w:color w:val="000000"/>
          <w:spacing w:val="0"/>
          <w:w w:val="100"/>
          <w:position w:val="0"/>
          <w:sz w:val="18"/>
          <w:szCs w:val="18"/>
        </w:rPr>
        <w:t>[2002]1793</w:t>
      </w:r>
      <w:r>
        <w:rPr>
          <w:color w:val="000000"/>
          <w:spacing w:val="0"/>
          <w:w w:val="100"/>
          <w:position w:val="0"/>
        </w:rPr>
        <w:t>号《中华人民 共和国外商投资企业批准证书》。</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经中国证券监督管理委员会证监发行字</w:t>
      </w:r>
      <w:r>
        <w:rPr>
          <w:rFonts w:ascii="Arial" w:eastAsia="Arial" w:hAnsi="Arial" w:cs="Arial"/>
          <w:color w:val="000000"/>
          <w:spacing w:val="0"/>
          <w:w w:val="100"/>
          <w:position w:val="0"/>
          <w:sz w:val="18"/>
          <w:szCs w:val="18"/>
        </w:rPr>
        <w:t>[2010]1835</w:t>
      </w:r>
      <w:r>
        <w:rPr>
          <w:color w:val="000000"/>
          <w:spacing w:val="0"/>
          <w:w w:val="100"/>
          <w:position w:val="0"/>
        </w:rPr>
        <w:t>号文核准，公司于</w:t>
      </w:r>
      <w:r>
        <w:rPr>
          <w:rFonts w:ascii="Arial" w:eastAsia="Arial" w:hAnsi="Arial" w:cs="Arial"/>
          <w:color w:val="000000"/>
          <w:spacing w:val="0"/>
          <w:w w:val="100"/>
          <w:position w:val="0"/>
          <w:sz w:val="18"/>
          <w:szCs w:val="18"/>
        </w:rPr>
        <w:t>2011</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月向社会公开发行人民币普通股</w:t>
      </w:r>
      <w:r>
        <w:rPr>
          <w:color w:val="000000"/>
          <w:spacing w:val="0"/>
          <w:w w:val="100"/>
          <w:position w:val="0"/>
          <w:sz w:val="22"/>
          <w:szCs w:val="22"/>
        </w:rPr>
        <w:t>（</w:t>
      </w:r>
      <w:r>
        <w:rPr>
          <w:rFonts w:ascii="Arial" w:eastAsia="Arial" w:hAnsi="Arial" w:cs="Arial"/>
          <w:color w:val="000000"/>
          <w:spacing w:val="0"/>
          <w:w w:val="100"/>
          <w:position w:val="0"/>
          <w:sz w:val="18"/>
          <w:szCs w:val="18"/>
        </w:rPr>
        <w:t>A</w:t>
      </w:r>
      <w:r>
        <w:rPr>
          <w:color w:val="000000"/>
          <w:spacing w:val="0"/>
          <w:w w:val="100"/>
          <w:position w:val="0"/>
        </w:rPr>
        <w:t>股）</w:t>
      </w:r>
      <w:r>
        <w:rPr>
          <w:rFonts w:ascii="Arial" w:eastAsia="Arial" w:hAnsi="Arial" w:cs="Arial"/>
          <w:color w:val="000000"/>
          <w:spacing w:val="0"/>
          <w:w w:val="100"/>
          <w:position w:val="0"/>
          <w:sz w:val="18"/>
          <w:szCs w:val="18"/>
        </w:rPr>
        <w:t xml:space="preserve">3,000 </w:t>
      </w:r>
      <w:r>
        <w:rPr>
          <w:color w:val="000000"/>
          <w:spacing w:val="0"/>
          <w:w w:val="100"/>
          <w:position w:val="0"/>
        </w:rPr>
        <w:t>万股，增加注册资本</w:t>
      </w:r>
      <w:r>
        <w:rPr>
          <w:rFonts w:ascii="Arial" w:eastAsia="Arial" w:hAnsi="Arial" w:cs="Arial"/>
          <w:color w:val="000000"/>
          <w:spacing w:val="0"/>
          <w:w w:val="100"/>
          <w:position w:val="0"/>
          <w:sz w:val="18"/>
          <w:szCs w:val="18"/>
        </w:rPr>
        <w:t>3,000</w:t>
      </w:r>
      <w:r>
        <w:rPr>
          <w:color w:val="000000"/>
          <w:spacing w:val="0"/>
          <w:w w:val="100"/>
          <w:position w:val="0"/>
        </w:rPr>
        <w:t>万元，增加后的注册资本为人民币</w:t>
      </w:r>
      <w:r>
        <w:rPr>
          <w:rFonts w:ascii="Arial" w:eastAsia="Arial" w:hAnsi="Arial" w:cs="Arial"/>
          <w:color w:val="000000"/>
          <w:spacing w:val="0"/>
          <w:w w:val="100"/>
          <w:position w:val="0"/>
          <w:sz w:val="18"/>
          <w:szCs w:val="18"/>
        </w:rPr>
        <w:t>11,572.45</w:t>
      </w:r>
      <w:r>
        <w:rPr>
          <w:color w:val="000000"/>
          <w:spacing w:val="0"/>
          <w:w w:val="100"/>
          <w:position w:val="0"/>
        </w:rPr>
        <w:t>万元。公司于</w:t>
      </w:r>
      <w:r>
        <w:rPr>
          <w:rFonts w:ascii="Arial" w:eastAsia="Arial" w:hAnsi="Arial" w:cs="Arial"/>
          <w:color w:val="000000"/>
          <w:spacing w:val="0"/>
          <w:w w:val="100"/>
          <w:position w:val="0"/>
          <w:sz w:val="18"/>
          <w:szCs w:val="18"/>
        </w:rPr>
        <w:t>2011</w:t>
      </w:r>
      <w:r>
        <w:rPr>
          <w:color w:val="000000"/>
          <w:spacing w:val="0"/>
          <w:w w:val="100"/>
          <w:position w:val="0"/>
        </w:rPr>
        <w:t>年</w:t>
      </w:r>
      <w:r>
        <w:rPr>
          <w:rFonts w:ascii="Arial" w:eastAsia="Arial" w:hAnsi="Arial" w:cs="Arial"/>
          <w:color w:val="000000"/>
          <w:spacing w:val="0"/>
          <w:w w:val="100"/>
          <w:position w:val="0"/>
          <w:sz w:val="18"/>
          <w:szCs w:val="18"/>
        </w:rPr>
        <w:t>2</w:t>
      </w:r>
      <w:r>
        <w:rPr>
          <w:color w:val="000000"/>
          <w:spacing w:val="0"/>
          <w:w w:val="100"/>
          <w:position w:val="0"/>
        </w:rPr>
        <w:t>月</w:t>
      </w:r>
      <w:r>
        <w:rPr>
          <w:rFonts w:ascii="Arial" w:eastAsia="Arial" w:hAnsi="Arial" w:cs="Arial"/>
          <w:color w:val="000000"/>
          <w:spacing w:val="0"/>
          <w:w w:val="100"/>
          <w:position w:val="0"/>
          <w:sz w:val="18"/>
          <w:szCs w:val="18"/>
        </w:rPr>
        <w:t>1</w:t>
      </w:r>
      <w:r>
        <w:rPr>
          <w:color w:val="000000"/>
          <w:spacing w:val="0"/>
          <w:w w:val="100"/>
          <w:position w:val="0"/>
        </w:rPr>
        <w:t>日在深圳证券交易所挂牌上 市，深圳证券交易所创业板</w:t>
      </w:r>
      <w:r>
        <w:rPr>
          <w:rFonts w:ascii="Arial" w:eastAsia="Arial" w:hAnsi="Arial" w:cs="Arial"/>
          <w:color w:val="000000"/>
          <w:spacing w:val="0"/>
          <w:w w:val="100"/>
          <w:position w:val="0"/>
          <w:sz w:val="18"/>
          <w:szCs w:val="18"/>
        </w:rPr>
        <w:t>A</w:t>
      </w:r>
      <w:r>
        <w:rPr>
          <w:color w:val="000000"/>
          <w:spacing w:val="0"/>
          <w:w w:val="100"/>
          <w:position w:val="0"/>
        </w:rPr>
        <w:t>股交易代码：</w:t>
      </w:r>
      <w:r>
        <w:rPr>
          <w:rFonts w:ascii="Arial" w:eastAsia="Arial" w:hAnsi="Arial" w:cs="Arial"/>
          <w:color w:val="000000"/>
          <w:spacing w:val="0"/>
          <w:w w:val="100"/>
          <w:position w:val="0"/>
          <w:sz w:val="18"/>
          <w:szCs w:val="18"/>
        </w:rPr>
        <w:t xml:space="preserve">300170, </w:t>
      </w:r>
      <w:r>
        <w:rPr>
          <w:rFonts w:ascii="Arial" w:eastAsia="Arial" w:hAnsi="Arial" w:cs="Arial"/>
          <w:color w:val="000000"/>
          <w:spacing w:val="0"/>
          <w:w w:val="100"/>
          <w:position w:val="0"/>
          <w:sz w:val="18"/>
          <w:szCs w:val="18"/>
        </w:rPr>
        <w:t>A</w:t>
      </w:r>
      <w:r>
        <w:rPr>
          <w:color w:val="000000"/>
          <w:spacing w:val="0"/>
          <w:w w:val="100"/>
          <w:position w:val="0"/>
        </w:rPr>
        <w:t>股简称：汉得信息。所属行业为软件服务类。</w:t>
      </w:r>
    </w:p>
    <w:p>
      <w:pPr>
        <w:pStyle w:val="Style28"/>
        <w:keepNext w:val="0"/>
        <w:keepLines w:val="0"/>
        <w:widowControl w:val="0"/>
        <w:shd w:val="clear" w:color="auto" w:fill="auto"/>
        <w:bidi w:val="0"/>
        <w:spacing w:before="0" w:after="420" w:line="313" w:lineRule="exact"/>
        <w:ind w:left="0" w:right="0" w:firstLine="0"/>
        <w:jc w:val="both"/>
      </w:pPr>
      <w:r>
        <w:rPr>
          <w:color w:val="000000"/>
          <w:spacing w:val="0"/>
          <w:w w:val="100"/>
          <w:position w:val="0"/>
        </w:rPr>
        <w:t>截至</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日止，本公司累计发行股本总数</w:t>
      </w:r>
      <w:r>
        <w:rPr>
          <w:rFonts w:ascii="Arial" w:eastAsia="Arial" w:hAnsi="Arial" w:cs="Arial"/>
          <w:color w:val="000000"/>
          <w:spacing w:val="0"/>
          <w:w w:val="100"/>
          <w:position w:val="0"/>
          <w:sz w:val="18"/>
          <w:szCs w:val="18"/>
        </w:rPr>
        <w:t xml:space="preserve">88, </w:t>
      </w:r>
      <w:r>
        <w:rPr>
          <w:rFonts w:ascii="Arial" w:eastAsia="Arial" w:hAnsi="Arial" w:cs="Arial"/>
          <w:color w:val="000000"/>
          <w:spacing w:val="0"/>
          <w:w w:val="100"/>
          <w:position w:val="0"/>
          <w:sz w:val="18"/>
          <w:szCs w:val="18"/>
        </w:rPr>
        <w:t>401.6939</w:t>
      </w:r>
      <w:r>
        <w:rPr>
          <w:color w:val="000000"/>
          <w:spacing w:val="0"/>
          <w:w w:val="100"/>
          <w:position w:val="0"/>
        </w:rPr>
        <w:t>万股，注册资本为</w:t>
      </w:r>
      <w:r>
        <w:rPr>
          <w:rFonts w:ascii="Arial" w:eastAsia="Arial" w:hAnsi="Arial" w:cs="Arial"/>
          <w:color w:val="000000"/>
          <w:spacing w:val="0"/>
          <w:w w:val="100"/>
          <w:position w:val="0"/>
          <w:sz w:val="18"/>
          <w:szCs w:val="18"/>
        </w:rPr>
        <w:t>88,401.6939</w:t>
      </w:r>
      <w:r>
        <w:rPr>
          <w:color w:val="000000"/>
          <w:spacing w:val="0"/>
          <w:w w:val="100"/>
          <w:position w:val="0"/>
        </w:rPr>
        <w:t>万元，注册地：上海市青浦工 业园区外青松公路</w:t>
      </w:r>
      <w:r>
        <w:rPr>
          <w:rFonts w:ascii="Arial" w:eastAsia="Arial" w:hAnsi="Arial" w:cs="Arial"/>
          <w:color w:val="000000"/>
          <w:spacing w:val="0"/>
          <w:w w:val="100"/>
          <w:position w:val="0"/>
          <w:sz w:val="18"/>
          <w:szCs w:val="18"/>
        </w:rPr>
        <w:t>5500</w:t>
      </w:r>
      <w:r>
        <w:rPr>
          <w:color w:val="000000"/>
          <w:spacing w:val="0"/>
          <w:w w:val="100"/>
          <w:position w:val="0"/>
        </w:rPr>
        <w:t>号</w:t>
      </w:r>
      <w:r>
        <w:rPr>
          <w:rFonts w:ascii="Arial" w:eastAsia="Arial" w:hAnsi="Arial" w:cs="Arial"/>
          <w:color w:val="000000"/>
          <w:spacing w:val="0"/>
          <w:w w:val="100"/>
          <w:position w:val="0"/>
          <w:sz w:val="18"/>
          <w:szCs w:val="18"/>
        </w:rPr>
        <w:t>303</w:t>
      </w:r>
      <w:r>
        <w:rPr>
          <w:color w:val="000000"/>
          <w:spacing w:val="0"/>
          <w:w w:val="100"/>
          <w:position w:val="0"/>
        </w:rPr>
        <w:t>室，总部地址：上海市青浦区汇联路</w:t>
      </w:r>
      <w:r>
        <w:rPr>
          <w:rFonts w:ascii="Arial" w:eastAsia="Arial" w:hAnsi="Arial" w:cs="Arial"/>
          <w:color w:val="000000"/>
          <w:spacing w:val="0"/>
          <w:w w:val="100"/>
          <w:position w:val="0"/>
          <w:sz w:val="18"/>
          <w:szCs w:val="18"/>
        </w:rPr>
        <w:t>33</w:t>
      </w:r>
      <w:r>
        <w:rPr>
          <w:color w:val="000000"/>
          <w:spacing w:val="0"/>
          <w:w w:val="100"/>
          <w:position w:val="0"/>
        </w:rPr>
        <w:t>号，统一社会信用代码：</w:t>
      </w:r>
      <w:r>
        <w:rPr>
          <w:rFonts w:ascii="Arial" w:eastAsia="Arial" w:hAnsi="Arial" w:cs="Arial"/>
          <w:color w:val="000000"/>
          <w:spacing w:val="0"/>
          <w:w w:val="100"/>
          <w:position w:val="0"/>
          <w:sz w:val="18"/>
          <w:szCs w:val="18"/>
        </w:rPr>
        <w:t>9131000074027295XF</w:t>
      </w:r>
      <w:r>
        <w:rPr>
          <w:color w:val="000000"/>
          <w:spacing w:val="0"/>
          <w:w w:val="100"/>
          <w:position w:val="0"/>
        </w:rPr>
        <w:t>。</w:t>
      </w:r>
      <w:r>
        <w:rPr>
          <w:color w:val="000000"/>
          <w:spacing w:val="0"/>
          <w:w w:val="100"/>
          <w:position w:val="0"/>
        </w:rPr>
        <w:t>本公司 主要经营活动为：研究、开发和生产计算机软件、信息系统和网络产品，从事信息系统和数据管理系统的安装以及信息系统 的集成，提供技术开发、咨询服务以及与该服务相关的客户支援服务，提供整体企业信息系统解决方案，销售公司自产产品， 从事货物及技术的进出口业务，代理记账。【依法须经批准的项目，经相关部门批准后方可开展经营活动】 本财务报表业经公司董事会于</w:t>
      </w:r>
      <w:r>
        <w:rPr>
          <w:rFonts w:ascii="Arial" w:eastAsia="Arial" w:hAnsi="Arial" w:cs="Arial"/>
          <w:color w:val="000000"/>
          <w:spacing w:val="0"/>
          <w:w w:val="100"/>
          <w:position w:val="0"/>
          <w:sz w:val="18"/>
          <w:szCs w:val="18"/>
        </w:rPr>
        <w:t>2021</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w:t>
      </w:r>
      <w:r>
        <w:rPr>
          <w:rFonts w:ascii="Arial" w:eastAsia="Arial" w:hAnsi="Arial" w:cs="Arial"/>
          <w:color w:val="000000"/>
          <w:spacing w:val="0"/>
          <w:w w:val="100"/>
          <w:position w:val="0"/>
          <w:sz w:val="18"/>
          <w:szCs w:val="18"/>
        </w:rPr>
        <w:t>22</w:t>
      </w:r>
      <w:r>
        <w:rPr>
          <w:color w:val="000000"/>
          <w:spacing w:val="0"/>
          <w:w w:val="100"/>
          <w:position w:val="0"/>
        </w:rPr>
        <w:t>日批准报出。</w:t>
      </w:r>
    </w:p>
    <w:p>
      <w:pPr>
        <w:pStyle w:val="Style35"/>
        <w:keepNext w:val="0"/>
        <w:keepLines w:val="0"/>
        <w:widowControl w:val="0"/>
        <w:shd w:val="clear" w:color="auto" w:fill="auto"/>
        <w:bidi w:val="0"/>
        <w:spacing w:before="0" w:after="60" w:line="240" w:lineRule="auto"/>
        <w:ind w:left="0" w:right="0" w:firstLine="0"/>
        <w:jc w:val="both"/>
        <w:rPr>
          <w:sz w:val="20"/>
          <w:szCs w:val="20"/>
        </w:rPr>
      </w:pPr>
      <w:r>
        <w:rPr>
          <w:b/>
          <w:bCs/>
          <w:color w:val="000000"/>
          <w:spacing w:val="0"/>
          <w:w w:val="100"/>
          <w:position w:val="0"/>
          <w:sz w:val="20"/>
          <w:szCs w:val="20"/>
        </w:rPr>
        <w:t>（二）合并财务报表范围</w:t>
      </w:r>
    </w:p>
    <w:p>
      <w:pPr>
        <w:pStyle w:val="Style35"/>
        <w:keepNext w:val="0"/>
        <w:keepLines w:val="0"/>
        <w:widowControl w:val="0"/>
        <w:shd w:val="clear" w:color="auto" w:fill="auto"/>
        <w:bidi w:val="0"/>
        <w:spacing w:before="0" w:after="340" w:line="240" w:lineRule="auto"/>
        <w:ind w:left="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日止，本公司合并财务报表范围内子公司如下:</w:t>
      </w:r>
    </w:p>
    <w:tbl>
      <w:tblPr>
        <w:tblOverlap w:val="never"/>
        <w:jc w:val="center"/>
        <w:tblLayout w:type="fixed"/>
      </w:tblPr>
      <w:tblGrid>
        <w:gridCol w:w="4838"/>
        <w:gridCol w:w="483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简称</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汉得日本株式会社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汉得日本</w:t>
            </w:r>
          </w:p>
        </w:tc>
      </w:tr>
    </w:tbl>
    <w:p>
      <w:pPr>
        <w:widowControl w:val="0"/>
        <w:spacing w:line="1" w:lineRule="exact"/>
      </w:pPr>
      <w:r>
        <w:br w:type="page"/>
      </w:r>
    </w:p>
    <w:tbl>
      <w:tblPr>
        <w:tblOverlap w:val="never"/>
        <w:jc w:val="center"/>
        <w:tblLayout w:type="fixed"/>
      </w:tblPr>
      <w:tblGrid>
        <w:gridCol w:w="4838"/>
        <w:gridCol w:w="483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上海夏尔软件有限公司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夏尔软件</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上海汉得欧俊信息技术有限公司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汉得欧俊</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汉得信息技术（新加坡）有限公司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汉得新加坡</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随身科技（上海）有限公司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随身科技</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上海汉得融晶信息科技有限公司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汉得融晶</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上海汉得商业保理有限公司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汉得保理</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上海汉得微扬信息技术有限公司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汉得微扬</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上海达美信息技术有限公司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上海达美</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扬州达美投资管理有限公司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扬州达美</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HAND Enterprise Solutions USA, INC.</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汉得美国</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上海汉得甄领信息科技有限公司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甄领信息</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上海鼎医信息技术有限公司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鼎医信息</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上海得逸信息技术有限公司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得逸信息</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上海得逸劳务派遣有限公司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得逸劳务</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上海甄恒信息科技有限公司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甄恒信息</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HAND ERP Solutions (India) Private Limited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汉得印度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HAND Enterprise Solutions Europe B. V.</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汉得欧洲</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台湾汉得科技股份有限公司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汉得台湾</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上海汇羿信息技术有限公司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汇羿信息</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上海亿砹科技有限公司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亿砹科技</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上海甄一科技有限公司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甄一科技</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本期合并财务报表范围及其变化情况详见本附注“六、合并范围的变更”和“七、在其他主体中的权益”。</w:t>
      </w:r>
    </w:p>
    <w:p>
      <w:pPr>
        <w:widowControl w:val="0"/>
        <w:spacing w:after="379" w:line="1" w:lineRule="exact"/>
      </w:pPr>
    </w:p>
    <w:p>
      <w:pPr>
        <w:pStyle w:val="Style26"/>
        <w:keepNext/>
        <w:keepLines/>
        <w:widowControl w:val="0"/>
        <w:shd w:val="clear" w:color="auto" w:fill="auto"/>
        <w:tabs>
          <w:tab w:pos="498" w:val="left"/>
        </w:tabs>
        <w:bidi w:val="0"/>
        <w:spacing w:before="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四</w:t>
      </w:r>
      <w:bookmarkEnd w:id="716"/>
      <w:r>
        <w:rPr>
          <w:color w:val="000000"/>
          <w:spacing w:val="0"/>
          <w:w w:val="100"/>
          <w:position w:val="0"/>
        </w:rPr>
        <w:t>、</w:t>
        <w:tab/>
        <w:t>财务报表的编制基础</w:t>
      </w:r>
      <w:bookmarkEnd w:id="714"/>
      <w:bookmarkEnd w:id="715"/>
      <w:bookmarkEnd w:id="717"/>
    </w:p>
    <w:p>
      <w:pPr>
        <w:pStyle w:val="Style32"/>
        <w:keepNext/>
        <w:keepLines/>
        <w:widowControl w:val="0"/>
        <w:shd w:val="clear" w:color="auto" w:fill="auto"/>
        <w:tabs>
          <w:tab w:pos="391" w:val="left"/>
        </w:tabs>
        <w:bidi w:val="0"/>
        <w:spacing w:before="0" w:after="2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w:t>
        <w:tab/>
        <w:t>编制基础</w:t>
      </w:r>
      <w:bookmarkEnd w:id="718"/>
      <w:bookmarkEnd w:id="719"/>
      <w:bookmarkEnd w:id="721"/>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本财务报表按照财政部颁布的《企业会计准则一一基本准则》和各项具体会计准则、企业会计准则应用指南、企业会计准则 解释及其他相关规定（以下合称“企业会计准则”），以及中国证券监督管理委员会《公开发行证券的公司信息披露编报规 则第</w:t>
      </w:r>
      <w:r>
        <w:rPr>
          <w:rFonts w:ascii="Arial" w:eastAsia="Arial" w:hAnsi="Arial" w:cs="Arial"/>
          <w:color w:val="000000"/>
          <w:spacing w:val="0"/>
          <w:w w:val="100"/>
          <w:position w:val="0"/>
          <w:sz w:val="18"/>
          <w:szCs w:val="18"/>
        </w:rPr>
        <w:t>15</w:t>
      </w:r>
      <w:r>
        <w:rPr>
          <w:color w:val="000000"/>
          <w:spacing w:val="0"/>
          <w:w w:val="100"/>
          <w:position w:val="0"/>
        </w:rPr>
        <w:t>号一一财务报告的一般规定》的相关规定编制。</w:t>
      </w:r>
    </w:p>
    <w:p>
      <w:pPr>
        <w:pStyle w:val="Style32"/>
        <w:keepNext/>
        <w:keepLines/>
        <w:widowControl w:val="0"/>
        <w:shd w:val="clear" w:color="auto" w:fill="auto"/>
        <w:tabs>
          <w:tab w:pos="391" w:val="left"/>
        </w:tabs>
        <w:bidi w:val="0"/>
        <w:spacing w:before="0" w:after="26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w:t>
        <w:tab/>
        <w:t>持续经营</w:t>
      </w:r>
      <w:bookmarkEnd w:id="722"/>
      <w:bookmarkEnd w:id="723"/>
      <w:bookmarkEnd w:id="725"/>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公司自本报告期末至少</w:t>
      </w:r>
      <w:r>
        <w:rPr>
          <w:rFonts w:ascii="Arial" w:eastAsia="Arial" w:hAnsi="Arial" w:cs="Arial"/>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6"/>
        <w:keepNext/>
        <w:keepLines/>
        <w:widowControl w:val="0"/>
        <w:shd w:val="clear" w:color="auto" w:fill="auto"/>
        <w:tabs>
          <w:tab w:pos="517" w:val="left"/>
        </w:tabs>
        <w:bidi w:val="0"/>
        <w:spacing w:before="0" w:after="26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五</w:t>
      </w:r>
      <w:bookmarkEnd w:id="728"/>
      <w:r>
        <w:rPr>
          <w:color w:val="000000"/>
          <w:spacing w:val="0"/>
          <w:w w:val="100"/>
          <w:position w:val="0"/>
        </w:rPr>
        <w:t>、</w:t>
        <w:tab/>
        <w:t>重要会计政策及会计估计</w:t>
      </w:r>
      <w:bookmarkEnd w:id="726"/>
      <w:bookmarkEnd w:id="727"/>
      <w:bookmarkEnd w:id="729"/>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320" w:line="307" w:lineRule="exact"/>
        <w:ind w:left="0" w:right="0" w:firstLine="0"/>
        <w:jc w:val="left"/>
      </w:pPr>
      <w:r>
        <w:rPr>
          <w:color w:val="000000"/>
          <w:spacing w:val="0"/>
          <w:w w:val="100"/>
          <w:position w:val="0"/>
        </w:rPr>
        <w:t>以下披露内容已涵盖了本公司根据实际生产经营特点制定的具体会计政策和会计估计。详见本附注“三、（二十二）收入”。</w:t>
      </w:r>
    </w:p>
    <w:p>
      <w:pPr>
        <w:pStyle w:val="Style32"/>
        <w:keepNext/>
        <w:keepLines/>
        <w:widowControl w:val="0"/>
        <w:shd w:val="clear" w:color="auto" w:fill="auto"/>
        <w:tabs>
          <w:tab w:pos="353" w:val="left"/>
        </w:tabs>
        <w:bidi w:val="0"/>
        <w:spacing w:before="0" w:after="260" w:line="308" w:lineRule="exact"/>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w:t>
        <w:tab/>
        <w:t>遵循企业会计准则的声明</w:t>
      </w:r>
      <w:bookmarkEnd w:id="730"/>
      <w:bookmarkEnd w:id="731"/>
      <w:bookmarkEnd w:id="733"/>
    </w:p>
    <w:p>
      <w:pPr>
        <w:pStyle w:val="Style28"/>
        <w:keepNext w:val="0"/>
        <w:keepLines w:val="0"/>
        <w:widowControl w:val="0"/>
        <w:shd w:val="clear" w:color="auto" w:fill="auto"/>
        <w:bidi w:val="0"/>
        <w:spacing w:before="0" w:after="320" w:line="302" w:lineRule="exact"/>
        <w:ind w:left="0" w:right="0" w:firstLine="0"/>
        <w:jc w:val="left"/>
      </w:pPr>
      <w:r>
        <w:rPr>
          <w:color w:val="000000"/>
          <w:spacing w:val="0"/>
          <w:w w:val="100"/>
          <w:position w:val="0"/>
        </w:rPr>
        <w:t>本财务报表符合财政部颁布的企业会计准则的要求，真实、完整地反映了本公司</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日的合并及母公司财务状况以 及</w:t>
      </w:r>
      <w:r>
        <w:rPr>
          <w:rFonts w:ascii="Arial" w:eastAsia="Arial" w:hAnsi="Arial" w:cs="Arial"/>
          <w:color w:val="000000"/>
          <w:spacing w:val="0"/>
          <w:w w:val="100"/>
          <w:position w:val="0"/>
          <w:sz w:val="18"/>
          <w:szCs w:val="18"/>
        </w:rPr>
        <w:t>2020</w:t>
      </w:r>
      <w:r>
        <w:rPr>
          <w:color w:val="000000"/>
          <w:spacing w:val="0"/>
          <w:w w:val="100"/>
          <w:position w:val="0"/>
        </w:rPr>
        <w:t>年度的合并及母公司经营成果和现金流量。</w:t>
      </w:r>
    </w:p>
    <w:p>
      <w:pPr>
        <w:pStyle w:val="Style32"/>
        <w:keepNext/>
        <w:keepLines/>
        <w:widowControl w:val="0"/>
        <w:shd w:val="clear" w:color="auto" w:fill="auto"/>
        <w:tabs>
          <w:tab w:pos="362" w:val="left"/>
        </w:tabs>
        <w:bidi w:val="0"/>
        <w:spacing w:before="0" w:after="260" w:line="308" w:lineRule="exact"/>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w:t>
        <w:tab/>
        <w:t>会计期间</w:t>
      </w:r>
      <w:bookmarkEnd w:id="734"/>
      <w:bookmarkEnd w:id="735"/>
      <w:bookmarkEnd w:id="737"/>
    </w:p>
    <w:p>
      <w:pPr>
        <w:pStyle w:val="Style28"/>
        <w:keepNext w:val="0"/>
        <w:keepLines w:val="0"/>
        <w:widowControl w:val="0"/>
        <w:shd w:val="clear" w:color="auto" w:fill="auto"/>
        <w:bidi w:val="0"/>
        <w:spacing w:before="0" w:after="320" w:line="313" w:lineRule="exact"/>
        <w:ind w:left="0" w:right="0" w:firstLine="0"/>
        <w:jc w:val="left"/>
      </w:pPr>
      <w:r>
        <w:rPr>
          <w:color w:val="000000"/>
          <w:spacing w:val="0"/>
          <w:w w:val="100"/>
          <w:position w:val="0"/>
        </w:rPr>
        <w:t>自公历</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1</w:t>
      </w:r>
      <w:r>
        <w:rPr>
          <w:color w:val="000000"/>
          <w:spacing w:val="0"/>
          <w:w w:val="100"/>
          <w:position w:val="0"/>
        </w:rPr>
        <w:t>日起至</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日止为一个会计年度。</w:t>
      </w:r>
    </w:p>
    <w:p>
      <w:pPr>
        <w:pStyle w:val="Style32"/>
        <w:keepNext/>
        <w:keepLines/>
        <w:widowControl w:val="0"/>
        <w:shd w:val="clear" w:color="auto" w:fill="auto"/>
        <w:tabs>
          <w:tab w:pos="362" w:val="left"/>
        </w:tabs>
        <w:bidi w:val="0"/>
        <w:spacing w:before="0" w:after="260" w:line="308" w:lineRule="exact"/>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3</w:t>
      </w:r>
      <w:bookmarkEnd w:id="740"/>
      <w:r>
        <w:rPr>
          <w:color w:val="000000"/>
          <w:spacing w:val="0"/>
          <w:w w:val="100"/>
          <w:position w:val="0"/>
        </w:rPr>
        <w:t>、</w:t>
        <w:tab/>
        <w:t>营业周期</w:t>
      </w:r>
      <w:bookmarkEnd w:id="738"/>
      <w:bookmarkEnd w:id="739"/>
      <w:bookmarkEnd w:id="741"/>
    </w:p>
    <w:p>
      <w:pPr>
        <w:pStyle w:val="Style28"/>
        <w:keepNext w:val="0"/>
        <w:keepLines w:val="0"/>
        <w:widowControl w:val="0"/>
        <w:shd w:val="clear" w:color="auto" w:fill="auto"/>
        <w:bidi w:val="0"/>
        <w:spacing w:before="0" w:after="320" w:line="313" w:lineRule="exact"/>
        <w:ind w:left="0" w:right="0" w:firstLine="0"/>
        <w:jc w:val="left"/>
      </w:pPr>
      <w:r>
        <w:rPr>
          <w:color w:val="000000"/>
          <w:spacing w:val="0"/>
          <w:w w:val="100"/>
          <w:position w:val="0"/>
        </w:rPr>
        <w:t>本公司营业周期为</w:t>
      </w:r>
      <w:r>
        <w:rPr>
          <w:rFonts w:ascii="Arial" w:eastAsia="Arial" w:hAnsi="Arial" w:cs="Arial"/>
          <w:color w:val="000000"/>
          <w:spacing w:val="0"/>
          <w:w w:val="100"/>
          <w:position w:val="0"/>
          <w:sz w:val="18"/>
          <w:szCs w:val="18"/>
        </w:rPr>
        <w:t>12</w:t>
      </w:r>
      <w:r>
        <w:rPr>
          <w:color w:val="000000"/>
          <w:spacing w:val="0"/>
          <w:w w:val="100"/>
          <w:position w:val="0"/>
        </w:rPr>
        <w:t>个月。</w:t>
      </w:r>
    </w:p>
    <w:p>
      <w:pPr>
        <w:pStyle w:val="Style32"/>
        <w:keepNext/>
        <w:keepLines/>
        <w:widowControl w:val="0"/>
        <w:shd w:val="clear" w:color="auto" w:fill="auto"/>
        <w:tabs>
          <w:tab w:pos="362" w:val="left"/>
        </w:tabs>
        <w:bidi w:val="0"/>
        <w:spacing w:before="0" w:after="260" w:line="308" w:lineRule="exact"/>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4</w:t>
      </w:r>
      <w:bookmarkEnd w:id="744"/>
      <w:r>
        <w:rPr>
          <w:color w:val="000000"/>
          <w:spacing w:val="0"/>
          <w:w w:val="100"/>
          <w:position w:val="0"/>
        </w:rPr>
        <w:t>、</w:t>
        <w:tab/>
        <w:t>记账本位币</w:t>
      </w:r>
      <w:bookmarkEnd w:id="742"/>
      <w:bookmarkEnd w:id="743"/>
      <w:bookmarkEnd w:id="745"/>
    </w:p>
    <w:p>
      <w:pPr>
        <w:pStyle w:val="Style2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本公司采用人民币为记账本位币。本公司下属子公司根据其经营所处的主要经济环境确定其记账本位币，汉得新加坡的记账 本位币为新加坡元，汉得日本的记账本位币为日元，汉得美国的记账本位币为美元，汉得欧洲的记账本位币为欧元，汉得印 度的记账本位币为卢比，汉得台湾的记账本位币为台币。本财务报表以人民币列示。</w:t>
      </w:r>
    </w:p>
    <w:p>
      <w:pPr>
        <w:pStyle w:val="Style32"/>
        <w:keepNext/>
        <w:keepLines/>
        <w:widowControl w:val="0"/>
        <w:shd w:val="clear" w:color="auto" w:fill="auto"/>
        <w:tabs>
          <w:tab w:pos="362" w:val="left"/>
        </w:tabs>
        <w:bidi w:val="0"/>
        <w:spacing w:before="0" w:after="260" w:line="308" w:lineRule="exact"/>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5</w:t>
      </w:r>
      <w:bookmarkEnd w:id="748"/>
      <w:r>
        <w:rPr>
          <w:color w:val="000000"/>
          <w:spacing w:val="0"/>
          <w:w w:val="100"/>
          <w:position w:val="0"/>
        </w:rPr>
        <w:t>、</w:t>
        <w:tab/>
        <w:t>同一控制下和非同一控制下企业合并的会计处理方法</w:t>
      </w:r>
      <w:bookmarkEnd w:id="746"/>
      <w:bookmarkEnd w:id="747"/>
      <w:bookmarkEnd w:id="749"/>
    </w:p>
    <w:p>
      <w:pPr>
        <w:pStyle w:val="Style28"/>
        <w:keepNext w:val="0"/>
        <w:keepLines w:val="0"/>
        <w:widowControl w:val="0"/>
        <w:shd w:val="clear" w:color="auto" w:fill="auto"/>
        <w:bidi w:val="0"/>
        <w:spacing w:before="0" w:after="320" w:line="313" w:lineRule="exact"/>
        <w:ind w:left="0" w:right="0" w:firstLine="0"/>
        <w:jc w:val="left"/>
      </w:pPr>
      <w:r>
        <w:rPr>
          <w:color w:val="000000"/>
          <w:spacing w:val="0"/>
          <w:w w:val="100"/>
          <w:position w:val="0"/>
        </w:rPr>
        <w:t>同一控制下企业合并：本公司在企业合并中取得的资产和负债，按照合并日在被合并方资产、负债（包括最终控制方收购被 合并方而形成的商誉）在最终控制方合并财务报表中的账面价值计量。在合并中取得的净资产账面价值与支付的合并对价账 面价值（或发行股份面值总额）的差额，调整资本公积中的股本溢价，资本公积中的股本溢价不足冲减的，调整留存收益。 非同一控制下企业合并：本公司在购买日对作为企业合并对价付出的资产、发生或承担的负债按照公允价值计量，公允价值 与其账面价值的差额，计入当期损益。本公司对合并成本大于合并中取得的被购买方可辨认净资产公允价值份额的差额，确 认为商誉；合并成本小于合并中取得的被购买方可辨认净资产公允价值份额的差额，经复核后，计入当期损益。</w:t>
      </w:r>
    </w:p>
    <w:p>
      <w:pPr>
        <w:pStyle w:val="Style2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为企业合并发生的审计、法律服务、评估咨询等中介费用以及其他直接相关费用，于发生时计入当期损益；为企业合并而发 行权益性证券的交易费用，冲减权益。</w:t>
      </w:r>
    </w:p>
    <w:p>
      <w:pPr>
        <w:pStyle w:val="Style32"/>
        <w:keepNext/>
        <w:keepLines/>
        <w:widowControl w:val="0"/>
        <w:shd w:val="clear" w:color="auto" w:fill="auto"/>
        <w:tabs>
          <w:tab w:pos="362" w:val="left"/>
        </w:tabs>
        <w:bidi w:val="0"/>
        <w:spacing w:before="0" w:after="320" w:line="308" w:lineRule="exact"/>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6</w:t>
      </w:r>
      <w:bookmarkEnd w:id="752"/>
      <w:r>
        <w:rPr>
          <w:color w:val="000000"/>
          <w:spacing w:val="0"/>
          <w:w w:val="100"/>
          <w:position w:val="0"/>
        </w:rPr>
        <w:t>、</w:t>
        <w:tab/>
        <w:t>合并财务报表的编制方法</w:t>
      </w:r>
      <w:bookmarkEnd w:id="750"/>
      <w:bookmarkEnd w:id="751"/>
      <w:bookmarkEnd w:id="753"/>
    </w:p>
    <w:p>
      <w:pPr>
        <w:pStyle w:val="Style32"/>
        <w:keepNext/>
        <w:keepLines/>
        <w:widowControl w:val="0"/>
        <w:numPr>
          <w:ilvl w:val="0"/>
          <w:numId w:val="7"/>
        </w:numPr>
        <w:shd w:val="clear" w:color="auto" w:fill="auto"/>
        <w:tabs>
          <w:tab w:pos="310" w:val="left"/>
        </w:tabs>
        <w:bidi w:val="0"/>
        <w:spacing w:before="0" w:after="0" w:line="302" w:lineRule="exact"/>
        <w:ind w:left="0" w:right="0" w:firstLine="0"/>
        <w:jc w:val="both"/>
      </w:pPr>
      <w:bookmarkStart w:id="750" w:name="bookmark750"/>
      <w:bookmarkStart w:id="751" w:name="bookmark751"/>
      <w:bookmarkStart w:id="754" w:name="bookmark754"/>
      <w:bookmarkEnd w:id="754"/>
      <w:r>
        <w:rPr>
          <w:color w:val="000000"/>
          <w:spacing w:val="0"/>
          <w:w w:val="100"/>
          <w:position w:val="0"/>
        </w:rPr>
        <w:t>合并范围</w:t>
      </w:r>
      <w:bookmarkEnd w:id="750"/>
      <w:bookmarkEnd w:id="751"/>
    </w:p>
    <w:p>
      <w:pPr>
        <w:pStyle w:val="Style28"/>
        <w:keepNext w:val="0"/>
        <w:keepLines w:val="0"/>
        <w:widowControl w:val="0"/>
        <w:shd w:val="clear" w:color="auto" w:fill="auto"/>
        <w:bidi w:val="0"/>
        <w:spacing w:before="0" w:after="320" w:line="302" w:lineRule="exact"/>
        <w:ind w:left="0" w:right="0" w:firstLine="0"/>
        <w:jc w:val="both"/>
      </w:pPr>
      <w:r>
        <w:rPr>
          <w:color w:val="000000"/>
          <w:spacing w:val="0"/>
          <w:w w:val="100"/>
          <w:position w:val="0"/>
        </w:rPr>
        <w:t>本公司合并财务报表的合并范围以控制为基础确定，所有子公司（包括本公司所控制的被投资方可分割的部分）均纳入合并 财务报表。</w:t>
      </w:r>
    </w:p>
    <w:p>
      <w:pPr>
        <w:pStyle w:val="Style35"/>
        <w:keepNext w:val="0"/>
        <w:keepLines w:val="0"/>
        <w:widowControl w:val="0"/>
        <w:numPr>
          <w:ilvl w:val="0"/>
          <w:numId w:val="7"/>
        </w:numPr>
        <w:shd w:val="clear" w:color="auto" w:fill="auto"/>
        <w:tabs>
          <w:tab w:pos="324" w:val="left"/>
        </w:tabs>
        <w:bidi w:val="0"/>
        <w:spacing w:before="0" w:after="0" w:line="314" w:lineRule="exact"/>
        <w:ind w:left="0" w:right="0" w:firstLine="0"/>
        <w:jc w:val="both"/>
        <w:rPr>
          <w:sz w:val="20"/>
          <w:szCs w:val="20"/>
        </w:rPr>
      </w:pPr>
      <w:bookmarkStart w:id="755" w:name="bookmark755"/>
      <w:bookmarkEnd w:id="755"/>
      <w:r>
        <w:rPr>
          <w:b/>
          <w:bCs/>
          <w:color w:val="000000"/>
          <w:spacing w:val="0"/>
          <w:w w:val="100"/>
          <w:position w:val="0"/>
          <w:sz w:val="20"/>
          <w:szCs w:val="20"/>
        </w:rPr>
        <w:t>合并程序</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本公司以自身和各子公司的财务报表为基础，根据其他有关资料，编制合并财务报表。本公司编制合并财务报表，将整个企 业集团视为一个会计主体，依据相关企业会计准则的确认、计量和列报要求，按照统一的会计政策，反映本企业集团整体财 务状况、经营成果和现金流量。</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所有纳入合并财务报表合并范围的子公司所采用的会计政策、会计期间与本公司一致，如子公司采用的会计政策、会计期间 与本公司不一致的，在编制合并财务报表时，按本公司的会计政策、会计期间进行必要的调整。对于非同一控制下企业合并 取得的子公司，以购买日可辨认净资产公允价值为基础对其财务报表进行调整。对于同一控制下企业合并取得的子公司，以 其资产、负债（包括最终控制方收购该子公司而形成的商誉）在最终控制方财务报表中的账面价值为基础对其财务报表进行 </w:t>
      </w:r>
      <w:r>
        <w:rPr>
          <w:color w:val="000000"/>
          <w:spacing w:val="0"/>
          <w:w w:val="100"/>
          <w:position w:val="0"/>
        </w:rPr>
        <w:t>调整。</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28"/>
        <w:keepNext w:val="0"/>
        <w:keepLines w:val="0"/>
        <w:widowControl w:val="0"/>
        <w:shd w:val="clear" w:color="auto" w:fill="auto"/>
        <w:tabs>
          <w:tab w:pos="396" w:val="left"/>
        </w:tabs>
        <w:bidi w:val="0"/>
        <w:spacing w:before="0" w:after="0" w:line="313" w:lineRule="exact"/>
        <w:ind w:left="0" w:right="0" w:firstLine="0"/>
        <w:jc w:val="both"/>
      </w:pPr>
      <w:bookmarkStart w:id="756" w:name="bookmark756"/>
      <w:r>
        <w:rPr>
          <w:color w:val="000000"/>
          <w:spacing w:val="0"/>
          <w:w w:val="100"/>
          <w:position w:val="0"/>
          <w:sz w:val="22"/>
          <w:szCs w:val="22"/>
        </w:rPr>
        <w:t>（</w:t>
      </w:r>
      <w:bookmarkEnd w:id="756"/>
      <w:r>
        <w:rPr>
          <w:rFonts w:ascii="Arial" w:eastAsia="Arial" w:hAnsi="Arial" w:cs="Arial"/>
          <w:color w:val="000000"/>
          <w:spacing w:val="0"/>
          <w:w w:val="100"/>
          <w:position w:val="0"/>
          <w:sz w:val="18"/>
          <w:szCs w:val="18"/>
        </w:rPr>
        <w:t>1</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增加子公司或业务</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在报告期内，若因同一控制下企业合并增加子公司或业务的，则调整合并资产负债表的期初数；将子公司或业务合并当期期 初至报告期末的收入、费用、利润纳入合并利润表；将子公司或业务合并当期期初至报告期末的现金流量纳入合并现金流量 表，同时对比较报表的相关项目进行调整，视同合并后的报告主体自最终控制方开始控制时点起一直存在。</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因追加投资等原因能够对同一控制下的被投资方实施控制的,视同参与合并的各方在最终控制方开始控制时即以目前的状态 存在进行调整。在取得被合并方控制权之前持有的股权投资，在取得原股权之日与合并方和被合并方同处于同一控制之日孰 晚日起至合并日之间已确认有关损益、其他综合收益以及其他净资产变动，分别冲减比较报表期间的期初留存收益或当期损 益。在报告期内，若因非同一控制下企业合并增加子公司或业务的，则不调整合并资产负债表期初数；将该子公司或业务自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因追加投资等原因能够对非同一控制下的被投资方实施控制的，对于购买日之前持有的被购买方的股权，本公司按照该股权 在购买日的公允价值进行重新计量，公允价值与其账面价值的差额计入当期投资收益。购买日之前持有的被购买方的股权涉 及权益法核算下的其他综合收益以及除净损益、其他综合收益和利润分配之外的其他所有者权益变动的，与其相关的其他综 合收益、其他所有者权益变动转为购买日所属当期投资收益，由于被投资方重新计量设定受益计划净负债或净资产变动而产 生的其他综合收益除外。</w:t>
      </w:r>
    </w:p>
    <w:p>
      <w:pPr>
        <w:pStyle w:val="Style28"/>
        <w:keepNext w:val="0"/>
        <w:keepLines w:val="0"/>
        <w:widowControl w:val="0"/>
        <w:shd w:val="clear" w:color="auto" w:fill="auto"/>
        <w:tabs>
          <w:tab w:pos="396" w:val="left"/>
        </w:tabs>
        <w:bidi w:val="0"/>
        <w:spacing w:before="0" w:after="0" w:line="313" w:lineRule="exact"/>
        <w:ind w:left="0" w:right="0" w:firstLine="0"/>
        <w:jc w:val="both"/>
      </w:pPr>
      <w:bookmarkStart w:id="757" w:name="bookmark757"/>
      <w:r>
        <w:rPr>
          <w:color w:val="000000"/>
          <w:spacing w:val="0"/>
          <w:w w:val="100"/>
          <w:position w:val="0"/>
          <w:sz w:val="22"/>
          <w:szCs w:val="22"/>
        </w:rPr>
        <w:t>（</w:t>
      </w:r>
      <w:bookmarkEnd w:id="757"/>
      <w:r>
        <w:rPr>
          <w:rFonts w:ascii="Arial" w:eastAsia="Arial" w:hAnsi="Arial" w:cs="Arial"/>
          <w:color w:val="000000"/>
          <w:spacing w:val="0"/>
          <w:w w:val="100"/>
          <w:position w:val="0"/>
          <w:sz w:val="18"/>
          <w:szCs w:val="18"/>
        </w:rPr>
        <w:t>2</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处置子公司或业务</w:t>
      </w:r>
    </w:p>
    <w:p>
      <w:pPr>
        <w:pStyle w:val="Style28"/>
        <w:keepNext w:val="0"/>
        <w:keepLines w:val="0"/>
        <w:widowControl w:val="0"/>
        <w:numPr>
          <w:ilvl w:val="0"/>
          <w:numId w:val="9"/>
        </w:numPr>
        <w:shd w:val="clear" w:color="auto" w:fill="auto"/>
        <w:tabs>
          <w:tab w:pos="324" w:val="left"/>
        </w:tabs>
        <w:bidi w:val="0"/>
        <w:spacing w:before="0" w:after="0" w:line="313" w:lineRule="exact"/>
        <w:ind w:left="0" w:right="0" w:firstLine="0"/>
        <w:jc w:val="both"/>
      </w:pPr>
      <w:bookmarkStart w:id="758" w:name="bookmark758"/>
      <w:bookmarkEnd w:id="758"/>
      <w:r>
        <w:rPr>
          <w:color w:val="000000"/>
          <w:spacing w:val="0"/>
          <w:w w:val="100"/>
          <w:position w:val="0"/>
        </w:rPr>
        <w:t>一般处理方法</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在报告期内，本公司处置子公司或业务，则该子公司或业务期初至处置日的收入、费用、利润纳入合并利润表；该子公司或 业务期初至处置日的现金流量纳入合并现金流量表。</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因处置部分股权投资或其他原因丧失了对被投资方控制权时，对于处置后的剩余股权投资，本公司按照其在丧失控制权日的 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其他综合收益或除净损益、其他综合收益及利润分配之外的其他所有者权益变动，在丧失控制权时转为当期投资收益，由于 被投资方重新计量设定受益计划净负债或净资产变动而产生的其他综合收益除外。</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因其他投资方对子公司增资而导致本公司持股比例下降从而丧失控制权的，按照上述原则进行会计处理。</w:t>
      </w:r>
    </w:p>
    <w:p>
      <w:pPr>
        <w:pStyle w:val="Style28"/>
        <w:keepNext w:val="0"/>
        <w:keepLines w:val="0"/>
        <w:widowControl w:val="0"/>
        <w:numPr>
          <w:ilvl w:val="0"/>
          <w:numId w:val="9"/>
        </w:numPr>
        <w:shd w:val="clear" w:color="auto" w:fill="auto"/>
        <w:tabs>
          <w:tab w:pos="324" w:val="left"/>
        </w:tabs>
        <w:bidi w:val="0"/>
        <w:spacing w:before="0" w:after="0" w:line="313" w:lineRule="exact"/>
        <w:ind w:left="0" w:right="0" w:firstLine="0"/>
        <w:jc w:val="both"/>
      </w:pPr>
      <w:bookmarkStart w:id="759" w:name="bookmark759"/>
      <w:bookmarkEnd w:id="759"/>
      <w:r>
        <w:rPr>
          <w:color w:val="000000"/>
          <w:spacing w:val="0"/>
          <w:w w:val="100"/>
          <w:position w:val="0"/>
        </w:rPr>
        <w:t>分步处置子公司</w:t>
      </w:r>
    </w:p>
    <w:p>
      <w:pPr>
        <w:pStyle w:val="Style2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符合以下一种或多种情况，通常表明应将多次交易事项作为一揽子交易进行会计处理：</w:t>
      </w:r>
    </w:p>
    <w:p>
      <w:pPr>
        <w:pStyle w:val="Style28"/>
        <w:keepNext w:val="0"/>
        <w:keepLines w:val="0"/>
        <w:widowControl w:val="0"/>
        <w:numPr>
          <w:ilvl w:val="0"/>
          <w:numId w:val="11"/>
        </w:numPr>
        <w:shd w:val="clear" w:color="auto" w:fill="auto"/>
        <w:bidi w:val="0"/>
        <w:spacing w:before="0" w:after="0" w:line="360" w:lineRule="auto"/>
        <w:ind w:left="0" w:right="0" w:firstLine="0"/>
        <w:jc w:val="both"/>
      </w:pPr>
      <w:bookmarkStart w:id="760" w:name="bookmark760"/>
      <w:bookmarkEnd w:id="760"/>
      <w:r>
        <w:rPr>
          <w:color w:val="000000"/>
          <w:spacing w:val="0"/>
          <w:w w:val="100"/>
          <w:position w:val="0"/>
        </w:rPr>
        <w:t>这些交易是同时或者在考虑了彼此影响的情况下订立的；</w:t>
      </w:r>
    </w:p>
    <w:p>
      <w:pPr>
        <w:pStyle w:val="Style28"/>
        <w:keepNext w:val="0"/>
        <w:keepLines w:val="0"/>
        <w:widowControl w:val="0"/>
        <w:numPr>
          <w:ilvl w:val="0"/>
          <w:numId w:val="11"/>
        </w:numPr>
        <w:shd w:val="clear" w:color="auto" w:fill="auto"/>
        <w:tabs>
          <w:tab w:pos="349" w:val="left"/>
        </w:tabs>
        <w:bidi w:val="0"/>
        <w:spacing w:before="0" w:after="0" w:line="360" w:lineRule="auto"/>
        <w:ind w:left="0" w:right="0" w:firstLine="0"/>
        <w:jc w:val="both"/>
      </w:pPr>
      <w:bookmarkStart w:id="761" w:name="bookmark761"/>
      <w:bookmarkEnd w:id="761"/>
      <w:r>
        <w:rPr>
          <w:color w:val="000000"/>
          <w:spacing w:val="0"/>
          <w:w w:val="100"/>
          <w:position w:val="0"/>
        </w:rPr>
        <w:t>这些交易整体才能达成一项完整的商业结果；</w:t>
      </w:r>
    </w:p>
    <w:p>
      <w:pPr>
        <w:pStyle w:val="Style28"/>
        <w:keepNext w:val="0"/>
        <w:keepLines w:val="0"/>
        <w:widowControl w:val="0"/>
        <w:numPr>
          <w:ilvl w:val="0"/>
          <w:numId w:val="11"/>
        </w:numPr>
        <w:shd w:val="clear" w:color="auto" w:fill="auto"/>
        <w:tabs>
          <w:tab w:pos="358" w:val="left"/>
        </w:tabs>
        <w:bidi w:val="0"/>
        <w:spacing w:before="0" w:after="0" w:line="360" w:lineRule="auto"/>
        <w:ind w:left="0" w:right="0" w:firstLine="0"/>
        <w:jc w:val="both"/>
      </w:pPr>
      <w:bookmarkStart w:id="762" w:name="bookmark762"/>
      <w:bookmarkEnd w:id="762"/>
      <w:r>
        <w:rPr>
          <w:color w:val="000000"/>
          <w:spacing w:val="0"/>
          <w:w w:val="100"/>
          <w:position w:val="0"/>
        </w:rPr>
        <w:t>一项交易的发生取决于其他至少一项交易的发生；</w:t>
      </w:r>
    </w:p>
    <w:p>
      <w:pPr>
        <w:pStyle w:val="Style28"/>
        <w:keepNext w:val="0"/>
        <w:keepLines w:val="0"/>
        <w:widowControl w:val="0"/>
        <w:numPr>
          <w:ilvl w:val="0"/>
          <w:numId w:val="11"/>
        </w:numPr>
        <w:shd w:val="clear" w:color="auto" w:fill="auto"/>
        <w:tabs>
          <w:tab w:pos="372" w:val="left"/>
        </w:tabs>
        <w:bidi w:val="0"/>
        <w:spacing w:before="0" w:after="0" w:line="313" w:lineRule="exact"/>
        <w:ind w:left="0" w:right="0" w:firstLine="0"/>
        <w:jc w:val="both"/>
      </w:pPr>
      <w:bookmarkStart w:id="763" w:name="bookmark763"/>
      <w:bookmarkEnd w:id="763"/>
      <w:r>
        <w:rPr>
          <w:color w:val="000000"/>
          <w:spacing w:val="0"/>
          <w:w w:val="100"/>
          <w:position w:val="0"/>
        </w:rPr>
        <w:t>一项交易单独看是不经济的，但是和其他交易一并考虑时是经济的。 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2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处置对子公司股权投资直至丧失控制权的各项交易不属于一揽子交易的，在丧失控制权之前，按不丧失控制权的情况下部分 处置对子公司的股权投资的相关政策进行会计处理；在丧失控制权时，按处置子公司一般处理方法进行会计处理。</w:t>
      </w:r>
    </w:p>
    <w:p>
      <w:pPr>
        <w:pStyle w:val="Style28"/>
        <w:keepNext w:val="0"/>
        <w:keepLines w:val="0"/>
        <w:widowControl w:val="0"/>
        <w:shd w:val="clear" w:color="auto" w:fill="auto"/>
        <w:tabs>
          <w:tab w:pos="396" w:val="left"/>
        </w:tabs>
        <w:bidi w:val="0"/>
        <w:spacing w:before="0" w:after="0" w:line="360" w:lineRule="auto"/>
        <w:ind w:left="0" w:right="0" w:firstLine="0"/>
        <w:jc w:val="both"/>
      </w:pPr>
      <w:bookmarkStart w:id="764" w:name="bookmark764"/>
      <w:r>
        <w:rPr>
          <w:rFonts w:ascii="Arial" w:eastAsia="Arial" w:hAnsi="Arial" w:cs="Arial"/>
          <w:color w:val="000000"/>
          <w:spacing w:val="0"/>
          <w:w w:val="100"/>
          <w:position w:val="0"/>
          <w:sz w:val="18"/>
          <w:szCs w:val="18"/>
        </w:rPr>
        <w:t>（</w:t>
      </w:r>
      <w:bookmarkEnd w:id="764"/>
      <w:r>
        <w:rPr>
          <w:rFonts w:ascii="Arial" w:eastAsia="Arial" w:hAnsi="Arial" w:cs="Arial"/>
          <w:color w:val="000000"/>
          <w:spacing w:val="0"/>
          <w:w w:val="100"/>
          <w:position w:val="0"/>
          <w:sz w:val="18"/>
          <w:szCs w:val="18"/>
        </w:rPr>
        <w:t>3）</w:t>
        <w:tab/>
      </w:r>
      <w:r>
        <w:rPr>
          <w:color w:val="000000"/>
          <w:spacing w:val="0"/>
          <w:w w:val="100"/>
          <w:position w:val="0"/>
        </w:rPr>
        <w:t>购买子公司少数股权</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本公司因购买少数股权新取得的长期股权投资与按照新增持股比例计算应享有子公司自购买日（或合并日）开始持续计算的 净资产份额之间的差额，调整合并资产负债表中的资本公积中的股本溢价，资本公积中的股本溢价不足冲减的，调整留存收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0"/>
        <w:jc w:val="left"/>
      </w:pPr>
      <w:bookmarkStart w:id="765" w:name="bookmark765"/>
      <w:r>
        <w:rPr>
          <w:rFonts w:ascii="Arial" w:eastAsia="Arial" w:hAnsi="Arial" w:cs="Arial"/>
          <w:color w:val="000000"/>
          <w:spacing w:val="0"/>
          <w:w w:val="100"/>
          <w:position w:val="0"/>
          <w:sz w:val="18"/>
          <w:szCs w:val="18"/>
        </w:rPr>
        <w:t>（</w:t>
      </w:r>
      <w:bookmarkEnd w:id="765"/>
      <w:r>
        <w:rPr>
          <w:rFonts w:ascii="Arial" w:eastAsia="Arial" w:hAnsi="Arial" w:cs="Arial"/>
          <w:color w:val="000000"/>
          <w:spacing w:val="0"/>
          <w:w w:val="100"/>
          <w:position w:val="0"/>
          <w:sz w:val="18"/>
          <w:szCs w:val="18"/>
        </w:rPr>
        <w:t>4）</w:t>
      </w:r>
      <w:r>
        <w:rPr>
          <w:color w:val="000000"/>
          <w:spacing w:val="0"/>
          <w:w w:val="100"/>
          <w:position w:val="0"/>
        </w:rPr>
        <w:t>不丧失控制权的情况下部分处置对子公司的股权投资</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购买日或合并日开始持续计算的净资产份额之间的差额，调整合并资产负债表中的资本公积中的股本溢价，资本公积中的股 本溢价不足冲减的，调整留存收益。</w:t>
      </w:r>
    </w:p>
    <w:p>
      <w:pPr>
        <w:pStyle w:val="Style32"/>
        <w:keepNext/>
        <w:keepLines/>
        <w:widowControl w:val="0"/>
        <w:shd w:val="clear" w:color="auto" w:fill="auto"/>
        <w:tabs>
          <w:tab w:pos="373" w:val="left"/>
        </w:tabs>
        <w:bidi w:val="0"/>
        <w:spacing w:before="0" w:after="300" w:line="314" w:lineRule="exact"/>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7</w:t>
      </w:r>
      <w:bookmarkEnd w:id="768"/>
      <w:r>
        <w:rPr>
          <w:color w:val="000000"/>
          <w:spacing w:val="0"/>
          <w:w w:val="100"/>
          <w:position w:val="0"/>
        </w:rPr>
        <w:t>、</w:t>
        <w:tab/>
        <w:t>现金及现金等价物的确定标准</w:t>
      </w:r>
      <w:bookmarkEnd w:id="766"/>
      <w:bookmarkEnd w:id="767"/>
      <w:bookmarkEnd w:id="769"/>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在编制现金流量表时，将本公司库存现金以及可以随时用于支付的存款确认为现金。将同时具备期限短（从购买日起三个月 内到期）、流动性强、易于转换为已知现金、价值变动风险很小四个条件的投资，确定为现金等价物。</w:t>
      </w:r>
    </w:p>
    <w:p>
      <w:pPr>
        <w:pStyle w:val="Style32"/>
        <w:keepNext/>
        <w:keepLines/>
        <w:widowControl w:val="0"/>
        <w:shd w:val="clear" w:color="auto" w:fill="auto"/>
        <w:tabs>
          <w:tab w:pos="378" w:val="left"/>
        </w:tabs>
        <w:bidi w:val="0"/>
        <w:spacing w:before="0" w:after="300" w:line="314"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8</w:t>
      </w:r>
      <w:bookmarkEnd w:id="772"/>
      <w:r>
        <w:rPr>
          <w:color w:val="000000"/>
          <w:spacing w:val="0"/>
          <w:w w:val="100"/>
          <w:position w:val="0"/>
        </w:rPr>
        <w:t>、</w:t>
        <w:tab/>
        <w:t>外币业务和外币报表折算</w:t>
      </w:r>
      <w:bookmarkEnd w:id="770"/>
      <w:bookmarkEnd w:id="771"/>
      <w:bookmarkEnd w:id="773"/>
    </w:p>
    <w:p>
      <w:pPr>
        <w:pStyle w:val="Style32"/>
        <w:keepNext/>
        <w:keepLines/>
        <w:widowControl w:val="0"/>
        <w:numPr>
          <w:ilvl w:val="0"/>
          <w:numId w:val="13"/>
        </w:numPr>
        <w:shd w:val="clear" w:color="auto" w:fill="auto"/>
        <w:tabs>
          <w:tab w:pos="325" w:val="left"/>
        </w:tabs>
        <w:bidi w:val="0"/>
        <w:spacing w:before="0" w:after="0" w:line="314" w:lineRule="exact"/>
        <w:ind w:left="0" w:right="0" w:firstLine="0"/>
        <w:jc w:val="left"/>
      </w:pPr>
      <w:bookmarkStart w:id="770" w:name="bookmark770"/>
      <w:bookmarkStart w:id="771" w:name="bookmark771"/>
      <w:bookmarkStart w:id="774" w:name="bookmark774"/>
      <w:bookmarkEnd w:id="774"/>
      <w:r>
        <w:rPr>
          <w:color w:val="000000"/>
          <w:spacing w:val="0"/>
          <w:w w:val="100"/>
          <w:position w:val="0"/>
        </w:rPr>
        <w:t>外币业务</w:t>
      </w:r>
      <w:bookmarkEnd w:id="770"/>
      <w:bookmarkEnd w:id="771"/>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外币业务采用交易发生日的即期汇率作为折算汇率将外币金额折合成人民币记账。</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资产负债表日外币货币性项目余额按资产负债表日即期汇率折算，由此产生的汇兑差额，除属于与购建符合资本化条件的资 产相关的外币专门借款产生的汇兑差额按照借款费用资本化的原则处理外，均计入当期损益。</w:t>
      </w:r>
    </w:p>
    <w:p>
      <w:pPr>
        <w:pStyle w:val="Style35"/>
        <w:keepNext w:val="0"/>
        <w:keepLines w:val="0"/>
        <w:widowControl w:val="0"/>
        <w:numPr>
          <w:ilvl w:val="0"/>
          <w:numId w:val="13"/>
        </w:numPr>
        <w:shd w:val="clear" w:color="auto" w:fill="auto"/>
        <w:tabs>
          <w:tab w:pos="339" w:val="left"/>
        </w:tabs>
        <w:bidi w:val="0"/>
        <w:spacing w:before="0" w:after="0" w:line="314" w:lineRule="exact"/>
        <w:ind w:left="0" w:right="0" w:firstLine="0"/>
        <w:jc w:val="left"/>
        <w:rPr>
          <w:sz w:val="20"/>
          <w:szCs w:val="20"/>
        </w:rPr>
      </w:pPr>
      <w:bookmarkStart w:id="775" w:name="bookmark775"/>
      <w:bookmarkEnd w:id="775"/>
      <w:r>
        <w:rPr>
          <w:b/>
          <w:bCs/>
          <w:color w:val="000000"/>
          <w:spacing w:val="0"/>
          <w:w w:val="100"/>
          <w:position w:val="0"/>
          <w:sz w:val="20"/>
          <w:szCs w:val="20"/>
        </w:rPr>
        <w:t>外币财务报表的折算</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资产负债表中的资产和负债项目，采用资产负债表日的即期汇率折算；所有者权益项目除“未分配利润”项目外，其他项目 采用发生时的即期汇率折算。利润表中的收入和费用项目，采用期初期末平均汇率折算。</w:t>
      </w:r>
    </w:p>
    <w:p>
      <w:pPr>
        <w:pStyle w:val="Style2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处置境外经营时，将与该境外经营相关的外币财务报表折算差额，自所有者权益项目转入处置当期损益。</w:t>
      </w:r>
    </w:p>
    <w:p>
      <w:pPr>
        <w:pStyle w:val="Style32"/>
        <w:keepNext/>
        <w:keepLines/>
        <w:widowControl w:val="0"/>
        <w:shd w:val="clear" w:color="auto" w:fill="auto"/>
        <w:tabs>
          <w:tab w:pos="378" w:val="left"/>
        </w:tabs>
        <w:bidi w:val="0"/>
        <w:spacing w:before="0" w:after="300" w:line="314" w:lineRule="exact"/>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9</w:t>
      </w:r>
      <w:bookmarkEnd w:id="778"/>
      <w:r>
        <w:rPr>
          <w:color w:val="000000"/>
          <w:spacing w:val="0"/>
          <w:w w:val="100"/>
          <w:position w:val="0"/>
        </w:rPr>
        <w:t>、</w:t>
        <w:tab/>
        <w:t>金融工具</w:t>
      </w:r>
      <w:bookmarkEnd w:id="776"/>
      <w:bookmarkEnd w:id="777"/>
      <w:bookmarkEnd w:id="779"/>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金融工具包括金融资产、金融负债和权益工具。</w:t>
      </w:r>
    </w:p>
    <w:p>
      <w:pPr>
        <w:pStyle w:val="Style35"/>
        <w:keepNext w:val="0"/>
        <w:keepLines w:val="0"/>
        <w:widowControl w:val="0"/>
        <w:numPr>
          <w:ilvl w:val="0"/>
          <w:numId w:val="15"/>
        </w:numPr>
        <w:shd w:val="clear" w:color="auto" w:fill="auto"/>
        <w:tabs>
          <w:tab w:pos="325" w:val="left"/>
        </w:tabs>
        <w:bidi w:val="0"/>
        <w:spacing w:before="0" w:after="0" w:line="313" w:lineRule="exact"/>
        <w:ind w:left="0" w:right="0" w:firstLine="0"/>
        <w:jc w:val="left"/>
        <w:rPr>
          <w:sz w:val="20"/>
          <w:szCs w:val="20"/>
        </w:rPr>
      </w:pPr>
      <w:bookmarkStart w:id="780" w:name="bookmark780"/>
      <w:bookmarkEnd w:id="780"/>
      <w:r>
        <w:rPr>
          <w:b/>
          <w:bCs/>
          <w:color w:val="000000"/>
          <w:spacing w:val="0"/>
          <w:w w:val="100"/>
          <w:position w:val="0"/>
          <w:sz w:val="20"/>
          <w:szCs w:val="20"/>
        </w:rPr>
        <w:t>金融工具的分类</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根据本公司管理金融资产的业务模式和金融资产的合同现金流量特征，金融资产于初始确认时分类为：以摊余成本计量的金 融资产、以公允价值计量且其变动计入其他综合收益的金融资产（债务工具）和以公允价值计量且其变动计入当期损益的金 融资产。</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业务模式是以收取合同现金流量为目标且合同现金流量仅为对本金和以未偿付本金金额为基础的利息的支付的，分类为以摊 余成本计量的金融资产；业务模式既以收取合同现金流量又以出售该金融资产为目标且合同现金流量仅为对本金和以未偿付 本金金额为基础的利息的支付的，分类为以公允价值计量且其变动计入其他综合收益的金融资产（债务工具）；除此之外的 其他金融资产，分类为以公允价值计量且其变动计入当期损益的金融资产。</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对于非交易性权益工具投资，本公司在初始确认时将其指定为以公允价值计量且其变动计入其他综合收益的金融资产（权益 工具）。</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金融负债于初始确认时分类为：以公允价值计量且其变动计入当期损益的金融负债和以摊余成本计量的金融负债。</w:t>
      </w:r>
    </w:p>
    <w:p>
      <w:pPr>
        <w:pStyle w:val="Style35"/>
        <w:keepNext w:val="0"/>
        <w:keepLines w:val="0"/>
        <w:widowControl w:val="0"/>
        <w:numPr>
          <w:ilvl w:val="0"/>
          <w:numId w:val="15"/>
        </w:numPr>
        <w:shd w:val="clear" w:color="auto" w:fill="auto"/>
        <w:tabs>
          <w:tab w:pos="339" w:val="left"/>
        </w:tabs>
        <w:bidi w:val="0"/>
        <w:spacing w:before="0" w:after="0" w:line="313" w:lineRule="exact"/>
        <w:ind w:left="0" w:right="0" w:firstLine="0"/>
        <w:jc w:val="left"/>
        <w:rPr>
          <w:sz w:val="20"/>
          <w:szCs w:val="20"/>
        </w:rPr>
      </w:pPr>
      <w:bookmarkStart w:id="781" w:name="bookmark781"/>
      <w:bookmarkEnd w:id="781"/>
      <w:r>
        <w:rPr>
          <w:b/>
          <w:bCs/>
          <w:color w:val="000000"/>
          <w:spacing w:val="0"/>
          <w:w w:val="100"/>
          <w:position w:val="0"/>
          <w:sz w:val="20"/>
          <w:szCs w:val="20"/>
        </w:rPr>
        <w:t>金融工具的确认依据和计量方法</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782" w:name="bookmark782"/>
      <w:r>
        <w:rPr>
          <w:rFonts w:ascii="Arial" w:eastAsia="Arial" w:hAnsi="Arial" w:cs="Arial"/>
          <w:color w:val="000000"/>
          <w:spacing w:val="0"/>
          <w:w w:val="100"/>
          <w:position w:val="0"/>
          <w:sz w:val="18"/>
          <w:szCs w:val="18"/>
        </w:rPr>
        <w:t>（</w:t>
      </w:r>
      <w:bookmarkEnd w:id="782"/>
      <w:r>
        <w:rPr>
          <w:rFonts w:ascii="Arial" w:eastAsia="Arial" w:hAnsi="Arial" w:cs="Arial"/>
          <w:color w:val="000000"/>
          <w:spacing w:val="0"/>
          <w:w w:val="100"/>
          <w:position w:val="0"/>
          <w:sz w:val="18"/>
          <w:szCs w:val="18"/>
        </w:rPr>
        <w:t>1）</w:t>
        <w:tab/>
      </w:r>
      <w:r>
        <w:rPr>
          <w:color w:val="000000"/>
          <w:spacing w:val="0"/>
          <w:w w:val="100"/>
          <w:position w:val="0"/>
        </w:rPr>
        <w:t>以摊余成本计量的金融资产</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以摊余成本计量的金融资产包括应收票据、应收账款、其他应收款、长期应收款、债权投资等，按公允价值进行初始计量， 相关交易费用计入初始确认金额；不包含重大融资成分的应收账款以及本公司决定不考虑不超过一年的融资成分的应收账 款，以合同交易价格进行初始计量。</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持有期间采用实际利率法计算的利息计入当期损益。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收回或处置时，将取得的价款与该金融资产账面价值之间的差额计入当期损益。</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783" w:name="bookmark783"/>
      <w:r>
        <w:rPr>
          <w:color w:val="000000"/>
          <w:spacing w:val="0"/>
          <w:w w:val="100"/>
          <w:position w:val="0"/>
          <w:sz w:val="22"/>
          <w:szCs w:val="22"/>
        </w:rPr>
        <w:t>（</w:t>
      </w:r>
      <w:bookmarkEnd w:id="783"/>
      <w:r>
        <w:rPr>
          <w:rFonts w:ascii="Arial" w:eastAsia="Arial" w:hAnsi="Arial" w:cs="Arial"/>
          <w:color w:val="000000"/>
          <w:spacing w:val="0"/>
          <w:w w:val="100"/>
          <w:position w:val="0"/>
          <w:sz w:val="18"/>
          <w:szCs w:val="18"/>
        </w:rPr>
        <w:t>2</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以公允价值计量且其变动计入其他综合收益的金融资产（债务工具）</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以公允价值计量且其变动计入其他综合收益的金融资产（债务工具）包括应收款项融资、其他债权投资等，按公允价值进行 </w:t>
      </w:r>
      <w:r>
        <w:rPr>
          <w:color w:val="000000"/>
          <w:spacing w:val="0"/>
          <w:w w:val="100"/>
          <w:position w:val="0"/>
        </w:rPr>
        <w:t>初始计量，相关交易费用计入初始确认金额。该金融资产按公允价值进行后续计量，公允价值变动除采用实际利率法计算的 利息、减值损失或利得和汇兑损益之外，均计入其他综合收益。</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终止确认时，之前计入其他综合收益的累计利得或损失从其他综合收益中转出，计入当期损益。</w:t>
      </w:r>
    </w:p>
    <w:p>
      <w:pPr>
        <w:pStyle w:val="Style28"/>
        <w:keepNext w:val="0"/>
        <w:keepLines w:val="0"/>
        <w:widowControl w:val="0"/>
        <w:shd w:val="clear" w:color="auto" w:fill="auto"/>
        <w:tabs>
          <w:tab w:pos="445" w:val="left"/>
        </w:tabs>
        <w:bidi w:val="0"/>
        <w:spacing w:before="0" w:after="0" w:line="314" w:lineRule="exact"/>
        <w:ind w:left="0" w:right="0" w:firstLine="0"/>
        <w:jc w:val="left"/>
      </w:pPr>
      <w:bookmarkStart w:id="784" w:name="bookmark784"/>
      <w:r>
        <w:rPr>
          <w:color w:val="000000"/>
          <w:spacing w:val="0"/>
          <w:w w:val="100"/>
          <w:position w:val="0"/>
          <w:sz w:val="22"/>
          <w:szCs w:val="22"/>
        </w:rPr>
        <w:t>（</w:t>
      </w:r>
      <w:bookmarkEnd w:id="784"/>
      <w:r>
        <w:rPr>
          <w:rFonts w:ascii="Arial" w:eastAsia="Arial" w:hAnsi="Arial" w:cs="Arial"/>
          <w:color w:val="000000"/>
          <w:spacing w:val="0"/>
          <w:w w:val="100"/>
          <w:position w:val="0"/>
          <w:sz w:val="18"/>
          <w:szCs w:val="18"/>
        </w:rPr>
        <w:t>3</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以公允价值计量且其变动计入其他综合收益的金融资产（权益工具）</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以公允价值计量且其变动计入其他综合收益的金融资产（权益工具）包括其他权益工具投资等，按公允价值进行初始计量， 相关交易费用计入初始确认金额。该金融资产按公允价值进行后续计量，公允价值变动计入其他综合收益。取得的股利计入 当期损益。</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终止确认时，之前计入其他综合收益的累计利得或损失从其他综合收益中转出，计入留存收益。</w:t>
      </w:r>
    </w:p>
    <w:p>
      <w:pPr>
        <w:pStyle w:val="Style28"/>
        <w:keepNext w:val="0"/>
        <w:keepLines w:val="0"/>
        <w:widowControl w:val="0"/>
        <w:shd w:val="clear" w:color="auto" w:fill="auto"/>
        <w:tabs>
          <w:tab w:pos="445" w:val="left"/>
        </w:tabs>
        <w:bidi w:val="0"/>
        <w:spacing w:before="0" w:after="0" w:line="314" w:lineRule="exact"/>
        <w:ind w:left="0" w:right="0" w:firstLine="0"/>
        <w:jc w:val="left"/>
      </w:pPr>
      <w:bookmarkStart w:id="785" w:name="bookmark785"/>
      <w:r>
        <w:rPr>
          <w:color w:val="000000"/>
          <w:spacing w:val="0"/>
          <w:w w:val="100"/>
          <w:position w:val="0"/>
          <w:sz w:val="22"/>
          <w:szCs w:val="22"/>
        </w:rPr>
        <w:t>（</w:t>
      </w:r>
      <w:bookmarkEnd w:id="785"/>
      <w:r>
        <w:rPr>
          <w:rFonts w:ascii="Arial" w:eastAsia="Arial" w:hAnsi="Arial" w:cs="Arial"/>
          <w:color w:val="000000"/>
          <w:spacing w:val="0"/>
          <w:w w:val="100"/>
          <w:position w:val="0"/>
          <w:sz w:val="18"/>
          <w:szCs w:val="18"/>
        </w:rPr>
        <w:t>4</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以公允价值计量且其变动计入当期损益的金融资产包括交易性金融资产、衍生金融资产、其他非流动金融资产等，按公允价 值进行初始计量，相关交易费用计入当期损益。该金融资产按公允价值进行后续计量，公允价值变动计入当期损益。</w:t>
      </w:r>
    </w:p>
    <w:p>
      <w:pPr>
        <w:pStyle w:val="Style28"/>
        <w:keepNext w:val="0"/>
        <w:keepLines w:val="0"/>
        <w:widowControl w:val="0"/>
        <w:shd w:val="clear" w:color="auto" w:fill="auto"/>
        <w:tabs>
          <w:tab w:pos="445" w:val="left"/>
        </w:tabs>
        <w:bidi w:val="0"/>
        <w:spacing w:before="0" w:after="0" w:line="314" w:lineRule="exact"/>
        <w:ind w:left="0" w:right="0" w:firstLine="0"/>
        <w:jc w:val="left"/>
      </w:pPr>
      <w:bookmarkStart w:id="786" w:name="bookmark786"/>
      <w:r>
        <w:rPr>
          <w:color w:val="000000"/>
          <w:spacing w:val="0"/>
          <w:w w:val="100"/>
          <w:position w:val="0"/>
          <w:sz w:val="22"/>
          <w:szCs w:val="22"/>
        </w:rPr>
        <w:t>（</w:t>
      </w:r>
      <w:bookmarkEnd w:id="786"/>
      <w:r>
        <w:rPr>
          <w:rFonts w:ascii="Arial" w:eastAsia="Arial" w:hAnsi="Arial" w:cs="Arial"/>
          <w:color w:val="000000"/>
          <w:spacing w:val="0"/>
          <w:w w:val="100"/>
          <w:position w:val="0"/>
          <w:sz w:val="18"/>
          <w:szCs w:val="18"/>
        </w:rPr>
        <w:t>5</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以公允价值计量且其变动计入当期损益的金融负债</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以公允价值计量且其变动计入当期损益的金融负债包括交易性金融负债、衍生金融负债等，按公允价值进行初始计量，相关 交易费用计入当期损益。该金融负债按公允价值进行后续计量，公允价值变动计入当期损益。</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终止确认时，其账面价值与支付的对价之间的差额计入当期损益。</w:t>
      </w:r>
    </w:p>
    <w:p>
      <w:pPr>
        <w:pStyle w:val="Style28"/>
        <w:keepNext w:val="0"/>
        <w:keepLines w:val="0"/>
        <w:widowControl w:val="0"/>
        <w:shd w:val="clear" w:color="auto" w:fill="auto"/>
        <w:tabs>
          <w:tab w:pos="445" w:val="left"/>
        </w:tabs>
        <w:bidi w:val="0"/>
        <w:spacing w:before="0" w:after="0" w:line="314" w:lineRule="exact"/>
        <w:ind w:left="0" w:right="0" w:firstLine="0"/>
        <w:jc w:val="left"/>
      </w:pPr>
      <w:bookmarkStart w:id="787" w:name="bookmark787"/>
      <w:r>
        <w:rPr>
          <w:color w:val="000000"/>
          <w:spacing w:val="0"/>
          <w:w w:val="100"/>
          <w:position w:val="0"/>
          <w:sz w:val="22"/>
          <w:szCs w:val="22"/>
        </w:rPr>
        <w:t>（</w:t>
      </w:r>
      <w:bookmarkEnd w:id="787"/>
      <w:r>
        <w:rPr>
          <w:rFonts w:ascii="Arial" w:eastAsia="Arial" w:hAnsi="Arial" w:cs="Arial"/>
          <w:color w:val="000000"/>
          <w:spacing w:val="0"/>
          <w:w w:val="100"/>
          <w:position w:val="0"/>
          <w:sz w:val="18"/>
          <w:szCs w:val="18"/>
        </w:rPr>
        <w:t>6</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以摊余成本计量的金融负债</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以摊余成本计量的金融负债包括短期借款、应付票据、应付账款、其他应付款、长期借款、应付债券、长期应付款，按公允 价值进行初始计量，相关交易费用计入初始确认金额。</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持有期间采用实际利率法计算的利息计入当期损益。</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终止确认时，将支付的对价与该金融负债账面价值之间的差额计入当期损益。</w:t>
      </w:r>
    </w:p>
    <w:p>
      <w:pPr>
        <w:pStyle w:val="Style35"/>
        <w:keepNext w:val="0"/>
        <w:keepLines w:val="0"/>
        <w:widowControl w:val="0"/>
        <w:numPr>
          <w:ilvl w:val="0"/>
          <w:numId w:val="15"/>
        </w:numPr>
        <w:shd w:val="clear" w:color="auto" w:fill="auto"/>
        <w:tabs>
          <w:tab w:pos="354" w:val="left"/>
        </w:tabs>
        <w:bidi w:val="0"/>
        <w:spacing w:before="0" w:after="0" w:line="326" w:lineRule="auto"/>
        <w:ind w:left="0" w:right="0" w:firstLine="0"/>
        <w:jc w:val="left"/>
        <w:rPr>
          <w:sz w:val="20"/>
          <w:szCs w:val="20"/>
        </w:rPr>
      </w:pPr>
      <w:bookmarkStart w:id="788" w:name="bookmark788"/>
      <w:bookmarkEnd w:id="788"/>
      <w:r>
        <w:rPr>
          <w:b/>
          <w:bCs/>
          <w:color w:val="000000"/>
          <w:spacing w:val="0"/>
          <w:w w:val="100"/>
          <w:position w:val="0"/>
          <w:sz w:val="20"/>
          <w:szCs w:val="20"/>
        </w:rPr>
        <w:t>金融资产转移的确认依据和计量方法</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公司发生金融资产转移时，如已将金融资产所有权上几乎所有的风险和报酬转移给转入方，则终止确认该金融资产；如保留 了金融资产所有权上几乎所有的风险和报酬的，则不终止确认该金融资产。</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在判断金融资产转移是否满足上述金融资产终止确认条件时，采用实质重于形式的原则。</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公司将金融资产转移区分为金融资产整体转移和部分转移。金融资产整体转移满足终止确认条件的，将下列两项金额的差额 计入当期损益：</w:t>
      </w:r>
    </w:p>
    <w:p>
      <w:pPr>
        <w:pStyle w:val="Style28"/>
        <w:keepNext w:val="0"/>
        <w:keepLines w:val="0"/>
        <w:widowControl w:val="0"/>
        <w:shd w:val="clear" w:color="auto" w:fill="auto"/>
        <w:tabs>
          <w:tab w:pos="445" w:val="left"/>
        </w:tabs>
        <w:bidi w:val="0"/>
        <w:spacing w:before="0" w:after="0" w:line="314" w:lineRule="exact"/>
        <w:ind w:left="0" w:right="0" w:firstLine="0"/>
        <w:jc w:val="left"/>
      </w:pPr>
      <w:bookmarkStart w:id="789" w:name="bookmark789"/>
      <w:r>
        <w:rPr>
          <w:color w:val="000000"/>
          <w:spacing w:val="0"/>
          <w:w w:val="100"/>
          <w:position w:val="0"/>
          <w:sz w:val="22"/>
          <w:szCs w:val="22"/>
        </w:rPr>
        <w:t>（</w:t>
      </w:r>
      <w:bookmarkEnd w:id="789"/>
      <w:r>
        <w:rPr>
          <w:rFonts w:ascii="Arial" w:eastAsia="Arial" w:hAnsi="Arial" w:cs="Arial"/>
          <w:color w:val="000000"/>
          <w:spacing w:val="0"/>
          <w:w w:val="100"/>
          <w:position w:val="0"/>
          <w:sz w:val="18"/>
          <w:szCs w:val="18"/>
        </w:rPr>
        <w:t>1</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所转移金融资产的账面价值；</w:t>
      </w:r>
    </w:p>
    <w:p>
      <w:pPr>
        <w:pStyle w:val="Style28"/>
        <w:keepNext w:val="0"/>
        <w:keepLines w:val="0"/>
        <w:widowControl w:val="0"/>
        <w:shd w:val="clear" w:color="auto" w:fill="auto"/>
        <w:tabs>
          <w:tab w:pos="541" w:val="left"/>
        </w:tabs>
        <w:bidi w:val="0"/>
        <w:spacing w:before="0" w:after="0" w:line="314" w:lineRule="exact"/>
        <w:ind w:left="0" w:right="0" w:firstLine="0"/>
        <w:jc w:val="left"/>
      </w:pPr>
      <w:bookmarkStart w:id="790" w:name="bookmark790"/>
      <w:r>
        <w:rPr>
          <w:color w:val="000000"/>
          <w:spacing w:val="0"/>
          <w:w w:val="100"/>
          <w:position w:val="0"/>
          <w:sz w:val="22"/>
          <w:szCs w:val="22"/>
        </w:rPr>
        <w:t>（</w:t>
      </w:r>
      <w:bookmarkEnd w:id="790"/>
      <w:r>
        <w:rPr>
          <w:rFonts w:ascii="Arial" w:eastAsia="Arial" w:hAnsi="Arial" w:cs="Arial"/>
          <w:color w:val="000000"/>
          <w:spacing w:val="0"/>
          <w:w w:val="100"/>
          <w:position w:val="0"/>
          <w:sz w:val="18"/>
          <w:szCs w:val="18"/>
        </w:rPr>
        <w:t>2</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因转移而收到的对价，与原直接计入所有者权益的公允价值变动累计额（涉及转移的金融资产为以公允价值计量且其 变动计入其他综合收益的金融资产（债务工具）、可供出售金融资产的情形）之和。</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w:t>
      </w:r>
    </w:p>
    <w:p>
      <w:pPr>
        <w:pStyle w:val="Style28"/>
        <w:keepNext w:val="0"/>
        <w:keepLines w:val="0"/>
        <w:widowControl w:val="0"/>
        <w:shd w:val="clear" w:color="auto" w:fill="auto"/>
        <w:tabs>
          <w:tab w:pos="445" w:val="left"/>
        </w:tabs>
        <w:bidi w:val="0"/>
        <w:spacing w:before="0" w:after="0" w:line="314" w:lineRule="exact"/>
        <w:ind w:left="0" w:right="0" w:firstLine="0"/>
        <w:jc w:val="left"/>
      </w:pPr>
      <w:bookmarkStart w:id="791" w:name="bookmark791"/>
      <w:r>
        <w:rPr>
          <w:color w:val="000000"/>
          <w:spacing w:val="0"/>
          <w:w w:val="100"/>
          <w:position w:val="0"/>
          <w:sz w:val="22"/>
          <w:szCs w:val="22"/>
        </w:rPr>
        <w:t>（</w:t>
      </w:r>
      <w:bookmarkEnd w:id="791"/>
      <w:r>
        <w:rPr>
          <w:rFonts w:ascii="Arial" w:eastAsia="Arial" w:hAnsi="Arial" w:cs="Arial"/>
          <w:color w:val="000000"/>
          <w:spacing w:val="0"/>
          <w:w w:val="100"/>
          <w:position w:val="0"/>
          <w:sz w:val="18"/>
          <w:szCs w:val="18"/>
        </w:rPr>
        <w:t>1</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终止确认部分的账面价值；</w:t>
      </w:r>
    </w:p>
    <w:p>
      <w:pPr>
        <w:pStyle w:val="Style28"/>
        <w:keepNext w:val="0"/>
        <w:keepLines w:val="0"/>
        <w:widowControl w:val="0"/>
        <w:shd w:val="clear" w:color="auto" w:fill="auto"/>
        <w:tabs>
          <w:tab w:pos="536" w:val="left"/>
        </w:tabs>
        <w:bidi w:val="0"/>
        <w:spacing w:before="0" w:after="0" w:line="314" w:lineRule="exact"/>
        <w:ind w:left="0" w:right="0" w:firstLine="0"/>
        <w:jc w:val="left"/>
      </w:pPr>
      <w:bookmarkStart w:id="792" w:name="bookmark792"/>
      <w:r>
        <w:rPr>
          <w:color w:val="000000"/>
          <w:spacing w:val="0"/>
          <w:w w:val="100"/>
          <w:position w:val="0"/>
          <w:sz w:val="22"/>
          <w:szCs w:val="22"/>
        </w:rPr>
        <w:t>（</w:t>
      </w:r>
      <w:bookmarkEnd w:id="792"/>
      <w:r>
        <w:rPr>
          <w:rFonts w:ascii="Arial" w:eastAsia="Arial" w:hAnsi="Arial" w:cs="Arial"/>
          <w:color w:val="000000"/>
          <w:spacing w:val="0"/>
          <w:w w:val="100"/>
          <w:position w:val="0"/>
          <w:sz w:val="18"/>
          <w:szCs w:val="18"/>
        </w:rPr>
        <w:t>2</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终止确认部分的对价，与原直接计入所有者权益的公允价值变动累计额中对应终止确认部分的金额（涉及转移的金融 资产为以公允价值计量且其变动计入其他综合收益的金融资产（债务工具）、可供出售金融资产的情形）之和。</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35"/>
        <w:keepNext w:val="0"/>
        <w:keepLines w:val="0"/>
        <w:widowControl w:val="0"/>
        <w:numPr>
          <w:ilvl w:val="0"/>
          <w:numId w:val="15"/>
        </w:numPr>
        <w:shd w:val="clear" w:color="auto" w:fill="auto"/>
        <w:tabs>
          <w:tab w:pos="354" w:val="left"/>
        </w:tabs>
        <w:bidi w:val="0"/>
        <w:spacing w:before="0" w:after="0" w:line="326" w:lineRule="auto"/>
        <w:ind w:left="0" w:right="0" w:firstLine="0"/>
        <w:jc w:val="left"/>
        <w:rPr>
          <w:sz w:val="20"/>
          <w:szCs w:val="20"/>
        </w:rPr>
      </w:pPr>
      <w:bookmarkStart w:id="793" w:name="bookmark793"/>
      <w:bookmarkEnd w:id="793"/>
      <w:r>
        <w:rPr>
          <w:b/>
          <w:bCs/>
          <w:color w:val="000000"/>
          <w:spacing w:val="0"/>
          <w:w w:val="100"/>
          <w:position w:val="0"/>
          <w:sz w:val="20"/>
          <w:szCs w:val="20"/>
        </w:rPr>
        <w:t>金融负债终止确认条件</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 xml:space="preserve">本公司若回购部分金融负债的，在回购日按照继续确认部分与终止确认部分的相对公允价值，将该金融负债整体的账面价值 </w:t>
      </w:r>
      <w:r>
        <w:rPr>
          <w:color w:val="000000"/>
          <w:spacing w:val="0"/>
          <w:w w:val="100"/>
          <w:position w:val="0"/>
        </w:rPr>
        <w:t>进行分配。分配给终止确认部分的账面价值与支付的对价（包括转出的非现金资产或承担的新金融负债）之间的差额，计入 当期损益。</w:t>
      </w:r>
    </w:p>
    <w:p>
      <w:pPr>
        <w:pStyle w:val="Style35"/>
        <w:keepNext w:val="0"/>
        <w:keepLines w:val="0"/>
        <w:widowControl w:val="0"/>
        <w:numPr>
          <w:ilvl w:val="0"/>
          <w:numId w:val="15"/>
        </w:numPr>
        <w:shd w:val="clear" w:color="auto" w:fill="auto"/>
        <w:tabs>
          <w:tab w:pos="313" w:val="left"/>
        </w:tabs>
        <w:bidi w:val="0"/>
        <w:spacing w:before="0" w:after="0" w:line="331" w:lineRule="auto"/>
        <w:ind w:left="0" w:right="0" w:firstLine="0"/>
        <w:jc w:val="left"/>
        <w:rPr>
          <w:sz w:val="20"/>
          <w:szCs w:val="20"/>
        </w:rPr>
      </w:pPr>
      <w:bookmarkStart w:id="794" w:name="bookmark794"/>
      <w:bookmarkEnd w:id="794"/>
      <w:r>
        <w:rPr>
          <w:b/>
          <w:bCs/>
          <w:color w:val="000000"/>
          <w:spacing w:val="0"/>
          <w:w w:val="100"/>
          <w:position w:val="0"/>
          <w:sz w:val="20"/>
          <w:szCs w:val="20"/>
        </w:rPr>
        <w:t>金融资产和金融负债的公允价值的确定方法</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存在活跃市场的金融工具，以活跃市场中的报价确定其公允价值。不存在活跃市场的金融工具，采用估值技术确定其公允价 值。</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在估值时，本公司采用在当前情况下适用并且有足够可利用数据和其他信息支持的估值技术，选择与市场参与者在相关资产 或负债的交易中所考虑的资产或负债特征相一致的输入值，并优先使用相关可观察输入值。只有在相关可观察输入值无法取 得或取得不切实可行的情况下，才使用不可观察输入值。</w:t>
      </w:r>
    </w:p>
    <w:p>
      <w:pPr>
        <w:pStyle w:val="Style35"/>
        <w:keepNext w:val="0"/>
        <w:keepLines w:val="0"/>
        <w:widowControl w:val="0"/>
        <w:numPr>
          <w:ilvl w:val="0"/>
          <w:numId w:val="15"/>
        </w:numPr>
        <w:shd w:val="clear" w:color="auto" w:fill="auto"/>
        <w:tabs>
          <w:tab w:pos="318" w:val="left"/>
        </w:tabs>
        <w:bidi w:val="0"/>
        <w:spacing w:before="0" w:after="0" w:line="329" w:lineRule="auto"/>
        <w:ind w:left="0" w:right="0" w:firstLine="0"/>
        <w:jc w:val="left"/>
        <w:rPr>
          <w:sz w:val="20"/>
          <w:szCs w:val="20"/>
        </w:rPr>
      </w:pPr>
      <w:bookmarkStart w:id="795" w:name="bookmark795"/>
      <w:bookmarkEnd w:id="795"/>
      <w:r>
        <w:rPr>
          <w:b/>
          <w:bCs/>
          <w:color w:val="000000"/>
          <w:spacing w:val="0"/>
          <w:w w:val="100"/>
          <w:position w:val="0"/>
          <w:sz w:val="20"/>
          <w:szCs w:val="20"/>
        </w:rPr>
        <w:t>金融资产减值的测试方法及会计处理方法</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本公司考虑所有合理且有依据的信息，包括前瞻性信息，以单项或组合的方式对以摊余成本计量的金融资产和以公允价值计 量且其变动计入其他综合收益的金融资产（债务工具）的预期信用损失进行估计。预期信用损失的计量取决于金融资产自初 始确认后是否发生信用风险显著增加。</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如果该金融工具的信用风险自初始确认后已显著增加,本公司按照相当于该金融工具整个存续期内预期信用损失的金额计量 其损失准备；如果该金融工具的信用风险自初始确认后并未显著增加，本公司按照相当于该金融工具未来</w:t>
      </w:r>
      <w:r>
        <w:rPr>
          <w:rFonts w:ascii="Arial" w:eastAsia="Arial" w:hAnsi="Arial" w:cs="Arial"/>
          <w:color w:val="000000"/>
          <w:spacing w:val="0"/>
          <w:w w:val="100"/>
          <w:position w:val="0"/>
          <w:sz w:val="18"/>
          <w:szCs w:val="18"/>
        </w:rPr>
        <w:t>12</w:t>
      </w:r>
      <w:r>
        <w:rPr>
          <w:color w:val="000000"/>
          <w:spacing w:val="0"/>
          <w:w w:val="100"/>
          <w:position w:val="0"/>
        </w:rPr>
        <w:t>个月内预期信用 损失的金额计量其损失准备。由此形成的损失准备的增加或转回金额，作为减值损失或利得计入当期损益。</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通常逾期超过</w:t>
      </w:r>
      <w:r>
        <w:rPr>
          <w:rFonts w:ascii="Arial" w:eastAsia="Arial" w:hAnsi="Arial" w:cs="Arial"/>
          <w:color w:val="000000"/>
          <w:spacing w:val="0"/>
          <w:w w:val="100"/>
          <w:position w:val="0"/>
          <w:sz w:val="18"/>
          <w:szCs w:val="18"/>
        </w:rPr>
        <w:t>30</w:t>
      </w:r>
      <w:r>
        <w:rPr>
          <w:color w:val="000000"/>
          <w:spacing w:val="0"/>
          <w:w w:val="100"/>
          <w:position w:val="0"/>
        </w:rPr>
        <w:t>日，本公司即认为该金融工具的信用风险已显著增加，除非有确凿证据证明该金融工具的信用风险自初始确 认后并未显著增加。</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如果金融工具于资产负债表日的信用风险较低，本公司即认为该金融工具的信用风险自初始确认后并未显著增加。</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如果有客观证据表明某项金融资产已经发生信用减值，则本公司在单项基础上对该金融资产计提减值准备。</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当单项应收票据、应收账款和其他应收款无法以合理成本评估预期信用损失的信息时，本公司依据信用风险特征将应收票据、 应收账款、其他应收款和合同资产以划分为了若干组合，在组合基础上计算预期信用损失，组合划分如下：</w:t>
      </w:r>
    </w:p>
    <w:tbl>
      <w:tblPr>
        <w:tblOverlap w:val="never"/>
        <w:jc w:val="center"/>
        <w:tblLayout w:type="fixed"/>
      </w:tblPr>
      <w:tblGrid>
        <w:gridCol w:w="4915"/>
        <w:gridCol w:w="476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确定组合的依据</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应收商业承兑汇票</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应收银行承兑汇票</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应收合并范围内关联方账款</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应收国企客户账款</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应收其他客户账款</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应收保理款</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应收合并范围内关联方款项</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应收其他款项</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应收合并范围内关联方账款</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应收国企客户账款</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应收其他客户账款</w:t>
            </w:r>
          </w:p>
        </w:tc>
      </w:tr>
    </w:tbl>
    <w:p>
      <w:pPr>
        <w:widowControl w:val="0"/>
        <w:spacing w:after="239" w:line="1" w:lineRule="exact"/>
      </w:pP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对于划分为组合的应收票据，本集团参考历史信用损失经验，结合当前状况以及对未来经济状况的预测，通过违约风险敞口 和整个存续期预期信用损失率，计算预期信用损失。</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对于划分为组合的应收账款，本集团参考历史信用损失经验，结合当前状况以及对未来经济状况的预测，编制应收账款账龄 与整个存续期预期信用损失率对照表，计算预期信用损失。</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对于划分为组合的其他应收款，本集团参考历史信用损失经验，结合当前状况以及对未来经济状况的预测，通过违约风险敞 口和未来</w:t>
      </w:r>
      <w:r>
        <w:rPr>
          <w:rFonts w:ascii="Arial" w:eastAsia="Arial" w:hAnsi="Arial" w:cs="Arial"/>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8"/>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对于划分为组合的合同资产，本集团参考历史信用损失经验，结合当前状况以及对未来经济状况的预测，编制合同资产账龄 与整个存续期预期信用损失率对照表，计算预期信用损失。</w:t>
      </w:r>
    </w:p>
    <w:p>
      <w:pPr>
        <w:pStyle w:val="Style28"/>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各组合的预计信用损失率详见附注五（（三）应收票据、（四）应收账款、（六）其他应收款、（八）合同资产附注）。 对于应收账款，无论是否包含重大融资成分，本公司始终按照相当于整个存续期内预期信用损失的金额计量其损失准备。 对于租赁应收款、公司通过销售商品或提供劳务形成的长期应收款，本公司选择始终按照相当于整个存续期内预期信用损失 的金额计量其损失准备。</w:t>
      </w:r>
    </w:p>
    <w:p>
      <w:pPr>
        <w:pStyle w:val="Style32"/>
        <w:keepNext/>
        <w:keepLines/>
        <w:widowControl w:val="0"/>
        <w:shd w:val="clear" w:color="auto" w:fill="auto"/>
        <w:tabs>
          <w:tab w:pos="474" w:val="left"/>
        </w:tabs>
        <w:bidi w:val="0"/>
        <w:spacing w:before="0" w:after="300" w:line="326"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0</w:t>
      </w:r>
      <w:r>
        <w:rPr>
          <w:color w:val="000000"/>
          <w:spacing w:val="0"/>
          <w:w w:val="100"/>
          <w:position w:val="0"/>
        </w:rPr>
        <w:t>、</w:t>
        <w:tab/>
        <w:t>存货</w:t>
      </w:r>
      <w:bookmarkEnd w:id="796"/>
      <w:bookmarkEnd w:id="797"/>
      <w:bookmarkEnd w:id="799"/>
    </w:p>
    <w:p>
      <w:pPr>
        <w:pStyle w:val="Style32"/>
        <w:keepNext/>
        <w:keepLines/>
        <w:widowControl w:val="0"/>
        <w:numPr>
          <w:ilvl w:val="0"/>
          <w:numId w:val="17"/>
        </w:numPr>
        <w:shd w:val="clear" w:color="auto" w:fill="auto"/>
        <w:tabs>
          <w:tab w:pos="325" w:val="left"/>
        </w:tabs>
        <w:bidi w:val="0"/>
        <w:spacing w:before="0" w:after="0" w:line="326" w:lineRule="auto"/>
        <w:ind w:left="0" w:right="0" w:firstLine="0"/>
        <w:jc w:val="both"/>
      </w:pPr>
      <w:bookmarkStart w:id="796" w:name="bookmark796"/>
      <w:bookmarkStart w:id="797" w:name="bookmark797"/>
      <w:bookmarkStart w:id="800" w:name="bookmark800"/>
      <w:bookmarkEnd w:id="800"/>
      <w:r>
        <w:rPr>
          <w:color w:val="000000"/>
          <w:spacing w:val="0"/>
          <w:w w:val="100"/>
          <w:position w:val="0"/>
        </w:rPr>
        <w:t>存货的分类</w:t>
      </w:r>
      <w:bookmarkEnd w:id="796"/>
      <w:bookmarkEnd w:id="797"/>
    </w:p>
    <w:p>
      <w:pPr>
        <w:pStyle w:val="Style2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存货分类为：库存商品、劳务成本、合同履约成本等。</w:t>
      </w:r>
    </w:p>
    <w:p>
      <w:pPr>
        <w:pStyle w:val="Style35"/>
        <w:keepNext w:val="0"/>
        <w:keepLines w:val="0"/>
        <w:widowControl w:val="0"/>
        <w:numPr>
          <w:ilvl w:val="0"/>
          <w:numId w:val="17"/>
        </w:numPr>
        <w:shd w:val="clear" w:color="auto" w:fill="auto"/>
        <w:tabs>
          <w:tab w:pos="339" w:val="left"/>
        </w:tabs>
        <w:bidi w:val="0"/>
        <w:spacing w:before="0" w:after="0" w:line="326" w:lineRule="auto"/>
        <w:ind w:left="0" w:right="0" w:firstLine="0"/>
        <w:jc w:val="both"/>
        <w:rPr>
          <w:sz w:val="20"/>
          <w:szCs w:val="20"/>
        </w:rPr>
      </w:pPr>
      <w:bookmarkStart w:id="801" w:name="bookmark801"/>
      <w:bookmarkEnd w:id="801"/>
      <w:r>
        <w:rPr>
          <w:b/>
          <w:bCs/>
          <w:color w:val="000000"/>
          <w:spacing w:val="0"/>
          <w:w w:val="100"/>
          <w:position w:val="0"/>
          <w:sz w:val="20"/>
          <w:szCs w:val="20"/>
        </w:rPr>
        <w:t>发出存货的计价方法</w:t>
      </w:r>
    </w:p>
    <w:p>
      <w:pPr>
        <w:pStyle w:val="Style2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存货发出时按个别认定法计价。</w:t>
      </w:r>
    </w:p>
    <w:p>
      <w:pPr>
        <w:pStyle w:val="Style35"/>
        <w:keepNext w:val="0"/>
        <w:keepLines w:val="0"/>
        <w:widowControl w:val="0"/>
        <w:numPr>
          <w:ilvl w:val="0"/>
          <w:numId w:val="17"/>
        </w:numPr>
        <w:shd w:val="clear" w:color="auto" w:fill="auto"/>
        <w:tabs>
          <w:tab w:pos="339" w:val="left"/>
        </w:tabs>
        <w:bidi w:val="0"/>
        <w:spacing w:before="0" w:after="0" w:line="326" w:lineRule="auto"/>
        <w:ind w:left="0" w:right="0" w:firstLine="0"/>
        <w:jc w:val="both"/>
        <w:rPr>
          <w:sz w:val="20"/>
          <w:szCs w:val="20"/>
        </w:rPr>
      </w:pPr>
      <w:bookmarkStart w:id="802" w:name="bookmark802"/>
      <w:bookmarkEnd w:id="802"/>
      <w:r>
        <w:rPr>
          <w:b/>
          <w:bCs/>
          <w:color w:val="000000"/>
          <w:spacing w:val="0"/>
          <w:w w:val="100"/>
          <w:position w:val="0"/>
          <w:sz w:val="20"/>
          <w:szCs w:val="20"/>
        </w:rPr>
        <w:t>不同类别存货可变现净值的确定依据</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的估计售价减去至完工时估计将要发生的成本、估计的销售费用和相关税费后的金额，确定其可变现净值；为执行销售合同 或者劳务合同而持有的存货，其可变现净值以合同价格为基础计算，若持有存货的数量多于销售合同订购数量的，超出部分 的存货的可变现净值以一般销售价格为基础计算。</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除有明确证据表明资产负债表日市场价格异常外，存货项目的可变现净值以资产负债表日市场价格为基础确定。</w:t>
      </w:r>
    </w:p>
    <w:p>
      <w:pPr>
        <w:pStyle w:val="Style2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本期期末存货项目的可变现净值以资产负债表日市场价格为基础确定。</w:t>
      </w:r>
    </w:p>
    <w:p>
      <w:pPr>
        <w:pStyle w:val="Style35"/>
        <w:keepNext w:val="0"/>
        <w:keepLines w:val="0"/>
        <w:widowControl w:val="0"/>
        <w:numPr>
          <w:ilvl w:val="0"/>
          <w:numId w:val="17"/>
        </w:numPr>
        <w:shd w:val="clear" w:color="auto" w:fill="auto"/>
        <w:tabs>
          <w:tab w:pos="344" w:val="left"/>
        </w:tabs>
        <w:bidi w:val="0"/>
        <w:spacing w:before="0" w:after="0" w:line="326" w:lineRule="auto"/>
        <w:ind w:left="0" w:right="0" w:firstLine="0"/>
        <w:jc w:val="left"/>
        <w:rPr>
          <w:sz w:val="20"/>
          <w:szCs w:val="20"/>
        </w:rPr>
      </w:pPr>
      <w:bookmarkStart w:id="803" w:name="bookmark803"/>
      <w:bookmarkEnd w:id="803"/>
      <w:r>
        <w:rPr>
          <w:b/>
          <w:bCs/>
          <w:color w:val="000000"/>
          <w:spacing w:val="0"/>
          <w:w w:val="100"/>
          <w:position w:val="0"/>
          <w:sz w:val="20"/>
          <w:szCs w:val="20"/>
        </w:rPr>
        <w:t>存货的盘存制度</w:t>
      </w:r>
    </w:p>
    <w:p>
      <w:pPr>
        <w:pStyle w:val="Style2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采用永续盘存制。</w:t>
      </w:r>
    </w:p>
    <w:p>
      <w:pPr>
        <w:pStyle w:val="Style35"/>
        <w:keepNext w:val="0"/>
        <w:keepLines w:val="0"/>
        <w:widowControl w:val="0"/>
        <w:numPr>
          <w:ilvl w:val="0"/>
          <w:numId w:val="17"/>
        </w:numPr>
        <w:shd w:val="clear" w:color="auto" w:fill="auto"/>
        <w:tabs>
          <w:tab w:pos="344" w:val="left"/>
        </w:tabs>
        <w:bidi w:val="0"/>
        <w:spacing w:before="0" w:after="0" w:line="326" w:lineRule="auto"/>
        <w:ind w:left="0" w:right="0" w:firstLine="0"/>
        <w:jc w:val="left"/>
        <w:rPr>
          <w:sz w:val="20"/>
          <w:szCs w:val="20"/>
        </w:rPr>
      </w:pPr>
      <w:bookmarkStart w:id="804" w:name="bookmark804"/>
      <w:bookmarkEnd w:id="804"/>
      <w:r>
        <w:rPr>
          <w:b/>
          <w:bCs/>
          <w:color w:val="000000"/>
          <w:spacing w:val="0"/>
          <w:w w:val="100"/>
          <w:position w:val="0"/>
          <w:sz w:val="20"/>
          <w:szCs w:val="20"/>
        </w:rPr>
        <w:t>低值易耗品和包装物的摊销方法</w:t>
      </w:r>
    </w:p>
    <w:p>
      <w:pPr>
        <w:pStyle w:val="Style28"/>
        <w:keepNext w:val="0"/>
        <w:keepLines w:val="0"/>
        <w:widowControl w:val="0"/>
        <w:shd w:val="clear" w:color="auto" w:fill="auto"/>
        <w:tabs>
          <w:tab w:pos="445" w:val="left"/>
        </w:tabs>
        <w:bidi w:val="0"/>
        <w:spacing w:before="0" w:after="100" w:line="313" w:lineRule="exact"/>
        <w:ind w:left="0" w:right="0" w:firstLine="0"/>
        <w:jc w:val="left"/>
      </w:pPr>
      <w:bookmarkStart w:id="805" w:name="bookmark805"/>
      <w:r>
        <w:rPr>
          <w:color w:val="000000"/>
          <w:spacing w:val="0"/>
          <w:w w:val="100"/>
          <w:position w:val="0"/>
          <w:sz w:val="22"/>
          <w:szCs w:val="22"/>
        </w:rPr>
        <w:t>（</w:t>
      </w:r>
      <w:bookmarkEnd w:id="805"/>
      <w:r>
        <w:rPr>
          <w:rFonts w:ascii="Arial" w:eastAsia="Arial" w:hAnsi="Arial" w:cs="Arial"/>
          <w:color w:val="000000"/>
          <w:spacing w:val="0"/>
          <w:w w:val="100"/>
          <w:position w:val="0"/>
          <w:sz w:val="18"/>
          <w:szCs w:val="18"/>
        </w:rPr>
        <w:t>1</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低值易耗品采用一次转销法。</w:t>
      </w:r>
    </w:p>
    <w:p>
      <w:pPr>
        <w:pStyle w:val="Style28"/>
        <w:keepNext w:val="0"/>
        <w:keepLines w:val="0"/>
        <w:widowControl w:val="0"/>
        <w:shd w:val="clear" w:color="auto" w:fill="auto"/>
        <w:tabs>
          <w:tab w:pos="445" w:val="left"/>
        </w:tabs>
        <w:bidi w:val="0"/>
        <w:spacing w:before="0" w:after="300" w:line="360" w:lineRule="auto"/>
        <w:ind w:left="0" w:right="0" w:firstLine="0"/>
        <w:jc w:val="left"/>
      </w:pPr>
      <w:bookmarkStart w:id="806" w:name="bookmark806"/>
      <w:r>
        <w:rPr>
          <w:rFonts w:ascii="Arial" w:eastAsia="Arial" w:hAnsi="Arial" w:cs="Arial"/>
          <w:color w:val="000000"/>
          <w:spacing w:val="0"/>
          <w:w w:val="100"/>
          <w:position w:val="0"/>
          <w:sz w:val="18"/>
          <w:szCs w:val="18"/>
        </w:rPr>
        <w:t>（</w:t>
      </w:r>
      <w:bookmarkEnd w:id="806"/>
      <w:r>
        <w:rPr>
          <w:rFonts w:ascii="Arial" w:eastAsia="Arial" w:hAnsi="Arial" w:cs="Arial"/>
          <w:color w:val="000000"/>
          <w:spacing w:val="0"/>
          <w:w w:val="100"/>
          <w:position w:val="0"/>
          <w:sz w:val="18"/>
          <w:szCs w:val="18"/>
        </w:rPr>
        <w:t>2）</w:t>
        <w:tab/>
      </w:r>
      <w:r>
        <w:rPr>
          <w:color w:val="000000"/>
          <w:spacing w:val="0"/>
          <w:w w:val="100"/>
          <w:position w:val="0"/>
        </w:rPr>
        <w:t>包装物采用一次转销法。</w:t>
      </w:r>
    </w:p>
    <w:p>
      <w:pPr>
        <w:pStyle w:val="Style32"/>
        <w:keepNext/>
        <w:keepLines/>
        <w:widowControl w:val="0"/>
        <w:shd w:val="clear" w:color="auto" w:fill="auto"/>
        <w:tabs>
          <w:tab w:pos="474" w:val="left"/>
        </w:tabs>
        <w:bidi w:val="0"/>
        <w:spacing w:before="0" w:after="180" w:line="326"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1</w:t>
      </w:r>
      <w:r>
        <w:rPr>
          <w:color w:val="000000"/>
          <w:spacing w:val="0"/>
          <w:w w:val="100"/>
          <w:position w:val="0"/>
        </w:rPr>
        <w:t>、</w:t>
        <w:tab/>
        <w:t>合同资产</w:t>
      </w:r>
      <w:bookmarkEnd w:id="807"/>
      <w:bookmarkEnd w:id="808"/>
      <w:bookmarkEnd w:id="810"/>
    </w:p>
    <w:p>
      <w:pPr>
        <w:pStyle w:val="Style32"/>
        <w:keepNext/>
        <w:keepLines/>
        <w:widowControl w:val="0"/>
        <w:shd w:val="clear" w:color="auto" w:fill="auto"/>
        <w:bidi w:val="0"/>
        <w:spacing w:before="0" w:after="100" w:line="312" w:lineRule="exact"/>
        <w:ind w:left="0" w:right="0" w:firstLine="0"/>
        <w:jc w:val="left"/>
      </w:pPr>
      <w:bookmarkStart w:id="807" w:name="bookmark807"/>
      <w:bookmarkStart w:id="808" w:name="bookmark808"/>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807"/>
      <w:bookmarkEnd w:id="808"/>
    </w:p>
    <w:p>
      <w:pPr>
        <w:pStyle w:val="Style32"/>
        <w:keepNext/>
        <w:keepLines/>
        <w:widowControl w:val="0"/>
        <w:numPr>
          <w:ilvl w:val="0"/>
          <w:numId w:val="19"/>
        </w:numPr>
        <w:shd w:val="clear" w:color="auto" w:fill="auto"/>
        <w:tabs>
          <w:tab w:pos="325" w:val="left"/>
        </w:tabs>
        <w:bidi w:val="0"/>
        <w:spacing w:before="0" w:after="0" w:line="326" w:lineRule="auto"/>
        <w:ind w:left="0" w:right="0" w:firstLine="0"/>
        <w:jc w:val="left"/>
      </w:pPr>
      <w:bookmarkStart w:id="807" w:name="bookmark807"/>
      <w:bookmarkStart w:id="808" w:name="bookmark808"/>
      <w:bookmarkStart w:id="811" w:name="bookmark811"/>
      <w:bookmarkEnd w:id="811"/>
      <w:r>
        <w:rPr>
          <w:color w:val="000000"/>
          <w:spacing w:val="0"/>
          <w:w w:val="100"/>
          <w:position w:val="0"/>
        </w:rPr>
        <w:t>合同资产的确认方法及标准</w:t>
      </w:r>
      <w:bookmarkEnd w:id="807"/>
      <w:bookmarkEnd w:id="808"/>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本公司根据履行履约义务与客户付款之间的关系在资产负债表中列示合同资产或合同负债。本公司已向客户转让商品或提供 服务而有权收取对价的权利（且该权利取决于时间流逝之外的其他因素）列示为合同资产。同一合同下的合同资产和合同负 债以净额列示。本公司拥有的、无条件（仅取决于时间流逝）向客户收取对价的权利作为应收款项单独列示。</w:t>
      </w:r>
    </w:p>
    <w:p>
      <w:pPr>
        <w:pStyle w:val="Style35"/>
        <w:keepNext w:val="0"/>
        <w:keepLines w:val="0"/>
        <w:widowControl w:val="0"/>
        <w:numPr>
          <w:ilvl w:val="0"/>
          <w:numId w:val="19"/>
        </w:numPr>
        <w:shd w:val="clear" w:color="auto" w:fill="auto"/>
        <w:tabs>
          <w:tab w:pos="339" w:val="left"/>
        </w:tabs>
        <w:bidi w:val="0"/>
        <w:spacing w:before="0" w:after="0" w:line="326" w:lineRule="auto"/>
        <w:ind w:left="0" w:right="0" w:firstLine="0"/>
        <w:jc w:val="left"/>
        <w:rPr>
          <w:sz w:val="20"/>
          <w:szCs w:val="20"/>
        </w:rPr>
      </w:pPr>
      <w:bookmarkStart w:id="812" w:name="bookmark812"/>
      <w:bookmarkEnd w:id="812"/>
      <w:r>
        <w:rPr>
          <w:b/>
          <w:bCs/>
          <w:color w:val="000000"/>
          <w:spacing w:val="0"/>
          <w:w w:val="100"/>
          <w:position w:val="0"/>
          <w:sz w:val="20"/>
          <w:szCs w:val="20"/>
        </w:rPr>
        <w:t>合同资产预期信用损失的确定方法及会计处理方法</w:t>
      </w:r>
    </w:p>
    <w:p>
      <w:pPr>
        <w:pStyle w:val="Style2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合同资产的预期信用损失的确定方法及会计处理方法详见本附注“三（九）</w:t>
      </w:r>
      <w:r>
        <w:rPr>
          <w:rFonts w:ascii="Arial" w:eastAsia="Arial" w:hAnsi="Arial" w:cs="Arial"/>
          <w:color w:val="000000"/>
          <w:spacing w:val="0"/>
          <w:w w:val="100"/>
          <w:position w:val="0"/>
          <w:sz w:val="18"/>
          <w:szCs w:val="18"/>
        </w:rPr>
        <w:t>6</w:t>
      </w:r>
      <w:r>
        <w:rPr>
          <w:color w:val="000000"/>
          <w:spacing w:val="0"/>
          <w:w w:val="100"/>
          <w:position w:val="0"/>
        </w:rPr>
        <w:t>、金融资产减值的测试方法及会计处理方法”。</w:t>
      </w:r>
    </w:p>
    <w:p>
      <w:pPr>
        <w:pStyle w:val="Style32"/>
        <w:keepNext/>
        <w:keepLines/>
        <w:widowControl w:val="0"/>
        <w:shd w:val="clear" w:color="auto" w:fill="auto"/>
        <w:tabs>
          <w:tab w:pos="474" w:val="left"/>
        </w:tabs>
        <w:bidi w:val="0"/>
        <w:spacing w:before="0" w:after="180" w:line="326" w:lineRule="auto"/>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2</w:t>
      </w:r>
      <w:r>
        <w:rPr>
          <w:color w:val="000000"/>
          <w:spacing w:val="0"/>
          <w:w w:val="100"/>
          <w:position w:val="0"/>
        </w:rPr>
        <w:t>、</w:t>
        <w:tab/>
        <w:t>合同成本</w:t>
      </w:r>
      <w:bookmarkEnd w:id="813"/>
      <w:bookmarkEnd w:id="814"/>
      <w:bookmarkEnd w:id="816"/>
    </w:p>
    <w:p>
      <w:pPr>
        <w:pStyle w:val="Style32"/>
        <w:keepNext/>
        <w:keepLines/>
        <w:widowControl w:val="0"/>
        <w:shd w:val="clear" w:color="auto" w:fill="auto"/>
        <w:bidi w:val="0"/>
        <w:spacing w:before="0" w:after="0" w:line="312" w:lineRule="exact"/>
        <w:ind w:left="0" w:right="0" w:firstLine="0"/>
        <w:jc w:val="both"/>
      </w:pPr>
      <w:bookmarkStart w:id="813" w:name="bookmark813"/>
      <w:bookmarkStart w:id="814" w:name="bookmark814"/>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813"/>
      <w:bookmarkEnd w:id="814"/>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合同成本包括合同履约成本与合同取得成本。</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本公司为履行合同而发生的成本，不属于存货、固定资产或无形资产等相关准则规范范围的，在满足下列条件时作为合同履 约成本确认为一项资产：</w:t>
      </w:r>
    </w:p>
    <w:p>
      <w:pPr>
        <w:pStyle w:val="Style28"/>
        <w:keepNext w:val="0"/>
        <w:keepLines w:val="0"/>
        <w:widowControl w:val="0"/>
        <w:shd w:val="clear" w:color="auto" w:fill="auto"/>
        <w:tabs>
          <w:tab w:pos="304" w:val="left"/>
        </w:tabs>
        <w:bidi w:val="0"/>
        <w:spacing w:before="0" w:after="100" w:line="360" w:lineRule="auto"/>
        <w:ind w:left="0" w:right="0" w:firstLine="0"/>
        <w:jc w:val="both"/>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该成本与一份当前或预期取得的合同直接相关。</w:t>
      </w:r>
    </w:p>
    <w:p>
      <w:pPr>
        <w:pStyle w:val="Style28"/>
        <w:keepNext w:val="0"/>
        <w:keepLines w:val="0"/>
        <w:widowControl w:val="0"/>
        <w:shd w:val="clear" w:color="auto" w:fill="auto"/>
        <w:bidi w:val="0"/>
        <w:spacing w:before="0" w:after="10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该成本增加了本公司未来用于履行履约义务的资源。</w:t>
      </w:r>
    </w:p>
    <w:p>
      <w:pPr>
        <w:pStyle w:val="Style28"/>
        <w:keepNext w:val="0"/>
        <w:keepLines w:val="0"/>
        <w:widowControl w:val="0"/>
        <w:shd w:val="clear" w:color="auto" w:fill="auto"/>
        <w:tabs>
          <w:tab w:pos="279"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该成本预期能够收回。</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本公司为取得合同发生的增量成本预期能够收回的，作为合同取得成本确认为一项资产。</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与合同成本有关的资产采用与该资产相关的商品或服务收入确认相同的基础进行摊销;但是对于合同取得成本摊销期限未超 过一年的，本公司在发生时将其计入当期损益。(对于合同取得成本摊销期限未超过一年的，公司先确认为一项资产，并采 用与该资产相关的商品或服务收入确认相同的基础进行摊销。)</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与合同成本有关的资产，其账面价值高于下列两项的差额的，本公司对超出部分计提减值准备，并确认为资产减值损失：</w:t>
      </w:r>
    </w:p>
    <w:p>
      <w:pPr>
        <w:pStyle w:val="Style28"/>
        <w:keepNext w:val="0"/>
        <w:keepLines w:val="0"/>
        <w:widowControl w:val="0"/>
        <w:shd w:val="clear" w:color="auto" w:fill="auto"/>
        <w:tabs>
          <w:tab w:pos="334" w:val="left"/>
        </w:tabs>
        <w:bidi w:val="0"/>
        <w:spacing w:before="0" w:after="0" w:line="312" w:lineRule="exact"/>
        <w:ind w:left="0" w:right="0" w:firstLine="0"/>
        <w:jc w:val="both"/>
      </w:pPr>
      <w:bookmarkStart w:id="817" w:name="bookmark817"/>
      <w:r>
        <w:rPr>
          <w:rFonts w:ascii="Arial" w:eastAsia="Arial" w:hAnsi="Arial" w:cs="Arial"/>
          <w:color w:val="000000"/>
          <w:spacing w:val="0"/>
          <w:w w:val="100"/>
          <w:position w:val="0"/>
          <w:sz w:val="18"/>
          <w:szCs w:val="18"/>
        </w:rPr>
        <w:t>1</w:t>
      </w:r>
      <w:bookmarkEnd w:id="817"/>
      <w:r>
        <w:rPr>
          <w:color w:val="000000"/>
          <w:spacing w:val="0"/>
          <w:w w:val="100"/>
          <w:position w:val="0"/>
        </w:rPr>
        <w:t>、</w:t>
        <w:tab/>
        <w:t>因转让与该资产相关的商品或服务预期能够取得的剩余对价；</w:t>
      </w:r>
    </w:p>
    <w:p>
      <w:pPr>
        <w:pStyle w:val="Style28"/>
        <w:keepNext w:val="0"/>
        <w:keepLines w:val="0"/>
        <w:widowControl w:val="0"/>
        <w:shd w:val="clear" w:color="auto" w:fill="auto"/>
        <w:tabs>
          <w:tab w:pos="344" w:val="left"/>
        </w:tabs>
        <w:bidi w:val="0"/>
        <w:spacing w:before="0" w:after="0" w:line="312" w:lineRule="exact"/>
        <w:ind w:left="0" w:right="0" w:firstLine="0"/>
        <w:jc w:val="both"/>
      </w:pPr>
      <w:bookmarkStart w:id="818" w:name="bookmark818"/>
      <w:r>
        <w:rPr>
          <w:rFonts w:ascii="Arial" w:eastAsia="Arial" w:hAnsi="Arial" w:cs="Arial"/>
          <w:color w:val="000000"/>
          <w:spacing w:val="0"/>
          <w:w w:val="100"/>
          <w:position w:val="0"/>
          <w:sz w:val="18"/>
          <w:szCs w:val="18"/>
        </w:rPr>
        <w:t>2</w:t>
      </w:r>
      <w:bookmarkEnd w:id="818"/>
      <w:r>
        <w:rPr>
          <w:color w:val="000000"/>
          <w:spacing w:val="0"/>
          <w:w w:val="100"/>
          <w:position w:val="0"/>
        </w:rPr>
        <w:t>、</w:t>
        <w:tab/>
        <w:t>为转让该相关商品或服务估计将要发生的成本。</w:t>
      </w:r>
    </w:p>
    <w:p>
      <w:pPr>
        <w:pStyle w:val="Style2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以前期间减值的因素之后发生变化，使得前述差额高于该资产账面价值的，本公司转回原已计提的减值准备，并计入当期损 益，但转回后的资产账面价值不超过假定不计提减值准备情况下该资产在转回日的账面价值。</w:t>
      </w:r>
    </w:p>
    <w:p>
      <w:pPr>
        <w:pStyle w:val="Style32"/>
        <w:keepNext/>
        <w:keepLines/>
        <w:widowControl w:val="0"/>
        <w:shd w:val="clear" w:color="auto" w:fill="auto"/>
        <w:bidi w:val="0"/>
        <w:spacing w:before="0" w:after="220" w:line="324"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819"/>
      <w:bookmarkEnd w:id="820"/>
      <w:bookmarkEnd w:id="822"/>
    </w:p>
    <w:p>
      <w:pPr>
        <w:pStyle w:val="Style32"/>
        <w:keepNext/>
        <w:keepLines/>
        <w:widowControl w:val="0"/>
        <w:numPr>
          <w:ilvl w:val="0"/>
          <w:numId w:val="21"/>
        </w:numPr>
        <w:shd w:val="clear" w:color="auto" w:fill="auto"/>
        <w:tabs>
          <w:tab w:pos="324" w:val="left"/>
        </w:tabs>
        <w:bidi w:val="0"/>
        <w:spacing w:before="0" w:after="0" w:line="310" w:lineRule="exact"/>
        <w:ind w:left="0" w:right="0" w:firstLine="0"/>
        <w:jc w:val="both"/>
      </w:pPr>
      <w:bookmarkStart w:id="819" w:name="bookmark819"/>
      <w:bookmarkStart w:id="820" w:name="bookmark820"/>
      <w:bookmarkStart w:id="823" w:name="bookmark823"/>
      <w:bookmarkEnd w:id="823"/>
      <w:r>
        <w:rPr>
          <w:color w:val="000000"/>
          <w:spacing w:val="0"/>
          <w:w w:val="100"/>
          <w:position w:val="0"/>
        </w:rPr>
        <w:t>共同控制、重大影响的判断标准</w:t>
      </w:r>
      <w:bookmarkEnd w:id="819"/>
      <w:bookmarkEnd w:id="820"/>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能决策。本公司与其他合营方一同对被投资单位实施共同控制且对被投资单位净资产享有权利的，被投资单位为本公司的合 营企业。</w:t>
      </w:r>
    </w:p>
    <w:p>
      <w:pPr>
        <w:pStyle w:val="Style28"/>
        <w:keepNext w:val="0"/>
        <w:keepLines w:val="0"/>
        <w:widowControl w:val="0"/>
        <w:shd w:val="clear" w:color="auto" w:fill="auto"/>
        <w:bidi w:val="0"/>
        <w:spacing w:before="0" w:after="100" w:line="310" w:lineRule="exact"/>
        <w:ind w:left="0" w:right="0" w:firstLine="0"/>
        <w:jc w:val="both"/>
      </w:pPr>
      <w:r>
        <w:rPr>
          <w:color w:val="000000"/>
          <w:spacing w:val="0"/>
          <w:w w:val="100"/>
          <w:position w:val="0"/>
        </w:rPr>
        <w:t>重大影响，是指对一个企业的财务和经营决策有参与决策的权力，但并不能够控制或者与其他方一起共同控制这些政策的制 定。本公司能够对被投资单位施加重大影响的，被投资单位为本公司联营企业。</w:t>
      </w:r>
    </w:p>
    <w:p>
      <w:pPr>
        <w:pStyle w:val="Style35"/>
        <w:keepNext w:val="0"/>
        <w:keepLines w:val="0"/>
        <w:widowControl w:val="0"/>
        <w:numPr>
          <w:ilvl w:val="0"/>
          <w:numId w:val="21"/>
        </w:numPr>
        <w:shd w:val="clear" w:color="auto" w:fill="auto"/>
        <w:tabs>
          <w:tab w:pos="339" w:val="left"/>
        </w:tabs>
        <w:bidi w:val="0"/>
        <w:spacing w:before="0" w:after="0" w:line="324" w:lineRule="auto"/>
        <w:ind w:left="0" w:right="0" w:firstLine="0"/>
        <w:jc w:val="both"/>
        <w:rPr>
          <w:sz w:val="20"/>
          <w:szCs w:val="20"/>
        </w:rPr>
      </w:pPr>
      <w:bookmarkStart w:id="824" w:name="bookmark824"/>
      <w:bookmarkEnd w:id="824"/>
      <w:r>
        <w:rPr>
          <w:b/>
          <w:bCs/>
          <w:color w:val="000000"/>
          <w:spacing w:val="0"/>
          <w:w w:val="100"/>
          <w:position w:val="0"/>
          <w:sz w:val="20"/>
          <w:szCs w:val="20"/>
        </w:rPr>
        <w:t>初始投资成本的确定</w:t>
      </w:r>
    </w:p>
    <w:p>
      <w:pPr>
        <w:pStyle w:val="Style28"/>
        <w:keepNext w:val="0"/>
        <w:keepLines w:val="0"/>
        <w:widowControl w:val="0"/>
        <w:numPr>
          <w:ilvl w:val="0"/>
          <w:numId w:val="23"/>
        </w:numPr>
        <w:shd w:val="clear" w:color="auto" w:fill="auto"/>
        <w:tabs>
          <w:tab w:pos="444" w:val="left"/>
        </w:tabs>
        <w:bidi w:val="0"/>
        <w:spacing w:before="0" w:after="0" w:line="360" w:lineRule="auto"/>
        <w:ind w:left="0" w:right="0" w:firstLine="0"/>
        <w:jc w:val="both"/>
      </w:pPr>
      <w:bookmarkStart w:id="825" w:name="bookmark825"/>
      <w:bookmarkEnd w:id="825"/>
      <w:r>
        <w:rPr>
          <w:color w:val="000000"/>
          <w:spacing w:val="0"/>
          <w:w w:val="100"/>
          <w:position w:val="0"/>
        </w:rPr>
        <w:t>企业合并形成的长期股权投资</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同一控制下的企业合并：公司以支付现金、转让非现金资产或承担债务方式以及以发行权益性证券作为合并对价的，在合并 日按照取得被合并方所有者权益在最终控制方合并财务报表中的账面价值的份额作为长期股权投资的初始投资成本。因追加 投资等原因能够对同一控制下的被投资单位实施控制的，在合并日根据合并后应享有被合并方净资产在最终控制方合并财务 报表中的账面价值的份额，确定长期股权投资的初始投资成本。合并日长期股权投资的初始投资成本，与达到合并前的长期 股权投资账面价值加上合并日进一步取得股份新支付对价的账面价值之和的差额，调整股本溢价，股本溢价不足冲减的，冲 减留存收益。</w:t>
      </w:r>
    </w:p>
    <w:p>
      <w:pPr>
        <w:pStyle w:val="Style28"/>
        <w:keepNext w:val="0"/>
        <w:keepLines w:val="0"/>
        <w:widowControl w:val="0"/>
        <w:shd w:val="clear" w:color="auto" w:fill="auto"/>
        <w:bidi w:val="0"/>
        <w:spacing w:before="0" w:after="100" w:line="310" w:lineRule="exact"/>
        <w:ind w:left="0" w:right="0" w:firstLine="0"/>
        <w:jc w:val="both"/>
      </w:pPr>
      <w:r>
        <w:rPr>
          <w:color w:val="000000"/>
          <w:spacing w:val="0"/>
          <w:w w:val="100"/>
          <w:position w:val="0"/>
        </w:rPr>
        <w:t>非同一控制下的企业合并：公司按照购买日确定的合并成本作为长期股权投资的初始投资成本。因追加投资等原因能够对非 同一控制下的被投资单位实施控制的，按照原持有的股权投资账面价值加上新增投资成本之和，作为改按成本法核算的初始 投资成本。</w:t>
      </w:r>
    </w:p>
    <w:p>
      <w:pPr>
        <w:pStyle w:val="Style28"/>
        <w:keepNext w:val="0"/>
        <w:keepLines w:val="0"/>
        <w:widowControl w:val="0"/>
        <w:numPr>
          <w:ilvl w:val="0"/>
          <w:numId w:val="23"/>
        </w:numPr>
        <w:shd w:val="clear" w:color="auto" w:fill="auto"/>
        <w:tabs>
          <w:tab w:pos="444" w:val="left"/>
        </w:tabs>
        <w:bidi w:val="0"/>
        <w:spacing w:before="0" w:after="0" w:line="360" w:lineRule="auto"/>
        <w:ind w:left="0" w:right="0" w:firstLine="0"/>
        <w:jc w:val="both"/>
      </w:pPr>
      <w:bookmarkStart w:id="826" w:name="bookmark826"/>
      <w:bookmarkEnd w:id="826"/>
      <w:r>
        <w:rPr>
          <w:color w:val="000000"/>
          <w:spacing w:val="0"/>
          <w:w w:val="100"/>
          <w:position w:val="0"/>
        </w:rPr>
        <w:t>其他方式取得的长期股权投资</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以支付现金方式取得的长期股权投资，按照实际支付的购买价款作为初始投资成本。</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以发行权益性证券取得的长期股权投资，按照发行权益性证券的公允价值作为初始投资成本。</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在非货币性资产交换具备商业实质和换入资产或换出资产的公允价值能够可靠计量的前提下，非货币性资产交换换入的长期 股权投资以换出资产的公允价值和应支付的相关税费确定其初始投资成本，除非有确凿证据表明换入资产的公允价值更加可 靠；不满足上述前提的非货币性资产交换，以换出资产的账面价值和应支付的相关税费作为换入长期股权投资的初始投资成 本。</w:t>
      </w:r>
    </w:p>
    <w:p>
      <w:pPr>
        <w:pStyle w:val="Style28"/>
        <w:keepNext w:val="0"/>
        <w:keepLines w:val="0"/>
        <w:widowControl w:val="0"/>
        <w:shd w:val="clear" w:color="auto" w:fill="auto"/>
        <w:bidi w:val="0"/>
        <w:spacing w:before="0" w:after="400" w:line="310" w:lineRule="exact"/>
        <w:ind w:left="0" w:right="0" w:firstLine="0"/>
        <w:jc w:val="both"/>
      </w:pPr>
      <w:r>
        <w:rPr>
          <w:color w:val="000000"/>
          <w:spacing w:val="0"/>
          <w:w w:val="100"/>
          <w:position w:val="0"/>
        </w:rPr>
        <w:t>通过债务重组取得的长期股权投资，其初始投资成本按照公允价值为基础确定。</w:t>
      </w:r>
    </w:p>
    <w:p>
      <w:pPr>
        <w:pStyle w:val="Style35"/>
        <w:keepNext w:val="0"/>
        <w:keepLines w:val="0"/>
        <w:widowControl w:val="0"/>
        <w:numPr>
          <w:ilvl w:val="0"/>
          <w:numId w:val="21"/>
        </w:numPr>
        <w:shd w:val="clear" w:color="auto" w:fill="auto"/>
        <w:tabs>
          <w:tab w:pos="339" w:val="left"/>
        </w:tabs>
        <w:bidi w:val="0"/>
        <w:spacing w:before="0" w:after="0" w:line="324" w:lineRule="auto"/>
        <w:ind w:left="0" w:right="0" w:firstLine="0"/>
        <w:jc w:val="both"/>
        <w:rPr>
          <w:sz w:val="20"/>
          <w:szCs w:val="20"/>
        </w:rPr>
      </w:pPr>
      <w:bookmarkStart w:id="827" w:name="bookmark827"/>
      <w:bookmarkEnd w:id="827"/>
      <w:r>
        <w:rPr>
          <w:b/>
          <w:bCs/>
          <w:color w:val="000000"/>
          <w:spacing w:val="0"/>
          <w:w w:val="100"/>
          <w:position w:val="0"/>
          <w:sz w:val="20"/>
          <w:szCs w:val="20"/>
        </w:rPr>
        <w:t>后续计量及损益确认方法</w:t>
      </w:r>
    </w:p>
    <w:p>
      <w:pPr>
        <w:pStyle w:val="Style28"/>
        <w:keepNext w:val="0"/>
        <w:keepLines w:val="0"/>
        <w:widowControl w:val="0"/>
        <w:numPr>
          <w:ilvl w:val="0"/>
          <w:numId w:val="25"/>
        </w:numPr>
        <w:shd w:val="clear" w:color="auto" w:fill="auto"/>
        <w:bidi w:val="0"/>
        <w:spacing w:before="0" w:after="0" w:line="360" w:lineRule="auto"/>
        <w:ind w:left="0" w:right="0" w:firstLine="0"/>
        <w:jc w:val="both"/>
      </w:pPr>
      <w:bookmarkStart w:id="828" w:name="bookmark828"/>
      <w:bookmarkEnd w:id="828"/>
      <w:r>
        <w:rPr>
          <w:color w:val="000000"/>
          <w:spacing w:val="0"/>
          <w:w w:val="100"/>
          <w:position w:val="0"/>
        </w:rPr>
        <w:t>成本法核算的长期股权投资</w:t>
      </w:r>
    </w:p>
    <w:p>
      <w:pPr>
        <w:pStyle w:val="Style28"/>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公司对子公司的长期股权投资，采用成本法核算。除取得投资时实际支付的价款或对价中包含的已宣告但尚未发放的现金股 利或利润外，公司按照享有被投资单位宣告发放的现金股利或利润确认当期投资收益。</w:t>
      </w:r>
    </w:p>
    <w:p>
      <w:pPr>
        <w:pStyle w:val="Style28"/>
        <w:keepNext w:val="0"/>
        <w:keepLines w:val="0"/>
        <w:widowControl w:val="0"/>
        <w:shd w:val="clear" w:color="auto" w:fill="auto"/>
        <w:tabs>
          <w:tab w:pos="386" w:val="left"/>
        </w:tabs>
        <w:bidi w:val="0"/>
        <w:spacing w:before="0" w:after="0" w:line="313" w:lineRule="exact"/>
        <w:ind w:left="0" w:right="0" w:firstLine="0"/>
        <w:jc w:val="both"/>
      </w:pPr>
      <w:bookmarkStart w:id="829" w:name="bookmark829"/>
      <w:r>
        <w:rPr>
          <w:rFonts w:ascii="Arial" w:eastAsia="Arial" w:hAnsi="Arial" w:cs="Arial"/>
          <w:color w:val="000000"/>
          <w:spacing w:val="0"/>
          <w:w w:val="100"/>
          <w:position w:val="0"/>
          <w:sz w:val="18"/>
          <w:szCs w:val="18"/>
        </w:rPr>
        <w:t>（</w:t>
      </w:r>
      <w:bookmarkEnd w:id="829"/>
      <w:r>
        <w:rPr>
          <w:rFonts w:ascii="Arial" w:eastAsia="Arial" w:hAnsi="Arial" w:cs="Arial"/>
          <w:color w:val="000000"/>
          <w:spacing w:val="0"/>
          <w:w w:val="100"/>
          <w:position w:val="0"/>
          <w:sz w:val="18"/>
          <w:szCs w:val="18"/>
        </w:rPr>
        <w:t>2）</w:t>
        <w:tab/>
      </w:r>
      <w:r>
        <w:rPr>
          <w:color w:val="000000"/>
          <w:spacing w:val="0"/>
          <w:w w:val="100"/>
          <w:position w:val="0"/>
        </w:rPr>
        <w:t>权益法核算的长期股权投资</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对联营企业和合营企业的长期股权投资，采用权益法核算。初始投资成本大于投资时应享有被投资单位可辨认净资产公允价 值份额的差额，不调整长期股权投资的初始投资成本；初始投资成本小于投资时应享有被投资单位可辨认净资产公允价值份 额的差额，计入当期损益。</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公司按照应享有或应分担的被投资单位实现的净损益和其他综合收益的份额，分别确认投资收益和其他综合收益，同时调整 长期股权投资的账面价值；按照被投资单位宣告分派的利润或现金股利计算应享有的部分，相应减少长期股权投资的账面价 值；对于被投资单位除净损益、其他综合收益和利润分配以外所有者权益的其他变动，调整长期股权投资的账面价值并计入 所有者权益。</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在确认应享有被投资单位净损益的份额时，以取得投资时被投资单位可辨认净资产的公允价值为基础，并按照公司的会计政 策及会计期间，对被投资单位的净利润进行调整后确认。在持有投资期间，被投资单位编制合并财务报表的，以合并财务报 表中的净利润、其他综合收益和其他所有者权益变动中归属于被投资单位的金额为基础进行核算。</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在公司确认应分担被投资单位发生的亏损时，按照以下顺序进行处理：首先，冲减长期股权投资的账面价值。其次，长期股 权投资的账面价值不足以冲减的，以其他实质上构成对被投资单位净投资的长期权益账面价值为限继续确认投资损失，冲减 长期应收项目等的账面价值。最后，经过上述处理，按照投资合同或协议约定企业仍承担额外义务的，按预计承担的义务确 认预计负债，计入当期投资损失。</w:t>
      </w:r>
    </w:p>
    <w:p>
      <w:pPr>
        <w:pStyle w:val="Style28"/>
        <w:keepNext w:val="0"/>
        <w:keepLines w:val="0"/>
        <w:widowControl w:val="0"/>
        <w:shd w:val="clear" w:color="auto" w:fill="auto"/>
        <w:tabs>
          <w:tab w:pos="386" w:val="left"/>
        </w:tabs>
        <w:bidi w:val="0"/>
        <w:spacing w:before="0" w:after="0" w:line="313" w:lineRule="exact"/>
        <w:ind w:left="0" w:right="0" w:firstLine="0"/>
        <w:jc w:val="both"/>
      </w:pPr>
      <w:bookmarkStart w:id="830" w:name="bookmark830"/>
      <w:r>
        <w:rPr>
          <w:color w:val="000000"/>
          <w:spacing w:val="0"/>
          <w:w w:val="100"/>
          <w:position w:val="0"/>
          <w:sz w:val="22"/>
          <w:szCs w:val="22"/>
        </w:rPr>
        <w:t>（</w:t>
      </w:r>
      <w:bookmarkEnd w:id="830"/>
      <w:r>
        <w:rPr>
          <w:rFonts w:ascii="Arial" w:eastAsia="Arial" w:hAnsi="Arial" w:cs="Arial"/>
          <w:color w:val="000000"/>
          <w:spacing w:val="0"/>
          <w:w w:val="100"/>
          <w:position w:val="0"/>
          <w:sz w:val="18"/>
          <w:szCs w:val="18"/>
        </w:rPr>
        <w:t>3</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长期股权投资的处置</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处置长期股权投资，其账面价值与实际取得价款的差额，计入当期损益。</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采用权益法核算的长期股权投资，在处置该项投资时，采用与被投资单位直接处置相关资产或负债相同的基础，按相应比例 对原计入其他综合收益的部分进行会计处理。因被投资单位除净损益、其他综合收益和利润分配以外的其他所有者权益变动 而确认的所有者权益，按比例结转入当期损益，由于被投资方重新计量设定受益计划净负债或净资产变动而产生的其他综合 收益除外。</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因处置部分股权投资等原因丧失了对被投资单位的共同控制或重大影响的,处置后的剩余股权改按金融工具确认和计量准则 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投资方除净损益、其他综合收益和利润分配以外的其他所有者权益变动而确认的所有者权益，在终止采用权益法核算时全部 转入当期损益。</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因处置部分股权投资、因其他投资方对子公司增资而导致本公司持股比例下降等原因丧失了对被投资单位控制权的，在编制 个别财务报表时，剩余股权能够对被投资单位实施共同控制或重大影响的，改按权益法核算，并对该剩余股权视同自取得时 即采用权益法核算进行调整；剩余股权不能对被投资单位实施共同控制或施加重大影响的，改按金融工具确认和计量准则的 有关规定进行会计处理，其在丧失控制之日的公允价值与账面价值间的差额计入当期损益。</w:t>
      </w:r>
    </w:p>
    <w:p>
      <w:pPr>
        <w:pStyle w:val="Style28"/>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处置的股权是因追加投资等原因通过企业合并取得的，在编制个别财务报表时，处置后的剩余股权采用成本法或权益法核算 的，购买日之前持有的股权投资因采用权益法核算而确认的其他综合收益和其他所有者权益按比例结转；处置后的剩余股权 改按金融工具确认和计量准则进行会计处理的，其他综合收益和其他所有者权益全部结转。</w:t>
      </w:r>
    </w:p>
    <w:p>
      <w:pPr>
        <w:pStyle w:val="Style32"/>
        <w:keepNext/>
        <w:keepLines/>
        <w:widowControl w:val="0"/>
        <w:shd w:val="clear" w:color="auto" w:fill="auto"/>
        <w:bidi w:val="0"/>
        <w:spacing w:before="0" w:after="360" w:line="240"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31"/>
      <w:bookmarkEnd w:id="832"/>
      <w:bookmarkEnd w:id="834"/>
    </w:p>
    <w:p>
      <w:pPr>
        <w:pStyle w:val="Style41"/>
        <w:keepNext/>
        <w:keepLines/>
        <w:widowControl w:val="0"/>
        <w:shd w:val="clear" w:color="auto" w:fill="auto"/>
        <w:tabs>
          <w:tab w:pos="433" w:val="left"/>
        </w:tabs>
        <w:bidi w:val="0"/>
        <w:spacing w:before="0" w:after="280" w:line="240" w:lineRule="auto"/>
        <w:ind w:left="0" w:right="0" w:firstLine="0"/>
        <w:jc w:val="both"/>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35"/>
      <w:bookmarkEnd w:id="836"/>
      <w:bookmarkEnd w:id="838"/>
    </w:p>
    <w:p>
      <w:pPr>
        <w:pStyle w:val="Style28"/>
        <w:keepNext w:val="0"/>
        <w:keepLines w:val="0"/>
        <w:widowControl w:val="0"/>
        <w:shd w:val="clear" w:color="auto" w:fill="auto"/>
        <w:bidi w:val="0"/>
        <w:spacing w:before="0" w:after="360" w:line="30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rPr>
        <w:t>该固定资产的成本能够可靠地计量。</w:t>
      </w:r>
    </w:p>
    <w:p>
      <w:pPr>
        <w:pStyle w:val="Style41"/>
        <w:keepNext/>
        <w:keepLines/>
        <w:widowControl w:val="0"/>
        <w:shd w:val="clear" w:color="auto" w:fill="auto"/>
        <w:tabs>
          <w:tab w:pos="433" w:val="left"/>
        </w:tabs>
        <w:bidi w:val="0"/>
        <w:spacing w:before="0" w:after="360" w:line="240" w:lineRule="auto"/>
        <w:ind w:left="0" w:right="0" w:firstLine="0"/>
        <w:jc w:val="both"/>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39"/>
      <w:bookmarkEnd w:id="840"/>
      <w:bookmarkEnd w:id="842"/>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18.00%-33.33%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固定资产装修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after="239" w:line="1" w:lineRule="exact"/>
      </w:pP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固定资产折旧采用年限平均法分类计提，根据固定资产类别、预计使用寿命和预计净残值率确定折旧率。如固定资产各组成 部分的使用寿命不同或者以不同方式为企业提供经济利益，则选择不同折旧率或折旧方法，分别计提折旧。</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各类固定资产折旧方法、折旧年限、残值率和年折旧率如上表。</w:t>
      </w:r>
    </w:p>
    <w:p>
      <w:pPr>
        <w:pStyle w:val="Style32"/>
        <w:keepNext/>
        <w:keepLines/>
        <w:widowControl w:val="0"/>
        <w:shd w:val="clear" w:color="auto" w:fill="auto"/>
        <w:bidi w:val="0"/>
        <w:spacing w:before="0" w:line="24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843"/>
      <w:bookmarkEnd w:id="844"/>
      <w:bookmarkEnd w:id="846"/>
    </w:p>
    <w:p>
      <w:pPr>
        <w:pStyle w:val="Style41"/>
        <w:keepNext/>
        <w:keepLines/>
        <w:widowControl w:val="0"/>
        <w:shd w:val="clear" w:color="auto" w:fill="auto"/>
        <w:bidi w:val="0"/>
        <w:spacing w:before="0" w:line="240" w:lineRule="auto"/>
        <w:ind w:left="0" w:right="0" w:firstLine="0"/>
        <w:jc w:val="both"/>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7"/>
      <w:bookmarkEnd w:id="848"/>
      <w:bookmarkEnd w:id="850"/>
    </w:p>
    <w:p>
      <w:pPr>
        <w:pStyle w:val="Style41"/>
        <w:keepNext/>
        <w:keepLines/>
        <w:widowControl w:val="0"/>
        <w:numPr>
          <w:ilvl w:val="0"/>
          <w:numId w:val="27"/>
        </w:numPr>
        <w:shd w:val="clear" w:color="auto" w:fill="auto"/>
        <w:bidi w:val="0"/>
        <w:spacing w:before="0" w:after="0" w:line="240" w:lineRule="auto"/>
        <w:ind w:left="0" w:right="0" w:firstLine="0"/>
        <w:jc w:val="both"/>
      </w:pPr>
      <w:bookmarkStart w:id="847" w:name="bookmark847"/>
      <w:bookmarkStart w:id="848" w:name="bookmark848"/>
      <w:bookmarkStart w:id="851" w:name="bookmark851"/>
      <w:bookmarkEnd w:id="851"/>
      <w:r>
        <w:rPr>
          <w:color w:val="000000"/>
          <w:spacing w:val="0"/>
          <w:w w:val="100"/>
          <w:position w:val="0"/>
        </w:rPr>
        <w:t>无形资产的计价方法</w:t>
      </w:r>
      <w:bookmarkEnd w:id="847"/>
      <w:bookmarkEnd w:id="848"/>
    </w:p>
    <w:p>
      <w:pPr>
        <w:pStyle w:val="Style28"/>
        <w:keepNext w:val="0"/>
        <w:keepLines w:val="0"/>
        <w:widowControl w:val="0"/>
        <w:shd w:val="clear" w:color="auto" w:fill="auto"/>
        <w:tabs>
          <w:tab w:pos="445" w:val="left"/>
        </w:tabs>
        <w:bidi w:val="0"/>
        <w:spacing w:before="0" w:after="0" w:line="313" w:lineRule="exact"/>
        <w:ind w:left="0" w:right="0" w:firstLine="0"/>
        <w:jc w:val="both"/>
      </w:pPr>
      <w:bookmarkStart w:id="852" w:name="bookmark852"/>
      <w:r>
        <w:rPr>
          <w:color w:val="000000"/>
          <w:spacing w:val="0"/>
          <w:w w:val="100"/>
          <w:position w:val="0"/>
          <w:sz w:val="22"/>
          <w:szCs w:val="22"/>
        </w:rPr>
        <w:t>（</w:t>
      </w:r>
      <w:bookmarkEnd w:id="852"/>
      <w:r>
        <w:rPr>
          <w:rFonts w:ascii="Arial" w:eastAsia="Arial" w:hAnsi="Arial" w:cs="Arial"/>
          <w:color w:val="000000"/>
          <w:spacing w:val="0"/>
          <w:w w:val="100"/>
          <w:position w:val="0"/>
          <w:sz w:val="18"/>
          <w:szCs w:val="18"/>
        </w:rPr>
        <w:t>1</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公司取得无形资产时按成本进行初始计量；</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2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在非货币性资产交换具备商业实质且换入资产或换出资产的公允价值能够可靠计量的前提下，非货币性资产交换换入的无形 资产以换出资产的公允价值为基础确定其入账价值，除非有确凿证据表明换入资产的公允价值更加可靠；不满足上述前提的 非货币性资产交换，以换出资产的账面价值和应支付的相关税费作为换入无形资产的成本，不确认损益。</w:t>
      </w:r>
    </w:p>
    <w:p>
      <w:pPr>
        <w:pStyle w:val="Style28"/>
        <w:keepNext w:val="0"/>
        <w:keepLines w:val="0"/>
        <w:widowControl w:val="0"/>
        <w:shd w:val="clear" w:color="auto" w:fill="auto"/>
        <w:tabs>
          <w:tab w:pos="445" w:val="left"/>
        </w:tabs>
        <w:bidi w:val="0"/>
        <w:spacing w:before="0" w:after="0" w:line="360" w:lineRule="auto"/>
        <w:ind w:left="0" w:right="0" w:firstLine="0"/>
        <w:jc w:val="both"/>
      </w:pPr>
      <w:bookmarkStart w:id="853" w:name="bookmark853"/>
      <w:r>
        <w:rPr>
          <w:rFonts w:ascii="Arial" w:eastAsia="Arial" w:hAnsi="Arial" w:cs="Arial"/>
          <w:color w:val="000000"/>
          <w:spacing w:val="0"/>
          <w:w w:val="100"/>
          <w:position w:val="0"/>
          <w:sz w:val="18"/>
          <w:szCs w:val="18"/>
        </w:rPr>
        <w:t>（</w:t>
      </w:r>
      <w:bookmarkEnd w:id="853"/>
      <w:r>
        <w:rPr>
          <w:rFonts w:ascii="Arial" w:eastAsia="Arial" w:hAnsi="Arial" w:cs="Arial"/>
          <w:color w:val="000000"/>
          <w:spacing w:val="0"/>
          <w:w w:val="100"/>
          <w:position w:val="0"/>
          <w:sz w:val="18"/>
          <w:szCs w:val="18"/>
        </w:rPr>
        <w:t>2）</w:t>
        <w:tab/>
      </w:r>
      <w:r>
        <w:rPr>
          <w:color w:val="000000"/>
          <w:spacing w:val="0"/>
          <w:w w:val="100"/>
          <w:position w:val="0"/>
        </w:rPr>
        <w:t>后续计量</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在取得无形资产时分析判断其使用寿命。</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对于使用寿命有限的无形资产，在为企业带来经济利益的期限内按直线法摊销；无法预见无形资产为企业带来经济利益期限 的，视为使用寿命不确定的无形资产，不予摊销。</w:t>
      </w:r>
    </w:p>
    <w:p>
      <w:pPr>
        <w:pStyle w:val="Style35"/>
        <w:keepNext w:val="0"/>
        <w:keepLines w:val="0"/>
        <w:widowControl w:val="0"/>
        <w:numPr>
          <w:ilvl w:val="0"/>
          <w:numId w:val="27"/>
        </w:numPr>
        <w:shd w:val="clear" w:color="auto" w:fill="auto"/>
        <w:bidi w:val="0"/>
        <w:spacing w:before="0" w:after="0" w:line="240" w:lineRule="auto"/>
        <w:ind w:left="0" w:right="0" w:firstLine="0"/>
        <w:jc w:val="both"/>
        <w:rPr>
          <w:sz w:val="20"/>
          <w:szCs w:val="20"/>
        </w:rPr>
      </w:pPr>
      <w:bookmarkStart w:id="854" w:name="bookmark854"/>
      <w:bookmarkEnd w:id="854"/>
      <w:r>
        <w:rPr>
          <w:b/>
          <w:bCs/>
          <w:color w:val="000000"/>
          <w:spacing w:val="0"/>
          <w:w w:val="100"/>
          <w:position w:val="0"/>
          <w:sz w:val="20"/>
          <w:szCs w:val="20"/>
        </w:rPr>
        <w:t>使用寿命有限的无形资产的使用寿命估计情况</w:t>
      </w:r>
    </w:p>
    <w:tbl>
      <w:tblPr>
        <w:tblOverlap w:val="never"/>
        <w:jc w:val="center"/>
        <w:tblLayout w:type="fixed"/>
      </w:tblPr>
      <w:tblGrid>
        <w:gridCol w:w="4267"/>
        <w:gridCol w:w="2621"/>
        <w:gridCol w:w="2789"/>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预计使用寿命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依据</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8"/>
                <w:szCs w:val="18"/>
              </w:rPr>
              <w:t>50</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预计受益年限</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电脑软件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8"/>
                <w:szCs w:val="18"/>
              </w:rPr>
              <w:t>1-8</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预计受益年限</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软件著作权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8"/>
                <w:szCs w:val="18"/>
              </w:rPr>
              <w:t xml:space="preserve">4-10 </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预计受益年限</w:t>
            </w:r>
          </w:p>
        </w:tc>
      </w:tr>
    </w:tbl>
    <w:p>
      <w:pPr>
        <w:pStyle w:val="Style38"/>
        <w:keepNext w:val="0"/>
        <w:keepLines w:val="0"/>
        <w:widowControl w:val="0"/>
        <w:shd w:val="clear" w:color="auto" w:fill="auto"/>
        <w:bidi w:val="0"/>
        <w:spacing w:before="0" w:after="120" w:line="240" w:lineRule="auto"/>
        <w:ind w:left="0" w:right="0" w:firstLine="0"/>
        <w:jc w:val="left"/>
        <w:rPr>
          <w:sz w:val="17"/>
          <w:szCs w:val="17"/>
        </w:rPr>
      </w:pPr>
      <w:r>
        <w:rPr>
          <w:b w:val="0"/>
          <w:bCs w:val="0"/>
          <w:color w:val="000000"/>
          <w:spacing w:val="0"/>
          <w:w w:val="100"/>
          <w:position w:val="0"/>
          <w:sz w:val="17"/>
          <w:szCs w:val="17"/>
        </w:rPr>
        <w:t>每年度终了，对使用寿命有限的无形资产的使用寿命及摊销方法进行复核。</w:t>
      </w:r>
    </w:p>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经复核，本年期末无形资产的使用寿命及摊销方法与以前估计未有不同。</w:t>
      </w:r>
    </w:p>
    <w:p>
      <w:pPr>
        <w:widowControl w:val="0"/>
        <w:spacing w:after="319" w:line="1" w:lineRule="exact"/>
      </w:pPr>
    </w:p>
    <w:p>
      <w:pPr>
        <w:pStyle w:val="Style35"/>
        <w:keepNext w:val="0"/>
        <w:keepLines w:val="0"/>
        <w:widowControl w:val="0"/>
        <w:numPr>
          <w:ilvl w:val="0"/>
          <w:numId w:val="27"/>
        </w:numPr>
        <w:shd w:val="clear" w:color="auto" w:fill="auto"/>
        <w:bidi w:val="0"/>
        <w:spacing w:before="0" w:after="0" w:line="302" w:lineRule="exact"/>
        <w:ind w:left="0" w:right="0" w:firstLine="0"/>
        <w:jc w:val="both"/>
        <w:rPr>
          <w:sz w:val="17"/>
          <w:szCs w:val="17"/>
        </w:rPr>
      </w:pPr>
      <w:bookmarkStart w:id="855" w:name="bookmark855"/>
      <w:bookmarkEnd w:id="855"/>
      <w:r>
        <w:rPr>
          <w:b/>
          <w:bCs/>
          <w:color w:val="000000"/>
          <w:spacing w:val="0"/>
          <w:w w:val="100"/>
          <w:position w:val="0"/>
          <w:sz w:val="20"/>
          <w:szCs w:val="20"/>
        </w:rPr>
        <w:t xml:space="preserve">使用寿命不确定的无形资产的判断依据以及对其使用寿命进行复核的程序 </w:t>
      </w:r>
      <w:r>
        <w:rPr>
          <w:color w:val="000000"/>
          <w:spacing w:val="0"/>
          <w:w w:val="100"/>
          <w:position w:val="0"/>
          <w:sz w:val="17"/>
          <w:szCs w:val="17"/>
        </w:rPr>
        <w:t>每期末，对使用寿命不确定的无形资产的使用寿命进行复核。</w:t>
      </w:r>
    </w:p>
    <w:p>
      <w:pPr>
        <w:pStyle w:val="Style28"/>
        <w:keepNext w:val="0"/>
        <w:keepLines w:val="0"/>
        <w:widowControl w:val="0"/>
        <w:shd w:val="clear" w:color="auto" w:fill="auto"/>
        <w:bidi w:val="0"/>
        <w:spacing w:before="0" w:after="360" w:line="302" w:lineRule="exact"/>
        <w:ind w:left="0" w:right="0" w:firstLine="0"/>
        <w:jc w:val="both"/>
      </w:pPr>
      <w:r>
        <w:rPr>
          <w:color w:val="000000"/>
          <w:spacing w:val="0"/>
          <w:w w:val="100"/>
          <w:position w:val="0"/>
        </w:rPr>
        <w:t>经复核，本公司期末无使用寿命不确定的无形资产。</w:t>
      </w:r>
    </w:p>
    <w:p>
      <w:pPr>
        <w:pStyle w:val="Style41"/>
        <w:keepNext/>
        <w:keepLines/>
        <w:widowControl w:val="0"/>
        <w:shd w:val="clear" w:color="auto" w:fill="auto"/>
        <w:bidi w:val="0"/>
        <w:spacing w:before="0" w:after="300" w:line="316" w:lineRule="exact"/>
        <w:ind w:left="0" w:right="0" w:firstLine="0"/>
        <w:jc w:val="both"/>
      </w:pPr>
      <w:bookmarkStart w:id="856" w:name="bookmark856"/>
      <w:bookmarkStart w:id="857" w:name="bookmark857"/>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56"/>
      <w:bookmarkEnd w:id="857"/>
      <w:bookmarkEnd w:id="859"/>
    </w:p>
    <w:p>
      <w:pPr>
        <w:pStyle w:val="Style41"/>
        <w:keepNext/>
        <w:keepLines/>
        <w:widowControl w:val="0"/>
        <w:numPr>
          <w:ilvl w:val="0"/>
          <w:numId w:val="29"/>
        </w:numPr>
        <w:shd w:val="clear" w:color="auto" w:fill="auto"/>
        <w:tabs>
          <w:tab w:pos="325" w:val="left"/>
        </w:tabs>
        <w:bidi w:val="0"/>
        <w:spacing w:before="0" w:after="0" w:line="319" w:lineRule="exact"/>
        <w:ind w:left="0" w:right="0" w:firstLine="0"/>
        <w:jc w:val="both"/>
      </w:pPr>
      <w:bookmarkStart w:id="856" w:name="bookmark856"/>
      <w:bookmarkStart w:id="857" w:name="bookmark857"/>
      <w:bookmarkStart w:id="860" w:name="bookmark860"/>
      <w:bookmarkEnd w:id="860"/>
      <w:r>
        <w:rPr>
          <w:color w:val="000000"/>
          <w:spacing w:val="0"/>
          <w:w w:val="100"/>
          <w:position w:val="0"/>
        </w:rPr>
        <w:t>划分研究阶段和开发阶段的具体标准</w:t>
      </w:r>
      <w:bookmarkEnd w:id="856"/>
      <w:bookmarkEnd w:id="857"/>
    </w:p>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公司内部研究开发项目的支出分为研究阶段支出和开发阶段支出。</w:t>
      </w:r>
    </w:p>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35"/>
        <w:keepNext w:val="0"/>
        <w:keepLines w:val="0"/>
        <w:widowControl w:val="0"/>
        <w:numPr>
          <w:ilvl w:val="0"/>
          <w:numId w:val="29"/>
        </w:numPr>
        <w:shd w:val="clear" w:color="auto" w:fill="auto"/>
        <w:tabs>
          <w:tab w:pos="339" w:val="left"/>
        </w:tabs>
        <w:bidi w:val="0"/>
        <w:spacing w:before="0" w:after="0" w:line="319" w:lineRule="exact"/>
        <w:ind w:left="0" w:right="0" w:firstLine="0"/>
        <w:jc w:val="both"/>
        <w:rPr>
          <w:sz w:val="20"/>
          <w:szCs w:val="20"/>
        </w:rPr>
      </w:pPr>
      <w:bookmarkStart w:id="861" w:name="bookmark861"/>
      <w:bookmarkEnd w:id="861"/>
      <w:r>
        <w:rPr>
          <w:b/>
          <w:bCs/>
          <w:color w:val="000000"/>
          <w:spacing w:val="0"/>
          <w:w w:val="100"/>
          <w:position w:val="0"/>
          <w:sz w:val="20"/>
          <w:szCs w:val="20"/>
        </w:rPr>
        <w:t>开发阶段支出资本化的具体条件</w:t>
      </w:r>
    </w:p>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内部研究开发项目开发阶段的支出，同时满足下列条件时确认为无形资产：</w:t>
      </w:r>
    </w:p>
    <w:p>
      <w:pPr>
        <w:pStyle w:val="Style28"/>
        <w:keepNext w:val="0"/>
        <w:keepLines w:val="0"/>
        <w:widowControl w:val="0"/>
        <w:shd w:val="clear" w:color="auto" w:fill="auto"/>
        <w:tabs>
          <w:tab w:pos="445" w:val="left"/>
        </w:tabs>
        <w:bidi w:val="0"/>
        <w:spacing w:before="0" w:after="0" w:line="319" w:lineRule="exact"/>
        <w:ind w:left="0" w:right="0" w:firstLine="0"/>
        <w:jc w:val="both"/>
      </w:pPr>
      <w:bookmarkStart w:id="862" w:name="bookmark862"/>
      <w:r>
        <w:rPr>
          <w:color w:val="000000"/>
          <w:spacing w:val="0"/>
          <w:w w:val="100"/>
          <w:position w:val="0"/>
        </w:rPr>
        <w:t>（</w:t>
      </w:r>
      <w:bookmarkEnd w:id="862"/>
      <w:r>
        <w:rPr>
          <w:rFonts w:ascii="Arial" w:eastAsia="Arial" w:hAnsi="Arial" w:cs="Arial"/>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8"/>
        <w:keepNext w:val="0"/>
        <w:keepLines w:val="0"/>
        <w:widowControl w:val="0"/>
        <w:shd w:val="clear" w:color="auto" w:fill="auto"/>
        <w:tabs>
          <w:tab w:pos="445" w:val="left"/>
        </w:tabs>
        <w:bidi w:val="0"/>
        <w:spacing w:before="0" w:after="0" w:line="319" w:lineRule="exact"/>
        <w:ind w:left="0" w:right="0" w:firstLine="0"/>
        <w:jc w:val="both"/>
      </w:pPr>
      <w:bookmarkStart w:id="863" w:name="bookmark863"/>
      <w:r>
        <w:rPr>
          <w:rFonts w:ascii="Arial" w:eastAsia="Arial" w:hAnsi="Arial" w:cs="Arial"/>
          <w:color w:val="000000"/>
          <w:spacing w:val="0"/>
          <w:w w:val="100"/>
          <w:position w:val="0"/>
          <w:sz w:val="18"/>
          <w:szCs w:val="18"/>
        </w:rPr>
        <w:t>（</w:t>
      </w:r>
      <w:bookmarkEnd w:id="863"/>
      <w:r>
        <w:rPr>
          <w:rFonts w:ascii="Arial" w:eastAsia="Arial" w:hAnsi="Arial" w:cs="Arial"/>
          <w:color w:val="000000"/>
          <w:spacing w:val="0"/>
          <w:w w:val="100"/>
          <w:position w:val="0"/>
          <w:sz w:val="18"/>
          <w:szCs w:val="18"/>
        </w:rPr>
        <w:t>2）</w:t>
        <w:tab/>
      </w:r>
      <w:r>
        <w:rPr>
          <w:color w:val="000000"/>
          <w:spacing w:val="0"/>
          <w:w w:val="100"/>
          <w:position w:val="0"/>
        </w:rPr>
        <w:t>具有完成该无形资产并使用或出售的意图；</w:t>
      </w:r>
    </w:p>
    <w:p>
      <w:pPr>
        <w:pStyle w:val="Style28"/>
        <w:keepNext w:val="0"/>
        <w:keepLines w:val="0"/>
        <w:widowControl w:val="0"/>
        <w:shd w:val="clear" w:color="auto" w:fill="auto"/>
        <w:tabs>
          <w:tab w:pos="541" w:val="left"/>
        </w:tabs>
        <w:bidi w:val="0"/>
        <w:spacing w:before="0" w:after="0" w:line="319" w:lineRule="exact"/>
        <w:ind w:left="0" w:right="0" w:firstLine="0"/>
        <w:jc w:val="both"/>
      </w:pPr>
      <w:bookmarkStart w:id="864" w:name="bookmark864"/>
      <w:r>
        <w:rPr>
          <w:color w:val="000000"/>
          <w:spacing w:val="0"/>
          <w:w w:val="100"/>
          <w:position w:val="0"/>
          <w:sz w:val="22"/>
          <w:szCs w:val="22"/>
        </w:rPr>
        <w:t>（</w:t>
      </w:r>
      <w:bookmarkEnd w:id="864"/>
      <w:r>
        <w:rPr>
          <w:rFonts w:ascii="Arial" w:eastAsia="Arial" w:hAnsi="Arial" w:cs="Arial"/>
          <w:color w:val="000000"/>
          <w:spacing w:val="0"/>
          <w:w w:val="100"/>
          <w:position w:val="0"/>
          <w:sz w:val="18"/>
          <w:szCs w:val="18"/>
        </w:rPr>
        <w:t>3</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8"/>
        <w:keepNext w:val="0"/>
        <w:keepLines w:val="0"/>
        <w:widowControl w:val="0"/>
        <w:shd w:val="clear" w:color="auto" w:fill="auto"/>
        <w:tabs>
          <w:tab w:pos="445" w:val="left"/>
        </w:tabs>
        <w:bidi w:val="0"/>
        <w:spacing w:before="0" w:after="0" w:line="319" w:lineRule="exact"/>
        <w:ind w:left="0" w:right="0" w:firstLine="0"/>
        <w:jc w:val="both"/>
      </w:pPr>
      <w:bookmarkStart w:id="865" w:name="bookmark865"/>
      <w:r>
        <w:rPr>
          <w:rFonts w:ascii="Arial" w:eastAsia="Arial" w:hAnsi="Arial" w:cs="Arial"/>
          <w:color w:val="000000"/>
          <w:spacing w:val="0"/>
          <w:w w:val="100"/>
          <w:position w:val="0"/>
          <w:sz w:val="18"/>
          <w:szCs w:val="18"/>
        </w:rPr>
        <w:t>（</w:t>
      </w:r>
      <w:bookmarkEnd w:id="865"/>
      <w:r>
        <w:rPr>
          <w:rFonts w:ascii="Arial" w:eastAsia="Arial" w:hAnsi="Arial" w:cs="Arial"/>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shd w:val="clear" w:color="auto" w:fill="auto"/>
        <w:tabs>
          <w:tab w:pos="445" w:val="left"/>
        </w:tabs>
        <w:bidi w:val="0"/>
        <w:spacing w:before="0" w:after="0" w:line="319" w:lineRule="exact"/>
        <w:ind w:left="0" w:right="0" w:firstLine="0"/>
        <w:jc w:val="both"/>
      </w:pPr>
      <w:bookmarkStart w:id="866" w:name="bookmark866"/>
      <w:r>
        <w:rPr>
          <w:color w:val="000000"/>
          <w:spacing w:val="0"/>
          <w:w w:val="100"/>
          <w:position w:val="0"/>
          <w:sz w:val="22"/>
          <w:szCs w:val="22"/>
        </w:rPr>
        <w:t>（</w:t>
      </w:r>
      <w:bookmarkEnd w:id="866"/>
      <w:r>
        <w:rPr>
          <w:rFonts w:ascii="Arial" w:eastAsia="Arial" w:hAnsi="Arial" w:cs="Arial"/>
          <w:color w:val="000000"/>
          <w:spacing w:val="0"/>
          <w:w w:val="100"/>
          <w:position w:val="0"/>
          <w:sz w:val="18"/>
          <w:szCs w:val="18"/>
        </w:rPr>
        <w:t>5）</w:t>
        <w:tab/>
      </w:r>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300" w:line="319" w:lineRule="exact"/>
        <w:ind w:left="0" w:right="0" w:firstLine="0"/>
        <w:jc w:val="both"/>
      </w:pPr>
      <w:r>
        <w:rPr>
          <w:color w:val="000000"/>
          <w:spacing w:val="0"/>
          <w:w w:val="100"/>
          <w:position w:val="0"/>
        </w:rPr>
        <w:t>开发阶段的支出，若不满足上列条件的，于发生时计入当期损益。研究阶段的支出，在发生时计入当期损益。</w:t>
      </w:r>
    </w:p>
    <w:p>
      <w:pPr>
        <w:pStyle w:val="Style32"/>
        <w:keepNext/>
        <w:keepLines/>
        <w:widowControl w:val="0"/>
        <w:shd w:val="clear" w:color="auto" w:fill="auto"/>
        <w:tabs>
          <w:tab w:pos="474" w:val="left"/>
        </w:tabs>
        <w:bidi w:val="0"/>
        <w:spacing w:before="0" w:after="300" w:line="316" w:lineRule="exact"/>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w:t>
      </w:r>
      <w:bookmarkEnd w:id="867"/>
      <w:bookmarkEnd w:id="868"/>
      <w:bookmarkEnd w:id="870"/>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长期股权投资、采用成本模式计量的投资性房地产、固定资产、在建工程、使用寿命有限的无形资产等长期资产，于资产负 债表日存在减值迹象的，进行减值测试。减值测试结果表明资产的可收回金额低于其账面价值的，按其差额计提减值准备并 计入减值损失。可收回金额为资产的公允价值减去处置费用后的净额与资产预计未来现金流量的现值两者之间的较高者。资 产减值准备按单项资产为基础计算并确认，如果难以对单项资产的可收回金额进行估计的，以该资产所属的资产组确定资产 组的可收回金额。资产组是能够独立产生现金流入的最小资产组合。</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商誉至少在每年年度终了进行减值测试。</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本公司进行商誉减值测试，对于因企业合并形成的商誉的账面价值，自购买日起按照合理的方法分摊至相关的资产组；难以 分摊至相关的资产组的，将其分摊至相关的资产组组合。在将商誉的账面价值分摊至相关的资产组或者资产组组合时，按照 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p>
    <w:p>
      <w:pPr>
        <w:pStyle w:val="Style28"/>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不包含商誉的资产组或者资产组组合进行减值测试，计算可收回金额，并与相关账面价值相比较，确认相应的减值损失。再 对包含商誉的资产组或者资产组组合进行减值测试，比较这些相关资产组或者资产组组合的账面价值（包括所分摊的商誉的 账面价值部分）与其可收回金额，如相关资产组或者资产组组合的可收回金额低于其账面价值的，确认商誉的减值损失。 上述资产减值损失一经确认，在以后会计期间不予转回。</w:t>
      </w:r>
    </w:p>
    <w:p>
      <w:pPr>
        <w:pStyle w:val="Style32"/>
        <w:keepNext/>
        <w:keepLines/>
        <w:widowControl w:val="0"/>
        <w:shd w:val="clear" w:color="auto" w:fill="auto"/>
        <w:tabs>
          <w:tab w:pos="474" w:val="left"/>
        </w:tabs>
        <w:bidi w:val="0"/>
        <w:spacing w:before="0" w:after="300" w:line="316" w:lineRule="exact"/>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871"/>
      <w:bookmarkEnd w:id="872"/>
      <w:bookmarkEnd w:id="874"/>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长期待摊费用为已经发生但应由本期和以后各期负担的分摊期限在一年以上的各项费用。本公司长期待摊费用包括租入资产 改良支出、软件使用许可费。</w:t>
      </w:r>
    </w:p>
    <w:p>
      <w:pPr>
        <w:pStyle w:val="Style35"/>
        <w:keepNext w:val="0"/>
        <w:keepLines w:val="0"/>
        <w:widowControl w:val="0"/>
        <w:numPr>
          <w:ilvl w:val="0"/>
          <w:numId w:val="31"/>
        </w:numPr>
        <w:shd w:val="clear" w:color="auto" w:fill="auto"/>
        <w:tabs>
          <w:tab w:pos="325" w:val="left"/>
        </w:tabs>
        <w:bidi w:val="0"/>
        <w:spacing w:before="0" w:after="0" w:line="326" w:lineRule="auto"/>
        <w:ind w:left="0" w:right="0" w:firstLine="0"/>
        <w:jc w:val="both"/>
        <w:rPr>
          <w:sz w:val="20"/>
          <w:szCs w:val="20"/>
        </w:rPr>
      </w:pPr>
      <w:bookmarkStart w:id="875" w:name="bookmark875"/>
      <w:bookmarkEnd w:id="875"/>
      <w:r>
        <w:rPr>
          <w:b/>
          <w:bCs/>
          <w:color w:val="000000"/>
          <w:spacing w:val="0"/>
          <w:w w:val="100"/>
          <w:position w:val="0"/>
          <w:sz w:val="20"/>
          <w:szCs w:val="20"/>
        </w:rPr>
        <w:t>摊销方法</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长期待摊费用在受益期内平均摊销</w:t>
      </w:r>
    </w:p>
    <w:p>
      <w:pPr>
        <w:pStyle w:val="Style35"/>
        <w:keepNext w:val="0"/>
        <w:keepLines w:val="0"/>
        <w:widowControl w:val="0"/>
        <w:numPr>
          <w:ilvl w:val="0"/>
          <w:numId w:val="31"/>
        </w:numPr>
        <w:shd w:val="clear" w:color="auto" w:fill="auto"/>
        <w:tabs>
          <w:tab w:pos="339" w:val="left"/>
        </w:tabs>
        <w:bidi w:val="0"/>
        <w:spacing w:before="0" w:after="0" w:line="326" w:lineRule="auto"/>
        <w:ind w:left="0" w:right="0" w:firstLine="0"/>
        <w:jc w:val="both"/>
        <w:rPr>
          <w:sz w:val="20"/>
          <w:szCs w:val="20"/>
        </w:rPr>
      </w:pPr>
      <w:bookmarkStart w:id="876" w:name="bookmark876"/>
      <w:bookmarkEnd w:id="876"/>
      <w:r>
        <w:rPr>
          <w:b/>
          <w:bCs/>
          <w:color w:val="000000"/>
          <w:spacing w:val="0"/>
          <w:w w:val="100"/>
          <w:position w:val="0"/>
          <w:sz w:val="20"/>
          <w:szCs w:val="20"/>
        </w:rPr>
        <w:t>摊销年限</w:t>
      </w:r>
    </w:p>
    <w:tbl>
      <w:tblPr>
        <w:tblOverlap w:val="never"/>
        <w:jc w:val="center"/>
        <w:tblLayout w:type="fixed"/>
      </w:tblPr>
      <w:tblGrid>
        <w:gridCol w:w="4838"/>
        <w:gridCol w:w="483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租入资产改良支出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年</w:t>
            </w:r>
          </w:p>
        </w:tc>
      </w:tr>
    </w:tbl>
    <w:p>
      <w:pPr>
        <w:widowControl w:val="0"/>
        <w:spacing w:line="1" w:lineRule="exact"/>
      </w:pPr>
    </w:p>
    <w:tbl>
      <w:tblPr>
        <w:tblOverlap w:val="never"/>
        <w:jc w:val="center"/>
        <w:tblLayout w:type="fixed"/>
      </w:tblPr>
      <w:tblGrid>
        <w:gridCol w:w="4838"/>
        <w:gridCol w:w="483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软件许可费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r>
    </w:tbl>
    <w:p>
      <w:pPr>
        <w:widowControl w:val="0"/>
        <w:spacing w:after="559" w:line="1" w:lineRule="exact"/>
      </w:pPr>
    </w:p>
    <w:p>
      <w:pPr>
        <w:pStyle w:val="Style32"/>
        <w:keepNext/>
        <w:keepLines/>
        <w:widowControl w:val="0"/>
        <w:shd w:val="clear" w:color="auto" w:fill="auto"/>
        <w:tabs>
          <w:tab w:pos="474" w:val="left"/>
        </w:tabs>
        <w:bidi w:val="0"/>
        <w:spacing w:before="0" w:after="280" w:line="312"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877"/>
      <w:bookmarkEnd w:id="878"/>
      <w:bookmarkEnd w:id="880"/>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合同负债，是指本公司已收或应收客户对价而应向客户转让商品或服务的义务。</w:t>
      </w:r>
    </w:p>
    <w:p>
      <w:pPr>
        <w:pStyle w:val="Style35"/>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自</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日起的会计政策</w:t>
      </w:r>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本公司根据履行履约义务与客户付款之间的关系在资产负债表中列示合同资产或合同负债。本公司已收或应收客户对价而应 向客户转让商品或提供服务的义务列示为合同负债。同一合同下的合同资产和合同负债以净额列示。</w:t>
      </w:r>
    </w:p>
    <w:p>
      <w:pPr>
        <w:pStyle w:val="Style32"/>
        <w:keepNext/>
        <w:keepLines/>
        <w:widowControl w:val="0"/>
        <w:shd w:val="clear" w:color="auto" w:fill="auto"/>
        <w:tabs>
          <w:tab w:pos="474" w:val="left"/>
        </w:tabs>
        <w:bidi w:val="0"/>
        <w:spacing w:before="0" w:after="280" w:line="312" w:lineRule="exact"/>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881"/>
      <w:bookmarkEnd w:id="882"/>
      <w:bookmarkEnd w:id="884"/>
    </w:p>
    <w:p>
      <w:pPr>
        <w:pStyle w:val="Style41"/>
        <w:keepNext/>
        <w:keepLines/>
        <w:widowControl w:val="0"/>
        <w:shd w:val="clear" w:color="auto" w:fill="auto"/>
        <w:tabs>
          <w:tab w:pos="493" w:val="left"/>
        </w:tabs>
        <w:bidi w:val="0"/>
        <w:spacing w:before="0" w:after="280" w:line="312" w:lineRule="exact"/>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85"/>
      <w:bookmarkEnd w:id="886"/>
      <w:bookmarkEnd w:id="888"/>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28"/>
        <w:keepNext w:val="0"/>
        <w:keepLines w:val="0"/>
        <w:widowControl w:val="0"/>
        <w:shd w:val="clear" w:color="auto" w:fill="auto"/>
        <w:bidi w:val="0"/>
        <w:spacing w:before="0" w:after="280" w:line="314" w:lineRule="exact"/>
        <w:ind w:left="0" w:right="0" w:firstLine="0"/>
        <w:jc w:val="left"/>
      </w:pPr>
      <w:r>
        <w:rPr>
          <w:color w:val="000000"/>
          <w:spacing w:val="0"/>
          <w:w w:val="100"/>
          <w:position w:val="0"/>
        </w:rPr>
        <w:t>职工福利费为非货币性福利的，如能够可靠计量的，按照公允价值计量。</w:t>
      </w:r>
    </w:p>
    <w:p>
      <w:pPr>
        <w:pStyle w:val="Style41"/>
        <w:keepNext/>
        <w:keepLines/>
        <w:widowControl w:val="0"/>
        <w:shd w:val="clear" w:color="auto" w:fill="auto"/>
        <w:tabs>
          <w:tab w:pos="493" w:val="left"/>
        </w:tabs>
        <w:bidi w:val="0"/>
        <w:spacing w:before="0" w:after="280" w:line="312" w:lineRule="exact"/>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9"/>
      <w:bookmarkEnd w:id="890"/>
      <w:bookmarkEnd w:id="892"/>
    </w:p>
    <w:p>
      <w:pPr>
        <w:pStyle w:val="Style28"/>
        <w:keepNext w:val="0"/>
        <w:keepLines w:val="0"/>
        <w:widowControl w:val="0"/>
        <w:shd w:val="clear" w:color="auto" w:fill="auto"/>
        <w:tabs>
          <w:tab w:pos="445" w:val="left"/>
        </w:tabs>
        <w:bidi w:val="0"/>
        <w:spacing w:before="0" w:after="0" w:line="315" w:lineRule="exact"/>
        <w:ind w:left="0" w:right="0" w:firstLine="0"/>
        <w:jc w:val="left"/>
      </w:pPr>
      <w:bookmarkStart w:id="893" w:name="bookmark893"/>
      <w:r>
        <w:rPr>
          <w:color w:val="000000"/>
          <w:spacing w:val="0"/>
          <w:w w:val="100"/>
          <w:position w:val="0"/>
          <w:sz w:val="22"/>
          <w:szCs w:val="22"/>
        </w:rPr>
        <w:t>（</w:t>
      </w:r>
      <w:bookmarkEnd w:id="893"/>
      <w:r>
        <w:rPr>
          <w:rFonts w:ascii="Arial" w:eastAsia="Arial" w:hAnsi="Arial" w:cs="Arial"/>
          <w:color w:val="000000"/>
          <w:spacing w:val="0"/>
          <w:w w:val="100"/>
          <w:position w:val="0"/>
          <w:sz w:val="18"/>
          <w:szCs w:val="18"/>
        </w:rPr>
        <w:t>1</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设定提存计划</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本公司按当地政府的相关规定为职工缴纳基本养老保险和失业保险，在职工为本公司提供服务的会计期间，按以当地规定的 缴纳基数和比例计算应缴纳金额，确认为负债，并计入当期损益或相关资产成本。</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除基本养老保险外，本公司还依据国家企业年金制度的相关政策建立了企业年金缴费制度（补充养老保险）/企业年金计划。 本公司按职工工资总额的一定比例向当地社会保险机构缴费/年金计划缴费，相应支出计入当期损益或相关资产成本。</w:t>
      </w:r>
    </w:p>
    <w:p>
      <w:pPr>
        <w:pStyle w:val="Style28"/>
        <w:keepNext w:val="0"/>
        <w:keepLines w:val="0"/>
        <w:widowControl w:val="0"/>
        <w:shd w:val="clear" w:color="auto" w:fill="auto"/>
        <w:tabs>
          <w:tab w:pos="445" w:val="left"/>
        </w:tabs>
        <w:bidi w:val="0"/>
        <w:spacing w:before="0" w:after="0" w:line="315" w:lineRule="exact"/>
        <w:ind w:left="0" w:right="0" w:firstLine="0"/>
        <w:jc w:val="left"/>
      </w:pPr>
      <w:bookmarkStart w:id="894" w:name="bookmark894"/>
      <w:r>
        <w:rPr>
          <w:color w:val="000000"/>
          <w:spacing w:val="0"/>
          <w:w w:val="100"/>
          <w:position w:val="0"/>
          <w:sz w:val="22"/>
          <w:szCs w:val="22"/>
        </w:rPr>
        <w:t>（</w:t>
      </w:r>
      <w:bookmarkEnd w:id="894"/>
      <w:r>
        <w:rPr>
          <w:rFonts w:ascii="Arial" w:eastAsia="Arial" w:hAnsi="Arial" w:cs="Arial"/>
          <w:color w:val="000000"/>
          <w:spacing w:val="0"/>
          <w:w w:val="100"/>
          <w:position w:val="0"/>
          <w:sz w:val="18"/>
          <w:szCs w:val="18"/>
        </w:rPr>
        <w:t>2</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设定受益计划</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本公司根据预期累计福利单位法确定的公式将设定受益计划产生的福利义务归属于职工提供服务的期间，并计入当期损益或 相关资产成本。</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设定受益计划义务现值减去设定受益计划资产公允价值所形成的赤字或盈余确认为一项设定受益计划净负债或净资产。设定 受益计划存在盈余的，本公司以设定受益计划的盈余和资产上限两项的孰低者计量设定受益计划净资产。</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所有设定受益计划义务，包括预期在职工提供服务的年度报告期间结束后的十二个月内支付的义务，根据资产负债表日与设 定受益计划义务期限和币种相匹配的国债或活跃市场上的高质量公司债券的市场收益率予以折现。</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设定受益计划产生的服务成本和设定受益计划净负债或净资产的利息净额计入当期损益或相关资产成本;重新计量设定受益 计划净负债或净资产所产生的变动计入其他综合收益，并且在后续会计期间不转回至损益，在原设定受益计划终止时在权益 范围内将原计入其他综合收益的部分全部结转至未分配利润。</w:t>
      </w:r>
    </w:p>
    <w:p>
      <w:pPr>
        <w:pStyle w:val="Style28"/>
        <w:keepNext w:val="0"/>
        <w:keepLines w:val="0"/>
        <w:widowControl w:val="0"/>
        <w:shd w:val="clear" w:color="auto" w:fill="auto"/>
        <w:bidi w:val="0"/>
        <w:spacing w:before="0" w:after="280" w:line="315" w:lineRule="exact"/>
        <w:ind w:left="0" w:right="0" w:firstLine="0"/>
        <w:jc w:val="left"/>
      </w:pPr>
      <w:r>
        <w:rPr>
          <w:color w:val="000000"/>
          <w:spacing w:val="0"/>
          <w:w w:val="100"/>
          <w:position w:val="0"/>
        </w:rPr>
        <w:t>在设定受益计划结算时，按在结算日确定的设定受益计划义务现值和结算价格两者的差额，确认结算利得或损失。</w:t>
      </w:r>
    </w:p>
    <w:p>
      <w:pPr>
        <w:pStyle w:val="Style41"/>
        <w:keepNext/>
        <w:keepLines/>
        <w:widowControl w:val="0"/>
        <w:shd w:val="clear" w:color="auto" w:fill="auto"/>
        <w:tabs>
          <w:tab w:pos="493" w:val="left"/>
        </w:tabs>
        <w:bidi w:val="0"/>
        <w:spacing w:before="0" w:after="280" w:line="312" w:lineRule="exact"/>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5"/>
      <w:bookmarkEnd w:id="896"/>
      <w:bookmarkEnd w:id="898"/>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本公司在不能单方面撤回因解除劳动关系计划或裁减建议所提供的辞退福利时，或确认与涉及支付辞退福利的重组相关的成 本或费用时（两者孰早），确认辞退福利产生的职工薪酬负债，并计入当期损益。</w:t>
      </w:r>
    </w:p>
    <w:p>
      <w:pPr>
        <w:pStyle w:val="Style32"/>
        <w:keepNext/>
        <w:keepLines/>
        <w:widowControl w:val="0"/>
        <w:shd w:val="clear" w:color="auto" w:fill="auto"/>
        <w:tabs>
          <w:tab w:pos="452" w:val="left"/>
        </w:tabs>
        <w:bidi w:val="0"/>
        <w:spacing w:before="0" w:after="320" w:line="312" w:lineRule="exact"/>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899"/>
      <w:bookmarkEnd w:id="900"/>
      <w:bookmarkEnd w:id="902"/>
    </w:p>
    <w:p>
      <w:pPr>
        <w:pStyle w:val="Style32"/>
        <w:keepNext/>
        <w:keepLines/>
        <w:widowControl w:val="0"/>
        <w:numPr>
          <w:ilvl w:val="0"/>
          <w:numId w:val="33"/>
        </w:numPr>
        <w:shd w:val="clear" w:color="auto" w:fill="auto"/>
        <w:tabs>
          <w:tab w:pos="294" w:val="left"/>
        </w:tabs>
        <w:bidi w:val="0"/>
        <w:spacing w:before="0" w:after="0" w:line="312" w:lineRule="exact"/>
        <w:ind w:left="0" w:right="0" w:firstLine="0"/>
        <w:jc w:val="left"/>
      </w:pPr>
      <w:bookmarkStart w:id="899" w:name="bookmark899"/>
      <w:bookmarkStart w:id="900" w:name="bookmark900"/>
      <w:bookmarkStart w:id="903" w:name="bookmark903"/>
      <w:bookmarkEnd w:id="903"/>
      <w:r>
        <w:rPr>
          <w:color w:val="000000"/>
          <w:spacing w:val="0"/>
          <w:w w:val="100"/>
          <w:position w:val="0"/>
        </w:rPr>
        <w:t>预计负债的确认标准</w:t>
      </w:r>
      <w:bookmarkEnd w:id="899"/>
      <w:bookmarkEnd w:id="900"/>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与诉讼、债务担保、亏损合同、重组事项等或有事项相关的义务同时满足下列条件时，本公司确认为预计负债：</w:t>
      </w:r>
    </w:p>
    <w:p>
      <w:pPr>
        <w:pStyle w:val="Style28"/>
        <w:keepNext w:val="0"/>
        <w:keepLines w:val="0"/>
        <w:widowControl w:val="0"/>
        <w:shd w:val="clear" w:color="auto" w:fill="auto"/>
        <w:tabs>
          <w:tab w:pos="414" w:val="left"/>
        </w:tabs>
        <w:bidi w:val="0"/>
        <w:spacing w:before="0" w:after="0" w:line="313" w:lineRule="exact"/>
        <w:ind w:left="0" w:right="0" w:firstLine="0"/>
        <w:jc w:val="left"/>
      </w:pPr>
      <w:bookmarkStart w:id="904" w:name="bookmark904"/>
      <w:r>
        <w:rPr>
          <w:color w:val="000000"/>
          <w:spacing w:val="0"/>
          <w:w w:val="100"/>
          <w:position w:val="0"/>
          <w:sz w:val="22"/>
          <w:szCs w:val="22"/>
        </w:rPr>
        <w:t>（</w:t>
      </w:r>
      <w:bookmarkEnd w:id="904"/>
      <w:r>
        <w:rPr>
          <w:rFonts w:ascii="Arial" w:eastAsia="Arial" w:hAnsi="Arial" w:cs="Arial"/>
          <w:color w:val="000000"/>
          <w:spacing w:val="0"/>
          <w:w w:val="100"/>
          <w:position w:val="0"/>
          <w:sz w:val="18"/>
          <w:szCs w:val="18"/>
        </w:rPr>
        <w:t>1</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该义务是本公司承担的现时义务；</w:t>
      </w:r>
    </w:p>
    <w:p>
      <w:pPr>
        <w:pStyle w:val="Style28"/>
        <w:keepNext w:val="0"/>
        <w:keepLines w:val="0"/>
        <w:widowControl w:val="0"/>
        <w:shd w:val="clear" w:color="auto" w:fill="auto"/>
        <w:tabs>
          <w:tab w:pos="414" w:val="left"/>
        </w:tabs>
        <w:bidi w:val="0"/>
        <w:spacing w:before="0" w:after="0" w:line="313" w:lineRule="exact"/>
        <w:ind w:left="0" w:right="0" w:firstLine="0"/>
        <w:jc w:val="left"/>
      </w:pPr>
      <w:bookmarkStart w:id="905" w:name="bookmark905"/>
      <w:r>
        <w:rPr>
          <w:color w:val="000000"/>
          <w:spacing w:val="0"/>
          <w:w w:val="100"/>
          <w:position w:val="0"/>
          <w:sz w:val="22"/>
          <w:szCs w:val="22"/>
        </w:rPr>
        <w:t>（</w:t>
      </w:r>
      <w:bookmarkEnd w:id="905"/>
      <w:r>
        <w:rPr>
          <w:rFonts w:ascii="Arial" w:eastAsia="Arial" w:hAnsi="Arial" w:cs="Arial"/>
          <w:color w:val="000000"/>
          <w:spacing w:val="0"/>
          <w:w w:val="100"/>
          <w:position w:val="0"/>
          <w:sz w:val="18"/>
          <w:szCs w:val="18"/>
        </w:rPr>
        <w:t>2</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履行该义务很可能导致经济利益流出本公司；</w:t>
      </w:r>
    </w:p>
    <w:p>
      <w:pPr>
        <w:pStyle w:val="Style28"/>
        <w:keepNext w:val="0"/>
        <w:keepLines w:val="0"/>
        <w:widowControl w:val="0"/>
        <w:shd w:val="clear" w:color="auto" w:fill="auto"/>
        <w:tabs>
          <w:tab w:pos="414" w:val="left"/>
        </w:tabs>
        <w:bidi w:val="0"/>
        <w:spacing w:before="0" w:after="320" w:line="313" w:lineRule="exact"/>
        <w:ind w:left="0" w:right="0" w:firstLine="0"/>
        <w:jc w:val="left"/>
      </w:pPr>
      <w:bookmarkStart w:id="906" w:name="bookmark906"/>
      <w:r>
        <w:rPr>
          <w:color w:val="000000"/>
          <w:spacing w:val="0"/>
          <w:w w:val="100"/>
          <w:position w:val="0"/>
          <w:sz w:val="22"/>
          <w:szCs w:val="22"/>
        </w:rPr>
        <w:t>（</w:t>
      </w:r>
      <w:bookmarkEnd w:id="906"/>
      <w:r>
        <w:rPr>
          <w:rFonts w:ascii="Arial" w:eastAsia="Arial" w:hAnsi="Arial" w:cs="Arial"/>
          <w:color w:val="000000"/>
          <w:spacing w:val="0"/>
          <w:w w:val="100"/>
          <w:position w:val="0"/>
          <w:sz w:val="18"/>
          <w:szCs w:val="18"/>
        </w:rPr>
        <w:t>3</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该义务的金额能够可靠地计量。</w:t>
      </w:r>
    </w:p>
    <w:p>
      <w:pPr>
        <w:pStyle w:val="Style35"/>
        <w:keepNext w:val="0"/>
        <w:keepLines w:val="0"/>
        <w:widowControl w:val="0"/>
        <w:numPr>
          <w:ilvl w:val="0"/>
          <w:numId w:val="33"/>
        </w:numPr>
        <w:shd w:val="clear" w:color="auto" w:fill="auto"/>
        <w:tabs>
          <w:tab w:pos="308" w:val="left"/>
        </w:tabs>
        <w:bidi w:val="0"/>
        <w:spacing w:before="0" w:after="0" w:line="312" w:lineRule="exact"/>
        <w:ind w:left="0" w:right="0" w:firstLine="0"/>
        <w:jc w:val="left"/>
        <w:rPr>
          <w:sz w:val="20"/>
          <w:szCs w:val="20"/>
        </w:rPr>
      </w:pPr>
      <w:bookmarkStart w:id="907" w:name="bookmark907"/>
      <w:bookmarkEnd w:id="907"/>
      <w:r>
        <w:rPr>
          <w:b/>
          <w:bCs/>
          <w:color w:val="000000"/>
          <w:spacing w:val="0"/>
          <w:w w:val="100"/>
          <w:position w:val="0"/>
          <w:sz w:val="20"/>
          <w:szCs w:val="20"/>
        </w:rPr>
        <w:t>各类预计负债的计量方法</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本公司预计负债按履行相关现时义务所需的支出的最佳估计数进行初始计量。</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本公司在确定最佳估计数时，综合考虑与或有事项有关的风险、不确定性和货币时间价值等因素。对于货币时间价值影响重 大的，通过对相关未来现金流出进行折现后确定最佳估计数。</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最佳估计数分别以下情况处理： 所需支出存在一个连续范围（或区间），且该范围内各种结果发生的可能性相同的，则最佳估计数按照该范围的中间值即上 下限金额的平均数确定。</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所需支出不存在一个连续范围（或区间），或虽然存在一个连续范围但该范围内各种结果发生的可能性不相同的，如或有事 项涉及单个项目的，则最佳估计数按照最可能发生金额确定；如或有事项涉及多个项目的，则最佳估计数按各种可能结果及 相关概率计算确定。</w:t>
      </w:r>
    </w:p>
    <w:p>
      <w:pPr>
        <w:pStyle w:val="Style2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本公司清偿预计负债所需支出全部或部分预期由第三方补偿的，补偿金额在基本确定能够收到时，作为资产单独确认，确认 的补偿金额不超过预计负债的账面价值。</w:t>
      </w:r>
    </w:p>
    <w:p>
      <w:pPr>
        <w:pStyle w:val="Style32"/>
        <w:keepNext/>
        <w:keepLines/>
        <w:widowControl w:val="0"/>
        <w:shd w:val="clear" w:color="auto" w:fill="auto"/>
        <w:tabs>
          <w:tab w:pos="452" w:val="left"/>
        </w:tabs>
        <w:bidi w:val="0"/>
        <w:spacing w:before="0" w:after="260" w:line="312" w:lineRule="exact"/>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股份支付</w:t>
      </w:r>
      <w:bookmarkEnd w:id="908"/>
      <w:bookmarkEnd w:id="909"/>
      <w:bookmarkEnd w:id="911"/>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本公司的股份支付是为了获取职工［或其他方］提供服务而授予权益工具或者承担以权益工具为基础确定的负债的交易。本公 司的股份支付分为以权益结算的股份支付和以现金结算的股份支付。</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以权益结算的股份支付及权益工具</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 则本公司按照事先约定的价格回购股票。本公司取得职工认购限制性股票支付的款项时，按照取得的认股款确认股本和资本 公积（股本溢价），同时就回购义务全额确认一项负债并确认库存股。在等待期内每个资产负债表日，本公司根据最新取得 的可行权职工人数变动、是否达到规定业绩条件等后续信息对可行权权益工具数量作出最佳估计，以此为基础，按照授予日 的公允价值，将当期取得的服务计入相关成本或费用，相应增加资本公积。在可行权日之后不再对已确认的相关成本或费用 和所有者权益总额进行调整。但授予后立即可行权的，在授予日按照公允价值计入相关成本或费用，相应增加资本公积。 对于最终未能行权的股份支付，不确认成本或费用，除非行权条件是市场条件或非可行权条件，此时无论是否满足市场条件 或非可行权条件，只要满足所有可行权条件中的非市场条件，即视为可行权。</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2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如果取消了以权益结算的股份支付，则于取消日作为加速行权处理，立即确认尚未确认的金额。职工或其他方能够选择满足 非可行权条件但在等待期内未满足的，作为取消以权益结算的股份支付处理。但是，如果授予新的权益工具，并在新权益工 具授予日认定所授予的新权益工具是用于替代被取消的权益工具的，则以与处理原权益工具条款和条件修改相同的方式，对 所授予的替代权益工具进行处理。</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其他权益工具</w:t>
      </w:r>
      <w:bookmarkEnd w:id="912"/>
      <w:bookmarkEnd w:id="913"/>
      <w:bookmarkEnd w:id="915"/>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公司对发行的可转换债券进行评估，以确定所发行的可转换债券为复合金融工具，同时包含金融负债成分和权益工具成分。 对于复合金融工具，公司于初始确认时将各组成部分分别分类为金融负债、权益工具。公司于初始计量时先确定金融负债成 分的公允价值，再从复合金融工具公允价值中扣除负债成分的公允价值，作为权益工具成分的价值，计入其他权益工具。</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3</w:t>
      </w:r>
      <w:r>
        <w:rPr>
          <w:color w:val="000000"/>
          <w:spacing w:val="0"/>
          <w:w w:val="100"/>
          <w:position w:val="0"/>
        </w:rPr>
        <w:t>、</w:t>
        <w:tab/>
        <w:t>收入</w:t>
      </w:r>
      <w:bookmarkEnd w:id="916"/>
      <w:bookmarkEnd w:id="917"/>
      <w:bookmarkEnd w:id="919"/>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自</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日起的会计政策</w:t>
      </w:r>
    </w:p>
    <w:p>
      <w:pPr>
        <w:pStyle w:val="Style35"/>
        <w:keepNext w:val="0"/>
        <w:keepLines w:val="0"/>
        <w:widowControl w:val="0"/>
        <w:numPr>
          <w:ilvl w:val="0"/>
          <w:numId w:val="35"/>
        </w:numPr>
        <w:shd w:val="clear" w:color="auto" w:fill="auto"/>
        <w:bidi w:val="0"/>
        <w:spacing w:before="0" w:after="0" w:line="240" w:lineRule="auto"/>
        <w:ind w:left="0" w:right="0" w:firstLine="0"/>
        <w:jc w:val="left"/>
        <w:rPr>
          <w:sz w:val="20"/>
          <w:szCs w:val="20"/>
        </w:rPr>
      </w:pPr>
      <w:bookmarkStart w:id="920" w:name="bookmark920"/>
      <w:bookmarkEnd w:id="920"/>
      <w:r>
        <w:rPr>
          <w:b/>
          <w:bCs/>
          <w:color w:val="000000"/>
          <w:spacing w:val="0"/>
          <w:w w:val="100"/>
          <w:position w:val="0"/>
          <w:sz w:val="20"/>
          <w:szCs w:val="20"/>
        </w:rPr>
        <w:t>收入确认和计量所采用的会计政策</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本公司在履行了合同中的履约义务，即在客户取得相关商品或服务控制权时确认收入。取得相关商品或服务控制权，是指能 够主导该商品或服务的使用并从中获得几乎全部的经济利益。</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合同中包含两项或多项履约义务的，本公司在合同开始日，按照各单项履约义务所承诺商品或服务的单独售价的相对比例， 将交易价格分摊至各单项履约义务。本公司按照分摊至各单项履约义务的交易价格计量收入。</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交易价格是指本公司因向客户转让商品或服务而预期有权收取的对价金额,不包括代第三方收取的款项以及预期将退还给客 户的款项。本公司根据合同条款，结合其以往的习惯做法确定交易价格，并在确定交易价格时，考虑可变对价、合同中存在 的重大融资成分、非现金对价、应付客户对价等因素的影响。本公司以不超过在相关不确定性消除时累计已确认收入极可能 不会发生重大转回的金额确定包含可变对价的交易价格。合同中存在重大融资成分的，本公司按照假定客户在取得商品或服 务控制权时即以现金支付的应付金额确定交易价格，并在合同期间内采用实际利率法摊销该交易价格与合同对价之间的差 额。（对于控制权转移与客户支付价款间隔不超过一年的，企业不考虑其中的融资成分。）</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满足下列条件之一的，属于在某一时段内履行履约义务，否则，属于在某一时点履行履约义务：</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客户在本公司履约的同时即取得并消耗本公司履约所带来的经济利益。</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客户能够控制本公司履约过程中在建的商品。</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本公司履约过程中所产出的商品具有不可替代用途，且本公司在整个合同期内有权就累计至今已完成的履约部分收取款 项。</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对于在某一时段内履行的履约义务，本公司在该段时间内按照履约进度确认收入，但是，履约进度不能合理确定的除外。本 公司考虑商品或服务的性质，采用产出法或投入法确定履约进度。当履约进度不能合理确定时，已经发生的成本预计能够得 到补偿的，本公司按照已经发生的成本金额确认收入，直到履约进度能够合理确定为止。</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对于在某一时点履行的履约义务，本公司在客户取得相关商品或服务控制权时点确认收入。在判断客户是否已取得商品或服 务控制权时，本公司考虑下列迹象：</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本公司就该商品或服务享有现时收款权利，即客户就该商品或服务负有现时付款义务。</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本公司已将该商品的法定所有权转移给客户，即客户已拥有该商品的法定所有权。</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本公司已将该商品实物转移给客户，即客户已实物占有该商品。</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本公司已将该商品所有权上的主要风险和报酬转移给客户，即客户已取得该商品所有权上的主要风险和报酬。</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客户已接受该商品或服务等。</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本公司的收入的收入主要来源于如下业务类型：</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自主软件产品业务，主要包括公司自主开发的软件产品的销售、首次实施服务和后续的升级服务。</w:t>
      </w:r>
    </w:p>
    <w:p>
      <w:pPr>
        <w:pStyle w:val="Style28"/>
        <w:keepNext w:val="0"/>
        <w:keepLines w:val="0"/>
        <w:widowControl w:val="0"/>
        <w:shd w:val="clear" w:color="auto" w:fill="auto"/>
        <w:tabs>
          <w:tab w:pos="445" w:val="left"/>
        </w:tabs>
        <w:bidi w:val="0"/>
        <w:spacing w:before="0" w:after="0" w:line="312" w:lineRule="exact"/>
        <w:ind w:left="0" w:right="0" w:firstLine="0"/>
        <w:jc w:val="left"/>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传统</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及相关信息化软件业务，主要包括在第三方提供的标准化系统软件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SAP/ORACLE</w:t>
      </w:r>
      <w:r>
        <w:rPr>
          <w:color w:val="000000"/>
          <w:spacing w:val="0"/>
          <w:w w:val="100"/>
          <w:position w:val="0"/>
        </w:rPr>
        <w:t>等）基础上的实施服务。</w:t>
      </w:r>
    </w:p>
    <w:p>
      <w:pPr>
        <w:pStyle w:val="Style28"/>
        <w:keepNext w:val="0"/>
        <w:keepLines w:val="0"/>
        <w:widowControl w:val="0"/>
        <w:shd w:val="clear" w:color="auto" w:fill="auto"/>
        <w:tabs>
          <w:tab w:pos="541" w:val="left"/>
        </w:tabs>
        <w:bidi w:val="0"/>
        <w:spacing w:before="0" w:after="0" w:line="322" w:lineRule="exact"/>
        <w:ind w:left="0" w:right="0" w:firstLine="0"/>
        <w:jc w:val="left"/>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软件外包业务，主要包括为海外客户提供</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等软件的二次开发服务，以及一部分为满足国内大型客户需求提供的技 术开发外包工作。</w:t>
      </w:r>
    </w:p>
    <w:p>
      <w:pPr>
        <w:pStyle w:val="Style28"/>
        <w:keepNext w:val="0"/>
        <w:keepLines w:val="0"/>
        <w:widowControl w:val="0"/>
        <w:shd w:val="clear" w:color="auto" w:fill="auto"/>
        <w:tabs>
          <w:tab w:pos="445" w:val="left"/>
        </w:tabs>
        <w:bidi w:val="0"/>
        <w:spacing w:before="0" w:after="0" w:line="322" w:lineRule="exact"/>
        <w:ind w:left="0" w:right="0" w:firstLine="0"/>
        <w:jc w:val="left"/>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客户支持业务：主要包括公司在为客户在进行了较大规模的</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 xml:space="preserve">及相关系统信息化建设后，由公司提供长期的高质量 </w:t>
      </w:r>
      <w:r>
        <w:rPr>
          <w:color w:val="000000"/>
          <w:spacing w:val="0"/>
          <w:w w:val="100"/>
          <w:position w:val="0"/>
        </w:rPr>
        <w:t>系统运维支持，如系统日常维护、故障排除以及因企业业务调整而相应地需要进行系统升级维护等。</w:t>
      </w:r>
    </w:p>
    <w:p>
      <w:pPr>
        <w:pStyle w:val="Style28"/>
        <w:keepNext w:val="0"/>
        <w:keepLines w:val="0"/>
        <w:widowControl w:val="0"/>
        <w:numPr>
          <w:ilvl w:val="0"/>
          <w:numId w:val="37"/>
        </w:numPr>
        <w:shd w:val="clear" w:color="auto" w:fill="auto"/>
        <w:bidi w:val="0"/>
        <w:spacing w:before="0" w:after="480" w:line="317" w:lineRule="exact"/>
        <w:ind w:left="0" w:right="0" w:firstLine="0"/>
        <w:jc w:val="left"/>
      </w:pPr>
      <w:bookmarkStart w:id="925" w:name="bookmark925"/>
      <w:bookmarkEnd w:id="925"/>
      <w:r>
        <w:rPr>
          <w:color w:val="000000"/>
          <w:spacing w:val="0"/>
          <w:w w:val="100"/>
          <w:position w:val="0"/>
        </w:rPr>
        <w:t>其他业务：主要包括数据处理、软硬件销售、商业保理服务。其中数据处理业务是除前述为客户提供软件实施服务以 外，根据部分客户的数据处理需求，为其提供扫描加工、数据处理、存储和分析等服务；公司软硬件销售业务仅是实施服务 的衍生业务，在为顾客提供实施服务前期会参考客户自身意愿、结合客户的业务特点向客户销售相应的软硬件产品。</w:t>
      </w:r>
    </w:p>
    <w:p>
      <w:pPr>
        <w:pStyle w:val="Style35"/>
        <w:keepNext w:val="0"/>
        <w:keepLines w:val="0"/>
        <w:widowControl w:val="0"/>
        <w:numPr>
          <w:ilvl w:val="0"/>
          <w:numId w:val="35"/>
        </w:numPr>
        <w:shd w:val="clear" w:color="auto" w:fill="auto"/>
        <w:bidi w:val="0"/>
        <w:spacing w:before="0" w:after="80" w:line="240" w:lineRule="auto"/>
        <w:ind w:left="0" w:right="0" w:firstLine="0"/>
        <w:jc w:val="left"/>
        <w:rPr>
          <w:sz w:val="20"/>
          <w:szCs w:val="20"/>
        </w:rPr>
      </w:pPr>
      <w:bookmarkStart w:id="926" w:name="bookmark926"/>
      <w:bookmarkEnd w:id="926"/>
      <w:r>
        <w:rPr>
          <w:b/>
          <w:bCs/>
          <w:color w:val="000000"/>
          <w:spacing w:val="0"/>
          <w:w w:val="100"/>
          <w:position w:val="0"/>
          <w:sz w:val="20"/>
          <w:szCs w:val="20"/>
        </w:rPr>
        <w:t>本公司无同类业务采用不同经营模式导致收入确认会计政策存在差异的情况</w:t>
      </w:r>
    </w:p>
    <w:p>
      <w:pPr>
        <w:pStyle w:val="Style35"/>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日前的会计政策</w:t>
      </w:r>
    </w:p>
    <w:p>
      <w:pPr>
        <w:pStyle w:val="Style35"/>
        <w:keepNext w:val="0"/>
        <w:keepLines w:val="0"/>
        <w:widowControl w:val="0"/>
        <w:numPr>
          <w:ilvl w:val="0"/>
          <w:numId w:val="39"/>
        </w:numPr>
        <w:shd w:val="clear" w:color="auto" w:fill="auto"/>
        <w:tabs>
          <w:tab w:pos="334" w:val="left"/>
        </w:tabs>
        <w:bidi w:val="0"/>
        <w:spacing w:before="0" w:after="0" w:line="240" w:lineRule="auto"/>
        <w:ind w:left="0" w:right="0" w:firstLine="0"/>
        <w:jc w:val="left"/>
        <w:rPr>
          <w:sz w:val="20"/>
          <w:szCs w:val="20"/>
        </w:rPr>
      </w:pPr>
      <w:bookmarkStart w:id="927" w:name="bookmark927"/>
      <w:bookmarkEnd w:id="927"/>
      <w:r>
        <w:rPr>
          <w:b/>
          <w:bCs/>
          <w:color w:val="000000"/>
          <w:spacing w:val="0"/>
          <w:w w:val="100"/>
          <w:position w:val="0"/>
          <w:sz w:val="20"/>
          <w:szCs w:val="20"/>
        </w:rPr>
        <w:t>销售商品收入确认的一般原则</w:t>
      </w:r>
    </w:p>
    <w:p>
      <w:pPr>
        <w:pStyle w:val="Style28"/>
        <w:keepNext w:val="0"/>
        <w:keepLines w:val="0"/>
        <w:widowControl w:val="0"/>
        <w:numPr>
          <w:ilvl w:val="0"/>
          <w:numId w:val="41"/>
        </w:numPr>
        <w:shd w:val="clear" w:color="auto" w:fill="auto"/>
        <w:tabs>
          <w:tab w:pos="445" w:val="left"/>
        </w:tabs>
        <w:bidi w:val="0"/>
        <w:spacing w:before="0" w:after="0" w:line="314" w:lineRule="exact"/>
        <w:ind w:left="0" w:right="0" w:firstLine="0"/>
        <w:jc w:val="left"/>
      </w:pPr>
      <w:bookmarkStart w:id="928" w:name="bookmark928"/>
      <w:bookmarkEnd w:id="928"/>
      <w:r>
        <w:rPr>
          <w:color w:val="000000"/>
          <w:spacing w:val="0"/>
          <w:w w:val="100"/>
          <w:position w:val="0"/>
        </w:rPr>
        <w:t>销售商品收入确认和计量的总体原则</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公司已将商品所有权上的主要风险和报酬转移给购买方；公司既没有保留与所有权相联系的继续管理权，也没有对已售出的 商品实施有效控制；收入的金额能够可靠地计量；相关的经济利益很可能流入企业；相关的已发生或将发生的成本能够可靠 地计量时，确认商品销售收入实现。</w:t>
      </w:r>
    </w:p>
    <w:p>
      <w:pPr>
        <w:pStyle w:val="Style28"/>
        <w:keepNext w:val="0"/>
        <w:keepLines w:val="0"/>
        <w:widowControl w:val="0"/>
        <w:numPr>
          <w:ilvl w:val="0"/>
          <w:numId w:val="41"/>
        </w:numPr>
        <w:shd w:val="clear" w:color="auto" w:fill="auto"/>
        <w:tabs>
          <w:tab w:pos="445" w:val="left"/>
        </w:tabs>
        <w:bidi w:val="0"/>
        <w:spacing w:before="0" w:after="0" w:line="314" w:lineRule="exact"/>
        <w:ind w:left="0" w:right="0" w:firstLine="0"/>
        <w:jc w:val="left"/>
      </w:pPr>
      <w:bookmarkStart w:id="929" w:name="bookmark929"/>
      <w:bookmarkEnd w:id="929"/>
      <w:r>
        <w:rPr>
          <w:color w:val="000000"/>
          <w:spacing w:val="0"/>
          <w:w w:val="100"/>
          <w:position w:val="0"/>
        </w:rPr>
        <w:t>本公司销售商品收入确认的确认标准及收入确认时间的具体判断标准</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本公司的商品销售收入以客户验收确认为收入确认时点。</w:t>
      </w:r>
    </w:p>
    <w:p>
      <w:pPr>
        <w:pStyle w:val="Style28"/>
        <w:keepNext w:val="0"/>
        <w:keepLines w:val="0"/>
        <w:widowControl w:val="0"/>
        <w:numPr>
          <w:ilvl w:val="0"/>
          <w:numId w:val="41"/>
        </w:numPr>
        <w:shd w:val="clear" w:color="auto" w:fill="auto"/>
        <w:tabs>
          <w:tab w:pos="445" w:val="left"/>
        </w:tabs>
        <w:bidi w:val="0"/>
        <w:spacing w:before="0" w:after="0" w:line="314" w:lineRule="exact"/>
        <w:ind w:left="0" w:right="0" w:firstLine="0"/>
        <w:jc w:val="left"/>
      </w:pPr>
      <w:bookmarkStart w:id="930" w:name="bookmark930"/>
      <w:bookmarkEnd w:id="930"/>
      <w:r>
        <w:rPr>
          <w:color w:val="000000"/>
          <w:spacing w:val="0"/>
          <w:w w:val="100"/>
          <w:position w:val="0"/>
        </w:rPr>
        <w:t>关于本公司销售商品收入相应的业务特点分析和介绍</w:t>
      </w:r>
    </w:p>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本公司的商品销售主要是外购软件、硬件及自产软件的销售。</w:t>
      </w:r>
    </w:p>
    <w:p>
      <w:pPr>
        <w:pStyle w:val="Style35"/>
        <w:keepNext w:val="0"/>
        <w:keepLines w:val="0"/>
        <w:widowControl w:val="0"/>
        <w:numPr>
          <w:ilvl w:val="0"/>
          <w:numId w:val="39"/>
        </w:numPr>
        <w:shd w:val="clear" w:color="auto" w:fill="auto"/>
        <w:tabs>
          <w:tab w:pos="344" w:val="left"/>
        </w:tabs>
        <w:bidi w:val="0"/>
        <w:spacing w:before="0" w:after="0" w:line="240" w:lineRule="auto"/>
        <w:ind w:left="0" w:right="0" w:firstLine="0"/>
        <w:jc w:val="left"/>
        <w:rPr>
          <w:sz w:val="20"/>
          <w:szCs w:val="20"/>
        </w:rPr>
      </w:pPr>
      <w:bookmarkStart w:id="931" w:name="bookmark931"/>
      <w:bookmarkEnd w:id="931"/>
      <w:r>
        <w:rPr>
          <w:b/>
          <w:bCs/>
          <w:color w:val="000000"/>
          <w:spacing w:val="0"/>
          <w:w w:val="100"/>
          <w:position w:val="0"/>
          <w:sz w:val="20"/>
          <w:szCs w:val="20"/>
        </w:rPr>
        <w:t>让渡资产使用权收入的确认和计量原则</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让渡资产使用权收入确认和计量的总体原则</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与交易相关的经济利益很可能流入企业，收入的金额能够可靠地计量时。分别下列情况确定让渡资产使用权收入金额：</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②利息收入金额，按照他人使用本企业货币资金的时间和实际利率计算确定。</w:t>
      </w:r>
    </w:p>
    <w:p>
      <w:pPr>
        <w:pStyle w:val="Style28"/>
        <w:keepNext w:val="0"/>
        <w:keepLines w:val="0"/>
        <w:widowControl w:val="0"/>
        <w:numPr>
          <w:ilvl w:val="0"/>
          <w:numId w:val="43"/>
        </w:numPr>
        <w:shd w:val="clear" w:color="auto" w:fill="auto"/>
        <w:tabs>
          <w:tab w:pos="373" w:val="left"/>
        </w:tabs>
        <w:bidi w:val="0"/>
        <w:spacing w:before="0" w:after="0" w:line="314" w:lineRule="exact"/>
        <w:ind w:left="0" w:right="0" w:firstLine="0"/>
        <w:jc w:val="left"/>
      </w:pPr>
      <w:bookmarkStart w:id="932" w:name="bookmark932"/>
      <w:bookmarkEnd w:id="932"/>
      <w:r>
        <w:rPr>
          <w:color w:val="000000"/>
          <w:spacing w:val="0"/>
          <w:w w:val="100"/>
          <w:position w:val="0"/>
        </w:rPr>
        <w:t>使用费收入金额，按照有关合同或协议约定的收费时间和方法计算确定。</w:t>
      </w:r>
    </w:p>
    <w:p>
      <w:pPr>
        <w:pStyle w:val="Style28"/>
        <w:keepNext w:val="0"/>
        <w:keepLines w:val="0"/>
        <w:widowControl w:val="0"/>
        <w:numPr>
          <w:ilvl w:val="0"/>
          <w:numId w:val="43"/>
        </w:numPr>
        <w:shd w:val="clear" w:color="auto" w:fill="auto"/>
        <w:tabs>
          <w:tab w:pos="373" w:val="left"/>
        </w:tabs>
        <w:bidi w:val="0"/>
        <w:spacing w:before="0" w:line="314" w:lineRule="exact"/>
        <w:ind w:left="0" w:right="0" w:firstLine="0"/>
        <w:jc w:val="left"/>
      </w:pPr>
      <w:bookmarkStart w:id="933" w:name="bookmark933"/>
      <w:bookmarkEnd w:id="933"/>
      <w:r>
        <w:rPr>
          <w:color w:val="000000"/>
          <w:spacing w:val="0"/>
          <w:w w:val="100"/>
          <w:position w:val="0"/>
        </w:rPr>
        <w:t>保理收入金额，按照客户使用本企业货币资金金额、时间和实际利率计算确定。</w:t>
      </w:r>
    </w:p>
    <w:p>
      <w:pPr>
        <w:pStyle w:val="Style35"/>
        <w:keepNext w:val="0"/>
        <w:keepLines w:val="0"/>
        <w:widowControl w:val="0"/>
        <w:numPr>
          <w:ilvl w:val="0"/>
          <w:numId w:val="39"/>
        </w:numPr>
        <w:shd w:val="clear" w:color="auto" w:fill="auto"/>
        <w:tabs>
          <w:tab w:pos="378" w:val="left"/>
        </w:tabs>
        <w:bidi w:val="0"/>
        <w:spacing w:before="0" w:after="0" w:line="240" w:lineRule="auto"/>
        <w:ind w:left="0" w:right="0" w:firstLine="0"/>
        <w:jc w:val="left"/>
        <w:rPr>
          <w:sz w:val="20"/>
          <w:szCs w:val="20"/>
        </w:rPr>
      </w:pPr>
      <w:bookmarkStart w:id="934" w:name="bookmark934"/>
      <w:bookmarkEnd w:id="934"/>
      <w:r>
        <w:rPr>
          <w:b/>
          <w:bCs/>
          <w:color w:val="000000"/>
          <w:spacing w:val="0"/>
          <w:w w:val="100"/>
          <w:position w:val="0"/>
          <w:sz w:val="20"/>
          <w:szCs w:val="20"/>
        </w:rPr>
        <w:t>按完工百分比法确认提供劳务的收入和建造合同收入的确认和计量原则</w:t>
      </w:r>
    </w:p>
    <w:p>
      <w:pPr>
        <w:pStyle w:val="Style28"/>
        <w:keepNext w:val="0"/>
        <w:keepLines w:val="0"/>
        <w:widowControl w:val="0"/>
        <w:numPr>
          <w:ilvl w:val="0"/>
          <w:numId w:val="45"/>
        </w:numPr>
        <w:shd w:val="clear" w:color="auto" w:fill="auto"/>
        <w:tabs>
          <w:tab w:pos="445" w:val="left"/>
        </w:tabs>
        <w:bidi w:val="0"/>
        <w:spacing w:before="0" w:after="0" w:line="314" w:lineRule="exact"/>
        <w:ind w:left="0" w:right="0" w:firstLine="0"/>
        <w:jc w:val="left"/>
      </w:pPr>
      <w:bookmarkStart w:id="935" w:name="bookmark935"/>
      <w:bookmarkEnd w:id="935"/>
      <w:r>
        <w:rPr>
          <w:color w:val="000000"/>
          <w:spacing w:val="0"/>
          <w:w w:val="100"/>
          <w:position w:val="0"/>
        </w:rPr>
        <w:t>按完工百分比法确认提供劳务的收入和建造合同收入确认和计量的总体原则</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在资产负债表日提供劳务交易的结果能够可靠估计的，采用完工百分比法确认提供劳务收入。提供劳务交易的完工进度，依 据已经提供的劳务工时占应提供劳务工时总量的比例确定。</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按照已收或应收的合同或协议价款确定提供劳务收入总额，但已收或应收的合同或协议价款不公允的除外。资产负债表日按 照提供劳务收入总额乘以完工进度扣除以前会计期间累计已确认提供劳务收入后的金额，确认当期提供劳务收入；同时，按 照提供劳务估计总成本乘以完工进度扣除以前会计期间累计已确认劳务成本后的金额，结转当期劳务成本。</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在资产负债表日提供劳务交易结果不能够可靠估计的，分别下列情况处理：</w:t>
      </w:r>
    </w:p>
    <w:p>
      <w:pPr>
        <w:pStyle w:val="Style28"/>
        <w:keepNext w:val="0"/>
        <w:keepLines w:val="0"/>
        <w:widowControl w:val="0"/>
        <w:numPr>
          <w:ilvl w:val="0"/>
          <w:numId w:val="47"/>
        </w:numPr>
        <w:shd w:val="clear" w:color="auto" w:fill="auto"/>
        <w:tabs>
          <w:tab w:pos="373" w:val="left"/>
        </w:tabs>
        <w:bidi w:val="0"/>
        <w:spacing w:before="0" w:after="0" w:line="314" w:lineRule="exact"/>
        <w:ind w:left="0" w:right="0" w:firstLine="0"/>
        <w:jc w:val="left"/>
      </w:pPr>
      <w:bookmarkStart w:id="936" w:name="bookmark936"/>
      <w:bookmarkEnd w:id="936"/>
      <w:r>
        <w:rPr>
          <w:color w:val="000000"/>
          <w:spacing w:val="0"/>
          <w:w w:val="100"/>
          <w:position w:val="0"/>
        </w:rPr>
        <w:t>已经发生的劳务成本预计能够得到补偿的,按照已经发生的劳务成本金额确认提供劳务收入，并按相同金额结转劳务成本。</w:t>
      </w:r>
    </w:p>
    <w:p>
      <w:pPr>
        <w:pStyle w:val="Style28"/>
        <w:keepNext w:val="0"/>
        <w:keepLines w:val="0"/>
        <w:widowControl w:val="0"/>
        <w:numPr>
          <w:ilvl w:val="0"/>
          <w:numId w:val="47"/>
        </w:numPr>
        <w:shd w:val="clear" w:color="auto" w:fill="auto"/>
        <w:tabs>
          <w:tab w:pos="373" w:val="left"/>
        </w:tabs>
        <w:bidi w:val="0"/>
        <w:spacing w:before="0" w:after="0" w:line="314" w:lineRule="exact"/>
        <w:ind w:left="0" w:right="0" w:firstLine="0"/>
        <w:jc w:val="left"/>
      </w:pPr>
      <w:bookmarkStart w:id="937" w:name="bookmark937"/>
      <w:bookmarkEnd w:id="937"/>
      <w:r>
        <w:rPr>
          <w:color w:val="000000"/>
          <w:spacing w:val="0"/>
          <w:w w:val="100"/>
          <w:position w:val="0"/>
        </w:rPr>
        <w:t>已经发生的劳务成本预计不能够得到补偿的，将已经发生的劳务成本计入当期损益，不确认提供劳务收入。</w:t>
      </w:r>
    </w:p>
    <w:p>
      <w:pPr>
        <w:pStyle w:val="Style28"/>
        <w:keepNext w:val="0"/>
        <w:keepLines w:val="0"/>
        <w:widowControl w:val="0"/>
        <w:numPr>
          <w:ilvl w:val="0"/>
          <w:numId w:val="45"/>
        </w:numPr>
        <w:shd w:val="clear" w:color="auto" w:fill="auto"/>
        <w:tabs>
          <w:tab w:pos="445" w:val="left"/>
        </w:tabs>
        <w:bidi w:val="0"/>
        <w:spacing w:before="0" w:after="0" w:line="314" w:lineRule="exact"/>
        <w:ind w:left="0" w:right="0" w:firstLine="0"/>
        <w:jc w:val="left"/>
      </w:pPr>
      <w:bookmarkStart w:id="938" w:name="bookmark938"/>
      <w:bookmarkEnd w:id="938"/>
      <w:r>
        <w:rPr>
          <w:color w:val="000000"/>
          <w:spacing w:val="0"/>
          <w:w w:val="100"/>
          <w:position w:val="0"/>
        </w:rPr>
        <w:t>本公司按完工百分比法确认提供劳务的收入和建造合同收入时，提供劳</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务收入和建造合同收入的确认标准，确定提供劳务交易完工进度以及建造合同完工百分比的依据和方法</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本公司提供劳务交易的完工进度，依据已完成工作的工时占应提供劳务总工时的比例确定。</w:t>
      </w:r>
    </w:p>
    <w:p>
      <w:pPr>
        <w:pStyle w:val="Style28"/>
        <w:keepNext w:val="0"/>
        <w:keepLines w:val="0"/>
        <w:widowControl w:val="0"/>
        <w:numPr>
          <w:ilvl w:val="0"/>
          <w:numId w:val="45"/>
        </w:numPr>
        <w:shd w:val="clear" w:color="auto" w:fill="auto"/>
        <w:tabs>
          <w:tab w:pos="445" w:val="left"/>
        </w:tabs>
        <w:bidi w:val="0"/>
        <w:spacing w:before="0" w:after="0" w:line="314" w:lineRule="exact"/>
        <w:ind w:left="0" w:right="0" w:firstLine="0"/>
        <w:jc w:val="left"/>
      </w:pPr>
      <w:bookmarkStart w:id="939" w:name="bookmark939"/>
      <w:bookmarkEnd w:id="939"/>
      <w:r>
        <w:rPr>
          <w:color w:val="000000"/>
          <w:spacing w:val="0"/>
          <w:w w:val="100"/>
          <w:position w:val="0"/>
        </w:rPr>
        <w:t>关于本公司按完工百分比法确认提供劳务的收入和建造合同收入相应的业务特点分析和介绍</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本公司按完工百分比法确认提供劳务的收入的主要是</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软件实施服务、外包服务，公司</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软件实施服务、外包服务 有两种合同形式：约定服务费用单价的按人天计费项目和约定合同总金额的固定总价项目。</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按人天计费项目，资产负债表日确认的某项目当期收入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该项目当期实际发生的人天数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约定的人天单价，实际发生的人天 数以客户在说明顾问工作内容及天数的表单上签字确认的人天数为依据。</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固定总价项目是指本公司和客户根据在售前阶段确认的实施内容及范围的基础上，协商得出合同总价，按合同金额执行，而 </w:t>
      </w:r>
      <w:r>
        <w:rPr>
          <w:color w:val="000000"/>
          <w:spacing w:val="0"/>
          <w:w w:val="100"/>
          <w:position w:val="0"/>
        </w:rPr>
        <w:t>不是按实际所发生的人天计费的项目。此类项目资产负债表日确认的某项目当期收入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此项目累计投入人天数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此项目预计总 天数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合同总价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前期已确认收入。</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客户支持服务按照合同约定的收入总额在提供服务期限内平均分摊确认收入。</w:t>
      </w:r>
    </w:p>
    <w:p>
      <w:pPr>
        <w:pStyle w:val="Style28"/>
        <w:keepNext w:val="0"/>
        <w:keepLines w:val="0"/>
        <w:widowControl w:val="0"/>
        <w:shd w:val="clear" w:color="auto" w:fill="auto"/>
        <w:bidi w:val="0"/>
        <w:spacing w:before="0" w:after="400" w:line="322" w:lineRule="exact"/>
        <w:ind w:left="0" w:right="0" w:firstLine="0"/>
        <w:jc w:val="left"/>
      </w:pPr>
      <w:r>
        <w:rPr>
          <w:color w:val="000000"/>
          <w:spacing w:val="0"/>
          <w:w w:val="100"/>
          <w:position w:val="0"/>
        </w:rPr>
        <w:t>扫描加工等数据处理服务等长期为客户提供重复的劳务收取的劳务费，在相关劳务活动提供时确认收入，按照提供的劳务数 量乘以合同合同约定的劳务单价确认收入。</w:t>
      </w:r>
    </w:p>
    <w:p>
      <w:pPr>
        <w:pStyle w:val="Style32"/>
        <w:keepNext/>
        <w:keepLines/>
        <w:widowControl w:val="0"/>
        <w:shd w:val="clear" w:color="auto" w:fill="auto"/>
        <w:tabs>
          <w:tab w:pos="446" w:val="left"/>
        </w:tabs>
        <w:bidi w:val="0"/>
        <w:spacing w:before="0" w:after="280" w:line="346"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940"/>
      <w:bookmarkEnd w:id="941"/>
      <w:bookmarkEnd w:id="943"/>
    </w:p>
    <w:p>
      <w:pPr>
        <w:pStyle w:val="Style32"/>
        <w:keepNext/>
        <w:keepLines/>
        <w:widowControl w:val="0"/>
        <w:numPr>
          <w:ilvl w:val="0"/>
          <w:numId w:val="49"/>
        </w:numPr>
        <w:shd w:val="clear" w:color="auto" w:fill="auto"/>
        <w:tabs>
          <w:tab w:pos="288" w:val="left"/>
        </w:tabs>
        <w:bidi w:val="0"/>
        <w:spacing w:before="0" w:after="0" w:line="346" w:lineRule="auto"/>
        <w:ind w:left="0" w:right="0" w:firstLine="0"/>
        <w:jc w:val="left"/>
      </w:pPr>
      <w:bookmarkStart w:id="940" w:name="bookmark940"/>
      <w:bookmarkStart w:id="941" w:name="bookmark941"/>
      <w:bookmarkStart w:id="944" w:name="bookmark944"/>
      <w:bookmarkEnd w:id="944"/>
      <w:r>
        <w:rPr>
          <w:color w:val="000000"/>
          <w:spacing w:val="0"/>
          <w:w w:val="100"/>
          <w:position w:val="0"/>
        </w:rPr>
        <w:t>类型</w:t>
      </w:r>
      <w:bookmarkEnd w:id="940"/>
      <w:bookmarkEnd w:id="941"/>
    </w:p>
    <w:p>
      <w:pPr>
        <w:pStyle w:val="Style28"/>
        <w:keepNext w:val="0"/>
        <w:keepLines w:val="0"/>
        <w:widowControl w:val="0"/>
        <w:shd w:val="clear" w:color="auto" w:fill="auto"/>
        <w:bidi w:val="0"/>
        <w:spacing w:before="0" w:after="440" w:line="331" w:lineRule="exact"/>
        <w:ind w:left="0" w:right="0" w:firstLine="0"/>
        <w:jc w:val="left"/>
      </w:pPr>
      <w:r>
        <w:rPr>
          <w:color w:val="000000"/>
          <w:spacing w:val="0"/>
          <w:w w:val="100"/>
          <w:position w:val="0"/>
        </w:rPr>
        <w:t>政府补助，是本公司从政府无偿取得的货币性资产与非货币性资产。分为与资产相关的政府补助和与收益相关的政府补助。 与资产相关的政府补助，是指本公司取得的、用于购建或以其他方式形成长期资产的政府补助，包括购买固定资产或无形资 产的财政拨款、固定资产专门借款的财政贴息等。与收益相关的政府补助，是指除与资产相关的政府补助之外的政府补助。</w:t>
      </w:r>
    </w:p>
    <w:p>
      <w:pPr>
        <w:pStyle w:val="Style35"/>
        <w:keepNext w:val="0"/>
        <w:keepLines w:val="0"/>
        <w:widowControl w:val="0"/>
        <w:numPr>
          <w:ilvl w:val="0"/>
          <w:numId w:val="49"/>
        </w:numPr>
        <w:shd w:val="clear" w:color="auto" w:fill="auto"/>
        <w:tabs>
          <w:tab w:pos="302" w:val="left"/>
        </w:tabs>
        <w:bidi w:val="0"/>
        <w:spacing w:before="0" w:after="0" w:line="346" w:lineRule="auto"/>
        <w:ind w:left="0" w:right="0" w:firstLine="0"/>
        <w:jc w:val="left"/>
        <w:rPr>
          <w:sz w:val="20"/>
          <w:szCs w:val="20"/>
        </w:rPr>
      </w:pPr>
      <w:bookmarkStart w:id="945" w:name="bookmark945"/>
      <w:bookmarkEnd w:id="945"/>
      <w:r>
        <w:rPr>
          <w:b/>
          <w:bCs/>
          <w:color w:val="000000"/>
          <w:spacing w:val="0"/>
          <w:w w:val="100"/>
          <w:position w:val="0"/>
          <w:sz w:val="20"/>
          <w:szCs w:val="20"/>
        </w:rPr>
        <w:t>确认时点</w:t>
      </w:r>
    </w:p>
    <w:p>
      <w:pPr>
        <w:pStyle w:val="Style28"/>
        <w:keepNext w:val="0"/>
        <w:keepLines w:val="0"/>
        <w:widowControl w:val="0"/>
        <w:shd w:val="clear" w:color="auto" w:fill="auto"/>
        <w:bidi w:val="0"/>
        <w:spacing w:before="0" w:after="440" w:line="312" w:lineRule="exact"/>
        <w:ind w:left="0" w:right="0" w:firstLine="0"/>
        <w:jc w:val="left"/>
      </w:pPr>
      <w:r>
        <w:rPr>
          <w:color w:val="000000"/>
          <w:spacing w:val="0"/>
          <w:w w:val="100"/>
          <w:position w:val="0"/>
        </w:rPr>
        <w:t>政府补助在实际收到款项时按照到账的实际金额确认和计量。只有存在确凿证据表明该项补助是按照固定的定额标准拨付的 以及有确凿证据表明能够符合财政扶持政策规定的相关条件且预计能够收到财政扶持资金时，可以按应收金额予以确认和计 量。</w:t>
      </w:r>
    </w:p>
    <w:p>
      <w:pPr>
        <w:pStyle w:val="Style35"/>
        <w:keepNext w:val="0"/>
        <w:keepLines w:val="0"/>
        <w:widowControl w:val="0"/>
        <w:numPr>
          <w:ilvl w:val="0"/>
          <w:numId w:val="49"/>
        </w:numPr>
        <w:shd w:val="clear" w:color="auto" w:fill="auto"/>
        <w:tabs>
          <w:tab w:pos="302" w:val="left"/>
        </w:tabs>
        <w:bidi w:val="0"/>
        <w:spacing w:before="0" w:after="0" w:line="346" w:lineRule="auto"/>
        <w:ind w:left="0" w:right="0" w:firstLine="0"/>
        <w:jc w:val="left"/>
        <w:rPr>
          <w:sz w:val="20"/>
          <w:szCs w:val="20"/>
        </w:rPr>
      </w:pPr>
      <w:bookmarkStart w:id="946" w:name="bookmark946"/>
      <w:bookmarkEnd w:id="946"/>
      <w:r>
        <w:rPr>
          <w:b/>
          <w:bCs/>
          <w:color w:val="000000"/>
          <w:spacing w:val="0"/>
          <w:w w:val="100"/>
          <w:position w:val="0"/>
          <w:sz w:val="20"/>
          <w:szCs w:val="20"/>
        </w:rPr>
        <w:t>会计处理</w:t>
      </w:r>
    </w:p>
    <w:p>
      <w:pPr>
        <w:pStyle w:val="Style28"/>
        <w:keepNext w:val="0"/>
        <w:keepLines w:val="0"/>
        <w:widowControl w:val="0"/>
        <w:shd w:val="clear" w:color="auto" w:fill="auto"/>
        <w:bidi w:val="0"/>
        <w:spacing w:before="0" w:after="400" w:line="320" w:lineRule="exact"/>
        <w:ind w:left="0" w:right="0" w:firstLine="0"/>
        <w:jc w:val="left"/>
      </w:pPr>
      <w:r>
        <w:rPr>
          <w:color w:val="000000"/>
          <w:spacing w:val="0"/>
          <w:w w:val="100"/>
          <w:position w:val="0"/>
        </w:rPr>
        <w:t>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 与收益相关的政府补助，用于补偿本公司以后期间的相关成本费用或损失的，确认为递延收益，并在确认相关成本费用或损 失的期间，计入当期损益（与本公司日常活动相关的，计入其他收益；与本公司日常活动无关的，计入营业外收入）或冲减 相关成本费用或损失；用于补偿本公司已发生的相关成本费用或损失的，直接计入当期损益（与本公司日常活动相关的，计 入其他收益；与本公司日常活动无关的，计入营业外收入）或冲减相关成本费用或损失。</w:t>
      </w:r>
    </w:p>
    <w:p>
      <w:pPr>
        <w:pStyle w:val="Style32"/>
        <w:keepNext/>
        <w:keepLines/>
        <w:widowControl w:val="0"/>
        <w:shd w:val="clear" w:color="auto" w:fill="auto"/>
        <w:tabs>
          <w:tab w:pos="446" w:val="left"/>
        </w:tabs>
        <w:bidi w:val="0"/>
        <w:spacing w:before="0" w:after="180" w:line="346"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7"/>
      <w:bookmarkEnd w:id="948"/>
      <w:bookmarkEnd w:id="950"/>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对于可抵扣暂时性差异确认递延所得税资产，以未来期间很可能取得的用来抵扣可抵扣暂时性差异的应纳税所得额为限。对 于能够结转以后年度的可抵扣亏损和税款抵减，以很可能获得用来抵扣可抵扣亏损和税款抵减的未来应纳税所得额为限，确 认相应的递延所得税资产。</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对于应纳税暂时性差异，除特殊情况外，确认递延所得税负债。</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不确认递延所得税资产或递延所得税负债的特殊情况包括：商誉的初始确认；除企业合并以外的发生时既不影响会计利润也 不影响应纳税所得额（或可抵扣亏损）的其他交易或事项。</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当拥有以净额结算的法定权利，且意图以净额结算或取得资产、清偿负债同时进行时，当期所得税资产及当期所得税负债以 抵销后的净额列报。</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的期间内，涉及的纳税主体意图以净额结算当期所得税资产和负债或是同时取得资产、清偿负债时，递延所得税资产及递延 所得税负债以抵销后的净额列报。</w:t>
      </w:r>
    </w:p>
    <w:p>
      <w:pPr>
        <w:pStyle w:val="Style32"/>
        <w:keepNext/>
        <w:keepLines/>
        <w:widowControl w:val="0"/>
        <w:shd w:val="clear" w:color="auto" w:fill="auto"/>
        <w:tabs>
          <w:tab w:pos="476" w:val="left"/>
        </w:tabs>
        <w:bidi w:val="0"/>
        <w:spacing w:before="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6</w:t>
      </w:r>
      <w:r>
        <w:rPr>
          <w:color w:val="000000"/>
          <w:spacing w:val="0"/>
          <w:w w:val="100"/>
          <w:position w:val="0"/>
        </w:rPr>
        <w:t>、</w:t>
        <w:tab/>
        <w:t>租赁</w:t>
      </w:r>
      <w:bookmarkEnd w:id="951"/>
      <w:bookmarkEnd w:id="952"/>
      <w:bookmarkEnd w:id="954"/>
    </w:p>
    <w:p>
      <w:pPr>
        <w:pStyle w:val="Style41"/>
        <w:keepNext/>
        <w:keepLines/>
        <w:widowControl w:val="0"/>
        <w:shd w:val="clear" w:color="auto" w:fill="auto"/>
        <w:bidi w:val="0"/>
        <w:spacing w:before="0" w:after="28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55"/>
      <w:bookmarkEnd w:id="956"/>
      <w:bookmarkEnd w:id="958"/>
    </w:p>
    <w:p>
      <w:pPr>
        <w:pStyle w:val="Style28"/>
        <w:keepNext w:val="0"/>
        <w:keepLines w:val="0"/>
        <w:widowControl w:val="0"/>
        <w:shd w:val="clear" w:color="auto" w:fill="auto"/>
        <w:tabs>
          <w:tab w:pos="534" w:val="left"/>
        </w:tabs>
        <w:bidi w:val="0"/>
        <w:spacing w:before="0" w:after="0" w:line="312" w:lineRule="exact"/>
        <w:ind w:left="0" w:right="0" w:firstLine="0"/>
        <w:jc w:val="left"/>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公司租入资产所支付的租赁费，在不扣除免租期的整个租赁期内，按直线法进行分摊，计入当期费用。公司支付的与 租赁交易相关的初始直接费用，计入当期费用。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28"/>
        <w:keepNext w:val="0"/>
        <w:keepLines w:val="0"/>
        <w:widowControl w:val="0"/>
        <w:shd w:val="clear" w:color="auto" w:fill="auto"/>
        <w:tabs>
          <w:tab w:pos="534" w:val="left"/>
        </w:tabs>
        <w:bidi w:val="0"/>
        <w:spacing w:before="0" w:after="0" w:line="317" w:lineRule="exact"/>
        <w:ind w:left="0" w:right="0" w:firstLine="0"/>
        <w:jc w:val="left"/>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公司出租资产所收取的租赁费，在不扣除免租期的整个租赁期内，按直线法进行分摊，确认为租赁相关收入。公司支 付的与租赁交易相关的初始直接费用，计入当期费用；如金额较大的，则予以资本化，在整个租赁期间内按照与租赁相关收 入确认相同的基础分期计入当期收益。</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32"/>
        <w:keepNext/>
        <w:keepLines/>
        <w:widowControl w:val="0"/>
        <w:shd w:val="clear" w:color="auto" w:fill="auto"/>
        <w:tabs>
          <w:tab w:pos="476" w:val="left"/>
        </w:tabs>
        <w:bidi w:val="0"/>
        <w:spacing w:before="0" w:after="2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rFonts w:ascii="Times New Roman" w:eastAsia="Times New Roman" w:hAnsi="Times New Roman" w:cs="Times New Roman"/>
          <w:color w:val="000000"/>
          <w:spacing w:val="0"/>
          <w:w w:val="100"/>
          <w:position w:val="0"/>
        </w:rPr>
        <w:t>7</w:t>
      </w:r>
      <w:r>
        <w:rPr>
          <w:color w:val="000000"/>
          <w:spacing w:val="0"/>
          <w:w w:val="100"/>
          <w:position w:val="0"/>
        </w:rPr>
        <w:t>、</w:t>
        <w:tab/>
        <w:t>回购本公司股份</w:t>
      </w:r>
      <w:bookmarkEnd w:id="961"/>
      <w:bookmarkEnd w:id="962"/>
      <w:bookmarkEnd w:id="964"/>
    </w:p>
    <w:p>
      <w:pPr>
        <w:pStyle w:val="Style28"/>
        <w:keepNext w:val="0"/>
        <w:keepLines w:val="0"/>
        <w:widowControl w:val="0"/>
        <w:shd w:val="clear" w:color="auto" w:fill="auto"/>
        <w:bidi w:val="0"/>
        <w:spacing w:before="0" w:after="0" w:line="311" w:lineRule="exact"/>
        <w:ind w:left="0" w:right="0" w:firstLine="0"/>
        <w:jc w:val="left"/>
      </w:pPr>
      <w:bookmarkStart w:id="965" w:name="bookmark965"/>
      <w:r>
        <w:rPr>
          <w:rFonts w:ascii="Times New Roman" w:eastAsia="Times New Roman" w:hAnsi="Times New Roman" w:cs="Times New Roman"/>
          <w:color w:val="000000"/>
          <w:spacing w:val="0"/>
          <w:w w:val="100"/>
          <w:position w:val="0"/>
          <w:sz w:val="18"/>
          <w:szCs w:val="18"/>
        </w:rPr>
        <w:t>1</w:t>
      </w:r>
      <w:bookmarkEnd w:id="965"/>
      <w:r>
        <w:rPr>
          <w:color w:val="000000"/>
          <w:spacing w:val="0"/>
          <w:w w:val="100"/>
          <w:position w:val="0"/>
        </w:rPr>
        <w:t>、 因减少注册资本或奖励职工等原因收购本公司股份的，按实际支付的金额作为库存股处理，同时进行备查登记。如果将 回购的股份注销，则将按注销股票面值和注销股数计算的股票面值总额与实际回购所支付的金额之间的差额冲减资本公积， 资本公积不足冲减的，冲减留存收益；如果将回购的股份奖励给本公司职工属于以权益结算的股份支付，于职工行权购买本 公司股份收到价款时，转销交付职工的库存股成本和等待期内资本公积（其他资本公积）累计金额，同时，按照其差额调整 资本公积（股本溢价）。</w:t>
      </w:r>
    </w:p>
    <w:p>
      <w:pPr>
        <w:pStyle w:val="Style28"/>
        <w:keepNext w:val="0"/>
        <w:keepLines w:val="0"/>
        <w:widowControl w:val="0"/>
        <w:shd w:val="clear" w:color="auto" w:fill="auto"/>
        <w:tabs>
          <w:tab w:pos="410" w:val="left"/>
        </w:tabs>
        <w:bidi w:val="0"/>
        <w:spacing w:before="0" w:after="380" w:line="315" w:lineRule="exact"/>
        <w:ind w:left="0" w:right="0" w:firstLine="0"/>
        <w:jc w:val="left"/>
      </w:pPr>
      <w:bookmarkStart w:id="966" w:name="bookmark966"/>
      <w:r>
        <w:rPr>
          <w:rFonts w:ascii="Times New Roman" w:eastAsia="Times New Roman" w:hAnsi="Times New Roman" w:cs="Times New Roman"/>
          <w:color w:val="000000"/>
          <w:spacing w:val="0"/>
          <w:w w:val="100"/>
          <w:position w:val="0"/>
          <w:sz w:val="18"/>
          <w:szCs w:val="18"/>
        </w:rPr>
        <w:t>2</w:t>
      </w:r>
      <w:bookmarkEnd w:id="966"/>
      <w:r>
        <w:rPr>
          <w:color w:val="000000"/>
          <w:spacing w:val="0"/>
          <w:w w:val="100"/>
          <w:position w:val="0"/>
        </w:rPr>
        <w:t>、</w:t>
        <w:tab/>
        <w:t>按照股权激励方案的约定执行的股份回购，将未达到解锁条件的限制性股票回购并注销。未达到限制性股票解锁条件而 需回购的股票，按照应支付的金额，按照应支付的金额，借记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其他应付款</w:t>
      </w:r>
      <w:r>
        <w:rPr>
          <w:color w:val="000000"/>
          <w:spacing w:val="0"/>
          <w:w w:val="100"/>
          <w:position w:val="0"/>
          <w:sz w:val="18"/>
          <w:szCs w:val="18"/>
        </w:rPr>
        <w:t>一</w:t>
      </w:r>
      <w:r>
        <w:rPr>
          <w:color w:val="000000"/>
          <w:spacing w:val="0"/>
          <w:w w:val="100"/>
          <w:position w:val="0"/>
        </w:rPr>
        <w:t>限制性股票回购义务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等科目，贷记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银行存款</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等科目；同时，按照注销的限制性股票数量相对应的股本金额，借记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科目，按照注销的限制性股票数量相对应的库存 股的账面价值，贷记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科目，按其差额，借记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w:t>
      </w:r>
    </w:p>
    <w:p>
      <w:pPr>
        <w:pStyle w:val="Style32"/>
        <w:keepNext/>
        <w:keepLines/>
        <w:widowControl w:val="0"/>
        <w:shd w:val="clear" w:color="auto" w:fill="auto"/>
        <w:tabs>
          <w:tab w:pos="476" w:val="left"/>
        </w:tabs>
        <w:bidi w:val="0"/>
        <w:spacing w:before="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rFonts w:ascii="Times New Roman" w:eastAsia="Times New Roman" w:hAnsi="Times New Roman" w:cs="Times New Roman"/>
          <w:color w:val="000000"/>
          <w:spacing w:val="0"/>
          <w:w w:val="100"/>
          <w:position w:val="0"/>
        </w:rPr>
        <w:t>8</w:t>
      </w:r>
      <w:r>
        <w:rPr>
          <w:color w:val="000000"/>
          <w:spacing w:val="0"/>
          <w:w w:val="100"/>
          <w:position w:val="0"/>
        </w:rPr>
        <w:t>、</w:t>
        <w:tab/>
        <w:t>其他重要的会计政策和会计估计</w:t>
      </w:r>
      <w:bookmarkEnd w:id="967"/>
      <w:bookmarkEnd w:id="968"/>
      <w:bookmarkEnd w:id="970"/>
    </w:p>
    <w:p>
      <w:pPr>
        <w:pStyle w:val="Style32"/>
        <w:keepNext/>
        <w:keepLines/>
        <w:widowControl w:val="0"/>
        <w:shd w:val="clear" w:color="auto" w:fill="auto"/>
        <w:bidi w:val="0"/>
        <w:spacing w:before="0" w:after="0" w:line="240" w:lineRule="auto"/>
        <w:ind w:left="0" w:right="0" w:firstLine="0"/>
        <w:jc w:val="left"/>
      </w:pPr>
      <w:bookmarkStart w:id="967" w:name="bookmark967"/>
      <w:bookmarkStart w:id="968" w:name="bookmark968"/>
      <w:r>
        <w:rPr>
          <w:color w:val="000000"/>
          <w:spacing w:val="0"/>
          <w:w w:val="100"/>
          <w:position w:val="0"/>
        </w:rPr>
        <w:t>其他非流动资产</w:t>
      </w:r>
      <w:bookmarkEnd w:id="967"/>
      <w:bookmarkEnd w:id="968"/>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其他非流动资产包括会员证、员工购房借款和预付长期资产购建款。</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会员证为已经发生但应由本期和以后各期负担的分摊期限在一年以上的费用。</w:t>
      </w:r>
    </w:p>
    <w:p>
      <w:pPr>
        <w:pStyle w:val="Style28"/>
        <w:keepNext w:val="0"/>
        <w:keepLines w:val="0"/>
        <w:widowControl w:val="0"/>
        <w:shd w:val="clear" w:color="auto" w:fill="auto"/>
        <w:tabs>
          <w:tab w:pos="730" w:val="left"/>
        </w:tabs>
        <w:bidi w:val="0"/>
        <w:spacing w:before="0" w:after="0" w:line="315" w:lineRule="exact"/>
        <w:ind w:left="0" w:right="0" w:firstLine="0"/>
        <w:jc w:val="left"/>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摊销方法</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其他非流动资产在受益期内平均摊销</w:t>
      </w:r>
    </w:p>
    <w:p>
      <w:pPr>
        <w:pStyle w:val="Style28"/>
        <w:keepNext w:val="0"/>
        <w:keepLines w:val="0"/>
        <w:widowControl w:val="0"/>
        <w:shd w:val="clear" w:color="auto" w:fill="auto"/>
        <w:tabs>
          <w:tab w:pos="730" w:val="left"/>
        </w:tabs>
        <w:bidi w:val="0"/>
        <w:spacing w:before="0" w:after="100" w:line="315" w:lineRule="exact"/>
        <w:ind w:left="0" w:right="0" w:firstLine="0"/>
        <w:jc w:val="left"/>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摊销年限</w:t>
      </w:r>
    </w:p>
    <w:tbl>
      <w:tblPr>
        <w:tblOverlap w:val="never"/>
        <w:jc w:val="center"/>
        <w:tblLayout w:type="fixed"/>
      </w:tblPr>
      <w:tblGrid>
        <w:gridCol w:w="5069"/>
        <w:gridCol w:w="460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预计使用寿命</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会员证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8"/>
                <w:szCs w:val="18"/>
              </w:rPr>
              <w:t>10</w:t>
            </w:r>
            <w:r>
              <w:rPr>
                <w:color w:val="000000"/>
                <w:spacing w:val="0"/>
                <w:w w:val="100"/>
                <w:position w:val="0"/>
                <w:sz w:val="17"/>
                <w:szCs w:val="17"/>
              </w:rPr>
              <w:t>年</w:t>
            </w:r>
          </w:p>
        </w:tc>
      </w:tr>
    </w:tbl>
    <w:p>
      <w:pPr>
        <w:widowControl w:val="0"/>
        <w:spacing w:after="279" w:line="1" w:lineRule="exact"/>
      </w:pPr>
    </w:p>
    <w:p>
      <w:pPr>
        <w:pStyle w:val="Style28"/>
        <w:keepNext w:val="0"/>
        <w:keepLines w:val="0"/>
        <w:widowControl w:val="0"/>
        <w:shd w:val="clear" w:color="auto" w:fill="auto"/>
        <w:bidi w:val="0"/>
        <w:spacing w:before="0" w:after="0" w:line="312" w:lineRule="exact"/>
        <w:ind w:left="0" w:right="0" w:firstLine="8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员工购房借款系根据公司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月制订的《员工购房借款福利管理办法》，公司向符合条件 的员工提供购房借款，在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年内通过工资扣款归还，借款时计入其他非流动资产，归还时冲减其他非流动资产。</w:t>
      </w:r>
    </w:p>
    <w:p>
      <w:pPr>
        <w:pStyle w:val="Style28"/>
        <w:keepNext w:val="0"/>
        <w:keepLines w:val="0"/>
        <w:widowControl w:val="0"/>
        <w:numPr>
          <w:ilvl w:val="0"/>
          <w:numId w:val="35"/>
        </w:numPr>
        <w:shd w:val="clear" w:color="auto" w:fill="auto"/>
        <w:bidi w:val="0"/>
        <w:spacing w:before="0" w:after="0" w:line="322" w:lineRule="exact"/>
        <w:ind w:left="0" w:right="0" w:firstLine="820"/>
        <w:jc w:val="both"/>
      </w:pPr>
      <w:bookmarkStart w:id="973" w:name="bookmark973"/>
      <w:bookmarkEnd w:id="973"/>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长期资产购建款系公司购建长期股权投资、固定资产、在建工程等的预付款项，支付时计入其 他非流动资产，满足结转条件计入长期股权投资、固定资产、在建工程等长期资产。</w:t>
      </w:r>
      <w:r>
        <w:br w:type="page"/>
      </w:r>
    </w:p>
    <w:p>
      <w:pPr>
        <w:pStyle w:val="Style32"/>
        <w:keepNext/>
        <w:keepLines/>
        <w:widowControl w:val="0"/>
        <w:shd w:val="clear" w:color="auto" w:fill="auto"/>
        <w:bidi w:val="0"/>
        <w:spacing w:before="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974"/>
      <w:bookmarkEnd w:id="975"/>
      <w:bookmarkEnd w:id="977"/>
    </w:p>
    <w:p>
      <w:pPr>
        <w:pStyle w:val="Style41"/>
        <w:keepNext/>
        <w:keepLines/>
        <w:widowControl w:val="0"/>
        <w:shd w:val="clear" w:color="auto" w:fill="auto"/>
        <w:bidi w:val="0"/>
        <w:spacing w:before="0" w:after="26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78"/>
      <w:bookmarkEnd w:id="979"/>
      <w:bookmarkEnd w:id="981"/>
    </w:p>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号——收入》。修订后的准则规定，首次执行该准则应当根据累积影响数调 整当年年初留存收益及财务报表其他相关项目金额，对可比期间信息不予调整。</w:t>
      </w:r>
    </w:p>
    <w:p>
      <w:pPr>
        <w:pStyle w:val="Style28"/>
        <w:keepNext w:val="0"/>
        <w:keepLines w:val="0"/>
        <w:widowControl w:val="0"/>
        <w:shd w:val="clear" w:color="auto" w:fill="auto"/>
        <w:bidi w:val="0"/>
        <w:spacing w:before="0" w:line="319"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日起执行新收入准则。根据准则的规定，本公司仅对在首次执行日尚未完成的合同的累积影响数调 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年年初留存收益以及财务报表其他相关项目金额，比较财务报表不做调整。执行该准则的主要影响如下：</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448"/>
        <w:gridCol w:w="1411"/>
        <w:gridCol w:w="1906"/>
        <w:gridCol w:w="2026"/>
        <w:gridCol w:w="1910"/>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会计政策变更的内容和原因</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审批程序</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受影响的报表项目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Arial" w:eastAsia="Arial" w:hAnsi="Arial" w:cs="Arial"/>
                <w:color w:val="000000"/>
                <w:spacing w:val="0"/>
                <w:w w:val="100"/>
                <w:position w:val="0"/>
                <w:sz w:val="18"/>
                <w:szCs w:val="18"/>
              </w:rPr>
              <w:t>2020</w:t>
            </w: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w:t>
            </w:r>
            <w:r>
              <w:rPr>
                <w:rFonts w:ascii="Arial" w:eastAsia="Arial" w:hAnsi="Arial" w:cs="Arial"/>
                <w:color w:val="000000"/>
                <w:spacing w:val="0"/>
                <w:w w:val="100"/>
                <w:position w:val="0"/>
                <w:sz w:val="18"/>
                <w:szCs w:val="18"/>
              </w:rPr>
              <w:t>1</w:t>
            </w:r>
            <w:r>
              <w:rPr>
                <w:color w:val="000000"/>
                <w:spacing w:val="0"/>
                <w:w w:val="100"/>
                <w:position w:val="0"/>
                <w:sz w:val="17"/>
                <w:szCs w:val="17"/>
              </w:rPr>
              <w:t>日余额的影响金额</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母公司</w:t>
            </w:r>
          </w:p>
        </w:tc>
      </w:tr>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sz w:val="22"/>
                <w:szCs w:val="22"/>
              </w:rPr>
              <w:t>）</w:t>
            </w:r>
            <w:r>
              <w:rPr>
                <w:color w:val="000000"/>
                <w:spacing w:val="0"/>
                <w:w w:val="100"/>
                <w:position w:val="0"/>
                <w:sz w:val="17"/>
                <w:szCs w:val="17"/>
              </w:rPr>
              <w:t>部分原按照完工百分比法 确认收入的自主软件产品业务 合同，因不满足在一段时间确 认收入的条件，改为按控制权 转移时点确认收入。</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财政部于</w:t>
            </w:r>
            <w:r>
              <w:rPr>
                <w:rFonts w:ascii="Arial" w:eastAsia="Arial" w:hAnsi="Arial" w:cs="Arial"/>
                <w:color w:val="000000"/>
                <w:spacing w:val="0"/>
                <w:w w:val="100"/>
                <w:position w:val="0"/>
                <w:sz w:val="18"/>
                <w:szCs w:val="18"/>
              </w:rPr>
              <w:t>2017</w:t>
            </w:r>
            <w:r>
              <w:rPr>
                <w:color w:val="000000"/>
                <w:spacing w:val="0"/>
                <w:w w:val="100"/>
                <w:position w:val="0"/>
                <w:sz w:val="17"/>
                <w:szCs w:val="17"/>
              </w:rPr>
              <w:t>年 颁布修订的《企业 会计准则第</w:t>
            </w:r>
            <w:r>
              <w:rPr>
                <w:rFonts w:ascii="Arial" w:eastAsia="Arial" w:hAnsi="Arial" w:cs="Arial"/>
                <w:color w:val="000000"/>
                <w:spacing w:val="0"/>
                <w:w w:val="100"/>
                <w:position w:val="0"/>
                <w:sz w:val="18"/>
                <w:szCs w:val="18"/>
              </w:rPr>
              <w:t>14</w:t>
            </w:r>
            <w:r>
              <w:rPr>
                <w:color w:val="000000"/>
                <w:spacing w:val="0"/>
                <w:w w:val="100"/>
                <w:position w:val="0"/>
                <w:sz w:val="17"/>
                <w:szCs w:val="17"/>
              </w:rPr>
              <w:t>号 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-238,791,042.43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-237,022,555.43</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 xml:space="preserve">197, 068, </w:t>
            </w:r>
            <w:r>
              <w:rPr>
                <w:rFonts w:ascii="Arial" w:eastAsia="Arial" w:hAnsi="Arial" w:cs="Arial"/>
                <w:color w:val="000000"/>
                <w:spacing w:val="0"/>
                <w:w w:val="100"/>
                <w:position w:val="0"/>
                <w:sz w:val="18"/>
                <w:szCs w:val="18"/>
              </w:rPr>
              <w:t xml:space="preserve">954. </w:t>
            </w:r>
            <w:r>
              <w:rPr>
                <w:rFonts w:ascii="Arial" w:eastAsia="Arial" w:hAnsi="Arial" w:cs="Arial"/>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 xml:space="preserve">209, 055, </w:t>
            </w:r>
            <w:r>
              <w:rPr>
                <w:rFonts w:ascii="Arial" w:eastAsia="Arial" w:hAnsi="Arial" w:cs="Arial"/>
                <w:color w:val="000000"/>
                <w:spacing w:val="0"/>
                <w:w w:val="100"/>
                <w:position w:val="0"/>
                <w:sz w:val="18"/>
                <w:szCs w:val="18"/>
              </w:rPr>
              <w:t xml:space="preserve">828. </w:t>
            </w:r>
            <w:r>
              <w:rPr>
                <w:rFonts w:ascii="Arial" w:eastAsia="Arial" w:hAnsi="Arial" w:cs="Arial"/>
                <w:color w:val="000000"/>
                <w:spacing w:val="0"/>
                <w:w w:val="100"/>
                <w:position w:val="0"/>
                <w:sz w:val="18"/>
                <w:szCs w:val="18"/>
              </w:rPr>
              <w:t>22</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 xml:space="preserve">19, </w:t>
            </w:r>
            <w:r>
              <w:rPr>
                <w:rFonts w:ascii="Arial" w:eastAsia="Arial" w:hAnsi="Arial" w:cs="Arial"/>
                <w:color w:val="000000"/>
                <w:spacing w:val="0"/>
                <w:w w:val="100"/>
                <w:position w:val="0"/>
                <w:sz w:val="18"/>
                <w:szCs w:val="18"/>
              </w:rPr>
              <w:t>034,322.52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 xml:space="preserve">19, </w:t>
            </w:r>
            <w:r>
              <w:rPr>
                <w:rFonts w:ascii="Arial" w:eastAsia="Arial" w:hAnsi="Arial" w:cs="Arial"/>
                <w:color w:val="000000"/>
                <w:spacing w:val="0"/>
                <w:w w:val="100"/>
                <w:position w:val="0"/>
                <w:sz w:val="18"/>
                <w:szCs w:val="18"/>
              </w:rPr>
              <w:t>034,322.52</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 xml:space="preserve">-5,248, 831. </w:t>
            </w:r>
            <w:r>
              <w:rPr>
                <w:rFonts w:ascii="Arial" w:eastAsia="Arial" w:hAnsi="Arial" w:cs="Arial"/>
                <w:color w:val="000000"/>
                <w:spacing w:val="0"/>
                <w:w w:val="100"/>
                <w:position w:val="0"/>
                <w:sz w:val="18"/>
                <w:szCs w:val="18"/>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 xml:space="preserve">-5,248, 831. </w:t>
            </w:r>
            <w:r>
              <w:rPr>
                <w:rFonts w:ascii="Arial" w:eastAsia="Arial" w:hAnsi="Arial" w:cs="Arial"/>
                <w:color w:val="000000"/>
                <w:spacing w:val="0"/>
                <w:w w:val="100"/>
                <w:position w:val="0"/>
                <w:sz w:val="18"/>
                <w:szCs w:val="18"/>
              </w:rPr>
              <w:t>93</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 xml:space="preserve">19, </w:t>
            </w:r>
            <w:r>
              <w:rPr>
                <w:rFonts w:ascii="Arial" w:eastAsia="Arial" w:hAnsi="Arial" w:cs="Arial"/>
                <w:color w:val="000000"/>
                <w:spacing w:val="0"/>
                <w:w w:val="100"/>
                <w:position w:val="0"/>
                <w:sz w:val="18"/>
                <w:szCs w:val="18"/>
              </w:rPr>
              <w:t xml:space="preserve">137,474. </w:t>
            </w:r>
            <w:r>
              <w:rPr>
                <w:rFonts w:ascii="Arial" w:eastAsia="Arial" w:hAnsi="Arial" w:cs="Arial"/>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 xml:space="preserve">18, 154, </w:t>
            </w:r>
            <w:r>
              <w:rPr>
                <w:rFonts w:ascii="Arial" w:eastAsia="Arial" w:hAnsi="Arial" w:cs="Arial"/>
                <w:color w:val="000000"/>
                <w:spacing w:val="0"/>
                <w:w w:val="100"/>
                <w:position w:val="0"/>
                <w:sz w:val="18"/>
                <w:szCs w:val="18"/>
              </w:rPr>
              <w:t xml:space="preserve">075. </w:t>
            </w:r>
            <w:r>
              <w:rPr>
                <w:rFonts w:ascii="Arial" w:eastAsia="Arial" w:hAnsi="Arial" w:cs="Arial"/>
                <w:color w:val="000000"/>
                <w:spacing w:val="0"/>
                <w:w w:val="100"/>
                <w:position w:val="0"/>
                <w:sz w:val="18"/>
                <w:szCs w:val="18"/>
              </w:rPr>
              <w:t>16</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 xml:space="preserve">116,413, </w:t>
            </w:r>
            <w:r>
              <w:rPr>
                <w:rFonts w:ascii="Arial" w:eastAsia="Arial" w:hAnsi="Arial" w:cs="Arial"/>
                <w:color w:val="000000"/>
                <w:spacing w:val="0"/>
                <w:w w:val="100"/>
                <w:position w:val="0"/>
                <w:sz w:val="18"/>
                <w:szCs w:val="18"/>
              </w:rPr>
              <w:t xml:space="preserve">496. </w:t>
            </w:r>
            <w:r>
              <w:rPr>
                <w:rFonts w:ascii="Arial" w:eastAsia="Arial" w:hAnsi="Arial" w:cs="Arial"/>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 xml:space="preserve">114, 020, </w:t>
            </w:r>
            <w:r>
              <w:rPr>
                <w:rFonts w:ascii="Arial" w:eastAsia="Arial" w:hAnsi="Arial" w:cs="Arial"/>
                <w:color w:val="000000"/>
                <w:spacing w:val="0"/>
                <w:w w:val="100"/>
                <w:position w:val="0"/>
                <w:sz w:val="18"/>
                <w:szCs w:val="18"/>
              </w:rPr>
              <w:t xml:space="preserve">588. </w:t>
            </w:r>
            <w:r>
              <w:rPr>
                <w:rFonts w:ascii="Arial" w:eastAsia="Arial" w:hAnsi="Arial" w:cs="Arial"/>
                <w:color w:val="000000"/>
                <w:spacing w:val="0"/>
                <w:w w:val="100"/>
                <w:position w:val="0"/>
                <w:sz w:val="18"/>
                <w:szCs w:val="18"/>
              </w:rPr>
              <w:t>02</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 xml:space="preserve">-1,630, 434. </w:t>
            </w:r>
            <w:r>
              <w:rPr>
                <w:rFonts w:ascii="Arial" w:eastAsia="Arial" w:hAnsi="Arial" w:cs="Arial"/>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-1,925,825.00</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1,049,783.97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-10,812, 192.45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-10,812, 192.45</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-674, 899. </w:t>
            </w:r>
            <w:r>
              <w:rPr>
                <w:rFonts w:ascii="Arial" w:eastAsia="Arial" w:hAnsi="Arial" w:cs="Arial"/>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 xml:space="preserve">-113, </w:t>
            </w:r>
            <w:r>
              <w:rPr>
                <w:rFonts w:ascii="Arial" w:eastAsia="Arial" w:hAnsi="Arial" w:cs="Arial"/>
                <w:color w:val="000000"/>
                <w:spacing w:val="0"/>
                <w:w w:val="100"/>
                <w:position w:val="0"/>
                <w:sz w:val="18"/>
                <w:szCs w:val="18"/>
              </w:rPr>
              <w:t xml:space="preserve">144, </w:t>
            </w:r>
            <w:r>
              <w:rPr>
                <w:rFonts w:ascii="Arial" w:eastAsia="Arial" w:hAnsi="Arial" w:cs="Arial"/>
                <w:color w:val="000000"/>
                <w:spacing w:val="0"/>
                <w:w w:val="100"/>
                <w:position w:val="0"/>
                <w:sz w:val="18"/>
                <w:szCs w:val="18"/>
              </w:rPr>
              <w:t xml:space="preserve">877. </w:t>
            </w:r>
            <w:r>
              <w:rPr>
                <w:rFonts w:ascii="Arial" w:eastAsia="Arial" w:hAnsi="Arial" w:cs="Arial"/>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-97,309,732.03</w:t>
            </w:r>
          </w:p>
        </w:tc>
      </w:tr>
      <w:tr>
        <w:trPr>
          <w:trHeight w:val="35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sz w:val="22"/>
                <w:szCs w:val="22"/>
              </w:rPr>
              <w:t>）</w:t>
            </w:r>
            <w:r>
              <w:rPr>
                <w:color w:val="000000"/>
                <w:spacing w:val="0"/>
                <w:w w:val="100"/>
                <w:position w:val="0"/>
                <w:sz w:val="17"/>
                <w:szCs w:val="17"/>
              </w:rPr>
              <w:t>将与收入相关、不满足无 条件收款权的已完工未结算、 应收账款重分类至合同资产， 将与收入相关的已结算未完 工、与收入相关的预收款项重 分类至合同负债。</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财政部于</w:t>
            </w:r>
            <w:r>
              <w:rPr>
                <w:rFonts w:ascii="Arial" w:eastAsia="Arial" w:hAnsi="Arial" w:cs="Arial"/>
                <w:color w:val="000000"/>
                <w:spacing w:val="0"/>
                <w:w w:val="100"/>
                <w:position w:val="0"/>
                <w:sz w:val="18"/>
                <w:szCs w:val="18"/>
              </w:rPr>
              <w:t>2017</w:t>
            </w:r>
            <w:r>
              <w:rPr>
                <w:color w:val="000000"/>
                <w:spacing w:val="0"/>
                <w:w w:val="100"/>
                <w:position w:val="0"/>
                <w:sz w:val="17"/>
                <w:szCs w:val="17"/>
              </w:rPr>
              <w:t>年 颁布修订的《企业 会计准则第</w:t>
            </w:r>
            <w:r>
              <w:rPr>
                <w:rFonts w:ascii="Arial" w:eastAsia="Arial" w:hAnsi="Arial" w:cs="Arial"/>
                <w:color w:val="000000"/>
                <w:spacing w:val="0"/>
                <w:w w:val="100"/>
                <w:position w:val="0"/>
                <w:sz w:val="18"/>
                <w:szCs w:val="18"/>
              </w:rPr>
              <w:t>14</w:t>
            </w:r>
            <w:r>
              <w:rPr>
                <w:color w:val="000000"/>
                <w:spacing w:val="0"/>
                <w:w w:val="100"/>
                <w:position w:val="0"/>
                <w:sz w:val="17"/>
                <w:szCs w:val="17"/>
              </w:rPr>
              <w:t>号 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-313,210,222.34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-313,210,222.34</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313,210,222.34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313,210,222.34</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-132,063,294.33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 xml:space="preserve">-119, </w:t>
            </w:r>
            <w:r>
              <w:rPr>
                <w:rFonts w:ascii="Arial" w:eastAsia="Arial" w:hAnsi="Arial" w:cs="Arial"/>
                <w:color w:val="000000"/>
                <w:spacing w:val="0"/>
                <w:w w:val="100"/>
                <w:position w:val="0"/>
                <w:sz w:val="18"/>
                <w:szCs w:val="18"/>
              </w:rPr>
              <w:t xml:space="preserve">968, </w:t>
            </w:r>
            <w:r>
              <w:rPr>
                <w:rFonts w:ascii="Arial" w:eastAsia="Arial" w:hAnsi="Arial" w:cs="Arial"/>
                <w:color w:val="000000"/>
                <w:spacing w:val="0"/>
                <w:w w:val="100"/>
                <w:position w:val="0"/>
                <w:sz w:val="18"/>
                <w:szCs w:val="18"/>
              </w:rPr>
              <w:t xml:space="preserve">382. </w:t>
            </w:r>
            <w:r>
              <w:rPr>
                <w:rFonts w:ascii="Arial" w:eastAsia="Arial" w:hAnsi="Arial" w:cs="Arial"/>
                <w:color w:val="000000"/>
                <w:spacing w:val="0"/>
                <w:w w:val="100"/>
                <w:position w:val="0"/>
                <w:sz w:val="18"/>
                <w:szCs w:val="18"/>
              </w:rPr>
              <w:t>17</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 xml:space="preserve">126, 037, </w:t>
            </w:r>
            <w:r>
              <w:rPr>
                <w:rFonts w:ascii="Arial" w:eastAsia="Arial" w:hAnsi="Arial" w:cs="Arial"/>
                <w:color w:val="000000"/>
                <w:spacing w:val="0"/>
                <w:w w:val="100"/>
                <w:position w:val="0"/>
                <w:sz w:val="18"/>
                <w:szCs w:val="18"/>
              </w:rPr>
              <w:t xml:space="preserve">076. </w:t>
            </w:r>
            <w:r>
              <w:rPr>
                <w:rFonts w:ascii="Arial" w:eastAsia="Arial" w:hAnsi="Arial" w:cs="Arial"/>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 xml:space="preserve">114, 089, </w:t>
            </w:r>
            <w:r>
              <w:rPr>
                <w:rFonts w:ascii="Arial" w:eastAsia="Arial" w:hAnsi="Arial" w:cs="Arial"/>
                <w:color w:val="000000"/>
                <w:spacing w:val="0"/>
                <w:w w:val="100"/>
                <w:position w:val="0"/>
                <w:sz w:val="18"/>
                <w:szCs w:val="18"/>
              </w:rPr>
              <w:t xml:space="preserve">604. </w:t>
            </w:r>
            <w:r>
              <w:rPr>
                <w:rFonts w:ascii="Arial" w:eastAsia="Arial" w:hAnsi="Arial" w:cs="Arial"/>
                <w:color w:val="000000"/>
                <w:spacing w:val="0"/>
                <w:w w:val="100"/>
                <w:position w:val="0"/>
                <w:sz w:val="18"/>
                <w:szCs w:val="18"/>
              </w:rPr>
              <w:t>21</w:t>
            </w:r>
          </w:p>
        </w:tc>
      </w:tr>
      <w:tr>
        <w:trPr>
          <w:trHeight w:val="52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6, </w:t>
            </w:r>
            <w:r>
              <w:rPr>
                <w:rFonts w:ascii="Arial" w:eastAsia="Arial" w:hAnsi="Arial" w:cs="Arial"/>
                <w:color w:val="000000"/>
                <w:spacing w:val="0"/>
                <w:w w:val="100"/>
                <w:position w:val="0"/>
                <w:sz w:val="18"/>
                <w:szCs w:val="18"/>
              </w:rPr>
              <w:t>026,217.85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5,878,777.96</w:t>
            </w:r>
          </w:p>
        </w:tc>
      </w:tr>
    </w:tbl>
    <w:p>
      <w:pPr>
        <w:widowControl w:val="0"/>
        <w:spacing w:after="3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（减少））：</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662"/>
        <w:gridCol w:w="3000"/>
        <w:gridCol w:w="3014"/>
      </w:tblGrid>
      <w:tr>
        <w:trPr>
          <w:trHeight w:val="36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受影响的资产负债表项目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日余额的影响金额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-564,603,490.70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-549,637,038.99</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249,867,020.22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257,636,133.40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307,194,888.39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293,996,923.67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-14,204,774.33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-16,597,682.45</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151,265,755.41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140,044,676.89</w:t>
            </w:r>
          </w:p>
        </w:tc>
      </w:tr>
    </w:tbl>
    <w:p>
      <w:pPr>
        <w:widowControl w:val="0"/>
        <w:spacing w:line="1" w:lineRule="exact"/>
      </w:pPr>
      <w:r>
        <w:br w:type="page"/>
      </w:r>
    </w:p>
    <w:tbl>
      <w:tblPr>
        <w:tblOverlap w:val="never"/>
        <w:jc w:val="center"/>
        <w:tblLayout w:type="fixed"/>
      </w:tblPr>
      <w:tblGrid>
        <w:gridCol w:w="3662"/>
        <w:gridCol w:w="3000"/>
        <w:gridCol w:w="3014"/>
      </w:tblGrid>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9,637,598.06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9,117,033.05</w:t>
            </w:r>
          </w:p>
        </w:tc>
      </w:tr>
    </w:tbl>
    <w:p>
      <w:pPr>
        <w:widowControl w:val="0"/>
        <w:spacing w:after="35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662"/>
        <w:gridCol w:w="3000"/>
        <w:gridCol w:w="3014"/>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受影响的利润表项目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年度发生额的影响金额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-35,235,757.02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-35,235,757.02</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-53,831,632.92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-53,831,632.92</w:t>
            </w:r>
          </w:p>
        </w:tc>
      </w:tr>
    </w:tbl>
    <w:p>
      <w:pPr>
        <w:widowControl w:val="0"/>
        <w:spacing w:after="619" w:line="1" w:lineRule="exact"/>
      </w:pPr>
    </w:p>
    <w:p>
      <w:pPr>
        <w:pStyle w:val="Style41"/>
        <w:keepNext/>
        <w:keepLines/>
        <w:widowControl w:val="0"/>
        <w:numPr>
          <w:ilvl w:val="0"/>
          <w:numId w:val="25"/>
        </w:numPr>
        <w:shd w:val="clear" w:color="auto" w:fill="auto"/>
        <w:bidi w:val="0"/>
        <w:spacing w:before="0" w:after="360" w:line="240" w:lineRule="auto"/>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重要会计估计变更</w:t>
      </w:r>
      <w:bookmarkEnd w:id="982"/>
      <w:bookmarkEnd w:id="983"/>
      <w:bookmarkEnd w:id="98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25"/>
        </w:numPr>
        <w:shd w:val="clear" w:color="auto" w:fill="auto"/>
        <w:bidi w:val="0"/>
        <w:spacing w:before="0" w:after="360" w:line="240" w:lineRule="auto"/>
        <w:ind w:left="0" w:right="0" w:firstLine="0"/>
        <w:jc w:val="left"/>
      </w:pPr>
      <w:bookmarkStart w:id="986" w:name="bookmark986"/>
      <w:bookmarkStart w:id="987" w:name="bookmark987"/>
      <w:bookmarkStart w:id="988" w:name="bookmark988"/>
      <w:bookmarkStart w:id="989" w:name="bookmark989"/>
      <w:bookmarkEnd w:id="988"/>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986"/>
      <w:bookmarkEnd w:id="987"/>
      <w:bookmarkEnd w:id="98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1,096,322,939.51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1,096,322,939.51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72,335,866.02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72,335,866.02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1,802,930,318.70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1,250,929,053.93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-552,001,264.77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15,496,829.22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15,496,829.22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35,423,940.72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35,423,940.72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197,133,467.71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197,068,954.44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313,210,222.34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313,210,222.34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一年内到期的非流动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20,061,385.56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39,095,708.08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19,034,322.52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3,047,300,793.00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3,024,613,027.53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-22,687,765.47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128,324,215.63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123,075,383.70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-5,248,831.93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23,436,180.00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23,436,180.00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47,383,638.36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47,383,638.36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294,227,678.96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294,227,678.96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389,205,028.23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389,205,028.23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72,514,139.50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72,514,139.50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93,960,012.11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93,960,012.11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3,685,376.81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3,685,376.81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85,787,857.40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104,925,331.74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19,137,474.34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7,164,483.08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7,164,483.08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1,145,688,610.08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1,159,577,252.49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13,888,642.41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4,192,989,403.08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4,184,190,280.02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-8,799,123.06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12,480,899.92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12,480,899.92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51,919,575.73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51,919,575.73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15,649,798.19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-15,649,798.19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126,037,076.48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126,037,076.48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219,080,696.21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219,080,696.21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25,802,858.11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24,172,424.00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-1,630,434.11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170,192,458.76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170,192,458.76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6,026,217.85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6,026,217.85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1,099,626,286.92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1,214,409,348.95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114,783,062.03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9,642,436.22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9,642,436.22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20,576,808.13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21,626,592.10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1,049,783.97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30,219,244.35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31,269,028.32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1,049,783.97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1,129,845,531.27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1,245,678,377.27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115,832,846.00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884,016,939.00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884,016,939.00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771,220,820.44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771,220,820.44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-708,542.36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-708,542.36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181,604,375.08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170,792,182.63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-10,812,192.45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1,455,562,203.77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1,342,417,326.53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-113,144,877.24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3,066,901,427.19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2,942,944,357.50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-123,957,069.69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-3,757,555.38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-4,432,454.75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-674,899.37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3,063,143,871.81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2,938,511,902.75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-124,631,969.06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4,192,989,403.08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4,184,190,280.02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-8,799,123.06</w:t>
            </w:r>
          </w:p>
        </w:tc>
      </w:tr>
    </w:tbl>
    <w:p>
      <w:pPr>
        <w:pStyle w:val="Style28"/>
        <w:keepNext w:val="0"/>
        <w:keepLines w:val="0"/>
        <w:widowControl w:val="0"/>
        <w:shd w:val="clear" w:color="auto" w:fill="auto"/>
        <w:bidi w:val="0"/>
        <w:spacing w:before="0" w:line="350" w:lineRule="exact"/>
        <w:ind w:left="0" w:right="0" w:firstLine="0"/>
        <w:jc w:val="left"/>
      </w:pPr>
      <w:r>
        <w:rPr>
          <w:color w:val="000000"/>
          <w:spacing w:val="0"/>
          <w:w w:val="100"/>
          <w:position w:val="0"/>
        </w:rPr>
        <w:t>调整情况说明 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575,435,836.99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575,435,836.99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60,457,888.38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60,457,888.38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1,666,988,215.05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1,116,755,437.28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-550,232,777.77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13,191,543.87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13,191,543.87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666,204,474.17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666,204,474.17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209,055,828.22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209,055,828.22</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313,210,222.34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313,210,222.34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一年内到期的非流动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18,732,390.47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37,766,712.99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19,034,322.52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3,004,654,348.93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2,995,721,944.24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-8,932,404.69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566,067,731.91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560,818,899.98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-5,248,831.93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23,436,180.00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23,436,180.00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39,709,818.36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39,709,818.36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290,879,912.96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290,879,912.96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345,255,308.16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345,255,308.16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58,090,496.33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58,090,496.33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3,616,411.60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3,616,411.60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78,114,846.27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96,268,921.43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18,154,075.16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6,573,483.08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6,573,483.08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1,411,744,188.67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1,424,649,431.90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12,905,243.23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4,416,398,537.60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4,420,371,376.14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3,972,838.54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31,980,899.92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31,980,899.92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314,176,752.77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314,176,752.77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5,947,794.15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-5,947,794.15</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114,089,604.21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114,089,604.21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165,513,393.83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165,513,393.83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4,490,038.28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2,564,213.28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-1,925,825.00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261,341,869.97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261,341,869.97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5,878,777.96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5,878,777.96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1,368,450,748.92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1,480,545,511.94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112,094,763.02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9,642,436.22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9,642,436.22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9,642,436.22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9,642,436.22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1,378,093,185.14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1,490,187,948.16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112,094,763.02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884,016,939.00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884,016,939.00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818,577,631.92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818,577,631.92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-4,006,747.00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181,604,375.08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170,792,182.63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-10,812,192.45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1,382,907,522.20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1,285,597,790.17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-97,309,732.03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3,038,305,352.46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2,930,183,427.98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-108,121,924.48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4,416,398,537.60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4,420,371,376.14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3,972,838.54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41"/>
        <w:keepNext/>
        <w:keepLines/>
        <w:widowControl w:val="0"/>
        <w:numPr>
          <w:ilvl w:val="0"/>
          <w:numId w:val="25"/>
        </w:numPr>
        <w:shd w:val="clear" w:color="auto" w:fill="auto"/>
        <w:tabs>
          <w:tab w:pos="493" w:val="left"/>
        </w:tabs>
        <w:bidi w:val="0"/>
        <w:spacing w:before="0" w:line="240" w:lineRule="auto"/>
        <w:ind w:left="0" w:right="0" w:firstLine="0"/>
        <w:jc w:val="left"/>
      </w:pPr>
      <w:bookmarkStart w:id="990" w:name="bookmark990"/>
      <w:bookmarkStart w:id="991" w:name="bookmark991"/>
      <w:bookmarkStart w:id="992" w:name="bookmark992"/>
      <w:bookmarkStart w:id="993" w:name="bookmark993"/>
      <w:bookmarkEnd w:id="992"/>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90"/>
      <w:bookmarkEnd w:id="991"/>
      <w:bookmarkEnd w:id="99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六</w:t>
      </w:r>
      <w:bookmarkEnd w:id="996"/>
      <w:r>
        <w:rPr>
          <w:color w:val="000000"/>
          <w:spacing w:val="0"/>
          <w:w w:val="100"/>
          <w:position w:val="0"/>
        </w:rPr>
        <w:t>、税项</w:t>
      </w:r>
      <w:bookmarkEnd w:id="994"/>
      <w:bookmarkEnd w:id="995"/>
      <w:bookmarkEnd w:id="997"/>
    </w:p>
    <w:p>
      <w:pPr>
        <w:pStyle w:val="Style32"/>
        <w:keepNext/>
        <w:keepLines/>
        <w:widowControl w:val="0"/>
        <w:shd w:val="clear" w:color="auto" w:fill="auto"/>
        <w:bidi w:val="0"/>
        <w:spacing w:before="0" w:after="300" w:line="240" w:lineRule="auto"/>
        <w:ind w:left="0" w:right="0" w:firstLine="0"/>
        <w:jc w:val="left"/>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00"/>
      <w:bookmarkEnd w:id="998"/>
      <w:bookmarkEnd w:id="99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按应税销售收入计缴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(汉得日本缴纳)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汉得信息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夏尔软件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汉得欧俊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汉得新加坡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随身科技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汉得融晶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汉得保理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汉得微扬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上海达美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扬州达美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甄领信息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鼎医信息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得逸信息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得逸劳务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甄恒信息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汉得日本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汉得美国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汉得印度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汉得欧洲</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汉得台湾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汇羿信息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亿砹科技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甄一科技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2</w:t>
      </w:r>
      <w:bookmarkEnd w:id="1003"/>
      <w:r>
        <w:rPr>
          <w:color w:val="000000"/>
          <w:spacing w:val="0"/>
          <w:w w:val="100"/>
          <w:position w:val="0"/>
        </w:rPr>
        <w:t>、税收优惠</w:t>
      </w:r>
      <w:bookmarkEnd w:id="1001"/>
      <w:bookmarkEnd w:id="1002"/>
      <w:bookmarkEnd w:id="1004"/>
    </w:p>
    <w:p>
      <w:pPr>
        <w:pStyle w:val="Style28"/>
        <w:keepNext w:val="0"/>
        <w:keepLines w:val="0"/>
        <w:widowControl w:val="0"/>
        <w:numPr>
          <w:ilvl w:val="0"/>
          <w:numId w:val="51"/>
        </w:numPr>
        <w:shd w:val="clear" w:color="auto" w:fill="auto"/>
        <w:tabs>
          <w:tab w:pos="301" w:val="left"/>
        </w:tabs>
        <w:bidi w:val="0"/>
        <w:spacing w:before="0" w:after="0" w:line="314" w:lineRule="exact"/>
        <w:ind w:left="0" w:right="0" w:firstLine="0"/>
        <w:jc w:val="left"/>
      </w:pPr>
      <w:bookmarkStart w:id="1005" w:name="bookmark1005"/>
      <w:bookmarkEnd w:id="1005"/>
      <w:r>
        <w:rPr>
          <w:color w:val="000000"/>
          <w:spacing w:val="0"/>
          <w:w w:val="100"/>
          <w:position w:val="0"/>
        </w:rPr>
        <w:t>汉得信息</w:t>
      </w:r>
      <w:r>
        <w:rPr>
          <w:rFonts w:ascii="Arial" w:eastAsia="Arial" w:hAnsi="Arial" w:cs="Arial"/>
          <w:color w:val="000000"/>
          <w:spacing w:val="0"/>
          <w:w w:val="100"/>
          <w:position w:val="0"/>
          <w:sz w:val="18"/>
          <w:szCs w:val="18"/>
        </w:rPr>
        <w:t>2020</w:t>
      </w:r>
      <w:r>
        <w:rPr>
          <w:color w:val="000000"/>
          <w:spacing w:val="0"/>
          <w:w w:val="100"/>
          <w:position w:val="0"/>
        </w:rPr>
        <w:t>年度</w:t>
      </w:r>
      <w:r>
        <w:rPr>
          <w:rFonts w:ascii="Arial" w:eastAsia="Arial" w:hAnsi="Arial" w:cs="Arial"/>
          <w:color w:val="000000"/>
          <w:spacing w:val="0"/>
          <w:w w:val="100"/>
          <w:position w:val="0"/>
          <w:sz w:val="18"/>
          <w:szCs w:val="18"/>
        </w:rPr>
        <w:t>-2022</w:t>
      </w:r>
      <w:r>
        <w:rPr>
          <w:color w:val="000000"/>
          <w:spacing w:val="0"/>
          <w:w w:val="100"/>
          <w:position w:val="0"/>
        </w:rPr>
        <w:t>年度被认定为高新技术企业。根据《中华人民共和国企业所得税法》的规定：国家重点扶持高新 技术企业减按</w:t>
      </w:r>
      <w:r>
        <w:rPr>
          <w:rFonts w:ascii="Arial" w:eastAsia="Arial" w:hAnsi="Arial" w:cs="Arial"/>
          <w:color w:val="000000"/>
          <w:spacing w:val="0"/>
          <w:w w:val="100"/>
          <w:position w:val="0"/>
          <w:sz w:val="18"/>
          <w:szCs w:val="18"/>
        </w:rPr>
        <w:t>15%</w:t>
      </w:r>
      <w:r>
        <w:rPr>
          <w:color w:val="000000"/>
          <w:spacing w:val="0"/>
          <w:w w:val="100"/>
          <w:position w:val="0"/>
        </w:rPr>
        <w:t>的税率征收企业所得税，</w:t>
      </w:r>
      <w:r>
        <w:rPr>
          <w:rFonts w:ascii="Arial" w:eastAsia="Arial" w:hAnsi="Arial" w:cs="Arial"/>
          <w:color w:val="000000"/>
          <w:spacing w:val="0"/>
          <w:w w:val="100"/>
          <w:position w:val="0"/>
          <w:sz w:val="18"/>
          <w:szCs w:val="18"/>
        </w:rPr>
        <w:t>2020</w:t>
      </w:r>
      <w:r>
        <w:rPr>
          <w:color w:val="000000"/>
          <w:spacing w:val="0"/>
          <w:w w:val="100"/>
          <w:position w:val="0"/>
        </w:rPr>
        <w:t>年度按照</w:t>
      </w:r>
      <w:r>
        <w:rPr>
          <w:rFonts w:ascii="Arial" w:eastAsia="Arial" w:hAnsi="Arial" w:cs="Arial"/>
          <w:color w:val="000000"/>
          <w:spacing w:val="0"/>
          <w:w w:val="100"/>
          <w:position w:val="0"/>
          <w:sz w:val="18"/>
          <w:szCs w:val="18"/>
        </w:rPr>
        <w:t>15%</w:t>
      </w:r>
      <w:r>
        <w:rPr>
          <w:color w:val="000000"/>
          <w:spacing w:val="0"/>
          <w:w w:val="100"/>
          <w:position w:val="0"/>
        </w:rPr>
        <w:t>计缴企业所得税；</w:t>
      </w:r>
    </w:p>
    <w:p>
      <w:pPr>
        <w:pStyle w:val="Style28"/>
        <w:keepNext w:val="0"/>
        <w:keepLines w:val="0"/>
        <w:widowControl w:val="0"/>
        <w:numPr>
          <w:ilvl w:val="0"/>
          <w:numId w:val="51"/>
        </w:numPr>
        <w:shd w:val="clear" w:color="auto" w:fill="auto"/>
        <w:bidi w:val="0"/>
        <w:spacing w:before="0" w:after="0" w:line="314" w:lineRule="exact"/>
        <w:ind w:left="0" w:right="0" w:firstLine="0"/>
        <w:jc w:val="left"/>
      </w:pPr>
      <w:bookmarkStart w:id="1006" w:name="bookmark1006"/>
      <w:bookmarkEnd w:id="1006"/>
      <w:r>
        <w:rPr>
          <w:rFonts w:ascii="Arial" w:eastAsia="Arial" w:hAnsi="Arial" w:cs="Arial"/>
          <w:color w:val="000000"/>
          <w:spacing w:val="0"/>
          <w:w w:val="100"/>
          <w:position w:val="0"/>
          <w:sz w:val="18"/>
          <w:szCs w:val="18"/>
        </w:rPr>
        <w:t xml:space="preserve"> </w:t>
      </w:r>
      <w:r>
        <w:rPr>
          <w:color w:val="000000"/>
          <w:spacing w:val="0"/>
          <w:w w:val="100"/>
          <w:position w:val="0"/>
        </w:rPr>
        <w:t>汉得信息子公司夏尔软件</w:t>
      </w:r>
      <w:r>
        <w:rPr>
          <w:rFonts w:ascii="Arial" w:eastAsia="Arial" w:hAnsi="Arial" w:cs="Arial"/>
          <w:color w:val="000000"/>
          <w:spacing w:val="0"/>
          <w:w w:val="100"/>
          <w:position w:val="0"/>
          <w:sz w:val="18"/>
          <w:szCs w:val="18"/>
        </w:rPr>
        <w:t>2020</w:t>
      </w:r>
      <w:r>
        <w:rPr>
          <w:color w:val="000000"/>
          <w:spacing w:val="0"/>
          <w:w w:val="100"/>
          <w:position w:val="0"/>
        </w:rPr>
        <w:t>年度</w:t>
      </w:r>
      <w:r>
        <w:rPr>
          <w:rFonts w:ascii="Arial" w:eastAsia="Arial" w:hAnsi="Arial" w:cs="Arial"/>
          <w:color w:val="000000"/>
          <w:spacing w:val="0"/>
          <w:w w:val="100"/>
          <w:position w:val="0"/>
          <w:sz w:val="18"/>
          <w:szCs w:val="18"/>
        </w:rPr>
        <w:t>-2022</w:t>
      </w:r>
      <w:r>
        <w:rPr>
          <w:color w:val="000000"/>
          <w:spacing w:val="0"/>
          <w:w w:val="100"/>
          <w:position w:val="0"/>
        </w:rPr>
        <w:t>年度被认定为高新技术企业。根据《中华人民共和国企业所得税法》的规定：国 家重点扶持高新技术企业减按</w:t>
      </w:r>
      <w:r>
        <w:rPr>
          <w:rFonts w:ascii="Arial" w:eastAsia="Arial" w:hAnsi="Arial" w:cs="Arial"/>
          <w:color w:val="000000"/>
          <w:spacing w:val="0"/>
          <w:w w:val="100"/>
          <w:position w:val="0"/>
          <w:sz w:val="18"/>
          <w:szCs w:val="18"/>
        </w:rPr>
        <w:t>15%</w:t>
      </w:r>
      <w:r>
        <w:rPr>
          <w:color w:val="000000"/>
          <w:spacing w:val="0"/>
          <w:w w:val="100"/>
          <w:position w:val="0"/>
        </w:rPr>
        <w:t>的税率征收企业所得税。夏尔软件</w:t>
      </w:r>
      <w:r>
        <w:rPr>
          <w:rFonts w:ascii="Arial" w:eastAsia="Arial" w:hAnsi="Arial" w:cs="Arial"/>
          <w:color w:val="000000"/>
          <w:spacing w:val="0"/>
          <w:w w:val="100"/>
          <w:position w:val="0"/>
          <w:sz w:val="18"/>
          <w:szCs w:val="18"/>
        </w:rPr>
        <w:t>2020</w:t>
      </w:r>
      <w:r>
        <w:rPr>
          <w:color w:val="000000"/>
          <w:spacing w:val="0"/>
          <w:w w:val="100"/>
          <w:position w:val="0"/>
        </w:rPr>
        <w:t>年度按照</w:t>
      </w:r>
      <w:r>
        <w:rPr>
          <w:rFonts w:ascii="Arial" w:eastAsia="Arial" w:hAnsi="Arial" w:cs="Arial"/>
          <w:color w:val="000000"/>
          <w:spacing w:val="0"/>
          <w:w w:val="100"/>
          <w:position w:val="0"/>
          <w:sz w:val="18"/>
          <w:szCs w:val="18"/>
        </w:rPr>
        <w:t>15%</w:t>
      </w:r>
      <w:r>
        <w:rPr>
          <w:color w:val="000000"/>
          <w:spacing w:val="0"/>
          <w:w w:val="100"/>
          <w:position w:val="0"/>
        </w:rPr>
        <w:t>计缴企业所得税；</w:t>
      </w:r>
    </w:p>
    <w:p>
      <w:pPr>
        <w:pStyle w:val="Style28"/>
        <w:keepNext w:val="0"/>
        <w:keepLines w:val="0"/>
        <w:widowControl w:val="0"/>
        <w:numPr>
          <w:ilvl w:val="0"/>
          <w:numId w:val="51"/>
        </w:numPr>
        <w:shd w:val="clear" w:color="auto" w:fill="auto"/>
        <w:bidi w:val="0"/>
        <w:spacing w:before="0" w:after="0" w:line="314" w:lineRule="exact"/>
        <w:ind w:left="0" w:right="0" w:firstLine="0"/>
        <w:jc w:val="left"/>
      </w:pPr>
      <w:bookmarkStart w:id="1007" w:name="bookmark1007"/>
      <w:bookmarkEnd w:id="1007"/>
      <w:r>
        <w:rPr>
          <w:rFonts w:ascii="Arial" w:eastAsia="Arial" w:hAnsi="Arial" w:cs="Arial"/>
          <w:color w:val="000000"/>
          <w:spacing w:val="0"/>
          <w:w w:val="100"/>
          <w:position w:val="0"/>
          <w:sz w:val="18"/>
          <w:szCs w:val="18"/>
        </w:rPr>
        <w:t xml:space="preserve"> </w:t>
      </w:r>
      <w:r>
        <w:rPr>
          <w:color w:val="000000"/>
          <w:spacing w:val="0"/>
          <w:w w:val="100"/>
          <w:position w:val="0"/>
        </w:rPr>
        <w:t>汉得信息子公司汉得融晶</w:t>
      </w:r>
      <w:r>
        <w:rPr>
          <w:rFonts w:ascii="Arial" w:eastAsia="Arial" w:hAnsi="Arial" w:cs="Arial"/>
          <w:color w:val="000000"/>
          <w:spacing w:val="0"/>
          <w:w w:val="100"/>
          <w:position w:val="0"/>
          <w:sz w:val="18"/>
          <w:szCs w:val="18"/>
        </w:rPr>
        <w:t>2020</w:t>
      </w:r>
      <w:r>
        <w:rPr>
          <w:color w:val="000000"/>
          <w:spacing w:val="0"/>
          <w:w w:val="100"/>
          <w:position w:val="0"/>
        </w:rPr>
        <w:t>年度</w:t>
      </w:r>
      <w:r>
        <w:rPr>
          <w:rFonts w:ascii="Arial" w:eastAsia="Arial" w:hAnsi="Arial" w:cs="Arial"/>
          <w:color w:val="000000"/>
          <w:spacing w:val="0"/>
          <w:w w:val="100"/>
          <w:position w:val="0"/>
          <w:sz w:val="18"/>
          <w:szCs w:val="18"/>
        </w:rPr>
        <w:t>-2022</w:t>
      </w:r>
      <w:r>
        <w:rPr>
          <w:color w:val="000000"/>
          <w:spacing w:val="0"/>
          <w:w w:val="100"/>
          <w:position w:val="0"/>
        </w:rPr>
        <w:t>年度被认定为高新技术企业，根据《中华人民共和国企业所得税法》的规定：国 家重点扶持高新技术企业减按</w:t>
      </w:r>
      <w:r>
        <w:rPr>
          <w:rFonts w:ascii="Arial" w:eastAsia="Arial" w:hAnsi="Arial" w:cs="Arial"/>
          <w:color w:val="000000"/>
          <w:spacing w:val="0"/>
          <w:w w:val="100"/>
          <w:position w:val="0"/>
          <w:sz w:val="18"/>
          <w:szCs w:val="18"/>
        </w:rPr>
        <w:t>15%</w:t>
      </w:r>
      <w:r>
        <w:rPr>
          <w:color w:val="000000"/>
          <w:spacing w:val="0"/>
          <w:w w:val="100"/>
          <w:position w:val="0"/>
        </w:rPr>
        <w:t>的税率征收企业所得税。汉得融晶</w:t>
      </w:r>
      <w:r>
        <w:rPr>
          <w:rFonts w:ascii="Arial" w:eastAsia="Arial" w:hAnsi="Arial" w:cs="Arial"/>
          <w:color w:val="000000"/>
          <w:spacing w:val="0"/>
          <w:w w:val="100"/>
          <w:position w:val="0"/>
          <w:sz w:val="18"/>
          <w:szCs w:val="18"/>
        </w:rPr>
        <w:t>2020</w:t>
      </w:r>
      <w:r>
        <w:rPr>
          <w:color w:val="000000"/>
          <w:spacing w:val="0"/>
          <w:w w:val="100"/>
          <w:position w:val="0"/>
        </w:rPr>
        <w:t>年度按照</w:t>
      </w:r>
      <w:r>
        <w:rPr>
          <w:rFonts w:ascii="Arial" w:eastAsia="Arial" w:hAnsi="Arial" w:cs="Arial"/>
          <w:color w:val="000000"/>
          <w:spacing w:val="0"/>
          <w:w w:val="100"/>
          <w:position w:val="0"/>
          <w:sz w:val="18"/>
          <w:szCs w:val="18"/>
        </w:rPr>
        <w:t>15%</w:t>
      </w:r>
      <w:r>
        <w:rPr>
          <w:color w:val="000000"/>
          <w:spacing w:val="0"/>
          <w:w w:val="100"/>
          <w:position w:val="0"/>
        </w:rPr>
        <w:t>计缴企业所得税；</w:t>
      </w:r>
    </w:p>
    <w:p>
      <w:pPr>
        <w:pStyle w:val="Style28"/>
        <w:keepNext w:val="0"/>
        <w:keepLines w:val="0"/>
        <w:widowControl w:val="0"/>
        <w:numPr>
          <w:ilvl w:val="0"/>
          <w:numId w:val="51"/>
        </w:numPr>
        <w:shd w:val="clear" w:color="auto" w:fill="auto"/>
        <w:bidi w:val="0"/>
        <w:spacing w:before="0" w:after="0" w:line="314" w:lineRule="exact"/>
        <w:ind w:left="0" w:right="0" w:firstLine="0"/>
        <w:jc w:val="left"/>
      </w:pPr>
      <w:bookmarkStart w:id="1008" w:name="bookmark1008"/>
      <w:bookmarkEnd w:id="1008"/>
      <w:r>
        <w:rPr>
          <w:rFonts w:ascii="Arial" w:eastAsia="Arial" w:hAnsi="Arial" w:cs="Arial"/>
          <w:color w:val="000000"/>
          <w:spacing w:val="0"/>
          <w:w w:val="100"/>
          <w:position w:val="0"/>
          <w:sz w:val="18"/>
          <w:szCs w:val="18"/>
        </w:rPr>
        <w:t xml:space="preserve"> </w:t>
      </w:r>
      <w:r>
        <w:rPr>
          <w:color w:val="000000"/>
          <w:spacing w:val="0"/>
          <w:w w:val="100"/>
          <w:position w:val="0"/>
        </w:rPr>
        <w:t>汉得信息、子公司夏尔软件和子公司汉得融晶根据财税</w:t>
      </w:r>
      <w:r>
        <w:rPr>
          <w:rFonts w:ascii="Arial" w:eastAsia="Arial" w:hAnsi="Arial" w:cs="Arial"/>
          <w:color w:val="000000"/>
          <w:spacing w:val="0"/>
          <w:w w:val="100"/>
          <w:position w:val="0"/>
          <w:sz w:val="18"/>
          <w:szCs w:val="18"/>
        </w:rPr>
        <w:t>[2011]10 0</w:t>
      </w:r>
      <w:r>
        <w:rPr>
          <w:color w:val="000000"/>
          <w:spacing w:val="0"/>
          <w:w w:val="100"/>
          <w:position w:val="0"/>
        </w:rPr>
        <w:t>号《关于软件产品增值税政策的通知》的规定，本公司 销售其自行开发生产的软件产品，按</w:t>
      </w:r>
      <w:r>
        <w:rPr>
          <w:rFonts w:ascii="Arial" w:eastAsia="Arial" w:hAnsi="Arial" w:cs="Arial"/>
          <w:color w:val="000000"/>
          <w:spacing w:val="0"/>
          <w:w w:val="100"/>
          <w:position w:val="0"/>
          <w:sz w:val="18"/>
          <w:szCs w:val="18"/>
        </w:rPr>
        <w:t>13%</w:t>
      </w:r>
      <w:r>
        <w:rPr>
          <w:color w:val="000000"/>
          <w:spacing w:val="0"/>
          <w:w w:val="100"/>
          <w:position w:val="0"/>
        </w:rPr>
        <w:t>税率征收增值税后，对其增值税实际税负超过</w:t>
      </w:r>
      <w:r>
        <w:rPr>
          <w:rFonts w:ascii="Arial" w:eastAsia="Arial" w:hAnsi="Arial" w:cs="Arial"/>
          <w:color w:val="000000"/>
          <w:spacing w:val="0"/>
          <w:w w:val="100"/>
          <w:position w:val="0"/>
          <w:sz w:val="18"/>
          <w:szCs w:val="18"/>
        </w:rPr>
        <w:t>3%</w:t>
      </w:r>
      <w:r>
        <w:rPr>
          <w:color w:val="000000"/>
          <w:spacing w:val="0"/>
          <w:w w:val="100"/>
          <w:position w:val="0"/>
        </w:rPr>
        <w:t>的部分实行即征即退政策；</w:t>
      </w:r>
    </w:p>
    <w:p>
      <w:pPr>
        <w:pStyle w:val="Style28"/>
        <w:keepNext w:val="0"/>
        <w:keepLines w:val="0"/>
        <w:widowControl w:val="0"/>
        <w:numPr>
          <w:ilvl w:val="0"/>
          <w:numId w:val="51"/>
        </w:numPr>
        <w:shd w:val="clear" w:color="auto" w:fill="auto"/>
        <w:bidi w:val="0"/>
        <w:spacing w:before="0" w:after="320" w:line="314" w:lineRule="exact"/>
        <w:ind w:left="0" w:right="0" w:firstLine="0"/>
        <w:jc w:val="left"/>
      </w:pPr>
      <w:bookmarkStart w:id="1009" w:name="bookmark1009"/>
      <w:bookmarkEnd w:id="1009"/>
      <w:r>
        <w:rPr>
          <w:rFonts w:ascii="Arial" w:eastAsia="Arial" w:hAnsi="Arial" w:cs="Arial"/>
          <w:color w:val="000000"/>
          <w:spacing w:val="0"/>
          <w:w w:val="100"/>
          <w:position w:val="0"/>
          <w:sz w:val="18"/>
          <w:szCs w:val="18"/>
        </w:rPr>
        <w:t xml:space="preserve"> </w:t>
      </w:r>
      <w:r>
        <w:rPr>
          <w:color w:val="000000"/>
          <w:spacing w:val="0"/>
          <w:w w:val="100"/>
          <w:position w:val="0"/>
        </w:rPr>
        <w:t>根据《财政部税务总局关于实施小微企业普惠性税收减免政策的通知》（财税</w:t>
      </w:r>
      <w:r>
        <w:rPr>
          <w:rFonts w:ascii="Arial" w:eastAsia="Arial" w:hAnsi="Arial" w:cs="Arial"/>
          <w:color w:val="000000"/>
          <w:spacing w:val="0"/>
          <w:w w:val="100"/>
          <w:position w:val="0"/>
          <w:sz w:val="18"/>
          <w:szCs w:val="18"/>
        </w:rPr>
        <w:t>[2019]13</w:t>
      </w:r>
      <w:r>
        <w:rPr>
          <w:color w:val="000000"/>
          <w:spacing w:val="0"/>
          <w:w w:val="100"/>
          <w:position w:val="0"/>
        </w:rPr>
        <w:t>号）</w:t>
      </w:r>
      <w:r>
        <w:rPr>
          <w:color w:val="000000"/>
          <w:spacing w:val="0"/>
          <w:w w:val="100"/>
          <w:position w:val="0"/>
          <w:sz w:val="22"/>
          <w:szCs w:val="22"/>
        </w:rPr>
        <w:t>，</w:t>
      </w:r>
      <w:r>
        <w:rPr>
          <w:color w:val="000000"/>
          <w:spacing w:val="0"/>
          <w:w w:val="100"/>
          <w:position w:val="0"/>
        </w:rPr>
        <w:t>本公司的子公司鼎医信息、 甄恒信息、甄领信息、甄一科技、汉得微扬、得逸劳务、汇羿信息、亿砹科技、扬州达美、汉得欧俊、随身科技为小型微利 企业，享受微利企业普惠性所得税减免政策。</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color w:val="000000"/>
          <w:spacing w:val="0"/>
          <w:w w:val="100"/>
          <w:position w:val="0"/>
        </w:rPr>
        <w:t>、其他</w:t>
      </w:r>
      <w:bookmarkEnd w:id="1010"/>
      <w:bookmarkEnd w:id="1011"/>
      <w:bookmarkEnd w:id="1013"/>
    </w:p>
    <w:p>
      <w:pPr>
        <w:pStyle w:val="Style2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注：</w:t>
      </w:r>
    </w:p>
    <w:p>
      <w:pPr>
        <w:pStyle w:val="Style28"/>
        <w:keepNext w:val="0"/>
        <w:keepLines w:val="0"/>
        <w:widowControl w:val="0"/>
        <w:shd w:val="clear" w:color="auto" w:fill="auto"/>
        <w:bidi w:val="0"/>
        <w:spacing w:before="0" w:after="40" w:line="310" w:lineRule="exact"/>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、子公司汉得日本法人税税率为课税所得的</w:t>
      </w:r>
      <w:r>
        <w:rPr>
          <w:rFonts w:ascii="Arial" w:eastAsia="Arial" w:hAnsi="Arial" w:cs="Arial"/>
          <w:color w:val="000000"/>
          <w:spacing w:val="0"/>
          <w:w w:val="100"/>
          <w:position w:val="0"/>
          <w:sz w:val="18"/>
          <w:szCs w:val="18"/>
        </w:rPr>
        <w:t>25.5%</w:t>
      </w:r>
      <w:r>
        <w:rPr>
          <w:color w:val="000000"/>
          <w:spacing w:val="0"/>
          <w:w w:val="100"/>
          <w:position w:val="0"/>
          <w:sz w:val="22"/>
          <w:szCs w:val="22"/>
        </w:rPr>
        <w:t>，</w:t>
      </w:r>
      <w:r>
        <w:rPr>
          <w:color w:val="000000"/>
          <w:spacing w:val="0"/>
          <w:w w:val="100"/>
          <w:position w:val="0"/>
        </w:rPr>
        <w:t>课税留保金额的</w:t>
      </w:r>
      <w:r>
        <w:rPr>
          <w:rFonts w:ascii="Arial" w:eastAsia="Arial" w:hAnsi="Arial" w:cs="Arial"/>
          <w:color w:val="000000"/>
          <w:spacing w:val="0"/>
          <w:w w:val="100"/>
          <w:position w:val="0"/>
          <w:sz w:val="18"/>
          <w:szCs w:val="18"/>
        </w:rPr>
        <w:t>10%</w:t>
      </w:r>
      <w:r>
        <w:rPr>
          <w:color w:val="000000"/>
          <w:spacing w:val="0"/>
          <w:w w:val="100"/>
          <w:position w:val="0"/>
          <w:sz w:val="22"/>
          <w:szCs w:val="22"/>
        </w:rPr>
        <w:t>；</w:t>
      </w:r>
      <w:r>
        <w:rPr>
          <w:color w:val="000000"/>
          <w:spacing w:val="0"/>
          <w:w w:val="100"/>
          <w:position w:val="0"/>
        </w:rPr>
        <w:t>地方法人税税率为法人税税额的</w:t>
      </w:r>
      <w:r>
        <w:rPr>
          <w:rFonts w:ascii="Arial" w:eastAsia="Arial" w:hAnsi="Arial" w:cs="Arial"/>
          <w:color w:val="000000"/>
          <w:spacing w:val="0"/>
          <w:w w:val="100"/>
          <w:position w:val="0"/>
          <w:sz w:val="18"/>
          <w:szCs w:val="18"/>
        </w:rPr>
        <w:t>4.4%</w:t>
      </w:r>
      <w:r>
        <w:rPr>
          <w:color w:val="000000"/>
          <w:spacing w:val="0"/>
          <w:w w:val="100"/>
          <w:position w:val="0"/>
        </w:rPr>
        <w:t>；法人都民 税税率为法人税税额的</w:t>
      </w:r>
      <w:r>
        <w:rPr>
          <w:rFonts w:ascii="Arial" w:eastAsia="Arial" w:hAnsi="Arial" w:cs="Arial"/>
          <w:color w:val="000000"/>
          <w:spacing w:val="0"/>
          <w:w w:val="100"/>
          <w:position w:val="0"/>
          <w:sz w:val="18"/>
          <w:szCs w:val="18"/>
        </w:rPr>
        <w:t xml:space="preserve">16. </w:t>
      </w:r>
      <w:r>
        <w:rPr>
          <w:rFonts w:ascii="Arial" w:eastAsia="Arial" w:hAnsi="Arial" w:cs="Arial"/>
          <w:color w:val="000000"/>
          <w:spacing w:val="0"/>
          <w:w w:val="100"/>
          <w:position w:val="0"/>
          <w:sz w:val="18"/>
          <w:szCs w:val="18"/>
        </w:rPr>
        <w:t>3%</w:t>
      </w:r>
      <w:r>
        <w:rPr>
          <w:color w:val="000000"/>
          <w:spacing w:val="0"/>
          <w:w w:val="100"/>
          <w:position w:val="0"/>
        </w:rPr>
        <w:t>加上定额</w:t>
      </w:r>
      <w:r>
        <w:rPr>
          <w:rFonts w:ascii="Arial" w:eastAsia="Arial" w:hAnsi="Arial" w:cs="Arial"/>
          <w:color w:val="000000"/>
          <w:spacing w:val="0"/>
          <w:w w:val="100"/>
          <w:position w:val="0"/>
          <w:sz w:val="18"/>
          <w:szCs w:val="18"/>
        </w:rPr>
        <w:t>70, 000</w:t>
      </w:r>
      <w:r>
        <w:rPr>
          <w:color w:val="000000"/>
          <w:spacing w:val="0"/>
          <w:w w:val="100"/>
          <w:position w:val="0"/>
        </w:rPr>
        <w:t xml:space="preserve">日元；法人事业税和地方法人特别税的税率如下（其中地方法人特别税减按 </w:t>
      </w:r>
      <w:r>
        <w:rPr>
          <w:rFonts w:ascii="Arial" w:eastAsia="Arial" w:hAnsi="Arial" w:cs="Arial"/>
          <w:color w:val="000000"/>
          <w:spacing w:val="0"/>
          <w:w w:val="100"/>
          <w:position w:val="0"/>
          <w:sz w:val="18"/>
          <w:szCs w:val="18"/>
        </w:rPr>
        <w:t xml:space="preserve">43.2% </w:t>
      </w:r>
      <w:r>
        <w:rPr>
          <w:color w:val="000000"/>
          <w:spacing w:val="0"/>
          <w:w w:val="100"/>
          <w:position w:val="0"/>
        </w:rPr>
        <w:t>征收）：</w:t>
      </w:r>
    </w:p>
    <w:tbl>
      <w:tblPr>
        <w:tblOverlap w:val="never"/>
        <w:jc w:val="center"/>
        <w:tblLayout w:type="fixed"/>
      </w:tblPr>
      <w:tblGrid>
        <w:gridCol w:w="4138"/>
        <w:gridCol w:w="2789"/>
        <w:gridCol w:w="2750"/>
      </w:tblGrid>
      <w:tr>
        <w:trPr>
          <w:trHeight w:val="36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课税所得额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法人事业税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地方法人特别税</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0-40</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万日元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400-80</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万日元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万日元以上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w:t>
            </w:r>
          </w:p>
        </w:tc>
      </w:tr>
    </w:tbl>
    <w:p>
      <w:pPr>
        <w:widowControl w:val="0"/>
        <w:spacing w:after="3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val="0"/>
          <w:bCs w:val="0"/>
          <w:color w:val="000000"/>
          <w:spacing w:val="0"/>
          <w:w w:val="100"/>
          <w:position w:val="0"/>
          <w:sz w:val="18"/>
          <w:szCs w:val="18"/>
        </w:rPr>
        <w:t>2</w:t>
      </w:r>
      <w:r>
        <w:rPr>
          <w:b w:val="0"/>
          <w:bCs w:val="0"/>
          <w:color w:val="000000"/>
          <w:spacing w:val="0"/>
          <w:w w:val="100"/>
          <w:position w:val="0"/>
          <w:sz w:val="17"/>
          <w:szCs w:val="17"/>
        </w:rPr>
        <w:t>、汉得美国</w:t>
      </w:r>
    </w:p>
    <w:tbl>
      <w:tblPr>
        <w:tblOverlap w:val="never"/>
        <w:jc w:val="center"/>
        <w:tblLayout w:type="fixed"/>
      </w:tblPr>
      <w:tblGrid>
        <w:gridCol w:w="4200"/>
        <w:gridCol w:w="2736"/>
        <w:gridCol w:w="2741"/>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联邦税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按应纳税所得额计征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310" w:lineRule="exact"/>
        <w:ind w:left="0" w:right="0" w:firstLine="0"/>
        <w:jc w:val="left"/>
      </w:pPr>
      <w:r>
        <w:rPr>
          <w:rFonts w:ascii="Arial" w:eastAsia="Arial" w:hAnsi="Arial" w:cs="Arial"/>
          <w:color w:val="000000"/>
          <w:spacing w:val="0"/>
          <w:w w:val="100"/>
          <w:position w:val="0"/>
          <w:sz w:val="18"/>
          <w:szCs w:val="18"/>
        </w:rPr>
        <w:t>3</w:t>
      </w:r>
      <w:r>
        <w:rPr>
          <w:color w:val="000000"/>
          <w:spacing w:val="0"/>
          <w:w w:val="100"/>
          <w:position w:val="0"/>
        </w:rPr>
        <w:t>、汉得印度</w:t>
      </w:r>
    </w:p>
    <w:p>
      <w:pPr>
        <w:pStyle w:val="Style28"/>
        <w:keepNext w:val="0"/>
        <w:keepLines w:val="0"/>
        <w:widowControl w:val="0"/>
        <w:shd w:val="clear" w:color="auto" w:fill="auto"/>
        <w:bidi w:val="0"/>
        <w:spacing w:before="0" w:after="400" w:line="310" w:lineRule="exact"/>
        <w:ind w:left="0" w:right="0" w:firstLine="0"/>
        <w:jc w:val="left"/>
      </w:pPr>
      <w:r>
        <w:rPr>
          <w:color w:val="000000"/>
          <w:spacing w:val="0"/>
          <w:w w:val="100"/>
          <w:position w:val="0"/>
        </w:rPr>
        <w:t>子公司汉得印度商品及服务税（</w:t>
      </w:r>
      <w:r>
        <w:rPr>
          <w:rFonts w:ascii="Arial" w:eastAsia="Arial" w:hAnsi="Arial" w:cs="Arial"/>
          <w:color w:val="000000"/>
          <w:spacing w:val="0"/>
          <w:w w:val="100"/>
          <w:position w:val="0"/>
          <w:sz w:val="18"/>
          <w:szCs w:val="18"/>
        </w:rPr>
        <w:t>GST</w:t>
      </w:r>
      <w:r>
        <w:rPr>
          <w:color w:val="000000"/>
          <w:spacing w:val="0"/>
          <w:w w:val="100"/>
          <w:position w:val="0"/>
          <w:sz w:val="22"/>
          <w:szCs w:val="22"/>
        </w:rPr>
        <w:t>）</w:t>
      </w:r>
      <w:r>
        <w:rPr>
          <w:color w:val="000000"/>
          <w:spacing w:val="0"/>
          <w:w w:val="100"/>
          <w:position w:val="0"/>
        </w:rPr>
        <w:t>分为四种，分别为：中央商品及服务税</w:t>
      </w:r>
      <w:r>
        <w:rPr>
          <w:color w:val="000000"/>
          <w:spacing w:val="0"/>
          <w:w w:val="100"/>
          <w:position w:val="0"/>
          <w:sz w:val="22"/>
          <w:szCs w:val="22"/>
        </w:rPr>
        <w:t>（</w:t>
      </w:r>
      <w:r>
        <w:rPr>
          <w:rFonts w:ascii="Arial" w:eastAsia="Arial" w:hAnsi="Arial" w:cs="Arial"/>
          <w:color w:val="000000"/>
          <w:spacing w:val="0"/>
          <w:w w:val="100"/>
          <w:position w:val="0"/>
          <w:sz w:val="18"/>
          <w:szCs w:val="18"/>
        </w:rPr>
        <w:t>CGST）</w:t>
      </w:r>
      <w:r>
        <w:rPr>
          <w:color w:val="000000"/>
          <w:spacing w:val="0"/>
          <w:w w:val="100"/>
          <w:position w:val="0"/>
        </w:rPr>
        <w:t>、邦商品及服务税</w:t>
      </w:r>
      <w:r>
        <w:rPr>
          <w:color w:val="000000"/>
          <w:spacing w:val="0"/>
          <w:w w:val="100"/>
          <w:position w:val="0"/>
          <w:sz w:val="22"/>
          <w:szCs w:val="22"/>
        </w:rPr>
        <w:t>（</w:t>
      </w:r>
      <w:r>
        <w:rPr>
          <w:rFonts w:ascii="Arial" w:eastAsia="Arial" w:hAnsi="Arial" w:cs="Arial"/>
          <w:color w:val="000000"/>
          <w:spacing w:val="0"/>
          <w:w w:val="100"/>
          <w:position w:val="0"/>
          <w:sz w:val="18"/>
          <w:szCs w:val="18"/>
        </w:rPr>
        <w:t>SGST）</w:t>
      </w:r>
      <w:r>
        <w:rPr>
          <w:color w:val="000000"/>
          <w:spacing w:val="0"/>
          <w:w w:val="100"/>
          <w:position w:val="0"/>
        </w:rPr>
        <w:t>、综合商 品及服务税</w:t>
      </w:r>
      <w:r>
        <w:rPr>
          <w:color w:val="000000"/>
          <w:spacing w:val="0"/>
          <w:w w:val="100"/>
          <w:position w:val="0"/>
          <w:sz w:val="22"/>
          <w:szCs w:val="22"/>
        </w:rPr>
        <w:t>（</w:t>
      </w:r>
      <w:r>
        <w:rPr>
          <w:rFonts w:ascii="Arial" w:eastAsia="Arial" w:hAnsi="Arial" w:cs="Arial"/>
          <w:color w:val="000000"/>
          <w:spacing w:val="0"/>
          <w:w w:val="100"/>
          <w:position w:val="0"/>
          <w:sz w:val="18"/>
          <w:szCs w:val="18"/>
        </w:rPr>
        <w:t>IGST</w:t>
      </w:r>
      <w:r>
        <w:rPr>
          <w:color w:val="000000"/>
          <w:spacing w:val="0"/>
          <w:w w:val="100"/>
          <w:position w:val="0"/>
          <w:sz w:val="22"/>
          <w:szCs w:val="22"/>
        </w:rPr>
        <w:t>）</w:t>
      </w:r>
      <w:r>
        <w:rPr>
          <w:color w:val="000000"/>
          <w:spacing w:val="0"/>
          <w:w w:val="100"/>
          <w:position w:val="0"/>
        </w:rPr>
        <w:t>、中央直辖区商品及服务税</w:t>
      </w:r>
      <w:r>
        <w:rPr>
          <w:color w:val="000000"/>
          <w:spacing w:val="0"/>
          <w:w w:val="100"/>
          <w:position w:val="0"/>
          <w:sz w:val="22"/>
          <w:szCs w:val="22"/>
        </w:rPr>
        <w:t>（</w:t>
      </w:r>
      <w:r>
        <w:rPr>
          <w:rFonts w:ascii="Arial" w:eastAsia="Arial" w:hAnsi="Arial" w:cs="Arial"/>
          <w:color w:val="000000"/>
          <w:spacing w:val="0"/>
          <w:w w:val="100"/>
          <w:position w:val="0"/>
          <w:sz w:val="18"/>
          <w:szCs w:val="18"/>
        </w:rPr>
        <w:t>UTGST</w:t>
      </w:r>
      <w:r>
        <w:rPr>
          <w:color w:val="000000"/>
          <w:spacing w:val="0"/>
          <w:w w:val="100"/>
          <w:position w:val="0"/>
          <w:sz w:val="22"/>
          <w:szCs w:val="22"/>
        </w:rPr>
        <w:t>）</w:t>
      </w:r>
      <w:r>
        <w:rPr>
          <w:rFonts w:ascii="Arial" w:eastAsia="Arial" w:hAnsi="Arial" w:cs="Arial"/>
          <w:color w:val="000000"/>
          <w:spacing w:val="0"/>
          <w:w w:val="100"/>
          <w:position w:val="0"/>
          <w:sz w:val="18"/>
          <w:szCs w:val="18"/>
        </w:rPr>
        <w:t>,</w:t>
      </w:r>
      <w:r>
        <w:rPr>
          <w:color w:val="000000"/>
          <w:spacing w:val="0"/>
          <w:w w:val="100"/>
          <w:position w:val="0"/>
        </w:rPr>
        <w:t>征税对象为商品及服务，税率主要可划分</w:t>
      </w:r>
      <w:r>
        <w:rPr>
          <w:rFonts w:ascii="Arial" w:eastAsia="Arial" w:hAnsi="Arial" w:cs="Arial"/>
          <w:color w:val="000000"/>
          <w:spacing w:val="0"/>
          <w:w w:val="100"/>
          <w:position w:val="0"/>
          <w:sz w:val="18"/>
          <w:szCs w:val="18"/>
        </w:rPr>
        <w:t>5</w:t>
      </w:r>
      <w:r>
        <w:rPr>
          <w:color w:val="000000"/>
          <w:spacing w:val="0"/>
          <w:w w:val="100"/>
          <w:position w:val="0"/>
        </w:rPr>
        <w:t>个档次：</w:t>
      </w:r>
      <w:r>
        <w:rPr>
          <w:rFonts w:ascii="Arial" w:eastAsia="Arial" w:hAnsi="Arial" w:cs="Arial"/>
          <w:color w:val="000000"/>
          <w:spacing w:val="0"/>
          <w:w w:val="100"/>
          <w:position w:val="0"/>
          <w:sz w:val="18"/>
          <w:szCs w:val="18"/>
        </w:rPr>
        <w:t>0%</w:t>
      </w:r>
      <w:r>
        <w:rPr>
          <w:color w:val="000000"/>
          <w:spacing w:val="0"/>
          <w:w w:val="100"/>
          <w:position w:val="0"/>
        </w:rPr>
        <w:t>、</w:t>
      </w:r>
      <w:r>
        <w:rPr>
          <w:rFonts w:ascii="Arial" w:eastAsia="Arial" w:hAnsi="Arial" w:cs="Arial"/>
          <w:color w:val="000000"/>
          <w:spacing w:val="0"/>
          <w:w w:val="100"/>
          <w:position w:val="0"/>
          <w:sz w:val="18"/>
          <w:szCs w:val="18"/>
        </w:rPr>
        <w:t>5%</w:t>
      </w:r>
      <w:r>
        <w:rPr>
          <w:color w:val="000000"/>
          <w:spacing w:val="0"/>
          <w:w w:val="100"/>
          <w:position w:val="0"/>
        </w:rPr>
        <w:t>、</w:t>
      </w:r>
      <w:r>
        <w:rPr>
          <w:rFonts w:ascii="Arial" w:eastAsia="Arial" w:hAnsi="Arial" w:cs="Arial"/>
          <w:color w:val="000000"/>
          <w:spacing w:val="0"/>
          <w:w w:val="100"/>
          <w:position w:val="0"/>
          <w:sz w:val="18"/>
          <w:szCs w:val="18"/>
        </w:rPr>
        <w:t>12%</w:t>
      </w:r>
      <w:r>
        <w:rPr>
          <w:color w:val="000000"/>
          <w:spacing w:val="0"/>
          <w:w w:val="100"/>
          <w:position w:val="0"/>
        </w:rPr>
        <w:t xml:space="preserve">、 </w:t>
      </w:r>
      <w:r>
        <w:rPr>
          <w:rFonts w:ascii="Arial" w:eastAsia="Arial" w:hAnsi="Arial" w:cs="Arial"/>
          <w:color w:val="000000"/>
          <w:spacing w:val="0"/>
          <w:w w:val="100"/>
          <w:position w:val="0"/>
          <w:sz w:val="18"/>
          <w:szCs w:val="18"/>
        </w:rPr>
        <w:t>18%</w:t>
      </w:r>
      <w:r>
        <w:rPr>
          <w:color w:val="000000"/>
          <w:spacing w:val="0"/>
          <w:w w:val="100"/>
          <w:position w:val="0"/>
        </w:rPr>
        <w:t xml:space="preserve">、 </w:t>
      </w:r>
      <w:r>
        <w:rPr>
          <w:rFonts w:ascii="Arial" w:eastAsia="Arial" w:hAnsi="Arial" w:cs="Arial"/>
          <w:color w:val="000000"/>
          <w:spacing w:val="0"/>
          <w:w w:val="100"/>
          <w:position w:val="0"/>
          <w:sz w:val="18"/>
          <w:szCs w:val="18"/>
        </w:rPr>
        <w:t>28%</w:t>
      </w:r>
      <w:r>
        <w:rPr>
          <w:color w:val="000000"/>
          <w:spacing w:val="0"/>
          <w:w w:val="100"/>
          <w:position w:val="0"/>
        </w:rPr>
        <w:t>。</w:t>
      </w:r>
    </w:p>
    <w:p>
      <w:pPr>
        <w:pStyle w:val="Style38"/>
        <w:keepNext w:val="0"/>
        <w:keepLines w:val="0"/>
        <w:widowControl w:val="0"/>
        <w:shd w:val="clear" w:color="auto" w:fill="auto"/>
        <w:bidi w:val="0"/>
        <w:spacing w:before="0" w:after="0" w:line="240" w:lineRule="auto"/>
        <w:ind w:left="5" w:right="0" w:firstLine="0"/>
        <w:jc w:val="left"/>
        <w:rPr>
          <w:sz w:val="17"/>
          <w:szCs w:val="17"/>
        </w:rPr>
      </w:pPr>
      <w:r>
        <w:rPr>
          <w:b w:val="0"/>
          <w:bCs w:val="0"/>
          <w:color w:val="000000"/>
          <w:spacing w:val="0"/>
          <w:w w:val="100"/>
          <w:position w:val="0"/>
          <w:sz w:val="17"/>
          <w:szCs w:val="17"/>
        </w:rPr>
        <w:t>公司税按应纳税所得额的</w:t>
      </w:r>
      <w:r>
        <w:rPr>
          <w:rFonts w:ascii="Arial" w:eastAsia="Arial" w:hAnsi="Arial" w:cs="Arial"/>
          <w:b w:val="0"/>
          <w:bCs w:val="0"/>
          <w:color w:val="000000"/>
          <w:spacing w:val="0"/>
          <w:w w:val="100"/>
          <w:position w:val="0"/>
          <w:sz w:val="18"/>
          <w:szCs w:val="18"/>
        </w:rPr>
        <w:t>25%</w:t>
      </w:r>
      <w:r>
        <w:rPr>
          <w:b w:val="0"/>
          <w:bCs w:val="0"/>
          <w:color w:val="000000"/>
          <w:spacing w:val="0"/>
          <w:w w:val="100"/>
          <w:position w:val="0"/>
          <w:sz w:val="17"/>
          <w:szCs w:val="17"/>
        </w:rPr>
        <w:t>计缴，具体税率如下:</w:t>
      </w:r>
    </w:p>
    <w:tbl>
      <w:tblPr>
        <w:tblOverlap w:val="never"/>
        <w:jc w:val="center"/>
        <w:tblLayout w:type="fixed"/>
      </w:tblPr>
      <w:tblGrid>
        <w:gridCol w:w="2467"/>
        <w:gridCol w:w="2280"/>
        <w:gridCol w:w="1262"/>
        <w:gridCol w:w="1882"/>
        <w:gridCol w:w="178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公司税基础税率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附加税率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附加教育税率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最终税率</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0-1000</w:t>
            </w:r>
            <w:r>
              <w:rPr>
                <w:color w:val="000000"/>
                <w:spacing w:val="0"/>
                <w:w w:val="100"/>
                <w:position w:val="0"/>
                <w:sz w:val="19"/>
                <w:szCs w:val="19"/>
              </w:rPr>
              <w:t>万印度卢比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26.00%</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19"/>
                <w:szCs w:val="19"/>
              </w:rPr>
              <w:t>万印度卢比</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亿印度卢 比</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25.00%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27.82%</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亿印度卢比以上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29.12%</w:t>
            </w:r>
          </w:p>
        </w:tc>
      </w:tr>
    </w:tbl>
    <w:p>
      <w:pPr>
        <w:widowControl w:val="0"/>
        <w:spacing w:after="339" w:line="1" w:lineRule="exact"/>
      </w:pPr>
    </w:p>
    <w:p>
      <w:pPr>
        <w:widowControl w:val="0"/>
        <w:spacing w:line="1" w:lineRule="exact"/>
      </w:pPr>
    </w:p>
    <w:p>
      <w:pPr>
        <w:pStyle w:val="Style38"/>
        <w:keepNext w:val="0"/>
        <w:keepLines w:val="0"/>
        <w:widowControl w:val="0"/>
        <w:shd w:val="clear" w:color="auto" w:fill="auto"/>
        <w:bidi w:val="0"/>
        <w:spacing w:before="0" w:after="40" w:line="240" w:lineRule="auto"/>
        <w:ind w:left="0" w:right="0" w:firstLine="0"/>
        <w:jc w:val="left"/>
        <w:rPr>
          <w:sz w:val="17"/>
          <w:szCs w:val="17"/>
        </w:rPr>
      </w:pPr>
      <w:r>
        <w:rPr>
          <w:rFonts w:ascii="Arial" w:eastAsia="Arial" w:hAnsi="Arial" w:cs="Arial"/>
          <w:b w:val="0"/>
          <w:bCs w:val="0"/>
          <w:color w:val="000000"/>
          <w:spacing w:val="0"/>
          <w:w w:val="100"/>
          <w:position w:val="0"/>
          <w:sz w:val="18"/>
          <w:szCs w:val="18"/>
        </w:rPr>
        <w:t>4</w:t>
      </w:r>
      <w:r>
        <w:rPr>
          <w:b w:val="0"/>
          <w:bCs w:val="0"/>
          <w:color w:val="000000"/>
          <w:spacing w:val="0"/>
          <w:w w:val="100"/>
          <w:position w:val="0"/>
          <w:sz w:val="17"/>
          <w:szCs w:val="17"/>
        </w:rPr>
        <w:t>、汉得欧洲</w:t>
      </w:r>
    </w:p>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子公司汉得欧洲增值税税率为</w:t>
      </w:r>
      <w:r>
        <w:rPr>
          <w:rFonts w:ascii="Arial" w:eastAsia="Arial" w:hAnsi="Arial" w:cs="Arial"/>
          <w:b w:val="0"/>
          <w:bCs w:val="0"/>
          <w:color w:val="000000"/>
          <w:spacing w:val="0"/>
          <w:w w:val="100"/>
          <w:position w:val="0"/>
          <w:sz w:val="18"/>
          <w:szCs w:val="18"/>
        </w:rPr>
        <w:t xml:space="preserve">21. </w:t>
      </w:r>
      <w:r>
        <w:rPr>
          <w:rFonts w:ascii="Arial" w:eastAsia="Arial" w:hAnsi="Arial" w:cs="Arial"/>
          <w:b w:val="0"/>
          <w:bCs w:val="0"/>
          <w:color w:val="000000"/>
          <w:spacing w:val="0"/>
          <w:w w:val="100"/>
          <w:position w:val="0"/>
          <w:sz w:val="18"/>
          <w:szCs w:val="18"/>
        </w:rPr>
        <w:t>00%</w:t>
      </w:r>
      <w:r>
        <w:rPr>
          <w:b w:val="0"/>
          <w:bCs w:val="0"/>
          <w:color w:val="000000"/>
          <w:spacing w:val="0"/>
          <w:w w:val="100"/>
          <w:position w:val="0"/>
          <w:sz w:val="22"/>
          <w:szCs w:val="22"/>
        </w:rPr>
        <w:t>，</w:t>
      </w:r>
      <w:r>
        <w:rPr>
          <w:b w:val="0"/>
          <w:bCs w:val="0"/>
          <w:color w:val="000000"/>
          <w:spacing w:val="0"/>
          <w:w w:val="100"/>
          <w:position w:val="0"/>
          <w:sz w:val="17"/>
          <w:szCs w:val="17"/>
        </w:rPr>
        <w:t>所得税税率如下:</w:t>
      </w:r>
    </w:p>
    <w:tbl>
      <w:tblPr>
        <w:tblOverlap w:val="never"/>
        <w:jc w:val="center"/>
        <w:tblLayout w:type="fixed"/>
      </w:tblPr>
      <w:tblGrid>
        <w:gridCol w:w="5630"/>
        <w:gridCol w:w="404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0-20</w:t>
            </w:r>
            <w:r>
              <w:rPr>
                <w:color w:val="000000"/>
                <w:spacing w:val="0"/>
                <w:w w:val="100"/>
                <w:position w:val="0"/>
                <w:sz w:val="19"/>
                <w:szCs w:val="19"/>
              </w:rPr>
              <w:t>万欧元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16.50%</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超过</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9"/>
                <w:szCs w:val="19"/>
              </w:rPr>
              <w:t>万欧元部分</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w:t>
            </w:r>
          </w:p>
        </w:tc>
      </w:tr>
    </w:tbl>
    <w:p>
      <w:pPr>
        <w:widowControl w:val="0"/>
        <w:spacing w:after="239" w:line="1" w:lineRule="exact"/>
      </w:pPr>
    </w:p>
    <w:p>
      <w:pPr>
        <w:pStyle w:val="Style28"/>
        <w:keepNext w:val="0"/>
        <w:keepLines w:val="0"/>
        <w:widowControl w:val="0"/>
        <w:shd w:val="clear" w:color="auto" w:fill="auto"/>
        <w:tabs>
          <w:tab w:pos="344" w:val="left"/>
        </w:tabs>
        <w:bidi w:val="0"/>
        <w:spacing w:before="0" w:after="0" w:line="307" w:lineRule="exact"/>
        <w:ind w:left="0" w:right="0" w:firstLine="0"/>
        <w:jc w:val="left"/>
      </w:pPr>
      <w:bookmarkStart w:id="1014" w:name="bookmark1014"/>
      <w:r>
        <w:rPr>
          <w:rFonts w:ascii="Arial" w:eastAsia="Arial" w:hAnsi="Arial" w:cs="Arial"/>
          <w:color w:val="000000"/>
          <w:spacing w:val="0"/>
          <w:w w:val="100"/>
          <w:position w:val="0"/>
          <w:sz w:val="18"/>
          <w:szCs w:val="18"/>
        </w:rPr>
        <w:t>5</w:t>
      </w:r>
      <w:bookmarkEnd w:id="1014"/>
      <w:r>
        <w:rPr>
          <w:color w:val="000000"/>
          <w:spacing w:val="0"/>
          <w:w w:val="100"/>
          <w:position w:val="0"/>
        </w:rPr>
        <w:t>、</w:t>
        <w:tab/>
        <w:t>小型微利企业</w:t>
      </w:r>
    </w:p>
    <w:p>
      <w:pPr>
        <w:pStyle w:val="Style28"/>
        <w:keepNext w:val="0"/>
        <w:keepLines w:val="0"/>
        <w:widowControl w:val="0"/>
        <w:shd w:val="clear" w:color="auto" w:fill="auto"/>
        <w:bidi w:val="0"/>
        <w:spacing w:before="0" w:after="340" w:line="307" w:lineRule="exact"/>
        <w:ind w:left="0" w:right="0" w:firstLine="0"/>
        <w:jc w:val="left"/>
      </w:pPr>
      <w:r>
        <w:rPr>
          <w:color w:val="000000"/>
          <w:spacing w:val="0"/>
          <w:w w:val="100"/>
          <w:position w:val="0"/>
        </w:rPr>
        <w:t>鼎医信息、甄恒信息、甄领信息、甄一科技、汉得微扬、得逸劳务、汇羿信息、亿砹科技、扬州达美、汉得欧俊、随身科技 属于小型微利企业，年应纳税所得额不超过</w:t>
      </w:r>
      <w:r>
        <w:rPr>
          <w:rFonts w:ascii="Arial" w:eastAsia="Arial" w:hAnsi="Arial" w:cs="Arial"/>
          <w:color w:val="000000"/>
          <w:spacing w:val="0"/>
          <w:w w:val="100"/>
          <w:position w:val="0"/>
          <w:sz w:val="18"/>
          <w:szCs w:val="18"/>
        </w:rPr>
        <w:t>100</w:t>
      </w:r>
      <w:r>
        <w:rPr>
          <w:color w:val="000000"/>
          <w:spacing w:val="0"/>
          <w:w w:val="100"/>
          <w:position w:val="0"/>
        </w:rPr>
        <w:t>万元的部分，减按</w:t>
      </w:r>
      <w:r>
        <w:rPr>
          <w:rFonts w:ascii="Arial" w:eastAsia="Arial" w:hAnsi="Arial" w:cs="Arial"/>
          <w:color w:val="000000"/>
          <w:spacing w:val="0"/>
          <w:w w:val="100"/>
          <w:position w:val="0"/>
          <w:sz w:val="18"/>
          <w:szCs w:val="18"/>
        </w:rPr>
        <w:t>25%</w:t>
      </w:r>
      <w:r>
        <w:rPr>
          <w:color w:val="000000"/>
          <w:spacing w:val="0"/>
          <w:w w:val="100"/>
          <w:position w:val="0"/>
        </w:rPr>
        <w:t>计入应纳税所得额，按</w:t>
      </w:r>
      <w:r>
        <w:rPr>
          <w:rFonts w:ascii="Arial" w:eastAsia="Arial" w:hAnsi="Arial" w:cs="Arial"/>
          <w:color w:val="000000"/>
          <w:spacing w:val="0"/>
          <w:w w:val="100"/>
          <w:position w:val="0"/>
          <w:sz w:val="18"/>
          <w:szCs w:val="18"/>
        </w:rPr>
        <w:t>20%</w:t>
      </w:r>
      <w:r>
        <w:rPr>
          <w:color w:val="000000"/>
          <w:spacing w:val="0"/>
          <w:w w:val="100"/>
          <w:position w:val="0"/>
        </w:rPr>
        <w:t>的税率缴纳企业所得税；对 年应纳税所得额超过</w:t>
      </w:r>
      <w:r>
        <w:rPr>
          <w:rFonts w:ascii="Arial" w:eastAsia="Arial" w:hAnsi="Arial" w:cs="Arial"/>
          <w:color w:val="000000"/>
          <w:spacing w:val="0"/>
          <w:w w:val="100"/>
          <w:position w:val="0"/>
          <w:sz w:val="18"/>
          <w:szCs w:val="18"/>
        </w:rPr>
        <w:t>10 0</w:t>
      </w:r>
      <w:r>
        <w:rPr>
          <w:color w:val="000000"/>
          <w:spacing w:val="0"/>
          <w:w w:val="100"/>
          <w:position w:val="0"/>
        </w:rPr>
        <w:t>万元但不超过</w:t>
      </w:r>
      <w:r>
        <w:rPr>
          <w:rFonts w:ascii="Arial" w:eastAsia="Arial" w:hAnsi="Arial" w:cs="Arial"/>
          <w:color w:val="000000"/>
          <w:spacing w:val="0"/>
          <w:w w:val="100"/>
          <w:position w:val="0"/>
          <w:sz w:val="18"/>
          <w:szCs w:val="18"/>
        </w:rPr>
        <w:t>300</w:t>
      </w:r>
      <w:r>
        <w:rPr>
          <w:color w:val="000000"/>
          <w:spacing w:val="0"/>
          <w:w w:val="100"/>
          <w:position w:val="0"/>
        </w:rPr>
        <w:t>万元的部分，减按</w:t>
      </w:r>
      <w:r>
        <w:rPr>
          <w:rFonts w:ascii="Arial" w:eastAsia="Arial" w:hAnsi="Arial" w:cs="Arial"/>
          <w:color w:val="000000"/>
          <w:spacing w:val="0"/>
          <w:w w:val="100"/>
          <w:position w:val="0"/>
          <w:sz w:val="18"/>
          <w:szCs w:val="18"/>
        </w:rPr>
        <w:t>50%</w:t>
      </w:r>
      <w:r>
        <w:rPr>
          <w:color w:val="000000"/>
          <w:spacing w:val="0"/>
          <w:w w:val="100"/>
          <w:position w:val="0"/>
        </w:rPr>
        <w:t>计入应纳税所得额，按</w:t>
      </w:r>
      <w:r>
        <w:rPr>
          <w:rFonts w:ascii="Arial" w:eastAsia="Arial" w:hAnsi="Arial" w:cs="Arial"/>
          <w:color w:val="000000"/>
          <w:spacing w:val="0"/>
          <w:w w:val="100"/>
          <w:position w:val="0"/>
          <w:sz w:val="18"/>
          <w:szCs w:val="18"/>
        </w:rPr>
        <w:t>20%</w:t>
      </w:r>
      <w:r>
        <w:rPr>
          <w:color w:val="000000"/>
          <w:spacing w:val="0"/>
          <w:w w:val="100"/>
          <w:position w:val="0"/>
        </w:rPr>
        <w:t>的税率缴纳企业所得税。</w:t>
      </w:r>
    </w:p>
    <w:p>
      <w:pPr>
        <w:pStyle w:val="Style28"/>
        <w:keepNext w:val="0"/>
        <w:keepLines w:val="0"/>
        <w:widowControl w:val="0"/>
        <w:shd w:val="clear" w:color="auto" w:fill="auto"/>
        <w:tabs>
          <w:tab w:pos="344" w:val="left"/>
        </w:tabs>
        <w:bidi w:val="0"/>
        <w:spacing w:before="0" w:after="0" w:line="317" w:lineRule="exact"/>
        <w:ind w:left="0" w:right="0" w:firstLine="0"/>
        <w:jc w:val="left"/>
      </w:pPr>
      <w:bookmarkStart w:id="1015" w:name="bookmark1015"/>
      <w:r>
        <w:rPr>
          <w:rFonts w:ascii="Arial" w:eastAsia="Arial" w:hAnsi="Arial" w:cs="Arial"/>
          <w:color w:val="000000"/>
          <w:spacing w:val="0"/>
          <w:w w:val="100"/>
          <w:position w:val="0"/>
          <w:sz w:val="18"/>
          <w:szCs w:val="18"/>
        </w:rPr>
        <w:t>6</w:t>
      </w:r>
      <w:bookmarkEnd w:id="1015"/>
      <w:r>
        <w:rPr>
          <w:color w:val="000000"/>
          <w:spacing w:val="0"/>
          <w:w w:val="100"/>
          <w:position w:val="0"/>
        </w:rPr>
        <w:t>、</w:t>
        <w:tab/>
        <w:t>汉得台湾</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子公司汉得台湾所得税具体税收政策如下：</w:t>
      </w:r>
    </w:p>
    <w:p>
      <w:pPr>
        <w:pStyle w:val="Style2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年课税所得额不超过</w:t>
      </w:r>
      <w:r>
        <w:rPr>
          <w:rFonts w:ascii="Arial" w:eastAsia="Arial" w:hAnsi="Arial" w:cs="Arial"/>
          <w:color w:val="000000"/>
          <w:spacing w:val="0"/>
          <w:w w:val="100"/>
          <w:position w:val="0"/>
          <w:sz w:val="18"/>
          <w:szCs w:val="18"/>
        </w:rPr>
        <w:t>120,000</w:t>
      </w:r>
      <w:r>
        <w:rPr>
          <w:color w:val="000000"/>
          <w:spacing w:val="0"/>
          <w:w w:val="100"/>
          <w:position w:val="0"/>
        </w:rPr>
        <w:t>台币，免征企业所得税；年课税所得额超</w:t>
      </w:r>
      <w:r>
        <w:rPr>
          <w:rFonts w:ascii="Arial" w:eastAsia="Arial" w:hAnsi="Arial" w:cs="Arial"/>
          <w:color w:val="000000"/>
          <w:spacing w:val="0"/>
          <w:w w:val="100"/>
          <w:position w:val="0"/>
          <w:sz w:val="18"/>
          <w:szCs w:val="18"/>
        </w:rPr>
        <w:t>120,000</w:t>
      </w:r>
      <w:r>
        <w:rPr>
          <w:color w:val="000000"/>
          <w:spacing w:val="0"/>
          <w:w w:val="100"/>
          <w:position w:val="0"/>
        </w:rPr>
        <w:t>台币但不超过</w:t>
      </w:r>
      <w:r>
        <w:rPr>
          <w:rFonts w:ascii="Arial" w:eastAsia="Arial" w:hAnsi="Arial" w:cs="Arial"/>
          <w:color w:val="000000"/>
          <w:spacing w:val="0"/>
          <w:w w:val="100"/>
          <w:position w:val="0"/>
          <w:sz w:val="18"/>
          <w:szCs w:val="18"/>
        </w:rPr>
        <w:t>200, 000</w:t>
      </w:r>
      <w:r>
        <w:rPr>
          <w:color w:val="000000"/>
          <w:spacing w:val="0"/>
          <w:w w:val="100"/>
          <w:position w:val="0"/>
        </w:rPr>
        <w:t>台币，对超过的部分减 半征收企业所得税；年课税所得额超</w:t>
      </w:r>
      <w:r>
        <w:rPr>
          <w:rFonts w:ascii="Arial" w:eastAsia="Arial" w:hAnsi="Arial" w:cs="Arial"/>
          <w:color w:val="000000"/>
          <w:spacing w:val="0"/>
          <w:w w:val="100"/>
          <w:position w:val="0"/>
          <w:sz w:val="18"/>
          <w:szCs w:val="18"/>
        </w:rPr>
        <w:t>200, 000</w:t>
      </w:r>
      <w:r>
        <w:rPr>
          <w:color w:val="000000"/>
          <w:spacing w:val="0"/>
          <w:w w:val="100"/>
          <w:position w:val="0"/>
        </w:rPr>
        <w:t>台币，按</w:t>
      </w:r>
      <w:r>
        <w:rPr>
          <w:rFonts w:ascii="Arial" w:eastAsia="Arial" w:hAnsi="Arial" w:cs="Arial"/>
          <w:color w:val="000000"/>
          <w:spacing w:val="0"/>
          <w:w w:val="100"/>
          <w:position w:val="0"/>
          <w:sz w:val="18"/>
          <w:szCs w:val="18"/>
        </w:rPr>
        <w:t>20%</w:t>
      </w:r>
      <w:r>
        <w:rPr>
          <w:color w:val="000000"/>
          <w:spacing w:val="0"/>
          <w:w w:val="100"/>
          <w:position w:val="0"/>
        </w:rPr>
        <w:t>的税率缴纳企业所得税。</w:t>
      </w:r>
    </w:p>
    <w:p>
      <w:pPr>
        <w:pStyle w:val="Style26"/>
        <w:keepNext/>
        <w:keepLines/>
        <w:widowControl w:val="0"/>
        <w:shd w:val="clear" w:color="auto" w:fill="auto"/>
        <w:bidi w:val="0"/>
        <w:spacing w:before="0" w:after="34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七</w:t>
      </w:r>
      <w:bookmarkEnd w:id="1018"/>
      <w:r>
        <w:rPr>
          <w:color w:val="000000"/>
          <w:spacing w:val="0"/>
          <w:w w:val="100"/>
          <w:position w:val="0"/>
        </w:rPr>
        <w:t>、合并财务报表项目注释</w:t>
      </w:r>
      <w:bookmarkEnd w:id="1016"/>
      <w:bookmarkEnd w:id="1017"/>
      <w:bookmarkEnd w:id="1019"/>
    </w:p>
    <w:p>
      <w:pPr>
        <w:pStyle w:val="Style32"/>
        <w:keepNext/>
        <w:keepLines/>
        <w:widowControl w:val="0"/>
        <w:shd w:val="clear" w:color="auto" w:fill="auto"/>
        <w:bidi w:val="0"/>
        <w:spacing w:before="0" w:after="400" w:line="240" w:lineRule="auto"/>
        <w:ind w:left="0" w:right="0" w:firstLine="0"/>
        <w:jc w:val="left"/>
      </w:pPr>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0"/>
      <w:bookmarkEnd w:id="1021"/>
      <w:bookmarkEnd w:id="102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2,045,314,697.17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1,058,430,711.03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5,168,194.65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37,823,795.40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2,050,485,816.83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1,096,322,939.51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597,435,642.47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494,079,588.39</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r>
        <w:br w:type="page"/>
      </w:r>
    </w:p>
    <w:p>
      <w:pPr>
        <w:pStyle w:val="Style35"/>
        <w:keepNext w:val="0"/>
        <w:keepLines w:val="0"/>
        <w:widowControl w:val="0"/>
        <w:shd w:val="clear" w:color="auto" w:fill="auto"/>
        <w:bidi w:val="0"/>
        <w:spacing w:before="0" w:after="6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其中受限制的货币资金明细如下:</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4138"/>
        <w:gridCol w:w="2765"/>
        <w:gridCol w:w="277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4,546,504.00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1,050,811.30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用于担保的定期存款或通知存款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35,977,329.22</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4,546,504.00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37,028,140.52</w:t>
            </w:r>
          </w:p>
        </w:tc>
      </w:tr>
    </w:tbl>
    <w:p>
      <w:pPr>
        <w:widowControl w:val="0"/>
        <w:spacing w:after="339" w:line="1" w:lineRule="exact"/>
      </w:pPr>
    </w:p>
    <w:p>
      <w:pPr>
        <w:pStyle w:val="Style35"/>
        <w:keepNext w:val="0"/>
        <w:keepLines w:val="0"/>
        <w:widowControl w:val="0"/>
        <w:shd w:val="clear" w:color="auto" w:fill="auto"/>
        <w:bidi w:val="0"/>
        <w:spacing w:before="0" w:after="6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货币资金中定期存款明细:</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642"/>
        <w:gridCol w:w="1934"/>
        <w:gridCol w:w="1786"/>
        <w:gridCol w:w="1469"/>
        <w:gridCol w:w="1416"/>
        <w:gridCol w:w="1430"/>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银行名称</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银行账号</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00"/>
              <w:jc w:val="left"/>
              <w:rPr>
                <w:sz w:val="17"/>
                <w:szCs w:val="17"/>
              </w:rPr>
            </w:pPr>
            <w:r>
              <w:rPr>
                <w:color w:val="000000"/>
                <w:spacing w:val="0"/>
                <w:w w:val="100"/>
                <w:position w:val="0"/>
                <w:sz w:val="17"/>
                <w:szCs w:val="17"/>
              </w:rPr>
              <w:t>年末余额</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存储形式</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存入日期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中国民生银行股份 有限公司上海分行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708402830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 xml:space="preserve">200, 000, </w:t>
            </w:r>
            <w:r>
              <w:rPr>
                <w:rFonts w:ascii="Arial" w:eastAsia="Arial" w:hAnsi="Arial" w:cs="Arial"/>
                <w:color w:val="000000"/>
                <w:spacing w:val="0"/>
                <w:w w:val="100"/>
                <w:position w:val="0"/>
                <w:sz w:val="18"/>
                <w:szCs w:val="18"/>
              </w:rPr>
              <w:t xml:space="preserve">000. </w:t>
            </w:r>
            <w:r>
              <w:rPr>
                <w:rFonts w:ascii="Arial" w:eastAsia="Arial" w:hAnsi="Arial" w:cs="Arial"/>
                <w:color w:val="000000"/>
                <w:spacing w:val="0"/>
                <w:w w:val="100"/>
                <w:position w:val="0"/>
                <w:sz w:val="18"/>
                <w:szCs w:val="18"/>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2020/11/30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2021/11/30</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中国民生银行股份 有限公司上海分行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708402555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 xml:space="preserve">300, 000, </w:t>
            </w:r>
            <w:r>
              <w:rPr>
                <w:rFonts w:ascii="Arial" w:eastAsia="Arial" w:hAnsi="Arial" w:cs="Arial"/>
                <w:color w:val="000000"/>
                <w:spacing w:val="0"/>
                <w:w w:val="100"/>
                <w:position w:val="0"/>
                <w:sz w:val="18"/>
                <w:szCs w:val="18"/>
              </w:rPr>
              <w:t xml:space="preserve">000. </w:t>
            </w:r>
            <w:r>
              <w:rPr>
                <w:rFonts w:ascii="Arial" w:eastAsia="Arial" w:hAnsi="Arial" w:cs="Arial"/>
                <w:color w:val="000000"/>
                <w:spacing w:val="0"/>
                <w:w w:val="100"/>
                <w:position w:val="0"/>
                <w:sz w:val="18"/>
                <w:szCs w:val="18"/>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2020/11/30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2021/2/28</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中国民生银行股份 有限公司上海分行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708401771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 xml:space="preserve">200, 000, </w:t>
            </w:r>
            <w:r>
              <w:rPr>
                <w:rFonts w:ascii="Arial" w:eastAsia="Arial" w:hAnsi="Arial" w:cs="Arial"/>
                <w:color w:val="000000"/>
                <w:spacing w:val="0"/>
                <w:w w:val="100"/>
                <w:position w:val="0"/>
                <w:sz w:val="18"/>
                <w:szCs w:val="18"/>
              </w:rPr>
              <w:t xml:space="preserve">000. </w:t>
            </w:r>
            <w:r>
              <w:rPr>
                <w:rFonts w:ascii="Arial" w:eastAsia="Arial" w:hAnsi="Arial" w:cs="Arial"/>
                <w:color w:val="000000"/>
                <w:spacing w:val="0"/>
                <w:w w:val="100"/>
                <w:position w:val="0"/>
                <w:sz w:val="18"/>
                <w:szCs w:val="18"/>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2020/11/30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2021/5/30</w:t>
            </w:r>
          </w:p>
        </w:tc>
      </w:tr>
      <w:tr>
        <w:trPr>
          <w:trHeight w:val="9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中国民生银行股份 有限公司上海青浦 支行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708353857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34,581,970.00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2020/11/4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2021/11/4</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中国民生银行上海 自贸区分行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FTE029277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 xml:space="preserve">3,262, </w:t>
            </w:r>
            <w:r>
              <w:rPr>
                <w:rFonts w:ascii="Arial" w:eastAsia="Arial" w:hAnsi="Arial" w:cs="Arial"/>
                <w:color w:val="000000"/>
                <w:spacing w:val="0"/>
                <w:w w:val="100"/>
                <w:position w:val="0"/>
                <w:sz w:val="18"/>
                <w:szCs w:val="18"/>
              </w:rPr>
              <w:t xml:space="preserve">450. </w:t>
            </w:r>
            <w:r>
              <w:rPr>
                <w:rFonts w:ascii="Arial" w:eastAsia="Arial" w:hAnsi="Arial" w:cs="Arial"/>
                <w:color w:val="000000"/>
                <w:spacing w:val="0"/>
                <w:w w:val="100"/>
                <w:position w:val="0"/>
                <w:sz w:val="18"/>
                <w:szCs w:val="18"/>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2020/7/6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2021/1/6</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中国民生银行股份 有限公司上海分行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708403335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 xml:space="preserve">200, 000, </w:t>
            </w:r>
            <w:r>
              <w:rPr>
                <w:rFonts w:ascii="Arial" w:eastAsia="Arial" w:hAnsi="Arial" w:cs="Arial"/>
                <w:color w:val="000000"/>
                <w:spacing w:val="0"/>
                <w:w w:val="100"/>
                <w:position w:val="0"/>
                <w:sz w:val="18"/>
                <w:szCs w:val="18"/>
              </w:rPr>
              <w:t xml:space="preserve">000. </w:t>
            </w:r>
            <w:r>
              <w:rPr>
                <w:rFonts w:ascii="Arial" w:eastAsia="Arial" w:hAnsi="Arial" w:cs="Arial"/>
                <w:color w:val="000000"/>
                <w:spacing w:val="0"/>
                <w:w w:val="100"/>
                <w:position w:val="0"/>
                <w:sz w:val="18"/>
                <w:szCs w:val="18"/>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8"/>
                <w:szCs w:val="18"/>
              </w:rPr>
              <w:t>7</w:t>
            </w:r>
            <w:r>
              <w:rPr>
                <w:color w:val="000000"/>
                <w:spacing w:val="0"/>
                <w:w w:val="100"/>
                <w:position w:val="0"/>
                <w:sz w:val="17"/>
                <w:szCs w:val="17"/>
              </w:rPr>
              <w:t>天通知存款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2020/11/30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2021/3/5</w:t>
            </w:r>
          </w:p>
        </w:tc>
      </w:tr>
      <w:tr>
        <w:trPr>
          <w:trHeight w:val="36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 xml:space="preserve">937, 844, </w:t>
            </w:r>
            <w:r>
              <w:rPr>
                <w:rFonts w:ascii="Arial" w:eastAsia="Arial" w:hAnsi="Arial" w:cs="Arial"/>
                <w:color w:val="000000"/>
                <w:spacing w:val="0"/>
                <w:w w:val="100"/>
                <w:position w:val="0"/>
                <w:sz w:val="18"/>
                <w:szCs w:val="18"/>
              </w:rPr>
              <w:t xml:space="preserve">420. </w:t>
            </w:r>
            <w:r>
              <w:rPr>
                <w:rFonts w:ascii="Arial" w:eastAsia="Arial" w:hAnsi="Arial" w:cs="Arial"/>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23"/>
      <w:bookmarkEnd w:id="1024"/>
      <w:bookmarkEnd w:id="1025"/>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19,573,320.74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19,573,320.74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19,573,320.74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r>
        <w:br w:type="page"/>
      </w:r>
    </w:p>
    <w:p>
      <w:pPr>
        <w:pStyle w:val="Style32"/>
        <w:keepNext/>
        <w:keepLines/>
        <w:widowControl w:val="0"/>
        <w:shd w:val="clear" w:color="auto" w:fill="auto"/>
        <w:bidi w:val="0"/>
        <w:spacing w:before="0" w:line="240" w:lineRule="auto"/>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color w:val="000000"/>
          <w:spacing w:val="0"/>
          <w:w w:val="100"/>
          <w:position w:val="0"/>
        </w:rPr>
        <w:t>、应收票据</w:t>
      </w:r>
      <w:bookmarkEnd w:id="1026"/>
      <w:bookmarkEnd w:id="1027"/>
      <w:bookmarkEnd w:id="1029"/>
    </w:p>
    <w:p>
      <w:pPr>
        <w:pStyle w:val="Style41"/>
        <w:keepNext/>
        <w:keepLines/>
        <w:widowControl w:val="0"/>
        <w:shd w:val="clear" w:color="auto" w:fill="auto"/>
        <w:bidi w:val="0"/>
        <w:spacing w:before="0" w:line="240" w:lineRule="auto"/>
        <w:ind w:left="0" w:right="0" w:firstLine="0"/>
        <w:jc w:val="both"/>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30"/>
      <w:bookmarkEnd w:id="1031"/>
      <w:bookmarkEnd w:id="103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6,369,665.36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9,595,895.29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51,231,355.33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62,739,970.73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57,601,020.69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72,335,866.02</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按组合计提坏账准 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59,047,2</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1,446,19</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57,601,02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73,945,32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1,609,462.1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72,335,86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7,815,86</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1,446,19</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6,369,665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1,609,462.1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9,595,895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51,231,3</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51,231,35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62,739,97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62,739,97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59,047,2</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1,446,19</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57,601,02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73,945,32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1,609,462.1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72,335,86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w:t>
      </w:r>
    </w:p>
    <w:p>
      <w:pPr>
        <w:widowControl w:val="0"/>
        <w:spacing w:after="7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按组合计提坏账准备: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numPr>
          <w:ilvl w:val="0"/>
          <w:numId w:val="53"/>
        </w:numPr>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本期计提、收回或转回的坏账准备情况</w:t>
      </w:r>
      <w:bookmarkEnd w:id="1034"/>
      <w:bookmarkEnd w:id="1035"/>
      <w:bookmarkEnd w:id="1037"/>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1,609,462.11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-163,263.07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1,446,199.04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1,609,462.11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-163,263.07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1,446,199.04</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53"/>
        </w:numPr>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期末公司已背书或贴现且在资产负债表日尚未到期的应收票据</w:t>
      </w:r>
      <w:bookmarkEnd w:id="1038"/>
      <w:bookmarkEnd w:id="1039"/>
      <w:bookmarkEnd w:id="1041"/>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8,236,362.06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8,236,362.06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53"/>
        </w:numPr>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期末公司因出票人未履约而将其转应收账款的票据</w:t>
      </w:r>
      <w:bookmarkEnd w:id="1042"/>
      <w:bookmarkEnd w:id="1043"/>
      <w:bookmarkEnd w:id="1045"/>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color w:val="000000"/>
          <w:spacing w:val="0"/>
          <w:w w:val="100"/>
          <w:position w:val="0"/>
        </w:rPr>
        <w:t>、应收账款</w:t>
      </w:r>
      <w:bookmarkEnd w:id="1046"/>
      <w:bookmarkEnd w:id="1047"/>
      <w:bookmarkEnd w:id="1049"/>
    </w:p>
    <w:p>
      <w:pPr>
        <w:pStyle w:val="Style41"/>
        <w:keepNext/>
        <w:keepLines/>
        <w:widowControl w:val="0"/>
        <w:numPr>
          <w:ilvl w:val="0"/>
          <w:numId w:val="55"/>
        </w:numPr>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应收账款分类披露</w:t>
      </w:r>
      <w:bookmarkEnd w:id="1050"/>
      <w:bookmarkEnd w:id="1051"/>
      <w:bookmarkEnd w:id="1053"/>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20,878,5</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5,862,236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1,570,60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515,592,</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1,055,012</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1,660,585</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445,300,5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1,250,929,0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按组合计提坏账准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1,570,60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515,592,</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1,055,012</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1,660,585</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445,300,5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1,250,929,0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1,591,48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4,387.91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530,609,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1,060,875</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1,660,585</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445,300,5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1,250,929,0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按单项计提坏账准备：单项金额不重大并单项计提坏账准备的应收账款</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北京有明云软件股份有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7,988,326.97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4,792,996.18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江苏鱼跃医疗设备股份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3,432,000.04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3,432,000.04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德淮半导体有限公司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3,110,693.56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1,866,416.14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远东福斯特新能源有限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2,790,999.80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2,790,999.80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诉讼中</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陕西医药控股集团派昂 医药有限责任公司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1,983,489.81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1,190,093.89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包商银行股份有限公司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1,573,080.02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943,848.01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破产重组</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20,878,590.20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15,016,354.06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按组合计提坏账准备:</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434,604,385.59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71,108,678.55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976,878,675.75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442,893,019.36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159,122,736.37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1,591,227.36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1,570,605,797.71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515,592,925.27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确定该组合依据的说明:</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)对于划分为组合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和组合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的应收账款，本公司将该类款项按类似信用风险特征(账龄)进行组合，并基于所有合理且</w:t>
      </w:r>
      <w:r>
        <w:br w:type="page"/>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有依据的信息，包括前瞻性信息，对该类款项预期信用损失的计提比例进行估计如下:</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763"/>
        <w:gridCol w:w="2866"/>
        <w:gridCol w:w="3048"/>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pStyle w:val="Style28"/>
        <w:keepNext w:val="0"/>
        <w:keepLines w:val="0"/>
        <w:widowControl w:val="0"/>
        <w:shd w:val="clear" w:color="auto" w:fill="auto"/>
        <w:bidi w:val="0"/>
        <w:spacing w:before="0" w:after="100" w:line="326" w:lineRule="exact"/>
        <w:ind w:left="0" w:right="0" w:firstLine="0"/>
        <w:jc w:val="left"/>
      </w:pP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sz w:val="22"/>
          <w:szCs w:val="22"/>
        </w:rPr>
        <w:t>）</w:t>
      </w:r>
      <w:r>
        <w:rPr>
          <w:color w:val="000000"/>
          <w:spacing w:val="0"/>
          <w:w w:val="100"/>
          <w:position w:val="0"/>
        </w:rPr>
        <w:t>对于划分为组合</w:t>
      </w:r>
      <w:r>
        <w:rPr>
          <w:rFonts w:ascii="Arial" w:eastAsia="Arial" w:hAnsi="Arial" w:cs="Arial"/>
          <w:color w:val="000000"/>
          <w:spacing w:val="0"/>
          <w:w w:val="100"/>
          <w:position w:val="0"/>
          <w:sz w:val="18"/>
          <w:szCs w:val="18"/>
        </w:rPr>
        <w:t>4</w:t>
      </w:r>
      <w:r>
        <w:rPr>
          <w:color w:val="000000"/>
          <w:spacing w:val="0"/>
          <w:w w:val="100"/>
          <w:position w:val="0"/>
        </w:rPr>
        <w:t>的应收账款，本公司将该类款项按类似信用风险特征（账龄）进行组合，并基于所有合理且有依据的 信息，包括前瞻性信息，对该类款项预期信用损失的计提比例进行估计如下：</w:t>
      </w:r>
    </w:p>
    <w:p>
      <w:pPr>
        <w:pStyle w:val="Style38"/>
        <w:keepNext w:val="0"/>
        <w:keepLines w:val="0"/>
        <w:widowControl w:val="0"/>
        <w:shd w:val="clear" w:color="auto" w:fill="auto"/>
        <w:bidi w:val="0"/>
        <w:spacing w:before="0" w:after="0" w:line="240" w:lineRule="auto"/>
        <w:ind w:left="8928"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4651"/>
        <w:gridCol w:w="5026"/>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未逾期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逾期</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逾期</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逾期</w:t>
            </w:r>
            <w:r>
              <w:rPr>
                <w:rFonts w:ascii="Times New Roman" w:eastAsia="Times New Roman" w:hAnsi="Times New Roman" w:cs="Times New Roman"/>
                <w:color w:val="000000"/>
                <w:spacing w:val="0"/>
                <w:w w:val="100"/>
                <w:position w:val="0"/>
                <w:sz w:val="18"/>
                <w:szCs w:val="18"/>
              </w:rPr>
              <w:t>7-12</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逾期</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月以上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891,755,342.30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891,755,342.30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258,866,948.95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183,500,042.51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257,362,054.15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102,466,951.80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64,022,535.03</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90,872,567.32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1,591,484,387.91</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公司需要遵守《深圳证券交易所行业信息披露指引第</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7"/>
          <w:szCs w:val="17"/>
        </w:rPr>
        <w:t>号——上市公司从事软件与信息技术服务业务》的披露要求</w:t>
      </w:r>
    </w:p>
    <w:p>
      <w:pPr>
        <w:widowControl w:val="0"/>
        <w:spacing w:after="379" w:line="1" w:lineRule="exact"/>
      </w:pPr>
    </w:p>
    <w:p>
      <w:pPr>
        <w:pStyle w:val="Style41"/>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4"/>
      <w:bookmarkEnd w:id="1055"/>
      <w:bookmarkEnd w:id="1057"/>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、按单项计提坏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15,016,354.06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15,016,354.06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、按组合计提坏 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409,656,226.36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106,767,373.44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830,674.53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36,099.40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515,592,925.27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409,656,226.36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121,783,727.50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830,674.53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36,099.40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530,609,279.33</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其中本期坏账准备收回或转回金额重要的: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本期变动金额</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其他：外币报表折算差额</w:t>
      </w:r>
    </w:p>
    <w:p>
      <w:pPr>
        <w:widowControl w:val="0"/>
        <w:spacing w:after="379" w:line="1" w:lineRule="exact"/>
      </w:pPr>
    </w:p>
    <w:p>
      <w:pPr>
        <w:pStyle w:val="Style41"/>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58"/>
      <w:bookmarkEnd w:id="1059"/>
      <w:bookmarkEnd w:id="1061"/>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830,674.53</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其中重要的应收账款核销情况: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62"/>
      <w:bookmarkEnd w:id="1063"/>
      <w:bookmarkEnd w:id="1065"/>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①信用风险特征（账龄） 计提坏账准备的应收账 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中移动信息技术有限公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58,083,630.65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1,742,508.92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上海甄云信息科技有限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32,748,135.12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1,637,406.76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润联软件系统（深圳）有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20,397,347.70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611,920.43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埃森哲（中国）有限公司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17,950,125.38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17,950,125.38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北京京航计算通讯研究 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13,461,451.40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3,319,571.70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142,640,690.25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w:t>
      </w:r>
      <w:bookmarkEnd w:id="1068"/>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066"/>
      <w:bookmarkEnd w:id="1067"/>
      <w:bookmarkEnd w:id="106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、应收账款按账龄披露</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715"/>
        <w:gridCol w:w="2976"/>
        <w:gridCol w:w="298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891,755,342.30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1,627,081,832.98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258,866,948.95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328,393,343.90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183,500,042.51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127,352,077.79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102,466,951.80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81,004,707.61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64,022,535.03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40,028,881.35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90,872,567.32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44,370,029.29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1,591,484,387.91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2,248,230,872.92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530,609,279.33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445,300,554.22</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1,060,875,108.58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1,802,930,318.70</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按单项计提坏账准备的说明:</w:t>
      </w:r>
    </w:p>
    <w:p>
      <w:pPr>
        <w:pStyle w:val="Style28"/>
        <w:keepNext w:val="0"/>
        <w:keepLines w:val="0"/>
        <w:widowControl w:val="0"/>
        <w:shd w:val="clear" w:color="auto" w:fill="auto"/>
        <w:bidi w:val="0"/>
        <w:spacing w:before="0" w:line="307" w:lineRule="exact"/>
        <w:ind w:left="0" w:right="0" w:firstLine="280"/>
        <w:jc w:val="left"/>
      </w:pPr>
      <w:r>
        <w:rPr>
          <w:color w:val="000000"/>
          <w:spacing w:val="0"/>
          <w:w w:val="100"/>
          <w:position w:val="0"/>
        </w:rPr>
        <w:t>因上述应收款项发生的个别特殊事项，公司考虑合理且有依据的信息，包括前瞻性信息，以单项的预期信用损失进行估 计。</w:t>
      </w:r>
    </w:p>
    <w:p>
      <w:pPr>
        <w:pStyle w:val="Style35"/>
        <w:keepNext w:val="0"/>
        <w:keepLines w:val="0"/>
        <w:widowControl w:val="0"/>
        <w:shd w:val="clear" w:color="auto" w:fill="auto"/>
        <w:bidi w:val="0"/>
        <w:spacing w:before="0" w:after="0" w:line="240" w:lineRule="auto"/>
        <w:ind w:left="0" w:right="0" w:firstLine="0"/>
        <w:jc w:val="left"/>
        <w:rPr>
          <w:sz w:val="20"/>
          <w:szCs w:val="20"/>
        </w:rPr>
      </w:pPr>
      <w:bookmarkStart w:id="1070" w:name="bookmark1070"/>
      <w:r>
        <w:rPr>
          <w:rFonts w:ascii="Times New Roman" w:eastAsia="Times New Roman" w:hAnsi="Times New Roman" w:cs="Times New Roman"/>
          <w:b/>
          <w:bCs/>
          <w:color w:val="000000"/>
          <w:spacing w:val="0"/>
          <w:w w:val="100"/>
          <w:position w:val="0"/>
          <w:sz w:val="20"/>
          <w:szCs w:val="20"/>
        </w:rPr>
        <w:t>5</w:t>
      </w:r>
      <w:bookmarkEnd w:id="1070"/>
      <w:r>
        <w:rPr>
          <w:b/>
          <w:bCs/>
          <w:color w:val="000000"/>
          <w:spacing w:val="0"/>
          <w:w w:val="100"/>
          <w:position w:val="0"/>
          <w:sz w:val="20"/>
          <w:szCs w:val="20"/>
        </w:rPr>
        <w:t>、按欠款方归集的期末余额前五名的应收账款情况</w:t>
      </w:r>
    </w:p>
    <w:p>
      <w:pPr>
        <w:pStyle w:val="Style28"/>
        <w:keepNext w:val="0"/>
        <w:keepLines w:val="0"/>
        <w:widowControl w:val="0"/>
        <w:shd w:val="clear" w:color="auto" w:fill="auto"/>
        <w:bidi w:val="0"/>
        <w:spacing w:before="0" w:line="307" w:lineRule="exact"/>
        <w:ind w:left="0" w:right="0" w:firstLine="0"/>
        <w:jc w:val="left"/>
      </w:pPr>
      <w:r>
        <w:rPr>
          <w:color w:val="000000"/>
          <w:spacing w:val="0"/>
          <w:w w:val="100"/>
          <w:position w:val="0"/>
        </w:rPr>
        <w:t>②按信用风险特征（账龄）计提坏账准备的应收保理款：</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434"/>
        <w:gridCol w:w="2294"/>
        <w:gridCol w:w="3178"/>
        <w:gridCol w:w="1771"/>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单位名称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应收保理款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占应收保理款合计数的比例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坏账准备</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绍兴市舒康太阳能器材有限公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22,786,081.53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227,860.82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无锡丹洋风能设备有限公司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15,887,716.37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158,877.16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江苏迈景环保科技有限公司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14,683,199.53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146,832.00</w:t>
            </w: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泰州浩瑞包装材料制品有限公 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10,081,787.79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100,817.88</w:t>
            </w:r>
          </w:p>
        </w:tc>
      </w:tr>
    </w:tbl>
    <w:p>
      <w:pPr>
        <w:widowControl w:val="0"/>
        <w:spacing w:line="1" w:lineRule="exact"/>
      </w:pPr>
      <w:r>
        <w:br w:type="page"/>
      </w:r>
    </w:p>
    <w:tbl>
      <w:tblPr>
        <w:tblOverlap w:val="never"/>
        <w:jc w:val="center"/>
        <w:tblLayout w:type="fixed"/>
      </w:tblPr>
      <w:tblGrid>
        <w:gridCol w:w="2434"/>
        <w:gridCol w:w="2294"/>
        <w:gridCol w:w="3178"/>
        <w:gridCol w:w="177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江苏沃元精密机械有限公司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9,897,676.37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98,976.76</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73,336,461.59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733,364.62</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5</w:t>
      </w:r>
      <w:bookmarkEnd w:id="1073"/>
      <w:r>
        <w:rPr>
          <w:color w:val="000000"/>
          <w:spacing w:val="0"/>
          <w:w w:val="100"/>
          <w:position w:val="0"/>
        </w:rPr>
        <w:t>、预付款项</w:t>
      </w:r>
      <w:bookmarkEnd w:id="1071"/>
      <w:bookmarkEnd w:id="1072"/>
      <w:bookmarkEnd w:id="1074"/>
    </w:p>
    <w:p>
      <w:pPr>
        <w:pStyle w:val="Style41"/>
        <w:keepNext/>
        <w:keepLines/>
        <w:widowControl w:val="0"/>
        <w:shd w:val="clear" w:color="auto" w:fill="auto"/>
        <w:bidi w:val="0"/>
        <w:spacing w:before="0" w:line="240" w:lineRule="auto"/>
        <w:ind w:left="0" w:right="0" w:firstLine="14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5"/>
      <w:bookmarkEnd w:id="1076"/>
      <w:bookmarkEnd w:id="1078"/>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7,598,853.03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14,850,558.03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643,040.11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7,617,606.50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15,496,829.22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1"/>
        <w:keepNext/>
        <w:keepLines/>
        <w:widowControl w:val="0"/>
        <w:shd w:val="clear" w:color="auto" w:fill="auto"/>
        <w:bidi w:val="0"/>
        <w:spacing w:before="0" w:line="240" w:lineRule="auto"/>
        <w:ind w:left="0" w:right="0" w:firstLine="0"/>
        <w:jc w:val="both"/>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79"/>
      <w:bookmarkEnd w:id="1080"/>
      <w:bookmarkEnd w:id="1082"/>
    </w:p>
    <w:p>
      <w:pPr>
        <w:pStyle w:val="Style38"/>
        <w:keepNext w:val="0"/>
        <w:keepLines w:val="0"/>
        <w:widowControl w:val="0"/>
        <w:shd w:val="clear" w:color="auto" w:fill="auto"/>
        <w:bidi w:val="0"/>
        <w:spacing w:before="0" w:after="0" w:line="240" w:lineRule="auto"/>
        <w:ind w:left="8923"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4373"/>
        <w:gridCol w:w="2650"/>
        <w:gridCol w:w="2654"/>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占预付款项期末余额合计数的比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友邦保险有限公司上海分公司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864,380.25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太平置业（北京）有限公司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685,673.97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大象慧云信息技术有限公司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613,207.55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杭州睿真科技有限公司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457,276.62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刘永臻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3,005,538.39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6</w:t>
      </w:r>
      <w:bookmarkEnd w:id="1085"/>
      <w:r>
        <w:rPr>
          <w:color w:val="000000"/>
          <w:spacing w:val="0"/>
          <w:w w:val="100"/>
          <w:position w:val="0"/>
        </w:rPr>
        <w:t>、其他应收款</w:t>
      </w:r>
      <w:bookmarkEnd w:id="1083"/>
      <w:bookmarkEnd w:id="1084"/>
      <w:bookmarkEnd w:id="108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32,567,922.98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35,423,940.72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32,567,922.98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35,423,940.72</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both"/>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87"/>
      <w:bookmarkEnd w:id="1088"/>
      <w:bookmarkEnd w:id="1090"/>
    </w:p>
    <w:p>
      <w:pPr>
        <w:pStyle w:val="Style82"/>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color w:val="000000"/>
          <w:spacing w:val="0"/>
          <w:w w:val="100"/>
          <w:position w:val="0"/>
        </w:rPr>
        <w:t>）其他应收款按款项性质分类情况</w:t>
      </w:r>
      <w:bookmarkEnd w:id="1091"/>
      <w:bookmarkEnd w:id="1092"/>
      <w:bookmarkEnd w:id="109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602,947.04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4,889,383.64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其他企业往来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6,436,695.79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6,345,509.25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20,695.60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53,990,542.45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52,444,624.66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2,435,280.26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2,675,446.21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63,475,328.34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66,375,659.36</w:t>
            </w:r>
          </w:p>
        </w:tc>
      </w:tr>
    </w:tbl>
    <w:p>
      <w:pPr>
        <w:widowControl w:val="0"/>
        <w:spacing w:after="319" w:line="1" w:lineRule="exact"/>
      </w:pPr>
    </w:p>
    <w:p>
      <w:pPr>
        <w:pStyle w:val="Style82"/>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color w:val="000000"/>
          <w:spacing w:val="0"/>
          <w:w w:val="100"/>
          <w:position w:val="0"/>
        </w:rPr>
        <w:t>）坏账准备计提情况</w:t>
      </w:r>
      <w:bookmarkEnd w:id="1095"/>
      <w:bookmarkEnd w:id="1096"/>
      <w:bookmarkEnd w:id="109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30,951,718.64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30,951,718.64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-44,313.28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-44,313.28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30,907,405.36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30,907,405.36</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其他应收款项账面余额变动如下：</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765"/>
        <w:gridCol w:w="1805"/>
        <w:gridCol w:w="1742"/>
        <w:gridCol w:w="1709"/>
        <w:gridCol w:w="1656"/>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合计</w:t>
            </w:r>
          </w:p>
        </w:tc>
      </w:tr>
      <w:tr>
        <w:trPr>
          <w:trHeight w:val="9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 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 值</w:t>
            </w:r>
            <w:r>
              <w:rPr>
                <w:color w:val="000000"/>
                <w:spacing w:val="0"/>
                <w:w w:val="100"/>
                <w:position w:val="0"/>
                <w:sz w:val="18"/>
                <w:szCs w:val="18"/>
              </w:rPr>
              <w:t>）</w:t>
            </w: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66,375,659.36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66,375,659.36</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转回第一阶段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65"/>
        <w:gridCol w:w="1805"/>
        <w:gridCol w:w="1742"/>
        <w:gridCol w:w="1709"/>
        <w:gridCol w:w="165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本期新增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本期终止确认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2,900,331.02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2,900,331.02</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63,475,328.34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63,475,328.34</w:t>
            </w:r>
          </w:p>
        </w:tc>
      </w:tr>
    </w:tbl>
    <w:p>
      <w:pPr>
        <w:widowControl w:val="0"/>
        <w:spacing w:after="3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27,459,750.74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27,459,750.74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10,259,783.39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4,820,590.26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20,935,203.95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14,450,288.73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2,801,251.56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3,683,663.66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63,475,328.34</w:t>
            </w:r>
          </w:p>
        </w:tc>
      </w:tr>
    </w:tbl>
    <w:p>
      <w:pPr>
        <w:widowControl w:val="0"/>
        <w:spacing w:after="319" w:line="1" w:lineRule="exact"/>
      </w:pPr>
    </w:p>
    <w:p>
      <w:pPr>
        <w:pStyle w:val="Style82"/>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3</w:t>
      </w:r>
      <w:bookmarkEnd w:id="1101"/>
      <w:r>
        <w:rPr>
          <w:color w:val="000000"/>
          <w:spacing w:val="0"/>
          <w:w w:val="100"/>
          <w:position w:val="0"/>
        </w:rPr>
        <w:t>）本期计提、收回或转回的坏账准备情况</w:t>
      </w:r>
      <w:bookmarkEnd w:id="1099"/>
      <w:bookmarkEnd w:id="1100"/>
      <w:bookmarkEnd w:id="1102"/>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、按单项计提坏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122,257.65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、按组合计提坏 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30,951,718.64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-123,401.20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-43,169.73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30,785,147.71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30,951,718.64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-1,143.55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-43,169.73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30,907,405.36</w:t>
            </w:r>
          </w:p>
        </w:tc>
      </w:tr>
    </w:tbl>
    <w:p>
      <w:pPr>
        <w:pStyle w:val="Style38"/>
        <w:keepNext w:val="0"/>
        <w:keepLines w:val="0"/>
        <w:widowControl w:val="0"/>
        <w:shd w:val="clear" w:color="auto" w:fill="auto"/>
        <w:bidi w:val="0"/>
        <w:spacing w:before="0" w:after="0" w:line="350" w:lineRule="exact"/>
        <w:ind w:left="0" w:right="0" w:firstLine="0"/>
        <w:jc w:val="left"/>
        <w:rPr>
          <w:sz w:val="17"/>
          <w:szCs w:val="17"/>
        </w:rPr>
      </w:pPr>
      <w:r>
        <w:rPr>
          <w:b w:val="0"/>
          <w:bCs w:val="0"/>
          <w:color w:val="000000"/>
          <w:spacing w:val="0"/>
          <w:w w:val="100"/>
          <w:position w:val="0"/>
          <w:sz w:val="17"/>
          <w:szCs w:val="17"/>
        </w:rPr>
        <w:t>本期变动金额</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其他：外币报表折算差额 其中本期坏账准备转回或收回金额重要的:</w:t>
      </w:r>
    </w:p>
    <w:p>
      <w:pPr>
        <w:widowControl w:val="0"/>
        <w:spacing w:after="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82"/>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4</w:t>
      </w:r>
      <w:bookmarkEnd w:id="1105"/>
      <w:r>
        <w:rPr>
          <w:color w:val="000000"/>
          <w:spacing w:val="0"/>
          <w:w w:val="100"/>
          <w:position w:val="0"/>
        </w:rPr>
        <w:t>）按欠款方归集的期末余额前五名的其他应收款情况</w:t>
      </w:r>
      <w:bookmarkEnd w:id="1103"/>
      <w:bookmarkEnd w:id="1104"/>
      <w:bookmarkEnd w:id="110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占其他应收款期末</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陕西医药控股集团 派昂医药有限责任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2,445,153.00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122,257.65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上海派美资产管理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2,297,150.67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114,857.53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思爱普（中国）有限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其他企业往来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1,493,655.70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SHIN Consulting</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其他企业往来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1,487,272.85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74,363.63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上海嘉聚房屋租赁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1,144,002.30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8,867,234.52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368,678.93</w:t>
            </w:r>
          </w:p>
        </w:tc>
      </w:tr>
    </w:tbl>
    <w:p>
      <w:pPr>
        <w:widowControl w:val="0"/>
        <w:spacing w:after="319" w:line="1" w:lineRule="exact"/>
      </w:pPr>
    </w:p>
    <w:p>
      <w:pPr>
        <w:pStyle w:val="Style82"/>
        <w:keepNext/>
        <w:keepLines/>
        <w:widowControl w:val="0"/>
        <w:shd w:val="clear" w:color="auto" w:fill="auto"/>
        <w:bidi w:val="0"/>
        <w:spacing w:before="0" w:after="40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5</w:t>
      </w:r>
      <w:bookmarkEnd w:id="1109"/>
      <w:r>
        <w:rPr>
          <w:color w:val="000000"/>
          <w:spacing w:val="0"/>
          <w:w w:val="100"/>
          <w:position w:val="0"/>
        </w:rPr>
        <w:t>）转移其他应收款且继续涉入形成的资产、负债金额</w:t>
      </w:r>
      <w:bookmarkEnd w:id="1107"/>
      <w:bookmarkEnd w:id="1108"/>
      <w:bookmarkEnd w:id="111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）按账龄披露</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4267"/>
        <w:gridCol w:w="2702"/>
        <w:gridCol w:w="2707"/>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27,459,750.74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32,920,625.71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10,259,783.39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8,298,692.46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4,820,590.26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15,759,415.08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20,935,203.95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9,396,926.11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63,475,328.34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66,375,659.36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30,907,405.36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30,951,718.64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32,567,922.98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35,423,940.72</w:t>
            </w:r>
          </w:p>
        </w:tc>
      </w:tr>
    </w:tbl>
    <w:p>
      <w:pPr>
        <w:widowControl w:val="0"/>
        <w:spacing w:after="399" w:line="1" w:lineRule="exact"/>
      </w:pPr>
    </w:p>
    <w:p>
      <w:pPr>
        <w:pStyle w:val="Style28"/>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）按坏账计提方法分类披露</w:t>
      </w:r>
    </w:p>
    <w:p>
      <w:pPr>
        <w:pStyle w:val="Style38"/>
        <w:keepNext w:val="0"/>
        <w:keepLines w:val="0"/>
        <w:widowControl w:val="0"/>
        <w:shd w:val="clear" w:color="auto" w:fill="auto"/>
        <w:bidi w:val="0"/>
        <w:spacing w:before="0" w:after="0" w:line="240" w:lineRule="auto"/>
        <w:ind w:left="5"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018"/>
        <w:gridCol w:w="1056"/>
        <w:gridCol w:w="562"/>
        <w:gridCol w:w="1066"/>
        <w:gridCol w:w="586"/>
        <w:gridCol w:w="1056"/>
        <w:gridCol w:w="1056"/>
        <w:gridCol w:w="562"/>
        <w:gridCol w:w="1056"/>
        <w:gridCol w:w="595"/>
        <w:gridCol w:w="1066"/>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2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计提比 例（%）</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计提比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right w:val="single" w:sz="4"/>
            </w:tcBorders>
            <w:shd w:val="clear" w:color="auto" w:fill="FFFFFF"/>
            <w:vAlign w:val="top"/>
          </w:tcPr>
          <w:p>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按单项计提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3,938,808.70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3,816,551.05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 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59,536,519.64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93.79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30,785,147.71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28,751,371.93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66,375,659.36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30,951,718.64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46.63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35,423,940.72</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63,475,328.34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30,907,405.36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32,567,922.98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66,375,659.36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30,951,718.64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35,423,940.72</w:t>
            </w:r>
          </w:p>
        </w:tc>
      </w:tr>
    </w:tbl>
    <w:p>
      <w:pPr>
        <w:spacing w:lineRule="exact" w:line="1"/>
        <w:rPr>
          <w:sz w:val="2"/>
          <w:szCs w:val="2"/>
        </w:rPr>
      </w:pP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886"/>
        <w:gridCol w:w="1944"/>
        <w:gridCol w:w="1944"/>
        <w:gridCol w:w="1949"/>
        <w:gridCol w:w="1954"/>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思爱普（中国）有限公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1,493,655.70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期后全额收款</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陕西医药控股集团派昂 医药有限责任公司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2,445,153.00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诉讼保证金，预计可以收 回</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3,938,808.70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因上述应收款项发生的个别特殊事项，公司考虑合理且有依据的信息，包括前瞻性信息，以单项的预期信用损失进行估计。</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组合计提项目：</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266"/>
        <w:gridCol w:w="2467"/>
        <w:gridCol w:w="2462"/>
        <w:gridCol w:w="2482"/>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59,536,519.64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30,785,147.71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按组合计提坏账的确认标准及说明：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对于划分为其他应收款组合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的其他应收款，本公司将该类款项按类似信用风险特征（账龄）进行组合，并基于所有合理且</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有依据的信息，包括前瞻性信息，对该类款项预期信用损失的计提比例进行估计如下：</w:t>
      </w:r>
    </w:p>
    <w:p>
      <w:pPr>
        <w:pStyle w:val="Style38"/>
        <w:keepNext w:val="0"/>
        <w:keepLines w:val="0"/>
        <w:widowControl w:val="0"/>
        <w:shd w:val="clear" w:color="auto" w:fill="auto"/>
        <w:bidi w:val="0"/>
        <w:spacing w:before="0" w:after="0" w:line="240" w:lineRule="auto"/>
        <w:ind w:left="8928"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4680"/>
        <w:gridCol w:w="4997"/>
      </w:tblGrid>
      <w:tr>
        <w:trPr>
          <w:trHeight w:val="67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7</w:t>
      </w:r>
      <w:bookmarkEnd w:id="1113"/>
      <w:r>
        <w:rPr>
          <w:color w:val="000000"/>
          <w:spacing w:val="0"/>
          <w:w w:val="100"/>
          <w:position w:val="0"/>
        </w:rPr>
        <w:t>、存货</w:t>
      </w:r>
      <w:bookmarkEnd w:id="1111"/>
      <w:bookmarkEnd w:id="1112"/>
      <w:bookmarkEnd w:id="1114"/>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5"/>
      <w:bookmarkEnd w:id="1116"/>
      <w:bookmarkEnd w:id="1118"/>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4099"/>
        <w:gridCol w:w="41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64,513.27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291,098,299.06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27,473,855.82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263,624,443.24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212,462,229.31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15,393,274.87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197,068,954.44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291,098,299.06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27,473,855.82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263,624,443.24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212,526,742.58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15,393,274.87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197,133,467.71</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19"/>
      <w:bookmarkEnd w:id="1120"/>
      <w:bookmarkEnd w:id="1122"/>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15,393,274.87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15,780,556.50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3,699,975.55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27,473,855.82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15,393,274.87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15,780,556.50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3,699,975.55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27,473,855.82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8</w:t>
      </w:r>
      <w:bookmarkEnd w:id="1125"/>
      <w:r>
        <w:rPr>
          <w:color w:val="000000"/>
          <w:spacing w:val="0"/>
          <w:w w:val="100"/>
          <w:position w:val="0"/>
        </w:rPr>
        <w:t>、合同资产</w:t>
      </w:r>
      <w:bookmarkEnd w:id="1123"/>
      <w:bookmarkEnd w:id="1124"/>
      <w:bookmarkEnd w:id="1126"/>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332,402,123.91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25,207,235.52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307,194,888.39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332,659,966.76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19,449,744.42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313,210,222.34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332,402,123.91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25,207,235.52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307,194,888.39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332,659,966.76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19,449,744.42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313,210,222.34</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合同资产的账面价值在本期内发生的重大变动金额和原因:</w:t>
      </w:r>
    </w:p>
    <w:p>
      <w:pPr>
        <w:widowControl w:val="0"/>
        <w:spacing w:after="119" w:line="1" w:lineRule="exact"/>
      </w:pP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本期合同资产计提减值准备情况</w:t>
      </w:r>
    </w:p>
    <w:p>
      <w:pPr>
        <w:pStyle w:val="Style3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5,789,059.18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5,757,491.10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本公司向客户提供软件实施服务且部分合同在一段时间内确认收入，形成合同资产，该项合同资产在与客户结算形成无条件</w:t>
        <w:br w:type="page"/>
      </w:r>
      <w:r>
        <w:rPr>
          <w:color w:val="000000"/>
          <w:spacing w:val="0"/>
          <w:w w:val="100"/>
          <w:position w:val="0"/>
        </w:rPr>
        <w:t>收款权时转入应收款项。</w:t>
      </w:r>
    </w:p>
    <w:p>
      <w:pPr>
        <w:pStyle w:val="Style35"/>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合同资产按减值计提方法分类披露</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910"/>
        <w:gridCol w:w="1166"/>
        <w:gridCol w:w="1858"/>
        <w:gridCol w:w="1450"/>
        <w:gridCol w:w="1915"/>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账面价值</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按组合计提减值 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332,402,123.91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25,207,235.52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307,194,888.39</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332,402,123.91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25,207,235.52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307,194,888.39</w:t>
            </w:r>
          </w:p>
        </w:tc>
      </w:tr>
    </w:tbl>
    <w:p>
      <w:pPr>
        <w:pStyle w:val="Style38"/>
        <w:keepNext w:val="0"/>
        <w:keepLines w:val="0"/>
        <w:widowControl w:val="0"/>
        <w:shd w:val="clear" w:color="auto" w:fill="auto"/>
        <w:bidi w:val="0"/>
        <w:spacing w:before="0" w:after="100" w:line="240" w:lineRule="auto"/>
        <w:ind w:left="0" w:right="0" w:firstLine="0"/>
        <w:jc w:val="left"/>
        <w:rPr>
          <w:sz w:val="17"/>
          <w:szCs w:val="17"/>
        </w:rPr>
      </w:pPr>
      <w:r>
        <w:rPr>
          <w:b w:val="0"/>
          <w:bCs w:val="0"/>
          <w:color w:val="000000"/>
          <w:spacing w:val="0"/>
          <w:w w:val="100"/>
          <w:position w:val="0"/>
          <w:sz w:val="17"/>
          <w:szCs w:val="17"/>
        </w:rPr>
        <w:t>期末无单项计提坏账准备的合同资产</w:t>
      </w:r>
    </w:p>
    <w:p>
      <w:pPr>
        <w:pStyle w:val="Style38"/>
        <w:keepNext w:val="0"/>
        <w:keepLines w:val="0"/>
        <w:widowControl w:val="0"/>
        <w:shd w:val="clear" w:color="auto" w:fill="auto"/>
        <w:bidi w:val="0"/>
        <w:spacing w:before="0" w:after="100" w:line="240" w:lineRule="auto"/>
        <w:ind w:left="0" w:right="0" w:firstLine="0"/>
        <w:jc w:val="left"/>
        <w:rPr>
          <w:sz w:val="17"/>
          <w:szCs w:val="17"/>
        </w:rPr>
      </w:pPr>
      <w:r>
        <w:rPr>
          <w:b w:val="0"/>
          <w:bCs w:val="0"/>
          <w:color w:val="000000"/>
          <w:spacing w:val="0"/>
          <w:w w:val="100"/>
          <w:position w:val="0"/>
          <w:sz w:val="17"/>
          <w:szCs w:val="17"/>
        </w:rPr>
        <w:t>按组合计提减值准备：</w:t>
      </w:r>
    </w:p>
    <w:p>
      <w:pPr>
        <w:pStyle w:val="Style38"/>
        <w:keepNext w:val="0"/>
        <w:keepLines w:val="0"/>
        <w:widowControl w:val="0"/>
        <w:shd w:val="clear" w:color="auto" w:fill="auto"/>
        <w:bidi w:val="0"/>
        <w:spacing w:before="0" w:after="100" w:line="240" w:lineRule="auto"/>
        <w:ind w:left="0" w:right="0" w:firstLine="0"/>
        <w:jc w:val="left"/>
        <w:rPr>
          <w:sz w:val="17"/>
          <w:szCs w:val="17"/>
        </w:rPr>
      </w:pPr>
      <w:r>
        <w:rPr>
          <w:b w:val="0"/>
          <w:bCs w:val="0"/>
          <w:color w:val="000000"/>
          <w:spacing w:val="0"/>
          <w:w w:val="100"/>
          <w:position w:val="0"/>
          <w:sz w:val="17"/>
          <w:szCs w:val="17"/>
        </w:rPr>
        <w:t>组合计提项目：</w:t>
      </w:r>
    </w:p>
    <w:p>
      <w:pPr>
        <w:widowControl w:val="0"/>
        <w:spacing w:after="7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242"/>
        <w:gridCol w:w="2486"/>
        <w:gridCol w:w="2486"/>
        <w:gridCol w:w="2462"/>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161,927,324.73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6,454,480.72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170,474,799.18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18,752,754.80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332,402,123.91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25,207,235.52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按组合计提坏账的确认标准及说明:</w:t>
      </w:r>
    </w:p>
    <w:p>
      <w:pPr>
        <w:pStyle w:val="Style28"/>
        <w:keepNext w:val="0"/>
        <w:keepLines w:val="0"/>
        <w:widowControl w:val="0"/>
        <w:shd w:val="clear" w:color="auto" w:fill="auto"/>
        <w:bidi w:val="0"/>
        <w:spacing w:before="0" w:after="340" w:line="326" w:lineRule="exact"/>
        <w:ind w:left="0" w:right="0" w:firstLine="0"/>
        <w:jc w:val="both"/>
      </w:pP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sz w:val="22"/>
          <w:szCs w:val="22"/>
        </w:rPr>
        <w:t>）</w:t>
      </w:r>
      <w:r>
        <w:rPr>
          <w:color w:val="000000"/>
          <w:spacing w:val="0"/>
          <w:w w:val="100"/>
          <w:position w:val="0"/>
        </w:rPr>
        <w:t>对于划分为组合</w:t>
      </w:r>
      <w:r>
        <w:rPr>
          <w:rFonts w:ascii="Arial" w:eastAsia="Arial" w:hAnsi="Arial" w:cs="Arial"/>
          <w:color w:val="000000"/>
          <w:spacing w:val="0"/>
          <w:w w:val="100"/>
          <w:position w:val="0"/>
          <w:sz w:val="18"/>
          <w:szCs w:val="18"/>
        </w:rPr>
        <w:t>2</w:t>
      </w:r>
      <w:r>
        <w:rPr>
          <w:color w:val="000000"/>
          <w:spacing w:val="0"/>
          <w:w w:val="100"/>
          <w:position w:val="0"/>
        </w:rPr>
        <w:t>和组合</w:t>
      </w:r>
      <w:r>
        <w:rPr>
          <w:rFonts w:ascii="Arial" w:eastAsia="Arial" w:hAnsi="Arial" w:cs="Arial"/>
          <w:color w:val="000000"/>
          <w:spacing w:val="0"/>
          <w:w w:val="100"/>
          <w:position w:val="0"/>
          <w:sz w:val="18"/>
          <w:szCs w:val="18"/>
        </w:rPr>
        <w:t>3</w:t>
      </w:r>
      <w:r>
        <w:rPr>
          <w:color w:val="000000"/>
          <w:spacing w:val="0"/>
          <w:w w:val="100"/>
          <w:position w:val="0"/>
        </w:rPr>
        <w:t>的合同资产，本公司将该类款项按类似信用风险特征（账龄）进行组合，并基于所有合理且 有依据的信息，包括前瞻性信息，对该类款项预期信用损失的计提比例进行估计如下：</w:t>
      </w:r>
    </w:p>
    <w:tbl>
      <w:tblPr>
        <w:tblOverlap w:val="never"/>
        <w:jc w:val="center"/>
        <w:tblLayout w:type="fixed"/>
      </w:tblPr>
      <w:tblGrid>
        <w:gridCol w:w="3763"/>
        <w:gridCol w:w="2866"/>
        <w:gridCol w:w="3048"/>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合同资产计提比例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合同资产计提比例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39" w:line="1" w:lineRule="exact"/>
      </w:pPr>
    </w:p>
    <w:p>
      <w:pPr>
        <w:pStyle w:val="Style35"/>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本期合同资产计提减值准备情况</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090"/>
        <w:gridCol w:w="1786"/>
        <w:gridCol w:w="1776"/>
        <w:gridCol w:w="1363"/>
        <w:gridCol w:w="1867"/>
        <w:gridCol w:w="1795"/>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 减值准备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19,449,744.42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5,757,491.10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25,207,235.52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合同资产组</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6,486,048.80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-31,568.08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6,454,480.72</w:t>
            </w:r>
          </w:p>
        </w:tc>
      </w:tr>
    </w:tbl>
    <w:p>
      <w:pPr>
        <w:widowControl w:val="0"/>
        <w:spacing w:line="1" w:lineRule="exact"/>
      </w:pPr>
      <w:r>
        <w:br w:type="page"/>
      </w:r>
    </w:p>
    <w:tbl>
      <w:tblPr>
        <w:tblOverlap w:val="never"/>
        <w:jc w:val="center"/>
        <w:tblLayout w:type="fixed"/>
      </w:tblPr>
      <w:tblGrid>
        <w:gridCol w:w="1090"/>
        <w:gridCol w:w="1786"/>
        <w:gridCol w:w="1776"/>
        <w:gridCol w:w="1363"/>
        <w:gridCol w:w="1867"/>
        <w:gridCol w:w="1795"/>
      </w:tblGrid>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合同资产组</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12,963,695.62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5,789,059.18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18,752,754.80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19,449,744.42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5,757,491.10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25,207,235.52</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9</w:t>
      </w:r>
      <w:bookmarkEnd w:id="1129"/>
      <w:r>
        <w:rPr>
          <w:color w:val="000000"/>
          <w:spacing w:val="0"/>
          <w:w w:val="100"/>
          <w:position w:val="0"/>
        </w:rPr>
        <w:t>、一年内到期的非流动资产</w:t>
      </w:r>
      <w:bookmarkEnd w:id="1127"/>
      <w:bookmarkEnd w:id="1128"/>
      <w:bookmarkEnd w:id="113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员工购房借款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1,858,000.00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4,665,000.00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1,858,000.00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4,665,000.00</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重要的债权投资</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其他债权投资</w:t>
      </w:r>
    </w:p>
    <w:p>
      <w:pPr>
        <w:widowControl w:val="0"/>
        <w:spacing w:after="7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注：根据公司</w:t>
      </w:r>
      <w:r>
        <w:rPr>
          <w:rFonts w:ascii="Arial" w:eastAsia="Arial" w:hAnsi="Arial" w:cs="Arial"/>
          <w:color w:val="000000"/>
          <w:spacing w:val="0"/>
          <w:w w:val="100"/>
          <w:position w:val="0"/>
          <w:sz w:val="18"/>
          <w:szCs w:val="18"/>
        </w:rPr>
        <w:t>2011</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月制订的《员工购房借款福利管理办法》，公司向符合条件的员工提供购房借款，在</w:t>
      </w:r>
      <w:r>
        <w:rPr>
          <w:rFonts w:ascii="Arial" w:eastAsia="Arial" w:hAnsi="Arial" w:cs="Arial"/>
          <w:color w:val="000000"/>
          <w:spacing w:val="0"/>
          <w:w w:val="100"/>
          <w:position w:val="0"/>
          <w:sz w:val="18"/>
          <w:szCs w:val="18"/>
        </w:rPr>
        <w:t>3</w:t>
      </w:r>
      <w:r>
        <w:rPr>
          <w:color w:val="000000"/>
          <w:spacing w:val="0"/>
          <w:w w:val="100"/>
          <w:position w:val="0"/>
        </w:rPr>
        <w:t>年内通过工资扣 款归还，其中</w:t>
      </w:r>
      <w:r>
        <w:rPr>
          <w:rFonts w:ascii="Arial" w:eastAsia="Arial" w:hAnsi="Arial" w:cs="Arial"/>
          <w:color w:val="000000"/>
          <w:spacing w:val="0"/>
          <w:w w:val="100"/>
          <w:position w:val="0"/>
          <w:sz w:val="18"/>
          <w:szCs w:val="18"/>
        </w:rPr>
        <w:t>1</w:t>
      </w:r>
      <w:r>
        <w:rPr>
          <w:color w:val="000000"/>
          <w:spacing w:val="0"/>
          <w:w w:val="100"/>
          <w:position w:val="0"/>
        </w:rPr>
        <w:t>年内应归还部分计入一年内到期的非流动资产。</w:t>
      </w:r>
    </w:p>
    <w:p>
      <w:pPr>
        <w:pStyle w:val="Style32"/>
        <w:keepNext/>
        <w:keepLines/>
        <w:widowControl w:val="0"/>
        <w:shd w:val="clear" w:color="auto" w:fill="auto"/>
        <w:bidi w:val="0"/>
        <w:spacing w:before="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31"/>
      <w:bookmarkEnd w:id="1132"/>
      <w:bookmarkEnd w:id="113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预交增值税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17,365,183.52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19,098,408.94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3,533,816.31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17,107,893.38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预缴其他税金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105,357.45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83,762.62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增值税留抵税额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362,052.86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284,776.54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待认证进项税额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731,732.32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1,607,342.25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2,468,499.49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913,524.35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24,566,641.95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39,095,708.08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35"/>
      <w:bookmarkEnd w:id="1136"/>
      <w:bookmarkEnd w:id="1138"/>
    </w:p>
    <w:p>
      <w:pPr>
        <w:pStyle w:val="Style3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上海甄实 建筑科技 有限公司</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甄实 建筑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3,412,500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上海汉得 知云软件 有限公司</w:t>
            </w:r>
          </w:p>
          <w:p>
            <w:pPr>
              <w:pStyle w:val="Style22"/>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（以下简 称''汉得 知云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上海甄汇 信息科技 有限公司</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（以下简 称''甄汇 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38,946,09</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-24,947,7</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67,451,57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81,449,87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上海甄云 信息科技 有限公司</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甄云 科技</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89,378,11</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-39,108,4</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79,689,19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129,958,8</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128,324,2</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3,412,500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-66,368,4</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147,140,7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212,509,0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25.66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128,324,2</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3,412,500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-66,368,4</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147,140,7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212,509,0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注:权益法下确认的投资损益中，本期投资损益影响额为</w:t>
      </w:r>
      <w:r>
        <w:rPr>
          <w:rFonts w:ascii="Times New Roman" w:eastAsia="Times New Roman" w:hAnsi="Times New Roman" w:cs="Times New Roman"/>
          <w:color w:val="000000"/>
          <w:spacing w:val="0"/>
          <w:w w:val="100"/>
          <w:position w:val="0"/>
          <w:sz w:val="18"/>
          <w:szCs w:val="18"/>
        </w:rPr>
        <w:t>-61,119,629.05</w:t>
      </w:r>
      <w:r>
        <w:rPr>
          <w:color w:val="000000"/>
          <w:spacing w:val="0"/>
          <w:w w:val="100"/>
          <w:position w:val="0"/>
          <w:sz w:val="17"/>
          <w:szCs w:val="17"/>
        </w:rPr>
        <w:t>元，因政策变更导致的投资损益影响额为</w:t>
      </w:r>
      <w:r>
        <w:rPr>
          <w:rFonts w:ascii="Times New Roman" w:eastAsia="Times New Roman" w:hAnsi="Times New Roman" w:cs="Times New Roman"/>
          <w:color w:val="000000"/>
          <w:spacing w:val="0"/>
          <w:w w:val="100"/>
          <w:position w:val="0"/>
          <w:sz w:val="18"/>
          <w:szCs w:val="18"/>
        </w:rPr>
        <w:t>-5,248,831.93</w:t>
      </w:r>
    </w:p>
    <w:p>
      <w:pPr>
        <w:pStyle w:val="Style22"/>
        <w:keepNext w:val="0"/>
        <w:keepLines w:val="0"/>
        <w:widowControl w:val="0"/>
        <w:shd w:val="clear" w:color="auto" w:fill="auto"/>
        <w:bidi w:val="0"/>
        <w:spacing w:before="0" w:after="4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vertAlign w:val="superscript"/>
        </w:rPr>
        <w:t>0</w:t>
      </w:r>
    </w:p>
    <w:p>
      <w:pPr>
        <w:pStyle w:val="Style32"/>
        <w:keepNext/>
        <w:keepLines/>
        <w:widowControl w:val="0"/>
        <w:shd w:val="clear" w:color="auto" w:fill="auto"/>
        <w:bidi w:val="0"/>
        <w:spacing w:before="0" w:after="40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139"/>
      <w:bookmarkEnd w:id="1140"/>
      <w:bookmarkEnd w:id="114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非交易性权益工具投资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23,436,180.00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23,436,180.00</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分项披露本期非交易性权益工具投资</w:t>
      </w:r>
    </w:p>
    <w:p>
      <w:pPr>
        <w:widowControl w:val="0"/>
        <w:spacing w:line="1" w:lineRule="exact"/>
      </w:pPr>
      <w:r>
        <w:br w:type="page"/>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其他综合收益转</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入留存收益的金</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指定为以公允价 值计量且其变动 计入其他综合收</w:t>
            </w:r>
          </w:p>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共享智能铸造产 业创新中心有限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上海复歌信息科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北京未来创赢科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上海绿安信息科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非交易性权益工具投资的情况</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5530"/>
        <w:gridCol w:w="4147"/>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共享智能铸造产业创新中心有限公司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上海复歌信息科技有限公司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北京未来创赢科技有限公司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上海绿安信息科技有限公司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33,150,000.00</w:t>
            </w:r>
          </w:p>
        </w:tc>
      </w:tr>
    </w:tbl>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指定为以公允价值计量且其变动计入其他综合收益的原因：公司持有共享智能铸造产业创新中心有限公司</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股权、上 海复歌信息科技有限公司</w:t>
      </w:r>
      <w:r>
        <w:rPr>
          <w:rFonts w:ascii="Times New Roman" w:eastAsia="Times New Roman" w:hAnsi="Times New Roman" w:cs="Times New Roman"/>
          <w:color w:val="000000"/>
          <w:spacing w:val="0"/>
          <w:w w:val="100"/>
          <w:position w:val="0"/>
          <w:sz w:val="18"/>
          <w:szCs w:val="18"/>
        </w:rPr>
        <w:t>3.49%</w:t>
      </w:r>
      <w:r>
        <w:rPr>
          <w:color w:val="000000"/>
          <w:spacing w:val="0"/>
          <w:w w:val="100"/>
          <w:position w:val="0"/>
        </w:rPr>
        <w:t>股权、北京未来创赢科技有限公司</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股权、上海绿安信息科技有限公司</w:t>
      </w:r>
      <w:r>
        <w:rPr>
          <w:rFonts w:ascii="Times New Roman" w:eastAsia="Times New Roman" w:hAnsi="Times New Roman" w:cs="Times New Roman"/>
          <w:color w:val="000000"/>
          <w:spacing w:val="0"/>
          <w:w w:val="100"/>
          <w:position w:val="0"/>
          <w:sz w:val="18"/>
          <w:szCs w:val="18"/>
        </w:rPr>
        <w:t>12.20%</w:t>
      </w:r>
      <w:r>
        <w:rPr>
          <w:color w:val="000000"/>
          <w:spacing w:val="0"/>
          <w:w w:val="100"/>
          <w:position w:val="0"/>
        </w:rPr>
        <w:t>股权， 公司对上述股权投资属于非交易性权益工具投资，根据《企业会计准则第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月修订）》 第十九条的规定，公司将上述投资指定为以公允价值计量且其变动计入其他综合收益的金融资产，在其他权益工具投资科目 列示。</w:t>
      </w:r>
    </w:p>
    <w:p>
      <w:pPr>
        <w:pStyle w:val="Style32"/>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143"/>
      <w:bookmarkEnd w:id="1144"/>
      <w:bookmarkEnd w:id="114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指定为以公允价值计量且其变动计入当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47,383,638.36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47,383,638.36</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439" w:line="1" w:lineRule="exact"/>
      </w:pPr>
    </w:p>
    <w:p>
      <w:pPr>
        <w:pStyle w:val="Style28"/>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5957"/>
        <w:gridCol w:w="372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0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上海黑骥马股权投资合伙企业（有限合伙）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21,597,066.29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上海兴富创业投资管理中心（有限合伙）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4,501,314.20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上海众数联颂创业投资合伙企业（有限合伙）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14,238,578.67</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40,336,959.16</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147"/>
      <w:bookmarkEnd w:id="1148"/>
      <w:bookmarkEnd w:id="115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279,393,121.85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294,227,678.96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279,393,121.85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294,227,678.96</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1"/>
      <w:bookmarkEnd w:id="1152"/>
      <w:bookmarkEnd w:id="115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固定资产装修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299,066,857.90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3,693,072.13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79,075,909.53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3,279,507.03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18,246,614.04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9,545,940.62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412,907,901.25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6,660,893.43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552,291.68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414,819.48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7,626,950.04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6,681,194.89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552,201.42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414,819.48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7,648,215.79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外币报表折算</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6,254,099.55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6,254,099.55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6,254,099.55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6,254,099.55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299,066,857.90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3,692,017.58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79,482,703.41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3,279,507.03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18,798,905.72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9,960,760.10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414,280,751.74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36,652,360.50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2,990,659.49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57,158,058.84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2,891,866.74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13,512,027.18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5,475,249.54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118,680,222.29</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6,864,870.63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94,344.65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11,481,344.88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151,410.49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893,921.63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1,198,477.13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20,684,369.41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6,864,870.63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95,364.41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11,499,265.22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151,410.49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896,043.29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1,198,477.13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20,705,431.17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外币报表折算</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-21,061.76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4,476,961.81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4,476,961.81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4,476,961.81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4,476,961.81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43,517,231.13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3,085,004.14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64,162,441.91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3,043,277.23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14,405,948.81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6,673,726.67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134,887,629.89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255,549,626.77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607,013.44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15,320,261.50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236,229.80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4,392,956.91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3,287,033.43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279,393,121.85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262,414,497.40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702,412.64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21,917,850.69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387,640.29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4,734,586.86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4,070,691.08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294,227,678.96</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155"/>
      <w:bookmarkEnd w:id="1156"/>
      <w:bookmarkEnd w:id="115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189,341.58</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159"/>
      <w:bookmarkEnd w:id="1160"/>
      <w:bookmarkEnd w:id="1162"/>
    </w:p>
    <w:p>
      <w:pPr>
        <w:pStyle w:val="Style41"/>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63"/>
      <w:bookmarkEnd w:id="1164"/>
      <w:bookmarkEnd w:id="116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电脑软件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软件著作权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35,946,400.00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4,669,063.01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422,310,727.09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462,926,190.10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1,789,489.27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77,405,726.81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79,195,216.08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1,789,489.27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77,405,726.81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79,195,216.08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35,946,400.00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6,458,552.28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499,716,453.90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542,121,406.18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5,571,692.16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4,351,008.87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63,798,460.84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73,721,161.87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718,928.00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484,542.38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58,829,767.74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60,033,238.12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718,928.00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484,542.38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58,829,767.74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60,033,238.12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6,290,620.16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4,835,551.25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122,628,228.58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133,754,399.99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29,655,779.84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1,623,001.03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377,088,225.32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408,367,006.19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30,374,707.84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318,054.14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358,512,266.25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389,205,028.23</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本期末通过公司内部研发形成的无形资产占无形资产余额的比例</w:t>
      </w:r>
      <w:r>
        <w:rPr>
          <w:rFonts w:ascii="Times New Roman" w:eastAsia="Times New Roman" w:hAnsi="Times New Roman" w:cs="Times New Roman"/>
          <w:b w:val="0"/>
          <w:bCs w:val="0"/>
          <w:color w:val="000000"/>
          <w:spacing w:val="0"/>
          <w:w w:val="100"/>
          <w:position w:val="0"/>
          <w:sz w:val="18"/>
          <w:szCs w:val="18"/>
        </w:rPr>
        <w:t>89.31%</w:t>
      </w:r>
      <w:r>
        <w:rPr>
          <w:b w:val="0"/>
          <w:bCs w:val="0"/>
          <w:color w:val="000000"/>
          <w:spacing w:val="0"/>
          <w:w w:val="100"/>
          <w:position w:val="0"/>
          <w:sz w:val="17"/>
          <w:szCs w:val="17"/>
        </w:rPr>
        <w:t>。</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66"/>
      <w:bookmarkEnd w:id="1167"/>
      <w:bookmarkEnd w:id="11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转入当期损</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基于融合中 台的企业信 息化平台建 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201,492,711.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201,492,711.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财税管理系 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31,174,200.1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5,052,603.49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31,618,149.9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4,608,653.67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供应链金融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1,802,911.13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1,802,911.13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企业内部管 理系统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21,764,060.1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7,038,962.02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24,798,565.2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4,004,456.92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数据管理系 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5,953,688.02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5,953,688.02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物联网管理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6,246,187.50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6,246,187.50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营销管理软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5,573,092.58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913,132.39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6,486,224.97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72,514,139.5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214,497,409.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76,905,726.8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210,105,822.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注：资本化的依据是项目研发已符合《企业会计准则第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无形资产》中各项研发资本化要求及公司内部阶段性要求，开 始进行资本化，按项目计入开发支出，详见：附注三（十四）。</w:t>
      </w:r>
    </w:p>
    <w:p>
      <w:pPr>
        <w:pStyle w:val="Style32"/>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170"/>
      <w:bookmarkEnd w:id="1171"/>
      <w:bookmarkEnd w:id="1172"/>
    </w:p>
    <w:p>
      <w:pPr>
        <w:pStyle w:val="Style41"/>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73"/>
      <w:bookmarkEnd w:id="1174"/>
      <w:bookmarkEnd w:id="117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被投资单位名称</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22"/>
              <w:keepNext w:val="0"/>
              <w:keepLines w:val="0"/>
              <w:widowControl w:val="0"/>
              <w:shd w:val="clear" w:color="auto" w:fill="auto"/>
              <w:bidi w:val="0"/>
              <w:spacing w:before="0" w:after="100" w:line="240" w:lineRule="auto"/>
              <w:ind w:left="0" w:right="0" w:firstLine="600"/>
              <w:jc w:val="left"/>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夏尔软件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42,156,869.82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42,156,869.82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随身科技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2,869,846.54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2,869,846.54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31,416,564.79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31,416,564.79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扬州达美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20,386,577.50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20,386,577.50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96,829,858.65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96,829,858.65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76"/>
      <w:bookmarkEnd w:id="1177"/>
      <w:bookmarkEnd w:id="117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被投资单位名称</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22"/>
              <w:keepNext w:val="0"/>
              <w:keepLines w:val="0"/>
              <w:widowControl w:val="0"/>
              <w:shd w:val="clear" w:color="auto" w:fill="auto"/>
              <w:bidi w:val="0"/>
              <w:spacing w:before="0" w:after="100" w:line="240" w:lineRule="auto"/>
              <w:ind w:left="0" w:right="0" w:firstLine="600"/>
              <w:jc w:val="left"/>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随身科技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2,869,846.54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2,869,846.54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2,869,846.54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2,869,846.54</w:t>
            </w:r>
          </w:p>
        </w:tc>
      </w:tr>
    </w:tbl>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商誉所在资产组或资产组组合的相关信息</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日对上述商誉执行了减值测试。除随身科技期初发生减值外，本公司本年无需计提商誉的减值准 备。</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计算相关资产组于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日预计未来现金流量现值采用了假设，以下详述了管理层为进行商誉的减值测试，在确 定现金流量预测时作出的关键假设：</w:t>
      </w:r>
    </w:p>
    <w:p>
      <w:pPr>
        <w:pStyle w:val="Style28"/>
        <w:keepNext w:val="0"/>
        <w:keepLines w:val="0"/>
        <w:widowControl w:val="0"/>
        <w:shd w:val="clear" w:color="auto" w:fill="auto"/>
        <w:tabs>
          <w:tab w:pos="546" w:val="left"/>
        </w:tabs>
        <w:bidi w:val="0"/>
        <w:spacing w:before="0" w:after="0" w:line="312" w:lineRule="exact"/>
        <w:ind w:left="0" w:right="0" w:firstLine="0"/>
        <w:jc w:val="both"/>
      </w:pPr>
      <w:bookmarkStart w:id="1180" w:name="bookmark1180"/>
      <w:r>
        <w:rPr>
          <w:color w:val="000000"/>
          <w:spacing w:val="0"/>
          <w:w w:val="100"/>
          <w:position w:val="0"/>
        </w:rPr>
        <w:t>（</w:t>
      </w:r>
      <w:bookmarkEnd w:id="11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收入增长</w:t>
      </w:r>
      <w:r>
        <w:rPr>
          <w:color w:val="000000"/>
          <w:spacing w:val="0"/>
          <w:w w:val="100"/>
          <w:position w:val="0"/>
          <w:sz w:val="18"/>
          <w:szCs w:val="18"/>
        </w:rPr>
        <w:t>一</w:t>
      </w:r>
      <w:r>
        <w:rPr>
          <w:color w:val="000000"/>
          <w:spacing w:val="0"/>
          <w:w w:val="100"/>
          <w:position w:val="0"/>
        </w:rPr>
        <w:t>确定基础是在预算年度前一年及历史上实现的收入增长率基础上，根据预计的市场需求、自身的业务发展 及营销战略而保持相应的增长率。</w:t>
      </w:r>
    </w:p>
    <w:p>
      <w:pPr>
        <w:pStyle w:val="Style28"/>
        <w:keepNext w:val="0"/>
        <w:keepLines w:val="0"/>
        <w:widowControl w:val="0"/>
        <w:shd w:val="clear" w:color="auto" w:fill="auto"/>
        <w:bidi w:val="0"/>
        <w:spacing w:before="0" w:after="0" w:line="326" w:lineRule="exact"/>
        <w:ind w:left="0" w:right="0" w:firstLine="0"/>
        <w:jc w:val="both"/>
      </w:pPr>
      <w:bookmarkStart w:id="1181" w:name="bookmark1181"/>
      <w:r>
        <w:rPr>
          <w:color w:val="000000"/>
          <w:spacing w:val="0"/>
          <w:w w:val="100"/>
          <w:position w:val="0"/>
        </w:rPr>
        <w:t>（</w:t>
      </w:r>
      <w:bookmarkEnd w:id="11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预算毛利</w:t>
      </w:r>
      <w:r>
        <w:rPr>
          <w:color w:val="000000"/>
          <w:spacing w:val="0"/>
          <w:w w:val="100"/>
          <w:position w:val="0"/>
          <w:sz w:val="18"/>
          <w:szCs w:val="18"/>
        </w:rPr>
        <w:t>一</w:t>
      </w:r>
      <w:r>
        <w:rPr>
          <w:color w:val="000000"/>
          <w:spacing w:val="0"/>
          <w:w w:val="100"/>
          <w:position w:val="0"/>
        </w:rPr>
        <w:t>确定基础是在预算年度前一年实现的平均毛利率基础上，根据预计效率的提高及预计市场开发情况适当提 高该平均毛利率。</w:t>
      </w:r>
    </w:p>
    <w:p>
      <w:pPr>
        <w:pStyle w:val="Style28"/>
        <w:keepNext w:val="0"/>
        <w:keepLines w:val="0"/>
        <w:widowControl w:val="0"/>
        <w:shd w:val="clear" w:color="auto" w:fill="auto"/>
        <w:tabs>
          <w:tab w:pos="445" w:val="left"/>
        </w:tabs>
        <w:bidi w:val="0"/>
        <w:spacing w:before="0" w:after="0" w:line="326" w:lineRule="exact"/>
        <w:ind w:left="0" w:right="0" w:firstLine="0"/>
        <w:jc w:val="both"/>
      </w:pPr>
      <w:bookmarkStart w:id="1182" w:name="bookmark1182"/>
      <w:r>
        <w:rPr>
          <w:color w:val="000000"/>
          <w:spacing w:val="0"/>
          <w:w w:val="100"/>
          <w:position w:val="0"/>
        </w:rPr>
        <w:t>（</w:t>
      </w:r>
      <w:bookmarkEnd w:id="11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折现率</w:t>
      </w:r>
      <w:r>
        <w:rPr>
          <w:color w:val="000000"/>
          <w:spacing w:val="0"/>
          <w:w w:val="100"/>
          <w:position w:val="0"/>
          <w:sz w:val="18"/>
          <w:szCs w:val="18"/>
        </w:rPr>
        <w:t>一</w:t>
      </w:r>
      <w:r>
        <w:rPr>
          <w:color w:val="000000"/>
          <w:spacing w:val="0"/>
          <w:w w:val="100"/>
          <w:position w:val="0"/>
        </w:rPr>
        <w:t>采用的折现率是反映相关资产组特定风险的税前折现率。</w:t>
      </w:r>
    </w:p>
    <w:p>
      <w:pPr>
        <w:pStyle w:val="Style28"/>
        <w:keepNext w:val="0"/>
        <w:keepLines w:val="0"/>
        <w:widowControl w:val="0"/>
        <w:shd w:val="clear" w:color="auto" w:fill="auto"/>
        <w:tabs>
          <w:tab w:pos="445" w:val="left"/>
        </w:tabs>
        <w:bidi w:val="0"/>
        <w:spacing w:before="0" w:after="380" w:line="322" w:lineRule="exact"/>
        <w:ind w:left="0" w:right="0" w:firstLine="0"/>
        <w:jc w:val="both"/>
      </w:pPr>
      <w:bookmarkStart w:id="1183" w:name="bookmark1183"/>
      <w:r>
        <w:rPr>
          <w:color w:val="000000"/>
          <w:spacing w:val="0"/>
          <w:w w:val="100"/>
          <w:position w:val="0"/>
        </w:rPr>
        <w:t>（</w:t>
      </w:r>
      <w:bookmarkEnd w:id="118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分配至上述资产组或资产组组合的关键假设的金额与本公司历史经验及外部信息一致。</w:t>
      </w:r>
    </w:p>
    <w:p>
      <w:pPr>
        <w:pStyle w:val="Style28"/>
        <w:keepNext w:val="0"/>
        <w:keepLines w:val="0"/>
        <w:widowControl w:val="0"/>
        <w:shd w:val="clear" w:color="auto" w:fill="auto"/>
        <w:bidi w:val="0"/>
        <w:spacing w:before="0" w:after="80" w:line="322" w:lineRule="exact"/>
        <w:ind w:left="0" w:right="0" w:firstLine="0"/>
        <w:jc w:val="both"/>
      </w:pPr>
      <w:r>
        <w:rPr>
          <w:color w:val="000000"/>
          <w:spacing w:val="0"/>
          <w:w w:val="100"/>
          <w:position w:val="0"/>
        </w:rPr>
        <w:t>商誉减值测试的影响</w:t>
      </w:r>
    </w:p>
    <w:p>
      <w:pPr>
        <w:pStyle w:val="Style28"/>
        <w:keepNext w:val="0"/>
        <w:keepLines w:val="0"/>
        <w:widowControl w:val="0"/>
        <w:shd w:val="clear" w:color="auto" w:fill="auto"/>
        <w:tabs>
          <w:tab w:pos="539" w:val="left"/>
        </w:tabs>
        <w:bidi w:val="0"/>
        <w:spacing w:before="0" w:after="0" w:line="307" w:lineRule="exact"/>
        <w:ind w:left="0" w:right="0" w:firstLine="0"/>
        <w:jc w:val="left"/>
      </w:pPr>
      <w:bookmarkStart w:id="1184" w:name="bookmark1184"/>
      <w:r>
        <w:rPr>
          <w:color w:val="000000"/>
          <w:spacing w:val="0"/>
          <w:w w:val="100"/>
          <w:position w:val="0"/>
        </w:rPr>
        <w:t>（</w:t>
      </w:r>
      <w:bookmarkEnd w:id="11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月收购夏尔软件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股权，形成商誉人民币</w:t>
      </w:r>
      <w:r>
        <w:rPr>
          <w:rFonts w:ascii="Times New Roman" w:eastAsia="Times New Roman" w:hAnsi="Times New Roman" w:cs="Times New Roman"/>
          <w:color w:val="000000"/>
          <w:spacing w:val="0"/>
          <w:w w:val="100"/>
          <w:position w:val="0"/>
          <w:sz w:val="18"/>
          <w:szCs w:val="18"/>
        </w:rPr>
        <w:t>4,215.69</w:t>
      </w:r>
      <w:r>
        <w:rPr>
          <w:color w:val="000000"/>
          <w:spacing w:val="0"/>
          <w:w w:val="100"/>
          <w:position w:val="0"/>
        </w:rPr>
        <w:t>万元。公司将该商誉分配至</w:t>
      </w:r>
      <w:r>
        <w:rPr>
          <w:rFonts w:ascii="Times New Roman" w:eastAsia="Times New Roman" w:hAnsi="Times New Roman" w:cs="Times New Roman"/>
          <w:color w:val="000000"/>
          <w:spacing w:val="0"/>
          <w:w w:val="100"/>
          <w:position w:val="0"/>
          <w:sz w:val="18"/>
          <w:szCs w:val="18"/>
        </w:rPr>
        <w:t>BPO</w:t>
      </w:r>
      <w:r>
        <w:rPr>
          <w:color w:val="000000"/>
          <w:spacing w:val="0"/>
          <w:w w:val="100"/>
          <w:position w:val="0"/>
        </w:rPr>
        <w:t xml:space="preserve">项目资产组，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日，该资产组除商誉外的长期资产账面价值为</w:t>
      </w:r>
      <w:r>
        <w:rPr>
          <w:rFonts w:ascii="Times New Roman" w:eastAsia="Times New Roman" w:hAnsi="Times New Roman" w:cs="Times New Roman"/>
          <w:color w:val="000000"/>
          <w:spacing w:val="0"/>
          <w:w w:val="100"/>
          <w:position w:val="0"/>
          <w:sz w:val="18"/>
          <w:szCs w:val="18"/>
        </w:rPr>
        <w:t>1,133.75</w:t>
      </w:r>
      <w:r>
        <w:rPr>
          <w:color w:val="000000"/>
          <w:spacing w:val="0"/>
          <w:w w:val="100"/>
          <w:position w:val="0"/>
        </w:rPr>
        <w:t>万元。公司据此进行了减值测试。</w:t>
      </w:r>
    </w:p>
    <w:p>
      <w:pPr>
        <w:pStyle w:val="Style2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本公司对该资产组可收回金额是根据资产组的预计未来现金流量现值来确定。预计未来现金流量来源为管理层批准的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年期 财务预算中的现金流量预测数据，</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年后就维持第五年的现金流量预测。计算现值所用的折现率是</w:t>
      </w:r>
      <w:r>
        <w:rPr>
          <w:rFonts w:ascii="Times New Roman" w:eastAsia="Times New Roman" w:hAnsi="Times New Roman" w:cs="Times New Roman"/>
          <w:color w:val="000000"/>
          <w:spacing w:val="0"/>
          <w:w w:val="100"/>
          <w:position w:val="0"/>
          <w:sz w:val="18"/>
          <w:szCs w:val="18"/>
        </w:rPr>
        <w:t>16.31%</w:t>
      </w:r>
    </w:p>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月，上海申威资产评估有限公司采用资产未来现金流量的现值的方法进行评估，出具了以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 准的沪申威评报字（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号《上海汉得信息技术股份有限公司拟对并购上海夏尔软件有限公司所形成的商誉进行 减值测试涉及的相关资产组可回收价值的资产评估报告》。经评估，资产组可收回金额大于资产组账面价值。</w:t>
      </w:r>
    </w:p>
    <w:p>
      <w:pPr>
        <w:pStyle w:val="Style28"/>
        <w:keepNext w:val="0"/>
        <w:keepLines w:val="0"/>
        <w:widowControl w:val="0"/>
        <w:shd w:val="clear" w:color="auto" w:fill="auto"/>
        <w:bidi w:val="0"/>
        <w:spacing w:before="0" w:after="380" w:line="318" w:lineRule="exact"/>
        <w:ind w:left="0" w:right="0" w:firstLine="0"/>
        <w:jc w:val="left"/>
      </w:pPr>
      <w:r>
        <w:rPr>
          <w:color w:val="000000"/>
          <w:spacing w:val="0"/>
          <w:w w:val="100"/>
          <w:position w:val="0"/>
        </w:rPr>
        <w:t>根据商誉减值测试结果，本公司无需对该商誉计提减值准备。</w:t>
      </w:r>
    </w:p>
    <w:p>
      <w:pPr>
        <w:pStyle w:val="Style28"/>
        <w:keepNext w:val="0"/>
        <w:keepLines w:val="0"/>
        <w:widowControl w:val="0"/>
        <w:shd w:val="clear" w:color="auto" w:fill="auto"/>
        <w:bidi w:val="0"/>
        <w:spacing w:before="0" w:after="0" w:line="328" w:lineRule="exact"/>
        <w:ind w:left="0" w:right="0" w:firstLine="0"/>
        <w:jc w:val="left"/>
      </w:pPr>
      <w:bookmarkStart w:id="1185" w:name="bookmark1185"/>
      <w:r>
        <w:rPr>
          <w:color w:val="000000"/>
          <w:spacing w:val="0"/>
          <w:w w:val="100"/>
          <w:position w:val="0"/>
        </w:rPr>
        <w:t>（</w:t>
      </w:r>
      <w:bookmarkEnd w:id="11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月收购上海达美和扬州达美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股权，形成商誉人民币</w:t>
      </w:r>
      <w:r>
        <w:rPr>
          <w:rFonts w:ascii="Times New Roman" w:eastAsia="Times New Roman" w:hAnsi="Times New Roman" w:cs="Times New Roman"/>
          <w:color w:val="000000"/>
          <w:spacing w:val="0"/>
          <w:w w:val="100"/>
          <w:position w:val="0"/>
          <w:sz w:val="18"/>
          <w:szCs w:val="18"/>
        </w:rPr>
        <w:t>5,180.31</w:t>
      </w:r>
      <w:r>
        <w:rPr>
          <w:color w:val="000000"/>
          <w:spacing w:val="0"/>
          <w:w w:val="100"/>
          <w:position w:val="0"/>
        </w:rPr>
        <w:t>万元。公司将该商誉分配至</w:t>
      </w:r>
      <w:r>
        <w:rPr>
          <w:rFonts w:ascii="Times New Roman" w:eastAsia="Times New Roman" w:hAnsi="Times New Roman" w:cs="Times New Roman"/>
          <w:color w:val="000000"/>
          <w:spacing w:val="0"/>
          <w:w w:val="100"/>
          <w:position w:val="0"/>
          <w:sz w:val="18"/>
          <w:szCs w:val="18"/>
        </w:rPr>
        <w:t xml:space="preserve">SAP </w:t>
      </w:r>
      <w:r>
        <w:rPr>
          <w:color w:val="000000"/>
          <w:spacing w:val="0"/>
          <w:w w:val="100"/>
          <w:position w:val="0"/>
        </w:rPr>
        <w:t>项目资产组，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日，该资产组除商誉外的长期资产账面价值为</w:t>
      </w:r>
      <w:r>
        <w:rPr>
          <w:rFonts w:ascii="Times New Roman" w:eastAsia="Times New Roman" w:hAnsi="Times New Roman" w:cs="Times New Roman"/>
          <w:color w:val="000000"/>
          <w:spacing w:val="0"/>
          <w:w w:val="100"/>
          <w:position w:val="0"/>
          <w:sz w:val="18"/>
          <w:szCs w:val="18"/>
        </w:rPr>
        <w:t>6,764.77</w:t>
      </w:r>
      <w:r>
        <w:rPr>
          <w:color w:val="000000"/>
          <w:spacing w:val="0"/>
          <w:w w:val="100"/>
          <w:position w:val="0"/>
        </w:rPr>
        <w:t>万元。公司据此进行了减值测试。 本公司对该资产组可收回金额是根据资产组的预计未来现金流量现值来确定。预计未来现金流量来源为管理层批准的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 财务预算中的现金流量预测数据，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年后就维持第五年的现金流量预测。计算现值所用的折现率是</w:t>
      </w:r>
      <w:r>
        <w:rPr>
          <w:rFonts w:ascii="Times New Roman" w:eastAsia="Times New Roman" w:hAnsi="Times New Roman" w:cs="Times New Roman"/>
          <w:color w:val="000000"/>
          <w:spacing w:val="0"/>
          <w:w w:val="100"/>
          <w:position w:val="0"/>
          <w:sz w:val="18"/>
          <w:szCs w:val="18"/>
        </w:rPr>
        <w:t>16.72%</w:t>
      </w:r>
      <w:r>
        <w:rPr>
          <w:color w:val="000000"/>
          <w:spacing w:val="0"/>
          <w:w w:val="100"/>
          <w:position w:val="0"/>
        </w:rPr>
        <w:t>。</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月，上海申威资产评估有限公司采用资产未来现金流量的现值的方法进行评估，出具了以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 准的沪申威评报字（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号《上海汉得信息技术股份有限公司拟对并购扬州达美投资管理有限公司及上海达美信 息技术有限公司所形成的商誉进行减值测试涉及的相关资产组组合可回收价值的资产评估报告》经评估，资产组可收回金 额大于资产组账面价值。</w:t>
      </w:r>
    </w:p>
    <w:p>
      <w:pPr>
        <w:pStyle w:val="Style28"/>
        <w:keepNext w:val="0"/>
        <w:keepLines w:val="0"/>
        <w:widowControl w:val="0"/>
        <w:shd w:val="clear" w:color="auto" w:fill="auto"/>
        <w:bidi w:val="0"/>
        <w:spacing w:before="0" w:after="0" w:line="318" w:lineRule="exact"/>
        <w:ind w:left="0" w:right="0" w:firstLine="0"/>
        <w:jc w:val="left"/>
      </w:pPr>
      <w:r>
        <w:rPr>
          <w:color w:val="000000"/>
          <w:spacing w:val="0"/>
          <w:w w:val="100"/>
          <w:position w:val="0"/>
        </w:rPr>
        <w:t>根据商誉减值测试结果，本公司无需对该商誉计提减值准备。</w:t>
      </w:r>
    </w:p>
    <w:p>
      <w:pPr>
        <w:pStyle w:val="Style28"/>
        <w:keepNext w:val="0"/>
        <w:keepLines w:val="0"/>
        <w:widowControl w:val="0"/>
        <w:shd w:val="clear" w:color="auto" w:fill="auto"/>
        <w:bidi w:val="0"/>
        <w:spacing w:before="0" w:after="380" w:line="318"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86"/>
      <w:bookmarkEnd w:id="1187"/>
      <w:bookmarkEnd w:id="118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租入资产改良支出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3,368,571.42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1,305,186.27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1,640,103.75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3,033,653.94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软件许可费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147,769.23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88,661.55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169,036.16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91,673.85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3,685,376.81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1,305,186.27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1,776,573.74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3,213,989.34</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90"/>
      <w:bookmarkEnd w:id="1191"/>
      <w:bookmarkEnd w:id="1193"/>
    </w:p>
    <w:p>
      <w:pPr>
        <w:pStyle w:val="Style41"/>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94"/>
      <w:bookmarkEnd w:id="1195"/>
      <w:bookmarkEnd w:id="1196"/>
    </w:p>
    <w:p>
      <w:pPr>
        <w:pStyle w:val="Style3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612,456,210.36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94,672,900.96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474,880,101.11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74,187,918.21</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计入其他综合收益的可 供出售金融资产公允价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333,391.50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4,713,820.00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707,073.00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股份支付所产生的暂时 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45,487,873.57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6,823,181.04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62,976,671.71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9,446,500.76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9,093,907.10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1,364,086.07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9,642,436.22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1,446,365.43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年初新收入准则调 整的影响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49,676,189.01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7,451,428.35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718,936,790.04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110,644,987.92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552,213,029.04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85,787,857.40</w:t>
            </w:r>
          </w:p>
        </w:tc>
      </w:tr>
    </w:tbl>
    <w:p>
      <w:pPr>
        <w:widowControl w:val="0"/>
        <w:spacing w:after="319" w:line="1" w:lineRule="exact"/>
      </w:pPr>
    </w:p>
    <w:p>
      <w:pPr>
        <w:pStyle w:val="Style41"/>
        <w:keepNext/>
        <w:keepLines/>
        <w:widowControl w:val="0"/>
        <w:numPr>
          <w:ilvl w:val="0"/>
          <w:numId w:val="57"/>
        </w:numPr>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未经抵销的递延所得税负债</w:t>
      </w:r>
      <w:bookmarkEnd w:id="1197"/>
      <w:bookmarkEnd w:id="1198"/>
      <w:bookmarkEnd w:id="1200"/>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137,178,720.87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20,576,808.13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137,178,720.87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20,576,808.13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内部未实现销售利润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7,986,147.93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1,197,922.19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145,164,868.80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21,774,730.32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137,178,720.87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20,576,808.13</w:t>
            </w:r>
          </w:p>
        </w:tc>
      </w:tr>
    </w:tbl>
    <w:p>
      <w:pPr>
        <w:widowControl w:val="0"/>
        <w:spacing w:after="319" w:line="1" w:lineRule="exact"/>
      </w:pPr>
    </w:p>
    <w:p>
      <w:pPr>
        <w:pStyle w:val="Style41"/>
        <w:keepNext/>
        <w:keepLines/>
        <w:widowControl w:val="0"/>
        <w:numPr>
          <w:ilvl w:val="0"/>
          <w:numId w:val="57"/>
        </w:numPr>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未确认递延所得税资产明细</w:t>
      </w:r>
      <w:bookmarkEnd w:id="1201"/>
      <w:bookmarkEnd w:id="1202"/>
      <w:bookmarkEnd w:id="120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可用以后年度税前利润弥补的亏损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23,205,357.11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9,660,508.26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23,205,357.11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9,660,508.26</w:t>
            </w:r>
          </w:p>
        </w:tc>
      </w:tr>
    </w:tbl>
    <w:p>
      <w:pPr>
        <w:widowControl w:val="0"/>
        <w:spacing w:after="319" w:line="1" w:lineRule="exact"/>
      </w:pPr>
    </w:p>
    <w:p>
      <w:pPr>
        <w:pStyle w:val="Style41"/>
        <w:keepNext/>
        <w:keepLines/>
        <w:widowControl w:val="0"/>
        <w:numPr>
          <w:ilvl w:val="0"/>
          <w:numId w:val="57"/>
        </w:numPr>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未确认递延所得税资产的可抵扣亏损将于以下年度到期</w:t>
      </w:r>
      <w:bookmarkEnd w:id="1205"/>
      <w:bookmarkEnd w:id="1206"/>
      <w:bookmarkEnd w:id="120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7,414,496.01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7,414,496.01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1,632,385.88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1,632,385.88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6,592,891.94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6,779,100.79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40,370,225.06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34,642,122.50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66,704,692.64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122,714,691.53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50,468,105.18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未确认递延所得税资产明细</w:t>
      </w:r>
    </w:p>
    <w:p>
      <w:pPr>
        <w:pStyle w:val="Style38"/>
        <w:keepNext w:val="0"/>
        <w:keepLines w:val="0"/>
        <w:widowControl w:val="0"/>
        <w:shd w:val="clear" w:color="auto" w:fill="auto"/>
        <w:bidi w:val="0"/>
        <w:spacing w:before="0" w:after="0" w:line="240" w:lineRule="auto"/>
        <w:ind w:left="8923"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5683"/>
        <w:gridCol w:w="3994"/>
      </w:tblGrid>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5683"/>
        <w:gridCol w:w="3994"/>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可抵扣暂时性差异</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可用以后年度税前利润弥补的亏损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122,714,691.53</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09"/>
      <w:bookmarkEnd w:id="1210"/>
      <w:bookmarkEnd w:id="121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长期资产购建款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437,643.44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437,643.44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员工购房借款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会员证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1,122,169.84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1,122,169.84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1,604,339.64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1,604,339.64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2,154,169.84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2,154,169.84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7,164,483.08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7,164,483.08</w:t>
            </w:r>
          </w:p>
        </w:tc>
      </w:tr>
    </w:tbl>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注：根据公司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月制订的《员工购房借款福利管理办法》，公司向符合条件的员工提供购房借款，在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年内通过工资 扣款归还。</w:t>
      </w:r>
    </w:p>
    <w:p>
      <w:pPr>
        <w:pStyle w:val="Style32"/>
        <w:keepNext/>
        <w:keepLines/>
        <w:widowControl w:val="0"/>
        <w:shd w:val="clear" w:color="auto" w:fill="auto"/>
        <w:bidi w:val="0"/>
        <w:spacing w:before="0" w:line="240" w:lineRule="auto"/>
        <w:ind w:left="0" w:right="0" w:firstLine="0"/>
        <w:jc w:val="both"/>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13"/>
      <w:bookmarkEnd w:id="1214"/>
      <w:bookmarkEnd w:id="1216"/>
    </w:p>
    <w:p>
      <w:pPr>
        <w:pStyle w:val="Style41"/>
        <w:keepNext/>
        <w:keepLines/>
        <w:widowControl w:val="0"/>
        <w:shd w:val="clear" w:color="auto" w:fill="auto"/>
        <w:bidi w:val="0"/>
        <w:spacing w:before="0" w:line="240" w:lineRule="auto"/>
        <w:ind w:left="0" w:right="0" w:firstLine="0"/>
        <w:jc w:val="both"/>
      </w:pPr>
      <w:bookmarkStart w:id="1217" w:name="bookmark1217"/>
      <w:bookmarkStart w:id="1218" w:name="bookmark1218"/>
      <w:bookmarkStart w:id="1219" w:name="bookmark1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17"/>
      <w:bookmarkEnd w:id="1218"/>
      <w:bookmarkEnd w:id="121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574,218,435.05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承兑汇票贴现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574,218,435.05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604,500,000.00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2"/>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220"/>
      <w:bookmarkEnd w:id="1221"/>
      <w:bookmarkEnd w:id="122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12,480,899.92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12,480,899.92</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本期末已到期未支付的应付票据总额为</w:t>
      </w:r>
      <w:r>
        <w:rPr>
          <w:rFonts w:ascii="Times New Roman" w:eastAsia="Times New Roman" w:hAnsi="Times New Roman" w:cs="Times New Roman"/>
          <w:b w:val="0"/>
          <w:bCs w:val="0"/>
          <w:color w:val="000000"/>
          <w:spacing w:val="0"/>
          <w:w w:val="100"/>
          <w:position w:val="0"/>
          <w:sz w:val="18"/>
          <w:szCs w:val="18"/>
        </w:rPr>
        <w:t>0.00</w:t>
      </w:r>
      <w:r>
        <w:rPr>
          <w:b w:val="0"/>
          <w:bCs w:val="0"/>
          <w:color w:val="000000"/>
          <w:spacing w:val="0"/>
          <w:w w:val="100"/>
          <w:position w:val="0"/>
          <w:sz w:val="17"/>
          <w:szCs w:val="17"/>
        </w:rPr>
        <w:t>元。</w:t>
      </w:r>
      <w:r>
        <w:br w:type="page"/>
      </w:r>
    </w:p>
    <w:p>
      <w:pPr>
        <w:pStyle w:val="Style32"/>
        <w:keepNext/>
        <w:keepLines/>
        <w:widowControl w:val="0"/>
        <w:shd w:val="clear" w:color="auto" w:fill="auto"/>
        <w:bidi w:val="0"/>
        <w:spacing w:before="0" w:line="240"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224"/>
      <w:bookmarkEnd w:id="1225"/>
      <w:bookmarkEnd w:id="1227"/>
    </w:p>
    <w:p>
      <w:pPr>
        <w:pStyle w:val="Style41"/>
        <w:keepNext/>
        <w:keepLines/>
        <w:widowControl w:val="0"/>
        <w:shd w:val="clear" w:color="auto" w:fill="auto"/>
        <w:bidi w:val="0"/>
        <w:spacing w:before="0" w:line="240" w:lineRule="auto"/>
        <w:ind w:left="0" w:right="0" w:firstLine="0"/>
        <w:jc w:val="both"/>
      </w:pPr>
      <w:bookmarkStart w:id="1228" w:name="bookmark1228"/>
      <w:bookmarkStart w:id="1229" w:name="bookmark1229"/>
      <w:bookmarkStart w:id="1230" w:name="bookmark12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28"/>
      <w:bookmarkEnd w:id="1229"/>
      <w:bookmarkEnd w:id="123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44,446,696.72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51,841,267.62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78,308.11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44,484,116.76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51,919,575.73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231"/>
      <w:bookmarkEnd w:id="1232"/>
      <w:bookmarkEnd w:id="123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125,519,422.82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125,356,088.03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25,746,332.59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680,988.45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151,265,755.41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126,037,076.48</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报告期内账面价值发生重大变动的金额和原因</w:t>
      </w:r>
    </w:p>
    <w:p>
      <w:pPr>
        <w:widowControl w:val="0"/>
        <w:spacing w:after="11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235"/>
      <w:bookmarkEnd w:id="1236"/>
      <w:bookmarkEnd w:id="1238"/>
    </w:p>
    <w:p>
      <w:pPr>
        <w:pStyle w:val="Style41"/>
        <w:keepNext/>
        <w:keepLines/>
        <w:widowControl w:val="0"/>
        <w:shd w:val="clear" w:color="auto" w:fill="auto"/>
        <w:bidi w:val="0"/>
        <w:spacing w:before="0" w:line="240" w:lineRule="auto"/>
        <w:ind w:left="0" w:right="0" w:firstLine="0"/>
        <w:jc w:val="both"/>
      </w:pPr>
      <w:bookmarkStart w:id="1239" w:name="bookmark1239"/>
      <w:bookmarkStart w:id="1240" w:name="bookmark1240"/>
      <w:bookmarkStart w:id="1241" w:name="bookmark1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39"/>
      <w:bookmarkEnd w:id="1240"/>
      <w:bookmarkEnd w:id="1241"/>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215,257,048.96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1,681,870,843.91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1,684,494,952.52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212,632,940.35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3,823,647.25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39,333,847.96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41,033,606.78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2,123,888.43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325,974.02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325,974.02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219,080,696.21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1,721,530,665.89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1,725,854,533.32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214,756,828.78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both"/>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42"/>
      <w:bookmarkEnd w:id="1243"/>
      <w:bookmarkEnd w:id="1244"/>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209,096,729.58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1,548,978,023.96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1,552,132,419.29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205,942,334.25</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19,407,614.20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19,407,614.20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1,192,328.65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26,258,402.90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25,773,551.02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1,677,180.53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1,052,386.16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23,052,000.59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22,746,987.44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1,357,399.31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1,288,111.09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1,203,519.89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122,647.02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1,918,291.23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1,823,043.69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197,134.20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4,967,990.73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87,226,802.85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87,181,368.01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5,013,425.57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215,257,048.96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1,681,870,843.91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1,684,494,952.52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212,632,940.35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45"/>
      <w:bookmarkEnd w:id="1246"/>
      <w:bookmarkEnd w:id="1248"/>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3,676,060.99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33,188,897.45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34,915,073.02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1,949,885.42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147,586.26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6,144,950.51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6,118,533.76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174,003.01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3,823,647.25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39,333,847.96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41,033,606.78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2,123,888.43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249"/>
      <w:bookmarkEnd w:id="1250"/>
      <w:bookmarkEnd w:id="125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9,581,568.96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9,711,127.38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6,123,420.12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4,215,352.78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2,612,275.39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4,339,661.51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6,674,279.13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4,427,950.08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721,358.83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535,627.55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725,306.85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812,163.29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564,930.29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321,074.62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376,620.19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27,625,711.08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24,172,424.00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bookmarkEnd w:id="1255"/>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253"/>
      <w:bookmarkEnd w:id="1254"/>
      <w:bookmarkEnd w:id="1256"/>
    </w:p>
    <w:p>
      <w:pPr>
        <w:pStyle w:val="Style2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104,394,035.53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170,187,730.29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104,711,147.33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170,192,458.76</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257"/>
      <w:bookmarkEnd w:id="1258"/>
      <w:bookmarkEnd w:id="125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企业债券利息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重要的已逾期未支付的利息情况:</w:t>
      </w:r>
    </w:p>
    <w:p>
      <w:pPr>
        <w:widowControl w:val="0"/>
        <w:spacing w:after="11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逾期原因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both"/>
      </w:pPr>
      <w:bookmarkStart w:id="1260" w:name="bookmark1260"/>
      <w:bookmarkStart w:id="1261" w:name="bookmark1261"/>
      <w:bookmarkStart w:id="1262" w:name="bookmark12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260"/>
      <w:bookmarkEnd w:id="1261"/>
      <w:bookmarkEnd w:id="126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个人股东</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1"/>
        <w:keepNext/>
        <w:keepLines/>
        <w:widowControl w:val="0"/>
        <w:numPr>
          <w:ilvl w:val="0"/>
          <w:numId w:val="59"/>
        </w:numPr>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其他应付款</w:t>
      </w:r>
      <w:bookmarkEnd w:id="1263"/>
      <w:bookmarkEnd w:id="1264"/>
      <w:bookmarkEnd w:id="1266"/>
    </w:p>
    <w:p>
      <w:pPr>
        <w:pStyle w:val="Style82"/>
        <w:keepNext/>
        <w:keepLines/>
        <w:widowControl w:val="0"/>
        <w:numPr>
          <w:ilvl w:val="0"/>
          <w:numId w:val="61"/>
        </w:numPr>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按款项性质列示其他应付款</w:t>
      </w:r>
      <w:bookmarkEnd w:id="1267"/>
      <w:bookmarkEnd w:id="1268"/>
      <w:bookmarkEnd w:id="127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25,500,165.00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82,674,359.73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78,893,870.53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87,513,370.56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104,394,035.53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170,187,730.29</w:t>
            </w:r>
          </w:p>
        </w:tc>
      </w:tr>
    </w:tbl>
    <w:p>
      <w:pPr>
        <w:widowControl w:val="0"/>
        <w:spacing w:after="319" w:line="1" w:lineRule="exact"/>
      </w:pPr>
    </w:p>
    <w:p>
      <w:pPr>
        <w:pStyle w:val="Style82"/>
        <w:keepNext/>
        <w:keepLines/>
        <w:widowControl w:val="0"/>
        <w:numPr>
          <w:ilvl w:val="0"/>
          <w:numId w:val="61"/>
        </w:numPr>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71"/>
      <w:bookmarkEnd w:id="1272"/>
      <w:bookmarkEnd w:id="1274"/>
    </w:p>
    <w:p>
      <w:pPr>
        <w:pStyle w:val="Style28"/>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74,439,384.00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未达到结算条件</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74,439,384.00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275"/>
      <w:bookmarkEnd w:id="1276"/>
      <w:bookmarkEnd w:id="127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9,637,598.06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6,026,217.85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9,637,598.06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6,026,217.85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9</w:t>
      </w:r>
      <w:r>
        <w:rPr>
          <w:color w:val="000000"/>
          <w:spacing w:val="0"/>
          <w:w w:val="100"/>
          <w:position w:val="0"/>
        </w:rPr>
        <w:t>、应付债券</w:t>
      </w:r>
      <w:bookmarkEnd w:id="1279"/>
      <w:bookmarkEnd w:id="1280"/>
      <w:bookmarkEnd w:id="1282"/>
    </w:p>
    <w:p>
      <w:pPr>
        <w:pStyle w:val="Style41"/>
        <w:keepNext/>
        <w:keepLines/>
        <w:widowControl w:val="0"/>
        <w:shd w:val="clear" w:color="auto" w:fill="auto"/>
        <w:bidi w:val="0"/>
        <w:spacing w:before="0" w:line="240" w:lineRule="auto"/>
        <w:ind w:left="0" w:right="0" w:firstLine="0"/>
        <w:jc w:val="both"/>
      </w:pPr>
      <w:bookmarkStart w:id="1283" w:name="bookmark1283"/>
      <w:bookmarkStart w:id="1284" w:name="bookmark1284"/>
      <w:bookmarkStart w:id="1285" w:name="bookmark12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283"/>
      <w:bookmarkEnd w:id="1284"/>
      <w:bookmarkEnd w:id="128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756,173,164.29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756,173,164.29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286"/>
      <w:bookmarkEnd w:id="1287"/>
      <w:bookmarkEnd w:id="128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6"/>
        <w:gridCol w:w="682"/>
        <w:gridCol w:w="682"/>
        <w:gridCol w:w="682"/>
        <w:gridCol w:w="686"/>
        <w:gridCol w:w="682"/>
        <w:gridCol w:w="682"/>
        <w:gridCol w:w="686"/>
        <w:gridCol w:w="691"/>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 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按面值 计提利 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 摊销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本期偿 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本期发</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利息调</w:t>
            </w:r>
          </w:p>
          <w:p>
            <w:pPr>
              <w:pStyle w:val="Style2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期末应</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付利息</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52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可转换 公司债 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937,150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756,173</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,477.06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70.56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937,150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753,262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,164.29</w:t>
            </w:r>
          </w:p>
        </w:tc>
      </w:tr>
    </w:tbl>
    <w:p>
      <w:pPr>
        <w:widowControl w:val="0"/>
        <w:spacing w:after="319" w:line="1" w:lineRule="exact"/>
      </w:pPr>
    </w:p>
    <w:p>
      <w:pPr>
        <w:pStyle w:val="Style41"/>
        <w:keepNext/>
        <w:keepLines/>
        <w:widowControl w:val="0"/>
        <w:shd w:val="clear" w:color="auto" w:fill="auto"/>
        <w:bidi w:val="0"/>
        <w:spacing w:before="0" w:after="28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289"/>
      <w:bookmarkEnd w:id="1290"/>
      <w:bookmarkEnd w:id="1292"/>
    </w:p>
    <w:p>
      <w:pPr>
        <w:pStyle w:val="Style28"/>
        <w:keepNext w:val="0"/>
        <w:keepLines w:val="0"/>
        <w:widowControl w:val="0"/>
        <w:shd w:val="clear" w:color="auto" w:fill="auto"/>
        <w:bidi w:val="0"/>
        <w:spacing w:before="0" w:after="320" w:line="317" w:lineRule="exact"/>
        <w:ind w:left="0" w:right="0" w:firstLine="0"/>
        <w:jc w:val="left"/>
      </w:pPr>
      <w:r>
        <w:rPr>
          <w:color w:val="000000"/>
          <w:spacing w:val="0"/>
          <w:w w:val="100"/>
          <w:position w:val="0"/>
        </w:rPr>
        <w:t>本次发行的可转债转股期自可转债发行结束之日（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T+4</w:t>
      </w:r>
      <w:r>
        <w:rPr>
          <w:color w:val="000000"/>
          <w:spacing w:val="0"/>
          <w:w w:val="100"/>
          <w:position w:val="0"/>
        </w:rPr>
        <w:t>日）起满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个月后的第一个交易日起至可转债 到期日止，即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日（如遇法定节假日或休息日延至其后的第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个工作日；顺延期间付息 款项不另计息）</w:t>
      </w:r>
      <w:r>
        <w:br w:type="page"/>
      </w:r>
    </w:p>
    <w:p>
      <w:pPr>
        <w:pStyle w:val="Style41"/>
        <w:keepNext/>
        <w:keepLines/>
        <w:widowControl w:val="0"/>
        <w:numPr>
          <w:ilvl w:val="0"/>
          <w:numId w:val="59"/>
        </w:numPr>
        <w:shd w:val="clear" w:color="auto" w:fill="auto"/>
        <w:bidi w:val="0"/>
        <w:spacing w:before="0" w:after="40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划分为金融负债的其他金融工具说明</w:t>
      </w:r>
      <w:bookmarkEnd w:id="1293"/>
      <w:bookmarkEnd w:id="1294"/>
      <w:bookmarkEnd w:id="129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其他金融工具划分为金融负债的依据说明</w:t>
      </w:r>
    </w:p>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应付债券说明：</w:t>
      </w:r>
    </w:p>
    <w:p>
      <w:pPr>
        <w:pStyle w:val="Style22"/>
        <w:keepNext w:val="0"/>
        <w:keepLines w:val="0"/>
        <w:widowControl w:val="0"/>
        <w:shd w:val="clear" w:color="auto" w:fill="auto"/>
        <w:bidi w:val="0"/>
        <w:spacing w:before="0" w:after="400" w:line="312" w:lineRule="exact"/>
        <w:ind w:left="0" w:right="0" w:firstLine="0"/>
        <w:jc w:val="both"/>
        <w:rPr>
          <w:sz w:val="17"/>
          <w:szCs w:val="17"/>
        </w:rPr>
      </w:pPr>
      <w:r>
        <w:rPr>
          <w:color w:val="000000"/>
          <w:spacing w:val="0"/>
          <w:w w:val="100"/>
          <w:position w:val="0"/>
          <w:sz w:val="17"/>
          <w:szCs w:val="17"/>
        </w:rPr>
        <w:t>本期公司发行可转换公司债券</w:t>
      </w:r>
      <w:r>
        <w:rPr>
          <w:rFonts w:ascii="Times New Roman" w:eastAsia="Times New Roman" w:hAnsi="Times New Roman" w:cs="Times New Roman"/>
          <w:color w:val="000000"/>
          <w:spacing w:val="0"/>
          <w:w w:val="100"/>
          <w:position w:val="0"/>
          <w:sz w:val="18"/>
          <w:szCs w:val="18"/>
        </w:rPr>
        <w:t>937,150,000.00</w:t>
      </w:r>
      <w:r>
        <w:rPr>
          <w:color w:val="000000"/>
          <w:spacing w:val="0"/>
          <w:w w:val="100"/>
          <w:position w:val="0"/>
          <w:sz w:val="17"/>
          <w:szCs w:val="17"/>
        </w:rPr>
        <w:t>元，扣除发行费后的净额为</w:t>
      </w:r>
      <w:r>
        <w:rPr>
          <w:rFonts w:ascii="Times New Roman" w:eastAsia="Times New Roman" w:hAnsi="Times New Roman" w:cs="Times New Roman"/>
          <w:color w:val="000000"/>
          <w:spacing w:val="0"/>
          <w:w w:val="100"/>
          <w:position w:val="0"/>
          <w:sz w:val="18"/>
          <w:szCs w:val="18"/>
        </w:rPr>
        <w:t>923,382,250.01</w:t>
      </w:r>
      <w:r>
        <w:rPr>
          <w:color w:val="000000"/>
          <w:spacing w:val="0"/>
          <w:w w:val="100"/>
          <w:position w:val="0"/>
          <w:sz w:val="17"/>
          <w:szCs w:val="17"/>
        </w:rPr>
        <w:t>元，其中</w:t>
      </w:r>
      <w:r>
        <w:rPr>
          <w:rFonts w:ascii="Times New Roman" w:eastAsia="Times New Roman" w:hAnsi="Times New Roman" w:cs="Times New Roman"/>
          <w:color w:val="000000"/>
          <w:spacing w:val="0"/>
          <w:w w:val="100"/>
          <w:position w:val="0"/>
          <w:sz w:val="18"/>
          <w:szCs w:val="18"/>
        </w:rPr>
        <w:t>170,119,772.95</w:t>
      </w:r>
      <w:r>
        <w:rPr>
          <w:color w:val="000000"/>
          <w:spacing w:val="0"/>
          <w:w w:val="100"/>
          <w:position w:val="0"/>
          <w:sz w:val="17"/>
          <w:szCs w:val="17"/>
        </w:rPr>
        <w:t>元计入其 他权益工具，</w:t>
      </w:r>
      <w:r>
        <w:rPr>
          <w:rFonts w:ascii="Times New Roman" w:eastAsia="Times New Roman" w:hAnsi="Times New Roman" w:cs="Times New Roman"/>
          <w:color w:val="000000"/>
          <w:spacing w:val="0"/>
          <w:w w:val="100"/>
          <w:position w:val="0"/>
          <w:sz w:val="18"/>
          <w:szCs w:val="18"/>
        </w:rPr>
        <w:t>753,262,477.06</w:t>
      </w:r>
      <w:r>
        <w:rPr>
          <w:color w:val="000000"/>
          <w:spacing w:val="0"/>
          <w:w w:val="100"/>
          <w:position w:val="0"/>
          <w:sz w:val="17"/>
          <w:szCs w:val="17"/>
        </w:rPr>
        <w:t>元计入应付债券。</w:t>
      </w:r>
    </w:p>
    <w:p>
      <w:pPr>
        <w:pStyle w:val="Style32"/>
        <w:keepNext/>
        <w:keepLines/>
        <w:widowControl w:val="0"/>
        <w:shd w:val="clear" w:color="auto" w:fill="auto"/>
        <w:bidi w:val="0"/>
        <w:spacing w:before="0" w:after="400" w:line="240" w:lineRule="auto"/>
        <w:ind w:left="0" w:right="0" w:firstLine="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297"/>
      <w:bookmarkEnd w:id="1298"/>
      <w:bookmarkEnd w:id="130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9,642,436.22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2,148,529.12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9,093,907.10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9,642,436.22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2,148,529.12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9,093,907.10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涉及政府补助的项目:</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 业外收入金</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本期冲减成</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云计算机系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与资产 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云计算机系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1,389,583.30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277,916.68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1,111,666.62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高端</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软 件生产线技 术改造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4,204,893.74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2,874,893.48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智能制造云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汉得融合云 治理平台项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1,647,959.18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330,612.18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2,117,347.00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汉得海马汇 软件</w:t>
            </w:r>
            <w:r>
              <w:rPr>
                <w:rFonts w:ascii="Times New Roman" w:eastAsia="Times New Roman" w:hAnsi="Times New Roman" w:cs="Times New Roman"/>
                <w:color w:val="000000"/>
                <w:spacing w:val="0"/>
                <w:w w:val="100"/>
                <w:position w:val="0"/>
                <w:sz w:val="18"/>
                <w:szCs w:val="18"/>
              </w:rPr>
              <w:t>HMAP</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301"/>
      <w:bookmarkEnd w:id="1302"/>
      <w:bookmarkEnd w:id="130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884,016,939.00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884,016,939.00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3</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、其他权益工具</w:t>
      </w:r>
      <w:bookmarkEnd w:id="1304"/>
      <w:bookmarkEnd w:id="1305"/>
      <w:bookmarkEnd w:id="1307"/>
    </w:p>
    <w:p>
      <w:pPr>
        <w:pStyle w:val="Style41"/>
        <w:keepNext/>
        <w:keepLines/>
        <w:widowControl w:val="0"/>
        <w:shd w:val="clear" w:color="auto" w:fill="auto"/>
        <w:bidi w:val="0"/>
        <w:spacing w:before="0" w:after="660" w:line="240" w:lineRule="auto"/>
        <w:ind w:left="0" w:right="0" w:firstLine="140"/>
        <w:jc w:val="left"/>
      </w:pPr>
      <w:bookmarkStart w:id="1308" w:name="bookmark1308"/>
      <w:bookmarkStart w:id="1309" w:name="bookmark1309"/>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308"/>
      <w:bookmarkEnd w:id="1309"/>
      <w:bookmarkEnd w:id="1310"/>
    </w:p>
    <w:p>
      <w:pPr>
        <w:pStyle w:val="Style38"/>
        <w:keepNext w:val="0"/>
        <w:keepLines w:val="0"/>
        <w:widowControl w:val="0"/>
        <w:shd w:val="clear" w:color="auto" w:fill="auto"/>
        <w:bidi w:val="0"/>
        <w:spacing w:before="0" w:after="0" w:line="240" w:lineRule="auto"/>
        <w:ind w:left="5"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3053"/>
        <w:gridCol w:w="379"/>
        <w:gridCol w:w="3168"/>
        <w:gridCol w:w="3101"/>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发行在外的金融工具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上年年末余额</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170,119,772.95</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170,119,772.95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、本期公司发行可转换公司债券</w:t>
      </w:r>
      <w:r>
        <w:rPr>
          <w:rFonts w:ascii="Times New Roman" w:eastAsia="Times New Roman" w:hAnsi="Times New Roman" w:cs="Times New Roman"/>
          <w:color w:val="000000"/>
          <w:spacing w:val="0"/>
          <w:w w:val="100"/>
          <w:position w:val="0"/>
          <w:sz w:val="18"/>
          <w:szCs w:val="18"/>
        </w:rPr>
        <w:t>937,150,000.00</w:t>
      </w:r>
      <w:r>
        <w:rPr>
          <w:color w:val="000000"/>
          <w:spacing w:val="0"/>
          <w:w w:val="100"/>
          <w:position w:val="0"/>
          <w:sz w:val="17"/>
          <w:szCs w:val="17"/>
        </w:rPr>
        <w:t>元，扣除发行费后的净额为</w:t>
      </w:r>
      <w:r>
        <w:rPr>
          <w:rFonts w:ascii="Times New Roman" w:eastAsia="Times New Roman" w:hAnsi="Times New Roman" w:cs="Times New Roman"/>
          <w:color w:val="000000"/>
          <w:spacing w:val="0"/>
          <w:w w:val="100"/>
          <w:position w:val="0"/>
          <w:sz w:val="18"/>
          <w:szCs w:val="18"/>
        </w:rPr>
        <w:t>923,382,250.01</w:t>
      </w:r>
      <w:r>
        <w:rPr>
          <w:color w:val="000000"/>
          <w:spacing w:val="0"/>
          <w:w w:val="100"/>
          <w:position w:val="0"/>
          <w:sz w:val="17"/>
          <w:szCs w:val="17"/>
        </w:rPr>
        <w:t>元，其中</w:t>
      </w:r>
      <w:r>
        <w:rPr>
          <w:rFonts w:ascii="Times New Roman" w:eastAsia="Times New Roman" w:hAnsi="Times New Roman" w:cs="Times New Roman"/>
          <w:color w:val="000000"/>
          <w:spacing w:val="0"/>
          <w:w w:val="100"/>
          <w:position w:val="0"/>
          <w:sz w:val="18"/>
          <w:szCs w:val="18"/>
        </w:rPr>
        <w:t>170,119,772.95</w:t>
      </w:r>
      <w:r>
        <w:rPr>
          <w:color w:val="000000"/>
          <w:spacing w:val="0"/>
          <w:w w:val="100"/>
          <w:position w:val="0"/>
          <w:sz w:val="17"/>
          <w:szCs w:val="17"/>
        </w:rPr>
        <w:t>元计入 其他权益工具，</w:t>
      </w:r>
      <w:r>
        <w:rPr>
          <w:rFonts w:ascii="Times New Roman" w:eastAsia="Times New Roman" w:hAnsi="Times New Roman" w:cs="Times New Roman"/>
          <w:color w:val="000000"/>
          <w:spacing w:val="0"/>
          <w:w w:val="100"/>
          <w:position w:val="0"/>
          <w:sz w:val="18"/>
          <w:szCs w:val="18"/>
        </w:rPr>
        <w:t>753,262,477.06</w:t>
      </w:r>
      <w:r>
        <w:rPr>
          <w:color w:val="000000"/>
          <w:spacing w:val="0"/>
          <w:w w:val="100"/>
          <w:position w:val="0"/>
          <w:sz w:val="17"/>
          <w:szCs w:val="17"/>
        </w:rPr>
        <w:t>元计入应付债券。</w:t>
      </w:r>
    </w:p>
    <w:p>
      <w:pPr>
        <w:pStyle w:val="Style28"/>
        <w:keepNext w:val="0"/>
        <w:keepLines w:val="0"/>
        <w:widowControl w:val="0"/>
        <w:shd w:val="clear" w:color="auto" w:fill="auto"/>
        <w:tabs>
          <w:tab w:pos="821" w:val="left"/>
        </w:tabs>
        <w:bidi w:val="0"/>
        <w:spacing w:before="0" w:after="0" w:line="31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本次发行的可转债转股期自可转债发行结束之日（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T+4</w:t>
      </w:r>
      <w:r>
        <w:rPr>
          <w:color w:val="000000"/>
          <w:spacing w:val="0"/>
          <w:w w:val="100"/>
          <w:position w:val="0"/>
        </w:rPr>
        <w:t>日）起满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个月后的第一个交易日起至可</w:t>
      </w:r>
    </w:p>
    <w:p>
      <w:pPr>
        <w:pStyle w:val="Style28"/>
        <w:keepNext w:val="0"/>
        <w:keepLines w:val="0"/>
        <w:widowControl w:val="0"/>
        <w:shd w:val="clear" w:color="auto" w:fill="auto"/>
        <w:bidi w:val="0"/>
        <w:spacing w:before="0" w:after="380" w:line="319" w:lineRule="exact"/>
        <w:ind w:left="0" w:right="0" w:firstLine="0"/>
        <w:jc w:val="left"/>
      </w:pPr>
      <w:r>
        <w:rPr>
          <w:color w:val="000000"/>
          <w:spacing w:val="0"/>
          <w:w w:val="100"/>
          <w:position w:val="0"/>
        </w:rPr>
        <w:t>转债到期日止，即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日（如遇法定节假日或休息日延至其后的第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个工作日；顺延期间付息款项 不另计息）</w:t>
      </w:r>
    </w:p>
    <w:p>
      <w:pPr>
        <w:pStyle w:val="Style32"/>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311"/>
      <w:bookmarkEnd w:id="1312"/>
      <w:bookmarkEnd w:id="1314"/>
    </w:p>
    <w:p>
      <w:pPr>
        <w:pStyle w:val="Style3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516,197,188.88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186,682,484.50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702,879,673.38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255,023,631.56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161,406,538.42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205,159,886.88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211,270,283.10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）被投资单位 除净损益以外的其他权 益变动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31,277,044.84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147,140,771.01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178,417,815.85</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02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）以权</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益结算的股份支付行权 前形成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222,946,376.73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13,736,345.41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205,159,886.88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31,522,835.26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800,209.99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1,329,631.99</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771,220,820.44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348,089,022.92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205,159,886.88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914,149,956.48</w:t>
            </w:r>
          </w:p>
        </w:tc>
      </w:tr>
    </w:tbl>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、本期其他资本公积增加</w:t>
      </w:r>
      <w:r>
        <w:rPr>
          <w:rFonts w:ascii="Times New Roman" w:eastAsia="Times New Roman" w:hAnsi="Times New Roman" w:cs="Times New Roman"/>
          <w:color w:val="000000"/>
          <w:spacing w:val="0"/>
          <w:w w:val="100"/>
          <w:position w:val="0"/>
          <w:sz w:val="18"/>
          <w:szCs w:val="18"/>
        </w:rPr>
        <w:t>16,140.65</w:t>
      </w:r>
      <w:r>
        <w:rPr>
          <w:color w:val="000000"/>
          <w:spacing w:val="0"/>
          <w:w w:val="100"/>
          <w:position w:val="0"/>
        </w:rPr>
        <w:t>万元，其中：</w:t>
      </w:r>
    </w:p>
    <w:p>
      <w:pPr>
        <w:pStyle w:val="Style28"/>
        <w:keepNext w:val="0"/>
        <w:keepLines w:val="0"/>
        <w:widowControl w:val="0"/>
        <w:shd w:val="clear" w:color="auto" w:fill="auto"/>
        <w:tabs>
          <w:tab w:pos="427" w:val="left"/>
        </w:tabs>
        <w:bidi w:val="0"/>
        <w:spacing w:before="0" w:line="307" w:lineRule="exact"/>
        <w:ind w:left="0" w:right="0" w:firstLine="0"/>
        <w:jc w:val="left"/>
      </w:pPr>
      <w:bookmarkStart w:id="1315" w:name="bookmark1315"/>
      <w:r>
        <w:rPr>
          <w:rFonts w:ascii="Times New Roman" w:eastAsia="Times New Roman" w:hAnsi="Times New Roman" w:cs="Times New Roman"/>
          <w:color w:val="000000"/>
          <w:spacing w:val="0"/>
          <w:w w:val="100"/>
          <w:position w:val="0"/>
          <w:sz w:val="18"/>
          <w:szCs w:val="18"/>
        </w:rPr>
        <w:t>（</w:t>
      </w:r>
      <w:bookmarkEnd w:id="131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联营企业甄汇信息及、甄云科技的其他股东权益变动，导致公司对甄汇信息、甄云科技的持股比例下降，相应持股份 额影响金额</w:t>
      </w:r>
      <w:r>
        <w:rPr>
          <w:rFonts w:ascii="Times New Roman" w:eastAsia="Times New Roman" w:hAnsi="Times New Roman" w:cs="Times New Roman"/>
          <w:color w:val="000000"/>
          <w:spacing w:val="0"/>
          <w:w w:val="100"/>
          <w:position w:val="0"/>
          <w:sz w:val="18"/>
          <w:szCs w:val="18"/>
        </w:rPr>
        <w:t>14,714.08</w:t>
      </w:r>
      <w:r>
        <w:rPr>
          <w:color w:val="000000"/>
          <w:spacing w:val="0"/>
          <w:w w:val="100"/>
          <w:position w:val="0"/>
        </w:rPr>
        <w:t>万元计入资本公积；</w:t>
      </w:r>
    </w:p>
    <w:p>
      <w:pPr>
        <w:pStyle w:val="Style28"/>
        <w:keepNext w:val="0"/>
        <w:keepLines w:val="0"/>
        <w:widowControl w:val="0"/>
        <w:shd w:val="clear" w:color="auto" w:fill="auto"/>
        <w:tabs>
          <w:tab w:pos="427" w:val="left"/>
        </w:tabs>
        <w:bidi w:val="0"/>
        <w:spacing w:before="0" w:after="0" w:line="360" w:lineRule="auto"/>
        <w:ind w:left="0" w:right="0" w:firstLine="0"/>
        <w:jc w:val="left"/>
      </w:pPr>
      <w:bookmarkStart w:id="1316" w:name="bookmark1316"/>
      <w:r>
        <w:rPr>
          <w:rFonts w:ascii="Times New Roman" w:eastAsia="Times New Roman" w:hAnsi="Times New Roman" w:cs="Times New Roman"/>
          <w:color w:val="000000"/>
          <w:spacing w:val="0"/>
          <w:w w:val="100"/>
          <w:position w:val="0"/>
          <w:sz w:val="18"/>
          <w:szCs w:val="18"/>
        </w:rPr>
        <w:t>（</w:t>
      </w:r>
      <w:bookmarkEnd w:id="131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本年股份支付计入所有者权益的金额</w:t>
      </w:r>
      <w:r>
        <w:rPr>
          <w:rFonts w:ascii="Times New Roman" w:eastAsia="Times New Roman" w:hAnsi="Times New Roman" w:cs="Times New Roman"/>
          <w:color w:val="000000"/>
          <w:spacing w:val="0"/>
          <w:w w:val="100"/>
          <w:position w:val="0"/>
          <w:sz w:val="18"/>
          <w:szCs w:val="18"/>
        </w:rPr>
        <w:t>1,373.63</w:t>
      </w:r>
      <w:r>
        <w:rPr>
          <w:color w:val="000000"/>
          <w:spacing w:val="0"/>
          <w:w w:val="100"/>
          <w:position w:val="0"/>
        </w:rPr>
        <w:t>万元。</w:t>
      </w:r>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、本期其他资本公积减少</w:t>
      </w:r>
      <w:r>
        <w:rPr>
          <w:rFonts w:ascii="Times New Roman" w:eastAsia="Times New Roman" w:hAnsi="Times New Roman" w:cs="Times New Roman"/>
          <w:color w:val="000000"/>
          <w:spacing w:val="0"/>
          <w:w w:val="100"/>
          <w:position w:val="0"/>
          <w:sz w:val="18"/>
          <w:szCs w:val="18"/>
        </w:rPr>
        <w:t>20,515.99</w:t>
      </w:r>
      <w:r>
        <w:rPr>
          <w:color w:val="000000"/>
          <w:spacing w:val="0"/>
          <w:w w:val="100"/>
          <w:position w:val="0"/>
        </w:rPr>
        <w:t>万元，其中：</w:t>
      </w:r>
    </w:p>
    <w:p>
      <w:pPr>
        <w:pStyle w:val="Style28"/>
        <w:keepNext w:val="0"/>
        <w:keepLines w:val="0"/>
        <w:widowControl w:val="0"/>
        <w:shd w:val="clear" w:color="auto" w:fill="auto"/>
        <w:tabs>
          <w:tab w:pos="780" w:val="left"/>
        </w:tabs>
        <w:bidi w:val="0"/>
        <w:spacing w:before="0" w:after="40" w:line="314" w:lineRule="exact"/>
        <w:ind w:left="0" w:right="0" w:firstLine="0"/>
        <w:jc w:val="left"/>
      </w:pPr>
      <w:bookmarkStart w:id="1317" w:name="bookmark1317"/>
      <w:r>
        <w:rPr>
          <w:color w:val="000000"/>
          <w:spacing w:val="0"/>
          <w:w w:val="100"/>
          <w:position w:val="0"/>
        </w:rPr>
        <w:t>（</w:t>
      </w:r>
      <w:bookmarkEnd w:id="13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年度业绩未达到《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年限制性股票激励计划（草案）修订稿》规定的第二个解锁期的解锁条件， 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年限制性股票激励计划（草案）》规定的第一个解锁期的解锁条件，公司同意并回购注销相关限制性股票导致本期 其他资本公积减少</w:t>
      </w:r>
      <w:r>
        <w:rPr>
          <w:rFonts w:ascii="Times New Roman" w:eastAsia="Times New Roman" w:hAnsi="Times New Roman" w:cs="Times New Roman"/>
          <w:color w:val="000000"/>
          <w:spacing w:val="0"/>
          <w:w w:val="100"/>
          <w:position w:val="0"/>
          <w:sz w:val="18"/>
          <w:szCs w:val="18"/>
        </w:rPr>
        <w:t>1,847.74</w:t>
      </w:r>
      <w:r>
        <w:rPr>
          <w:color w:val="000000"/>
          <w:spacing w:val="0"/>
          <w:w w:val="100"/>
          <w:position w:val="0"/>
        </w:rPr>
        <w:t>万元。</w:t>
      </w:r>
    </w:p>
    <w:p>
      <w:pPr>
        <w:pStyle w:val="Style28"/>
        <w:keepNext w:val="0"/>
        <w:keepLines w:val="0"/>
        <w:widowControl w:val="0"/>
        <w:shd w:val="clear" w:color="auto" w:fill="auto"/>
        <w:tabs>
          <w:tab w:pos="780" w:val="left"/>
        </w:tabs>
        <w:bidi w:val="0"/>
        <w:spacing w:before="0" w:after="380" w:line="314" w:lineRule="exact"/>
        <w:ind w:left="0" w:right="0" w:firstLine="0"/>
        <w:jc w:val="left"/>
      </w:pPr>
      <w:bookmarkStart w:id="1318" w:name="bookmark1318"/>
      <w:r>
        <w:rPr>
          <w:color w:val="000000"/>
          <w:spacing w:val="0"/>
          <w:w w:val="100"/>
          <w:position w:val="0"/>
        </w:rPr>
        <w:t>（</w:t>
      </w:r>
      <w:bookmarkEnd w:id="13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限制性股票激励计划行权，相应股权激励费用从其他资本公积转入资本溢价</w:t>
      </w:r>
      <w:r>
        <w:rPr>
          <w:rFonts w:ascii="Times New Roman" w:eastAsia="Times New Roman" w:hAnsi="Times New Roman" w:cs="Times New Roman"/>
          <w:color w:val="000000"/>
          <w:spacing w:val="0"/>
          <w:w w:val="100"/>
          <w:position w:val="0"/>
          <w:sz w:val="18"/>
          <w:szCs w:val="18"/>
        </w:rPr>
        <w:t>18,668.25</w:t>
      </w:r>
      <w:r>
        <w:rPr>
          <w:color w:val="000000"/>
          <w:spacing w:val="0"/>
          <w:w w:val="100"/>
          <w:position w:val="0"/>
        </w:rPr>
        <w:t>万元；</w:t>
      </w:r>
    </w:p>
    <w:p>
      <w:pPr>
        <w:pStyle w:val="Style32"/>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4</w:t>
      </w:r>
      <w:r>
        <w:rPr>
          <w:color w:val="000000"/>
          <w:spacing w:val="0"/>
          <w:w w:val="100"/>
          <w:position w:val="0"/>
        </w:rPr>
        <w:t>、库存股</w:t>
      </w:r>
      <w:bookmarkEnd w:id="1319"/>
      <w:bookmarkEnd w:id="1320"/>
      <w:bookmarkEnd w:id="1322"/>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、回购股票金额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67,706,472.74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67,706,472.74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、发行限制性股票金额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年股权激励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7,857,416.00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7,857,416.00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72,789,360.00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72,789,360.00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76,441,120.00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76,441,120.00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224,794,368.74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224,794,368.74</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其他说明，包括本期增减变动情况、变动原因说明: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323"/>
      <w:bookmarkEnd w:id="1324"/>
      <w:bookmarkEnd w:id="132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本期所得 税前发生</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减:前期计入</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 益当期转入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140" w:firstLine="0"/>
              <w:jc w:val="right"/>
              <w:rPr>
                <w:sz w:val="17"/>
                <w:szCs w:val="17"/>
              </w:rPr>
            </w:pPr>
            <w:r>
              <w:rPr>
                <w:color w:val="000000"/>
                <w:spacing w:val="0"/>
                <w:w w:val="100"/>
                <w:position w:val="0"/>
                <w:sz w:val="17"/>
                <w:szCs w:val="17"/>
              </w:rPr>
              <w:t>减：所得</w:t>
            </w:r>
          </w:p>
          <w:p>
            <w:pPr>
              <w:pStyle w:val="Style2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-4,006,747.0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2,491,210.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373,681.5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580"/>
              <w:jc w:val="left"/>
              <w:rPr>
                <w:sz w:val="17"/>
                <w:szCs w:val="17"/>
              </w:rPr>
            </w:pPr>
            <w:r>
              <w:rPr>
                <w:color w:val="000000"/>
                <w:spacing w:val="0"/>
                <w:w w:val="100"/>
                <w:position w:val="0"/>
                <w:sz w:val="17"/>
                <w:szCs w:val="17"/>
              </w:rPr>
              <w:t>其他权益工具投资公允 价值变动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-4,006,747.0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2,491,210.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373,681.5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3,298,204.6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-12,289,86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-12,289,86</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3,298,204.6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-12,289,86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-12,289,86</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-708,542.36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-9,798,651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373,681.5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-10,172,33</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875.09</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其他说明，包括对现金流量套期损益的有效部分转为被套期项目初始确认金额调整:</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3</w:t>
      </w:r>
      <w:bookmarkEnd w:id="1329"/>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327"/>
      <w:bookmarkEnd w:id="1328"/>
      <w:bookmarkEnd w:id="1330"/>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170,792,182.63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7,833,193.45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178,625,376.08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170,792,182.63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7,833,193.45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178,625,376.08</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盈余公积说明，包括本期增减变动情况、变动原因说明: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明细如下：</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4618"/>
        <w:gridCol w:w="5059"/>
      </w:tblGrid>
      <w:tr>
        <w:trPr>
          <w:trHeight w:val="36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调整年初</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7,833,193.45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-10,812,192.45</w:t>
            </w:r>
          </w:p>
        </w:tc>
      </w:tr>
    </w:tbl>
    <w:p>
      <w:pPr>
        <w:pStyle w:val="Style38"/>
        <w:keepNext w:val="0"/>
        <w:keepLines w:val="0"/>
        <w:widowControl w:val="0"/>
        <w:shd w:val="clear" w:color="auto" w:fill="auto"/>
        <w:tabs>
          <w:tab w:pos="264" w:val="left"/>
        </w:tabs>
        <w:bidi w:val="0"/>
        <w:spacing w:before="0" w:after="8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7"/>
          <w:szCs w:val="17"/>
        </w:rPr>
        <w:t>、</w:t>
        <w:tab/>
        <w:t>按母公司净利润的</w:t>
      </w:r>
      <w:r>
        <w:rPr>
          <w:rFonts w:ascii="Times New Roman" w:eastAsia="Times New Roman" w:hAnsi="Times New Roman" w:cs="Times New Roman"/>
          <w:b w:val="0"/>
          <w:bCs w:val="0"/>
          <w:color w:val="000000"/>
          <w:spacing w:val="0"/>
          <w:w w:val="100"/>
          <w:position w:val="0"/>
          <w:sz w:val="18"/>
          <w:szCs w:val="18"/>
        </w:rPr>
        <w:t>10%</w:t>
      </w:r>
      <w:r>
        <w:rPr>
          <w:b w:val="0"/>
          <w:bCs w:val="0"/>
          <w:color w:val="000000"/>
          <w:spacing w:val="0"/>
          <w:w w:val="100"/>
          <w:position w:val="0"/>
          <w:sz w:val="17"/>
          <w:szCs w:val="17"/>
        </w:rPr>
        <w:t>计提</w:t>
      </w:r>
    </w:p>
    <w:p>
      <w:pPr>
        <w:pStyle w:val="Style38"/>
        <w:keepNext w:val="0"/>
        <w:keepLines w:val="0"/>
        <w:widowControl w:val="0"/>
        <w:shd w:val="clear" w:color="auto" w:fill="auto"/>
        <w:tabs>
          <w:tab w:pos="298" w:val="left"/>
        </w:tabs>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sz w:val="17"/>
          <w:szCs w:val="17"/>
        </w:rPr>
        <w:t>、</w:t>
        <w:tab/>
        <w:t>由于《企业会计准则》及其相关新规定进行追溯调整，影响年初盈余公积</w:t>
      </w:r>
      <w:r>
        <w:rPr>
          <w:rFonts w:ascii="Times New Roman" w:eastAsia="Times New Roman" w:hAnsi="Times New Roman" w:cs="Times New Roman"/>
          <w:b w:val="0"/>
          <w:bCs w:val="0"/>
          <w:color w:val="000000"/>
          <w:spacing w:val="0"/>
          <w:w w:val="100"/>
          <w:position w:val="0"/>
          <w:sz w:val="18"/>
          <w:szCs w:val="18"/>
        </w:rPr>
        <w:t>10,812,192.45</w:t>
      </w:r>
      <w:r>
        <w:rPr>
          <w:b w:val="0"/>
          <w:bCs w:val="0"/>
          <w:color w:val="000000"/>
          <w:spacing w:val="0"/>
          <w:w w:val="100"/>
          <w:position w:val="0"/>
          <w:sz w:val="17"/>
          <w:szCs w:val="17"/>
        </w:rPr>
        <w:t>元。</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331"/>
      <w:bookmarkEnd w:id="1332"/>
      <w:bookmarkEnd w:id="133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1,455,562,203.77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1,375,038,734.76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-113,144,877.24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33,588,874.49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1,342,417,326.53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1,408,627,609.25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65,709,488.68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86,114,201.71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7,833,193.45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12,580,557.49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26,599,049.70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1,400,293,621.76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1,455,562,203.77</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line="240" w:lineRule="auto"/>
        <w:ind w:left="0" w:right="0" w:firstLine="0"/>
        <w:jc w:val="left"/>
      </w:pPr>
      <w:bookmarkStart w:id="1335" w:name="bookmark1335"/>
      <w:r>
        <w:rPr>
          <w:rFonts w:ascii="Times New Roman" w:eastAsia="Times New Roman" w:hAnsi="Times New Roman" w:cs="Times New Roman"/>
          <w:color w:val="000000"/>
          <w:spacing w:val="0"/>
          <w:w w:val="100"/>
          <w:position w:val="0"/>
          <w:sz w:val="18"/>
          <w:szCs w:val="18"/>
        </w:rPr>
        <w:t>1</w:t>
      </w:r>
      <w:bookmarkEnd w:id="13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336" w:name="bookmark1336"/>
      <w:r>
        <w:rPr>
          <w:rFonts w:ascii="Times New Roman" w:eastAsia="Times New Roman" w:hAnsi="Times New Roman" w:cs="Times New Roman"/>
          <w:color w:val="000000"/>
          <w:spacing w:val="0"/>
          <w:w w:val="100"/>
          <w:position w:val="0"/>
          <w:sz w:val="18"/>
          <w:szCs w:val="18"/>
        </w:rPr>
        <w:t>2</w:t>
      </w:r>
      <w:bookmarkEnd w:id="13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-113,144,877.24</w:t>
      </w:r>
      <w:r>
        <w:rPr>
          <w:color w:val="000000"/>
          <w:spacing w:val="0"/>
          <w:w w:val="100"/>
          <w:position w:val="0"/>
        </w:rPr>
        <w:t>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337" w:name="bookmark1337"/>
      <w:r>
        <w:rPr>
          <w:rFonts w:ascii="Times New Roman" w:eastAsia="Times New Roman" w:hAnsi="Times New Roman" w:cs="Times New Roman"/>
          <w:color w:val="000000"/>
          <w:spacing w:val="0"/>
          <w:w w:val="100"/>
          <w:position w:val="0"/>
          <w:sz w:val="18"/>
          <w:szCs w:val="18"/>
        </w:rPr>
        <w:t>3</w:t>
      </w:r>
      <w:bookmarkEnd w:id="13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338" w:name="bookmark1338"/>
      <w:r>
        <w:rPr>
          <w:rFonts w:ascii="Times New Roman" w:eastAsia="Times New Roman" w:hAnsi="Times New Roman" w:cs="Times New Roman"/>
          <w:color w:val="000000"/>
          <w:spacing w:val="0"/>
          <w:w w:val="100"/>
          <w:position w:val="0"/>
          <w:sz w:val="18"/>
          <w:szCs w:val="18"/>
        </w:rPr>
        <w:t>4</w:t>
      </w:r>
      <w:bookmarkEnd w:id="13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r>
        <w:br w:type="page"/>
      </w:r>
    </w:p>
    <w:p>
      <w:pPr>
        <w:pStyle w:val="Style28"/>
        <w:keepNext w:val="0"/>
        <w:keepLines w:val="0"/>
        <w:widowControl w:val="0"/>
        <w:shd w:val="clear" w:color="auto" w:fill="auto"/>
        <w:bidi w:val="0"/>
        <w:spacing w:before="0" w:after="360" w:line="240" w:lineRule="auto"/>
        <w:ind w:left="0" w:right="0" w:firstLine="0"/>
        <w:jc w:val="left"/>
      </w:pPr>
      <w:bookmarkStart w:id="1339" w:name="bookmark1339"/>
      <w:r>
        <w:rPr>
          <w:rFonts w:ascii="Times New Roman" w:eastAsia="Times New Roman" w:hAnsi="Times New Roman" w:cs="Times New Roman"/>
          <w:color w:val="000000"/>
          <w:spacing w:val="0"/>
          <w:w w:val="100"/>
          <w:position w:val="0"/>
          <w:sz w:val="18"/>
          <w:szCs w:val="18"/>
        </w:rPr>
        <w:t>5</w:t>
      </w:r>
      <w:bookmarkEnd w:id="1339"/>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、其他调整合计影响期初未分配利润元。</w:t>
      </w:r>
    </w:p>
    <w:p>
      <w:pPr>
        <w:pStyle w:val="Style32"/>
        <w:keepNext/>
        <w:keepLines/>
        <w:widowControl w:val="0"/>
        <w:shd w:val="clear" w:color="auto" w:fill="auto"/>
        <w:bidi w:val="0"/>
        <w:spacing w:before="0" w:after="36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340"/>
      <w:bookmarkEnd w:id="1341"/>
      <w:bookmarkEnd w:id="1343"/>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2,487,080,813.88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1,649,888,959.21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2,720,736,338.18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1,890,216,065.72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6,004,153.64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868,958.48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2,704,238.63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2,493,084,967.52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1,650,757,917.69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2,723,440,576.81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1,890,216,065.72</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与履约义务相关的信息：</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履约义务的说明</w:t>
      </w:r>
    </w:p>
    <w:tbl>
      <w:tblPr>
        <w:tblOverlap w:val="never"/>
        <w:jc w:val="center"/>
        <w:tblLayout w:type="fixed"/>
      </w:tblPr>
      <w:tblGrid>
        <w:gridCol w:w="6686"/>
        <w:gridCol w:w="299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收入确认时间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本年金额（亿元）</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在某一时段内确认收入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13.32</w:t>
      </w:r>
      <w:r>
        <w:rPr>
          <w:color w:val="000000"/>
          <w:spacing w:val="0"/>
          <w:w w:val="100"/>
          <w:position w:val="0"/>
        </w:rPr>
        <w:t>亿元。</w:t>
      </w:r>
    </w:p>
    <w:p>
      <w:pPr>
        <w:pStyle w:val="Style28"/>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其他说明</w:t>
      </w:r>
    </w:p>
    <w:p>
      <w:pPr>
        <w:pStyle w:val="Style35"/>
        <w:keepNext w:val="0"/>
        <w:keepLines w:val="0"/>
        <w:widowControl w:val="0"/>
        <w:numPr>
          <w:ilvl w:val="0"/>
          <w:numId w:val="63"/>
        </w:numPr>
        <w:shd w:val="clear" w:color="auto" w:fill="auto"/>
        <w:bidi w:val="0"/>
        <w:spacing w:before="0" w:after="80" w:line="240" w:lineRule="auto"/>
        <w:ind w:left="0" w:right="0" w:firstLine="0"/>
        <w:jc w:val="left"/>
        <w:rPr>
          <w:sz w:val="20"/>
          <w:szCs w:val="20"/>
        </w:rPr>
      </w:pPr>
      <w:bookmarkStart w:id="1344" w:name="bookmark1344"/>
      <w:bookmarkEnd w:id="1344"/>
      <w:r>
        <w:rPr>
          <w:b/>
          <w:bCs/>
          <w:color w:val="000000"/>
          <w:spacing w:val="0"/>
          <w:w w:val="100"/>
          <w:position w:val="0"/>
          <w:sz w:val="20"/>
          <w:szCs w:val="20"/>
        </w:rPr>
        <w:t>主营业务（分行业）</w:t>
      </w:r>
    </w:p>
    <w:p>
      <w:pPr>
        <w:pStyle w:val="Style38"/>
        <w:keepNext w:val="0"/>
        <w:keepLines w:val="0"/>
        <w:widowControl w:val="0"/>
        <w:shd w:val="clear" w:color="auto" w:fill="auto"/>
        <w:bidi w:val="0"/>
        <w:spacing w:before="0" w:after="0" w:line="240" w:lineRule="auto"/>
        <w:ind w:left="8875" w:right="0" w:firstLine="0"/>
        <w:jc w:val="left"/>
        <w:rPr>
          <w:sz w:val="17"/>
          <w:szCs w:val="17"/>
        </w:rPr>
      </w:pPr>
      <w:r>
        <w:rPr>
          <w:b w:val="0"/>
          <w:bCs w:val="0"/>
          <w:color w:val="000000"/>
          <w:spacing w:val="0"/>
          <w:w w:val="100"/>
          <w:position w:val="0"/>
          <w:sz w:val="17"/>
          <w:szCs w:val="17"/>
        </w:rPr>
        <w:t>单位： 元</w:t>
      </w:r>
    </w:p>
    <w:tbl>
      <w:tblPr>
        <w:tblOverlap w:val="never"/>
        <w:jc w:val="center"/>
        <w:tblLayout w:type="fixed"/>
      </w:tblPr>
      <w:tblGrid>
        <w:gridCol w:w="1536"/>
        <w:gridCol w:w="2290"/>
        <w:gridCol w:w="1843"/>
        <w:gridCol w:w="2112"/>
        <w:gridCol w:w="1896"/>
      </w:tblGrid>
      <w:tr>
        <w:trPr>
          <w:trHeight w:val="36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jc w:val="left"/>
              <w:rPr>
                <w:sz w:val="17"/>
                <w:szCs w:val="17"/>
              </w:rPr>
            </w:pPr>
            <w:r>
              <w:rPr>
                <w:color w:val="000000"/>
                <w:spacing w:val="0"/>
                <w:w w:val="100"/>
                <w:position w:val="0"/>
                <w:sz w:val="17"/>
                <w:szCs w:val="17"/>
              </w:rPr>
              <w:t>行业名称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本年金额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营业成本</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2,473,835,316.31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1,643,685,924.76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2,697,716,603.61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1,883,369,855.66</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13,245,497.57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6,203,034.45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23,019,734.57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6,846,210.06</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2,487,080,813.88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1,649,888,959.21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2,720,736,338.18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1,890,216,065.72</w:t>
            </w:r>
          </w:p>
        </w:tc>
      </w:tr>
    </w:tbl>
    <w:p>
      <w:pPr>
        <w:widowControl w:val="0"/>
        <w:spacing w:after="359" w:line="1" w:lineRule="exact"/>
      </w:pPr>
    </w:p>
    <w:p>
      <w:pPr>
        <w:pStyle w:val="Style35"/>
        <w:keepNext w:val="0"/>
        <w:keepLines w:val="0"/>
        <w:widowControl w:val="0"/>
        <w:shd w:val="clear" w:color="auto" w:fill="auto"/>
        <w:bidi w:val="0"/>
        <w:spacing w:before="0" w:after="360" w:line="240" w:lineRule="auto"/>
        <w:ind w:left="0" w:right="0" w:firstLine="0"/>
        <w:jc w:val="left"/>
        <w:rPr>
          <w:sz w:val="20"/>
          <w:szCs w:val="20"/>
        </w:rPr>
      </w:pPr>
      <w:bookmarkStart w:id="1345" w:name="bookmark1345"/>
      <w:r>
        <w:rPr>
          <w:rFonts w:ascii="Times New Roman" w:eastAsia="Times New Roman" w:hAnsi="Times New Roman" w:cs="Times New Roman"/>
          <w:b/>
          <w:bCs/>
          <w:color w:val="000000"/>
          <w:spacing w:val="0"/>
          <w:w w:val="100"/>
          <w:position w:val="0"/>
          <w:sz w:val="20"/>
          <w:szCs w:val="20"/>
        </w:rPr>
        <w:t>2</w:t>
      </w:r>
      <w:bookmarkEnd w:id="1345"/>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主营业务（分产品）</w:t>
      </w:r>
    </w:p>
    <w:p>
      <w:pPr>
        <w:pStyle w:val="Style38"/>
        <w:keepNext w:val="0"/>
        <w:keepLines w:val="0"/>
        <w:widowControl w:val="0"/>
        <w:shd w:val="clear" w:color="auto" w:fill="auto"/>
        <w:bidi w:val="0"/>
        <w:spacing w:before="0" w:after="0" w:line="240" w:lineRule="auto"/>
        <w:ind w:left="5" w:right="0" w:firstLine="0"/>
        <w:jc w:val="left"/>
        <w:rPr>
          <w:sz w:val="17"/>
          <w:szCs w:val="17"/>
        </w:rPr>
      </w:pPr>
      <w:r>
        <w:rPr>
          <w:b w:val="0"/>
          <w:bCs w:val="0"/>
          <w:color w:val="000000"/>
          <w:spacing w:val="0"/>
          <w:w w:val="100"/>
          <w:position w:val="0"/>
          <w:sz w:val="17"/>
          <w:szCs w:val="17"/>
        </w:rPr>
        <w:t>单位： 元</w:t>
      </w:r>
    </w:p>
    <w:tbl>
      <w:tblPr>
        <w:tblOverlap w:val="never"/>
        <w:jc w:val="center"/>
        <w:tblLayout w:type="fixed"/>
      </w:tblPr>
      <w:tblGrid>
        <w:gridCol w:w="2016"/>
        <w:gridCol w:w="1987"/>
        <w:gridCol w:w="1872"/>
        <w:gridCol w:w="1886"/>
        <w:gridCol w:w="1915"/>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产品名称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本年金额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营业成本</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软件销售与实施一自主 产品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483,126,519.89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299,173,912.04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580,510,906.04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412,914,121.07</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软件销售与实施一第三 方产品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1,150,001,384.24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820,576,041.40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1,287,920,497.04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968,146,210.19</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硬件销售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1,521,721.04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18,021,533.22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14,975,725.52</w:t>
            </w:r>
          </w:p>
        </w:tc>
      </w:tr>
    </w:tbl>
    <w:p>
      <w:pPr>
        <w:widowControl w:val="0"/>
        <w:spacing w:line="1" w:lineRule="exact"/>
      </w:pPr>
      <w:r>
        <w:br w:type="page"/>
      </w:r>
    </w:p>
    <w:tbl>
      <w:tblPr>
        <w:tblOverlap w:val="never"/>
        <w:jc w:val="center"/>
        <w:tblLayout w:type="fixed"/>
      </w:tblPr>
      <w:tblGrid>
        <w:gridCol w:w="2016"/>
        <w:gridCol w:w="1987"/>
        <w:gridCol w:w="1872"/>
        <w:gridCol w:w="1886"/>
        <w:gridCol w:w="1915"/>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248,905,504.04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170,144,188.32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257,155,347.46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182,717,259.74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558,175,001.93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333,220,336.75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532,577,154.08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289,805,433.61</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数据处理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27,745,916.61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20,571,446.25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21,531,165.77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14,811,105.53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13,245,497.57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6,203,034.45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23,019,734.57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6,846,210.06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4,359,268.56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2,487,080,813.88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1,649,888,959.21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2,720,736,338.18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1,890,216,065.72</w:t>
            </w:r>
          </w:p>
        </w:tc>
      </w:tr>
    </w:tbl>
    <w:p>
      <w:pPr>
        <w:widowControl w:val="0"/>
        <w:spacing w:after="339" w:line="1" w:lineRule="exact"/>
      </w:pPr>
    </w:p>
    <w:p>
      <w:pPr>
        <w:pStyle w:val="Style35"/>
        <w:keepNext w:val="0"/>
        <w:keepLines w:val="0"/>
        <w:widowControl w:val="0"/>
        <w:numPr>
          <w:ilvl w:val="0"/>
          <w:numId w:val="65"/>
        </w:numPr>
        <w:shd w:val="clear" w:color="auto" w:fill="auto"/>
        <w:bidi w:val="0"/>
        <w:spacing w:before="0" w:after="380" w:line="240" w:lineRule="auto"/>
        <w:ind w:left="0" w:right="0" w:firstLine="0"/>
        <w:jc w:val="both"/>
        <w:rPr>
          <w:sz w:val="20"/>
          <w:szCs w:val="20"/>
        </w:rPr>
      </w:pPr>
      <w:bookmarkStart w:id="1346" w:name="bookmark1346"/>
      <w:bookmarkEnd w:id="1346"/>
      <w:r>
        <w:rPr>
          <w:b/>
          <w:bCs/>
          <w:color w:val="000000"/>
          <w:spacing w:val="0"/>
          <w:w w:val="100"/>
          <w:position w:val="0"/>
          <w:sz w:val="20"/>
          <w:szCs w:val="20"/>
        </w:rPr>
        <w:t>主营业务（分地区）</w:t>
      </w:r>
    </w:p>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2083"/>
        <w:gridCol w:w="1925"/>
        <w:gridCol w:w="1872"/>
        <w:gridCol w:w="1915"/>
        <w:gridCol w:w="1882"/>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地区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本年金额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营业成本</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2,222,279,096.04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1,448,823,756.84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2,476,025,708.57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1,679,205,473.00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264,801,717.84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201,065,202.37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244,710,629.61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211,010,592.72</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2,487,080,813.88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1,649,888,959.21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2,720,736,338.18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1,890,216,065.72</w:t>
            </w:r>
          </w:p>
        </w:tc>
      </w:tr>
    </w:tbl>
    <w:p>
      <w:pPr>
        <w:widowControl w:val="0"/>
        <w:spacing w:after="339" w:line="1" w:lineRule="exact"/>
      </w:pPr>
    </w:p>
    <w:p>
      <w:pPr>
        <w:pStyle w:val="Style35"/>
        <w:keepNext w:val="0"/>
        <w:keepLines w:val="0"/>
        <w:widowControl w:val="0"/>
        <w:numPr>
          <w:ilvl w:val="0"/>
          <w:numId w:val="65"/>
        </w:numPr>
        <w:shd w:val="clear" w:color="auto" w:fill="auto"/>
        <w:bidi w:val="0"/>
        <w:spacing w:before="0" w:after="100" w:line="240" w:lineRule="auto"/>
        <w:ind w:left="0" w:right="0" w:firstLine="0"/>
        <w:jc w:val="both"/>
        <w:rPr>
          <w:sz w:val="20"/>
          <w:szCs w:val="20"/>
        </w:rPr>
      </w:pPr>
      <w:bookmarkStart w:id="1347" w:name="bookmark1347"/>
      <w:bookmarkEnd w:id="1347"/>
      <w:r>
        <w:rPr>
          <w:b/>
          <w:bCs/>
          <w:color w:val="000000"/>
          <w:spacing w:val="0"/>
          <w:w w:val="100"/>
          <w:position w:val="0"/>
          <w:sz w:val="20"/>
          <w:szCs w:val="20"/>
        </w:rPr>
        <w:t>营业收入明细：</w:t>
      </w:r>
    </w:p>
    <w:p>
      <w:pPr>
        <w:pStyle w:val="Style2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前期已经履行（或部分履行）的履约义务在本期调整的收入：</w:t>
      </w:r>
      <w:r>
        <w:rPr>
          <w:rFonts w:ascii="Times New Roman" w:eastAsia="Times New Roman" w:hAnsi="Times New Roman" w:cs="Times New Roman"/>
          <w:color w:val="000000"/>
          <w:spacing w:val="0"/>
          <w:w w:val="100"/>
          <w:position w:val="0"/>
          <w:sz w:val="18"/>
          <w:szCs w:val="18"/>
        </w:rPr>
        <w:t>2.17</w:t>
      </w:r>
      <w:r>
        <w:rPr>
          <w:color w:val="000000"/>
          <w:spacing w:val="0"/>
          <w:w w:val="100"/>
          <w:position w:val="0"/>
        </w:rPr>
        <w:t>亿元</w:t>
      </w:r>
    </w:p>
    <w:p>
      <w:pPr>
        <w:pStyle w:val="Style32"/>
        <w:keepNext/>
        <w:keepLines/>
        <w:widowControl w:val="0"/>
        <w:shd w:val="clear" w:color="auto" w:fill="auto"/>
        <w:bidi w:val="0"/>
        <w:spacing w:before="0" w:line="240" w:lineRule="auto"/>
        <w:ind w:left="0" w:right="0" w:firstLine="0"/>
        <w:jc w:val="both"/>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348"/>
      <w:bookmarkEnd w:id="1349"/>
      <w:bookmarkEnd w:id="1351"/>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5,379,194.20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5,782,836.03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3,312,370.66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3,561,103.92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2,870,164.94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2,839,934.44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175,272.56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174,378.00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1,795,570.12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984,458.13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2,212,930.07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1,883,734.96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15,745,502.55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15,226,445.48</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4</w:t>
      </w:r>
      <w:bookmarkEnd w:id="1354"/>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352"/>
      <w:bookmarkEnd w:id="1353"/>
      <w:bookmarkEnd w:id="135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76,759,687.85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88,463,206.60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36,164,387.31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74,185,329.68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9,486,046.42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13,010,810.28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4,897,683.44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2,661,078.28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2,077,362.54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1,727,844.53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1,680,486.14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1,990,864.76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中标服务费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1,634,801.93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1,439,247.14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2,162,128.84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2,229,243.16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134,862,584.47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185,707,624.43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4</w:t>
      </w:r>
      <w:bookmarkEnd w:id="1358"/>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356"/>
      <w:bookmarkEnd w:id="1357"/>
      <w:bookmarkEnd w:id="135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61,809,417.18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57,752,351.59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54,594,657.02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32,574,955.81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16,441,974.09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19,725,727.95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12,763,988.72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16,555,787.95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9,752,178.57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21,763,618.45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4,689,262.97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6,891,270.10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聘请中介机构费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4,396,367.33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4,087,843.23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4,147,745.50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5,483,676.46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招聘费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3,384,256.67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1,714,493.64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1,741,487.66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300,452.49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1,484,513.04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737,648.63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1,064,521.44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1,182,739.39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通讯费（固定）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865,294.76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446,682.40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841,778.86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1,703,429.46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维修保养费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779,263.16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616,165.42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-4,741,056.97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12,460,399.77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5,714,813.99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10,770,987.51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179,730,463.99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194,768,230.25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360"/>
      <w:bookmarkEnd w:id="1361"/>
      <w:bookmarkEnd w:id="136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240,756,224.06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273,093,954.41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56,207.15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240,812,431.21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273,093,954.41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4</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364"/>
      <w:bookmarkEnd w:id="1365"/>
      <w:bookmarkEnd w:id="136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34,637,868.29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18,214,232.83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-20,933,622.73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-7,896,595.19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35,539,073.57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-11,295,491.81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414,625.39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474,686.23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49,657,944.52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-503,167.94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4</w:t>
      </w:r>
      <w:bookmarkEnd w:id="1370"/>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368"/>
      <w:bookmarkEnd w:id="1369"/>
      <w:bookmarkEnd w:id="137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35,117,607.51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36,475,918.04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其中：云计算机系统补贴款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277,916.68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277,916.68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24,659,797.48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27,352,045.72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增值税加计抵减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4,885,644.17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4,563,169.48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创新创业优秀人才团队奖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1,375,200.00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3,822,049.18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1,552,786.16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112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CMM/CMMI </w:t>
            </w:r>
            <w:r>
              <w:rPr>
                <w:color w:val="000000"/>
                <w:spacing w:val="0"/>
                <w:w w:val="100"/>
                <w:position w:val="0"/>
                <w:sz w:val="17"/>
                <w:szCs w:val="17"/>
              </w:rPr>
              <w:t>（软件能力成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熟度模型）认证补贴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200"/>
              <w:jc w:val="left"/>
              <w:rPr>
                <w:sz w:val="17"/>
                <w:szCs w:val="17"/>
              </w:rPr>
            </w:pPr>
            <w:r>
              <w:rPr>
                <w:color w:val="000000"/>
                <w:spacing w:val="0"/>
                <w:w w:val="100"/>
                <w:position w:val="0"/>
                <w:sz w:val="17"/>
                <w:szCs w:val="17"/>
              </w:rPr>
              <w:t>高新技术研发中心补贴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120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年软集设计人员奖 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资产相关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1,870,612.44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1,687,147.08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其中：云计算机系统补贴款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7"/>
                <w:szCs w:val="17"/>
              </w:rPr>
              <w:t>高端</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软件生产线技术改 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1,330,000.26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1,425,106.26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汉得融合云治理平台项目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330,612.18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52,040.82</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372"/>
      <w:bookmarkEnd w:id="1373"/>
      <w:bookmarkEnd w:id="137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-61,119,629.05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-30,393,442.20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持有以公允价值计量且其变动计入当期损 益的金融资产期间取得的投资收益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597,558.76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处置以公允价值计量且其变动计入当期损 益的金融资产取得的投资收益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-7,604,190.00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3,245,648.36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-68,126,260.29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-27,147,793.84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376"/>
      <w:bookmarkEnd w:id="1377"/>
      <w:bookmarkEnd w:id="137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-4,719,833.40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163,263.07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-1,451,868.81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-121,747,628.10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-110,370,873.17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-121,585,508.58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-116,542,575.38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380"/>
      <w:bookmarkEnd w:id="1381"/>
      <w:bookmarkEnd w:id="138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-12,080,580.95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-5,757,491.10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-17,838,072.05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4</w:t>
      </w:r>
      <w:bookmarkEnd w:id="1386"/>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384"/>
      <w:bookmarkEnd w:id="1385"/>
      <w:bookmarkEnd w:id="138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非流动资产处置收益小计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72,249.10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72,249.10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388"/>
      <w:bookmarkEnd w:id="1389"/>
      <w:bookmarkEnd w:id="13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10,093,644.28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7,111,729.44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10,093,644.28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87,516.02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10,181,160.30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7,191,729.44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10,181,160.30</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计入当期损益的政府补助:</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地方扶持资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7,988,502.52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6,671,954.28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纳税百强补 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企业扶持资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稳岗补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新加坡生产 力和创新信 贷项目补助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8,317.00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新加坡聘用 半年未工作 人员补助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新加坡人力</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资源部补助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新加坡税务</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局疫情雇佣</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1,571,243.36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荷兰员工社</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保执行局新</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冠疫情补助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169,485.26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r>
        <w:br w:type="page"/>
      </w:r>
    </w:p>
    <w:p>
      <w:pPr>
        <w:pStyle w:val="Style32"/>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5</w:t>
      </w:r>
      <w:bookmarkEnd w:id="1394"/>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392"/>
      <w:bookmarkEnd w:id="1393"/>
      <w:bookmarkEnd w:id="139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1,067,022.20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818,067.75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1,067,022.20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1,067,022.20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819,520.38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1,067,022.20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5</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396"/>
      <w:bookmarkEnd w:id="1397"/>
      <w:bookmarkEnd w:id="1399"/>
    </w:p>
    <w:p>
      <w:pPr>
        <w:pStyle w:val="Style41"/>
        <w:keepNext/>
        <w:keepLines/>
        <w:widowControl w:val="0"/>
        <w:shd w:val="clear" w:color="auto" w:fill="auto"/>
        <w:bidi w:val="0"/>
        <w:spacing w:before="0" w:line="240" w:lineRule="auto"/>
        <w:ind w:left="0" w:right="0" w:firstLine="140"/>
        <w:jc w:val="both"/>
      </w:pPr>
      <w:bookmarkStart w:id="1400" w:name="bookmark1400"/>
      <w:bookmarkStart w:id="1401" w:name="bookmark1401"/>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00"/>
      <w:bookmarkEnd w:id="1401"/>
      <w:bookmarkEnd w:id="140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4,596,444.33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5,750,675.33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-5,702,073.47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-26,368,809.24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-1,105,629.14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-20,618,133.91</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03"/>
      <w:bookmarkEnd w:id="1404"/>
      <w:bookmarkEnd w:id="140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60,341,751.88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9,051,262.78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-485,252.25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-117,667.32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2,697,637.57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-37,241.77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13,146,942.37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归属于合营企业和联营企业的损益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9,560,536.79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税率变动对期初递延所得税余额的影响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加计扣除（研发费、残疾人工资等）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-34,990,634.20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58,605.27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-1,105,629.14</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r>
        <w:br w:type="page"/>
      </w:r>
    </w:p>
    <w:p>
      <w:pPr>
        <w:pStyle w:val="Style32"/>
        <w:keepNext/>
        <w:keepLines/>
        <w:widowControl w:val="0"/>
        <w:shd w:val="clear" w:color="auto" w:fill="auto"/>
        <w:tabs>
          <w:tab w:pos="483" w:val="left"/>
        </w:tabs>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5</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06"/>
      <w:bookmarkEnd w:id="1407"/>
      <w:bookmarkEnd w:id="140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2"/>
        <w:keepNext/>
        <w:keepLines/>
        <w:widowControl w:val="0"/>
        <w:shd w:val="clear" w:color="auto" w:fill="auto"/>
        <w:tabs>
          <w:tab w:pos="483" w:val="left"/>
        </w:tabs>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5</w:t>
      </w:r>
      <w:bookmarkEnd w:id="1412"/>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10"/>
      <w:bookmarkEnd w:id="1411"/>
      <w:bookmarkEnd w:id="1413"/>
    </w:p>
    <w:p>
      <w:pPr>
        <w:pStyle w:val="Style41"/>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14"/>
      <w:bookmarkEnd w:id="1415"/>
      <w:bookmarkEnd w:id="141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经营租赁收入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357,820.85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存款利息收入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20,933,622.73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8,245,399.77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42,711,285.93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41,756,944.64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12,199,815.02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8,159,714.89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年初受限货币资金本期收回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32,481,636.52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收回保理款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838,347,974.94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1,422,905,895.82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946,767,896.61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1,481,505,775.97</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17"/>
      <w:bookmarkEnd w:id="1418"/>
      <w:bookmarkEnd w:id="141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经营租赁支出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6,817,238.25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7,549,347.88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费用支出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103,302,670.65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160,203,085.46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414,625.39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474,686.23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现金捐赠支出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1,067,022.20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818,067.75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10,105,693.61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8,421,702.72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受限货币资金本期增加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10,847,773.47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支付保理款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764,856,293.99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1,360,845,222.10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886,563,544.09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1,549,161,338.24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420"/>
      <w:bookmarkEnd w:id="1421"/>
      <w:bookmarkEnd w:id="1423"/>
    </w:p>
    <w:p>
      <w:pPr>
        <w:pStyle w:val="Style2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企业间借款收到的资金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424"/>
      <w:bookmarkEnd w:id="1425"/>
      <w:bookmarkEnd w:id="142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受限货币资金本期增加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23,496,429.30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回股股份支付的现金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65,504,536.00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86,132,074.74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发行费用（交易费用）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1,473,715.00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66,978,251.00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109,628,504.04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5</w:t>
      </w:r>
      <w:bookmarkEnd w:id="1430"/>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28"/>
      <w:bookmarkEnd w:id="1429"/>
      <w:bookmarkEnd w:id="1431"/>
    </w:p>
    <w:p>
      <w:pPr>
        <w:pStyle w:val="Style41"/>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32"/>
      <w:bookmarkEnd w:id="1433"/>
      <w:bookmarkEnd w:id="143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61,447,381.02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86,466,712.43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17,838,072.05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121,585,508.58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116,542,575.38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固定资产折旧、油气资产折耗、</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20,705,431.17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22,945,090.24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60,307,452.66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34,496,453.72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2,258,743.54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946,766.02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-72,249.10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70,176,941.86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6,918,741.02</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68,126,260.29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27,147,793.84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rPr>
                <w:sz w:val="17"/>
                <w:szCs w:val="17"/>
              </w:rPr>
            </w:pPr>
            <w:r>
              <w:rPr>
                <w:color w:val="000000"/>
                <w:spacing w:val="0"/>
                <w:w w:val="100"/>
                <w:position w:val="0"/>
                <w:sz w:val="17"/>
                <w:szCs w:val="17"/>
              </w:rPr>
              <w:t>递延所得税资产减少（增加以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-5,850,211.69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-27,075,882.24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148,138.22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707,073.00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-78,600,563.90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-48,133.95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740"/>
              <w:jc w:val="left"/>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-21,332,301.81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-130,859,688.30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740"/>
              <w:jc w:val="left"/>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101,702,968.73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-73,469,323.95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28,270,001.55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1,612,626.30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446,512,710.61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66,258,554.41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2,045,939,312.83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1,059,294,798.99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1,059,294,798.99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863,387,029.31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986,644,513.84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195,907,769.68</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35"/>
      <w:bookmarkEnd w:id="1436"/>
      <w:bookmarkEnd w:id="143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2,045,939,312.83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1,059,294,798.99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2,045,314,697.17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1,058,430,711.03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621,690.65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795,654.88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2,045,939,312.83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1,059,294,798.99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4,546,504.00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37,028,140.52</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r>
        <w:br w:type="page"/>
      </w:r>
    </w:p>
    <w:p>
      <w:pPr>
        <w:pStyle w:val="Style32"/>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5</w:t>
      </w:r>
      <w:bookmarkEnd w:id="1440"/>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438"/>
      <w:bookmarkEnd w:id="1439"/>
      <w:bookmarkEnd w:id="144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4,546,504.00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履约保证金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4,546,504.00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5</w:t>
      </w:r>
      <w:bookmarkEnd w:id="1444"/>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442"/>
      <w:bookmarkEnd w:id="1443"/>
      <w:bookmarkEnd w:id="1445"/>
    </w:p>
    <w:p>
      <w:pPr>
        <w:pStyle w:val="Style41"/>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46"/>
      <w:bookmarkEnd w:id="1447"/>
      <w:bookmarkEnd w:id="144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527,118,246.95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53,146,291.04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346,774,234.38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798,152.22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2,762,863,286.00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174,712,422.75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734,873.08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2,295,273.41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204,610.01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16,777,103.00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3,893,954.51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92,063,300.85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4,783,072.95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31,209,072.67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590,963.63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4,742,483.13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770,339,658.00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48,713,198.65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1,348,614.84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6,650,559.15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3,279,660.95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292,362.32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1,963,060.01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455,624.93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2,855,861.96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其中：日元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45,161,964.00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2,855,861.96</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3,913,315.27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248,882.19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1,623,931.40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15,852,594.00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1,002,454.63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255,205.43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1,258,520.06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20,544.00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88,229.99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7,865.18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7,451,234.90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264,920.31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1,728,578.52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34,402,750.00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2,175,492.30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611,360.02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3,014,860.79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66,330.63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532,303.29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3,066,428.79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30,104.99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196,432.05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26,018,612.00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1,645,312.95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148,334.27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731,495.62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35,095.91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281,644.66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1,337.17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台币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905,674.02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210,206.34</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259" w:line="1" w:lineRule="exact"/>
      </w:pPr>
    </w:p>
    <w:p>
      <w:pPr>
        <w:pStyle w:val="Style41"/>
        <w:keepNext/>
        <w:keepLines/>
        <w:widowControl w:val="0"/>
        <w:shd w:val="clear" w:color="auto" w:fill="auto"/>
        <w:bidi w:val="0"/>
        <w:spacing w:before="0" w:line="331" w:lineRule="exact"/>
        <w:ind w:left="0" w:right="0" w:firstLine="0"/>
        <w:jc w:val="left"/>
      </w:pPr>
      <w:bookmarkStart w:id="1449" w:name="bookmark1449"/>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49"/>
      <w:bookmarkEnd w:id="1450"/>
      <w:bookmarkEnd w:id="145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45"/>
        <w:gridCol w:w="4051"/>
        <w:gridCol w:w="1781"/>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境外经营实体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新加坡元</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日本国东京都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日元</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美国加利福尼亚州</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汉得欧洲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荷兰北布拉邦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欧元</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汉得印度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印度特伦甘纳邦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卢比</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汉得台湾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台湾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台币</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5</w:t>
      </w:r>
      <w:bookmarkEnd w:id="1454"/>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452"/>
      <w:bookmarkEnd w:id="1453"/>
      <w:bookmarkEnd w:id="1455"/>
    </w:p>
    <w:p>
      <w:pPr>
        <w:pStyle w:val="Style41"/>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56"/>
      <w:bookmarkEnd w:id="1457"/>
      <w:bookmarkEnd w:id="14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云计算机系统补贴款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高端</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软件生产线技术改 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智能制造云项目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汉得融合云治理平台项目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330,612.18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汉得海马汇软件</w:t>
            </w:r>
            <w:r>
              <w:rPr>
                <w:rFonts w:ascii="Times New Roman" w:eastAsia="Times New Roman" w:hAnsi="Times New Roman" w:cs="Times New Roman"/>
                <w:color w:val="000000"/>
                <w:spacing w:val="0"/>
                <w:w w:val="100"/>
                <w:position w:val="0"/>
                <w:sz w:val="18"/>
                <w:szCs w:val="18"/>
              </w:rPr>
              <w:t>HMAP</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、与收益相关的政府补助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云计算机系统补贴款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277,916.68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277,916.68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24,659,797.48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24,659,797.48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增值税加计抵减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4,885,644.17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4,885,644.17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创新创业优秀人才团队奖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1,375,200.00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3,822,049.18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3,822,049.18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CMM/CMMI </w:t>
            </w:r>
            <w:r>
              <w:rPr>
                <w:color w:val="000000"/>
                <w:spacing w:val="0"/>
                <w:w w:val="100"/>
                <w:position w:val="0"/>
                <w:sz w:val="17"/>
                <w:szCs w:val="17"/>
              </w:rPr>
              <w:t>（软件能力成熟 度模型）认证补贴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高新技术研发中心补贴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年软集设计人员奖励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7,988,502.52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7,988,502.52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纳税百强补贴收入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14,729.00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新加坡生产力和创新信贷项 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新加坡聘用半年未工作人员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42,156.24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42,156.24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新加坡人力资源部补助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7,527.90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新加坡税务局疫情雇佣补贴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1,571,243.36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1,571,243.36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荷兰员工社保执行局新冠疫 情补助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169,485.26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169,485.26</w:t>
            </w:r>
          </w:p>
        </w:tc>
      </w:tr>
    </w:tbl>
    <w:p>
      <w:pPr>
        <w:spacing w:lineRule="exact" w:line="1"/>
        <w:rPr>
          <w:sz w:val="2"/>
          <w:szCs w:val="2"/>
        </w:rPr>
      </w:pPr>
      <w:r>
        <w:br w:type="page"/>
      </w:r>
    </w:p>
    <w:p>
      <w:pPr>
        <w:pStyle w:val="Style41"/>
        <w:keepNext/>
        <w:keepLines/>
        <w:widowControl w:val="0"/>
        <w:shd w:val="clear" w:color="auto" w:fill="auto"/>
        <w:bidi w:val="0"/>
        <w:spacing w:before="0" w:after="360" w:line="240" w:lineRule="auto"/>
        <w:ind w:left="0" w:right="0" w:firstLine="0"/>
        <w:jc w:val="left"/>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59"/>
      <w:bookmarkEnd w:id="1460"/>
      <w:bookmarkEnd w:id="146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80" w:line="240" w:lineRule="auto"/>
        <w:ind w:left="0" w:right="0" w:firstLine="0"/>
        <w:jc w:val="left"/>
      </w:pPr>
      <w:bookmarkStart w:id="1462" w:name="bookmark1462"/>
      <w:r>
        <w:rPr>
          <w:rFonts w:ascii="Times New Roman" w:eastAsia="Times New Roman" w:hAnsi="Times New Roman" w:cs="Times New Roman"/>
          <w:color w:val="000000"/>
          <w:spacing w:val="0"/>
          <w:w w:val="100"/>
          <w:position w:val="0"/>
          <w:sz w:val="18"/>
          <w:szCs w:val="18"/>
        </w:rPr>
        <w:t>1</w:t>
      </w:r>
      <w:bookmarkEnd w:id="1462"/>
      <w:r>
        <w:rPr>
          <w:color w:val="000000"/>
          <w:spacing w:val="0"/>
          <w:w w:val="100"/>
          <w:position w:val="0"/>
        </w:rPr>
        <w:t>、与资产相关的政府补助</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010"/>
        <w:gridCol w:w="3662"/>
        <w:gridCol w:w="3005"/>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计入当期损益或冲减相关成本费用损失的上期 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计入当期损益或冲减相关成本费用损 失的项目</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云计算机系统补贴款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高端</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软件生产线技术改造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1,425,106.26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46"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智能制造云项目</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汉得融合云治理平台项目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r>
      <w:tr>
        <w:trPr>
          <w:trHeight w:val="35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汉得海马汇软件</w:t>
            </w:r>
            <w:r>
              <w:rPr>
                <w:rFonts w:ascii="Times New Roman" w:eastAsia="Times New Roman" w:hAnsi="Times New Roman" w:cs="Times New Roman"/>
                <w:color w:val="000000"/>
                <w:spacing w:val="0"/>
                <w:w w:val="100"/>
                <w:position w:val="0"/>
                <w:sz w:val="18"/>
                <w:szCs w:val="18"/>
              </w:rPr>
              <w:t>HMAP</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val="0"/>
        <w:keepLines w:val="0"/>
        <w:widowControl w:val="0"/>
        <w:shd w:val="clear" w:color="auto" w:fill="auto"/>
        <w:bidi w:val="0"/>
        <w:spacing w:before="0" w:line="240" w:lineRule="auto"/>
        <w:ind w:left="0" w:right="0" w:firstLine="0"/>
        <w:jc w:val="left"/>
      </w:pPr>
      <w:bookmarkStart w:id="1463" w:name="bookmark1463"/>
      <w:r>
        <w:rPr>
          <w:rFonts w:ascii="Times New Roman" w:eastAsia="Times New Roman" w:hAnsi="Times New Roman" w:cs="Times New Roman"/>
          <w:color w:val="000000"/>
          <w:spacing w:val="0"/>
          <w:w w:val="100"/>
          <w:position w:val="0"/>
          <w:sz w:val="18"/>
          <w:szCs w:val="18"/>
        </w:rPr>
        <w:t>2</w:t>
      </w:r>
      <w:bookmarkEnd w:id="1463"/>
      <w:r>
        <w:rPr>
          <w:color w:val="000000"/>
          <w:spacing w:val="0"/>
          <w:w w:val="100"/>
          <w:position w:val="0"/>
        </w:rPr>
        <w:t>、与收益相关的政府补助</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4498"/>
        <w:gridCol w:w="2842"/>
        <w:gridCol w:w="2338"/>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计入当期损益或冲减相关成本费用 损失的上期金额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计入当期损益或冲减相关成 本费用损失的项目</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云计算机系统补贴款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277,916.68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27,352,045.72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增值税加计抵减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4,563,169.48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创新创业优秀人才团队奖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1,552,786.16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tabs>
                <w:tab w:pos="1070"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CMM/CMMI</w:t>
              <w:tab/>
            </w:r>
            <w:r>
              <w:rPr>
                <w:color w:val="000000"/>
                <w:spacing w:val="0"/>
                <w:w w:val="100"/>
                <w:position w:val="0"/>
                <w:sz w:val="17"/>
                <w:szCs w:val="17"/>
              </w:rPr>
              <w:t>(软件能力成熟度模型)认证补贴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高新技术研发中心补贴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年软集设计人员奖励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6,671,954.28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纳税百强补贴收入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专利补助款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新加坡生产力和创新信贷项目补助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新加坡聘用半年未工作人员补助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127,424.02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新加坡人力资源部补助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r>
      <w:tr>
        <w:trPr>
          <w:trHeight w:val="346"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新加坡税务局疫情雇佣补贴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r>
      <w:tr>
        <w:trPr>
          <w:trHeight w:val="36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荷兰员工社保执行局新冠疫情补助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r>
    </w:tbl>
    <w:p>
      <w:pPr>
        <w:pStyle w:val="Style26"/>
        <w:keepNext/>
        <w:keepLines/>
        <w:widowControl w:val="0"/>
        <w:shd w:val="clear" w:color="auto" w:fill="auto"/>
        <w:bidi w:val="0"/>
        <w:spacing w:before="0" w:after="360" w:line="240" w:lineRule="auto"/>
        <w:ind w:left="0" w:right="0" w:firstLine="0"/>
        <w:jc w:val="both"/>
      </w:pPr>
      <w:bookmarkStart w:id="1464" w:name="bookmark1464"/>
      <w:bookmarkStart w:id="1465" w:name="bookmark1465"/>
      <w:bookmarkStart w:id="1466" w:name="bookmark1466"/>
      <w:bookmarkStart w:id="1467" w:name="bookmark1467"/>
      <w:r>
        <w:rPr>
          <w:color w:val="000000"/>
          <w:spacing w:val="0"/>
          <w:w w:val="100"/>
          <w:position w:val="0"/>
        </w:rPr>
        <w:t>八</w:t>
      </w:r>
      <w:bookmarkEnd w:id="1466"/>
      <w:r>
        <w:rPr>
          <w:color w:val="000000"/>
          <w:spacing w:val="0"/>
          <w:w w:val="100"/>
          <w:position w:val="0"/>
        </w:rPr>
        <w:t>、合并范围的变更</w:t>
      </w:r>
      <w:bookmarkEnd w:id="1464"/>
      <w:bookmarkEnd w:id="1465"/>
      <w:bookmarkEnd w:id="1467"/>
    </w:p>
    <w:p>
      <w:pPr>
        <w:pStyle w:val="Style32"/>
        <w:keepNext/>
        <w:keepLines/>
        <w:widowControl w:val="0"/>
        <w:shd w:val="clear" w:color="auto" w:fill="auto"/>
        <w:bidi w:val="0"/>
        <w:spacing w:before="0" w:after="240" w:line="240" w:lineRule="auto"/>
        <w:ind w:left="0" w:right="0" w:firstLine="0"/>
        <w:jc w:val="both"/>
      </w:pPr>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468"/>
      <w:bookmarkEnd w:id="1469"/>
      <w:bookmarkEnd w:id="1470"/>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说明其他原因导致的合并范围变动（如，新设子公司、清算子公司等）及其相关情况：</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、本年新增合并单位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家，原因为：</w:t>
      </w:r>
    </w:p>
    <w:p>
      <w:pPr>
        <w:pStyle w:val="Style28"/>
        <w:keepNext w:val="0"/>
        <w:keepLines w:val="0"/>
        <w:widowControl w:val="0"/>
        <w:shd w:val="clear" w:color="auto" w:fill="auto"/>
        <w:bidi w:val="0"/>
        <w:spacing w:before="0" w:after="0" w:line="314" w:lineRule="exact"/>
        <w:ind w:left="0" w:right="0" w:firstLine="0"/>
        <w:jc w:val="both"/>
      </w:pPr>
      <w:bookmarkStart w:id="1471" w:name="bookmark1471"/>
      <w:r>
        <w:rPr>
          <w:rFonts w:ascii="Times New Roman" w:eastAsia="Times New Roman" w:hAnsi="Times New Roman" w:cs="Times New Roman"/>
          <w:color w:val="000000"/>
          <w:spacing w:val="0"/>
          <w:w w:val="100"/>
          <w:position w:val="0"/>
          <w:sz w:val="18"/>
          <w:szCs w:val="18"/>
        </w:rPr>
        <w:t>1</w:t>
      </w:r>
      <w:bookmarkEnd w:id="147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月，公司认缴出资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万元人民币设立上海汇羿信息技术有限公司。设立当年汇羿信息未实际经营。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 汇羿信息开始经营即纳入合并范围。</w:t>
      </w:r>
    </w:p>
    <w:p>
      <w:pPr>
        <w:pStyle w:val="Style28"/>
        <w:keepNext w:val="0"/>
        <w:keepLines w:val="0"/>
        <w:widowControl w:val="0"/>
        <w:shd w:val="clear" w:color="auto" w:fill="auto"/>
        <w:bidi w:val="0"/>
        <w:spacing w:before="0" w:after="0" w:line="314" w:lineRule="exact"/>
        <w:ind w:left="0" w:right="0" w:firstLine="0"/>
        <w:jc w:val="both"/>
      </w:pPr>
      <w:bookmarkStart w:id="1472" w:name="bookmark1472"/>
      <w:r>
        <w:rPr>
          <w:rFonts w:ascii="Times New Roman" w:eastAsia="Times New Roman" w:hAnsi="Times New Roman" w:cs="Times New Roman"/>
          <w:color w:val="000000"/>
          <w:spacing w:val="0"/>
          <w:w w:val="100"/>
          <w:position w:val="0"/>
          <w:sz w:val="18"/>
          <w:szCs w:val="18"/>
        </w:rPr>
        <w:t>2</w:t>
      </w:r>
      <w:bookmarkEnd w:id="147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月，公司与宁波英赛企业管理咨询合伙企业（有限合伙）协议共同出资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万元设立上海亿砹科技有限公司， 其中公司认缴出资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万元人民币，取得亿砹科技</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股权，设立当年未实际经营。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年起，亿砹科技开始经营即纳入合 并范围。</w:t>
      </w:r>
    </w:p>
    <w:p>
      <w:pPr>
        <w:pStyle w:val="Style28"/>
        <w:keepNext w:val="0"/>
        <w:keepLines w:val="0"/>
        <w:widowControl w:val="0"/>
        <w:shd w:val="clear" w:color="auto" w:fill="auto"/>
        <w:bidi w:val="0"/>
        <w:spacing w:before="0" w:after="0" w:line="314" w:lineRule="exact"/>
        <w:ind w:left="0" w:right="0" w:firstLine="0"/>
        <w:jc w:val="both"/>
      </w:pPr>
      <w:bookmarkStart w:id="1473" w:name="bookmark1473"/>
      <w:r>
        <w:rPr>
          <w:rFonts w:ascii="Times New Roman" w:eastAsia="Times New Roman" w:hAnsi="Times New Roman" w:cs="Times New Roman"/>
          <w:color w:val="000000"/>
          <w:spacing w:val="0"/>
          <w:w w:val="100"/>
          <w:position w:val="0"/>
          <w:sz w:val="18"/>
          <w:szCs w:val="18"/>
        </w:rPr>
        <w:t>3</w:t>
      </w:r>
      <w:bookmarkEnd w:id="147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月，公司与宁波协智企业管理咨询合伙企业（有限合伙）和宁波小手企业管理咨询合伙企业（有限合伙）合计投 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万人民币设立合资经营企业上海甄一科技有限公司。其中公司以一步制造云软件著作权作价出资</w:t>
      </w:r>
      <w:r>
        <w:rPr>
          <w:rFonts w:ascii="Times New Roman" w:eastAsia="Times New Roman" w:hAnsi="Times New Roman" w:cs="Times New Roman"/>
          <w:color w:val="000000"/>
          <w:spacing w:val="0"/>
          <w:w w:val="100"/>
          <w:position w:val="0"/>
          <w:sz w:val="18"/>
          <w:szCs w:val="18"/>
        </w:rPr>
        <w:t>484.45</w:t>
      </w:r>
      <w:r>
        <w:rPr>
          <w:color w:val="000000"/>
          <w:spacing w:val="0"/>
          <w:w w:val="100"/>
          <w:position w:val="0"/>
        </w:rPr>
        <w:t>万元，以及货 币资金认缴出资</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万元，合计出资</w:t>
      </w:r>
      <w:r>
        <w:rPr>
          <w:rFonts w:ascii="Times New Roman" w:eastAsia="Times New Roman" w:hAnsi="Times New Roman" w:cs="Times New Roman"/>
          <w:color w:val="000000"/>
          <w:spacing w:val="0"/>
          <w:w w:val="100"/>
          <w:position w:val="0"/>
          <w:sz w:val="18"/>
          <w:szCs w:val="18"/>
        </w:rPr>
        <w:t>884.45</w:t>
      </w:r>
      <w:r>
        <w:rPr>
          <w:color w:val="000000"/>
          <w:spacing w:val="0"/>
          <w:w w:val="100"/>
          <w:position w:val="0"/>
        </w:rPr>
        <w:t>万元认缴注册资本</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万元，占合资公司注册资本的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年起，甄一科技纳 入合并范围。</w:t>
      </w:r>
    </w:p>
    <w:p>
      <w:pPr>
        <w:pStyle w:val="Style28"/>
        <w:keepNext w:val="0"/>
        <w:keepLines w:val="0"/>
        <w:widowControl w:val="0"/>
        <w:shd w:val="clear" w:color="auto" w:fill="auto"/>
        <w:tabs>
          <w:tab w:pos="354" w:val="left"/>
        </w:tabs>
        <w:bidi w:val="0"/>
        <w:spacing w:before="0" w:after="700" w:line="314" w:lineRule="exact"/>
        <w:ind w:left="0" w:right="0" w:firstLine="0"/>
        <w:jc w:val="both"/>
      </w:pPr>
      <w:bookmarkStart w:id="1474" w:name="bookmark1474"/>
      <w:r>
        <w:rPr>
          <w:rFonts w:ascii="Times New Roman" w:eastAsia="Times New Roman" w:hAnsi="Times New Roman" w:cs="Times New Roman"/>
          <w:color w:val="000000"/>
          <w:spacing w:val="0"/>
          <w:w w:val="100"/>
          <w:position w:val="0"/>
          <w:sz w:val="18"/>
          <w:szCs w:val="18"/>
        </w:rPr>
        <w:t>4</w:t>
      </w:r>
      <w:bookmarkEnd w:id="14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月，本公司与蕖可欣、接楠文合计投资</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万元新台币设立合资经营企业台湾汉得科技股份有限公司，本公司 认缴比例为</w:t>
      </w:r>
      <w:r>
        <w:rPr>
          <w:rFonts w:ascii="Times New Roman" w:eastAsia="Times New Roman" w:hAnsi="Times New Roman" w:cs="Times New Roman"/>
          <w:color w:val="000000"/>
          <w:spacing w:val="0"/>
          <w:w w:val="100"/>
          <w:position w:val="0"/>
          <w:sz w:val="18"/>
          <w:szCs w:val="18"/>
        </w:rPr>
        <w:t>87.50%</w:t>
      </w:r>
      <w:r>
        <w:rPr>
          <w:color w:val="000000"/>
          <w:spacing w:val="0"/>
          <w:w w:val="100"/>
          <w:position w:val="0"/>
        </w:rPr>
        <w:t>,蕖可欣及接楠文分别认缴比例为</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。本年度，公司以货币资金出资认缴注册资本</w:t>
      </w:r>
      <w:r>
        <w:rPr>
          <w:rFonts w:ascii="Times New Roman" w:eastAsia="Times New Roman" w:hAnsi="Times New Roman" w:cs="Times New Roman"/>
          <w:color w:val="000000"/>
          <w:spacing w:val="0"/>
          <w:w w:val="100"/>
          <w:position w:val="0"/>
          <w:sz w:val="18"/>
          <w:szCs w:val="18"/>
        </w:rPr>
        <w:t>1575</w:t>
      </w:r>
      <w:r>
        <w:rPr>
          <w:color w:val="000000"/>
          <w:spacing w:val="0"/>
          <w:w w:val="100"/>
          <w:position w:val="0"/>
        </w:rPr>
        <w:t>万元新台币， 占合资公司实缴注册资本的</w:t>
      </w:r>
      <w:r>
        <w:rPr>
          <w:rFonts w:ascii="Times New Roman" w:eastAsia="Times New Roman" w:hAnsi="Times New Roman" w:cs="Times New Roman"/>
          <w:color w:val="000000"/>
          <w:spacing w:val="0"/>
          <w:w w:val="100"/>
          <w:position w:val="0"/>
          <w:sz w:val="18"/>
          <w:szCs w:val="18"/>
        </w:rPr>
        <w:t>87.50%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年起，汉得台湾纳入合并范围。</w:t>
      </w:r>
    </w:p>
    <w:p>
      <w:pPr>
        <w:pStyle w:val="Style26"/>
        <w:keepNext/>
        <w:keepLines/>
        <w:widowControl w:val="0"/>
        <w:shd w:val="clear" w:color="auto" w:fill="auto"/>
        <w:bidi w:val="0"/>
        <w:spacing w:before="0" w:after="360" w:line="240" w:lineRule="auto"/>
        <w:ind w:left="0" w:right="0" w:firstLine="0"/>
        <w:jc w:val="both"/>
      </w:pPr>
      <w:bookmarkStart w:id="1475" w:name="bookmark1475"/>
      <w:bookmarkStart w:id="1476" w:name="bookmark1476"/>
      <w:bookmarkStart w:id="1477" w:name="bookmark1477"/>
      <w:bookmarkStart w:id="1478" w:name="bookmark1478"/>
      <w:r>
        <w:rPr>
          <w:color w:val="000000"/>
          <w:spacing w:val="0"/>
          <w:w w:val="100"/>
          <w:position w:val="0"/>
        </w:rPr>
        <w:t>九</w:t>
      </w:r>
      <w:bookmarkEnd w:id="1477"/>
      <w:r>
        <w:rPr>
          <w:color w:val="000000"/>
          <w:spacing w:val="0"/>
          <w:w w:val="100"/>
          <w:position w:val="0"/>
        </w:rPr>
        <w:t>、在其他主体中的权益</w:t>
      </w:r>
      <w:bookmarkEnd w:id="1475"/>
      <w:bookmarkEnd w:id="1476"/>
      <w:bookmarkEnd w:id="1478"/>
    </w:p>
    <w:p>
      <w:pPr>
        <w:pStyle w:val="Style32"/>
        <w:keepNext/>
        <w:keepLines/>
        <w:widowControl w:val="0"/>
        <w:shd w:val="clear" w:color="auto" w:fill="auto"/>
        <w:bidi w:val="0"/>
        <w:spacing w:before="0" w:after="360" w:line="240" w:lineRule="auto"/>
        <w:ind w:left="0" w:right="0" w:firstLine="0"/>
        <w:jc w:val="both"/>
      </w:pPr>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79"/>
      <w:bookmarkEnd w:id="1480"/>
      <w:bookmarkEnd w:id="1481"/>
    </w:p>
    <w:p>
      <w:pPr>
        <w:pStyle w:val="Style41"/>
        <w:keepNext/>
        <w:keepLines/>
        <w:widowControl w:val="0"/>
        <w:shd w:val="clear" w:color="auto" w:fill="auto"/>
        <w:bidi w:val="0"/>
        <w:spacing w:before="0" w:after="320" w:line="240" w:lineRule="auto"/>
        <w:ind w:left="0" w:right="0" w:firstLine="14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82"/>
      <w:bookmarkEnd w:id="1483"/>
      <w:bookmarkEnd w:id="148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夏尔软件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汉得新加坡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随身科技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日本国东京都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日本国东京都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同一控制下企业 合并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汉得欧俊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汉得微扬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扬州达美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扬州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美国加利福尼亚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美国加利福尼亚</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得逸信息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得逸劳务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鼎医信息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甄领信息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甄恒信息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汉得印度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印度特伦甘纳邦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印度特伦甘纳邦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汉得欧洲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荷兰北布拉邦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荷兰北布拉邦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资讯软体服务业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汇羿信息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软件和信息技术</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亿砹科技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软件和信息技术</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甄一科技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专业技术服务业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85"/>
      <w:bookmarkEnd w:id="1486"/>
      <w:bookmarkEnd w:id="1487"/>
    </w:p>
    <w:p>
      <w:pPr>
        <w:pStyle w:val="Style41"/>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488"/>
      <w:bookmarkEnd w:id="1489"/>
      <w:bookmarkEnd w:id="149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212,509,025.66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128,324,215.63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-69,498,889.52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-37,293,213.85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-69,498,889.52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-37,293,213.85</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r>
        <w:br w:type="page"/>
      </w:r>
    </w:p>
    <w:p>
      <w:pPr>
        <w:pStyle w:val="Style41"/>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(2</w:t>
      </w:r>
      <w:r>
        <w:rPr>
          <w:color w:val="000000"/>
          <w:spacing w:val="0"/>
          <w:w w:val="100"/>
          <w:position w:val="0"/>
        </w:rPr>
        <w:t>)合营企业或联营企业发生的超额亏损</w:t>
      </w:r>
      <w:bookmarkEnd w:id="1491"/>
      <w:bookmarkEnd w:id="1492"/>
      <w:bookmarkEnd w:id="149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合营企业或联营企业名称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本期未确认的损失(或本期分</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享的净利润)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本期末累积未确认的损失</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汉得知云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-6,337,192.89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-1,197,270.27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-7,534,463.16</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r>
        <w:rPr>
          <w:color w:val="000000"/>
          <w:spacing w:val="0"/>
          <w:w w:val="100"/>
          <w:position w:val="0"/>
        </w:rPr>
        <w:t>十、与金融工具相关的风险</w:t>
      </w:r>
      <w:bookmarkEnd w:id="1494"/>
      <w:bookmarkEnd w:id="1495"/>
      <w:bookmarkEnd w:id="1496"/>
    </w:p>
    <w:p>
      <w:pPr>
        <w:pStyle w:val="Style28"/>
        <w:keepNext w:val="0"/>
        <w:keepLines w:val="0"/>
        <w:widowControl w:val="0"/>
        <w:numPr>
          <w:ilvl w:val="0"/>
          <w:numId w:val="67"/>
        </w:numPr>
        <w:shd w:val="clear" w:color="auto" w:fill="auto"/>
        <w:bidi w:val="0"/>
        <w:spacing w:before="0" w:after="80" w:line="240" w:lineRule="auto"/>
        <w:ind w:left="0" w:right="0" w:firstLine="0"/>
        <w:jc w:val="left"/>
      </w:pPr>
      <w:bookmarkStart w:id="1497" w:name="bookmark1497"/>
      <w:bookmarkEnd w:id="1497"/>
      <w:r>
        <w:rPr>
          <w:color w:val="000000"/>
          <w:spacing w:val="0"/>
          <w:w w:val="100"/>
          <w:position w:val="0"/>
        </w:rPr>
        <w:t>金融资产:</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331"/>
        <w:gridCol w:w="1598"/>
        <w:gridCol w:w="1522"/>
        <w:gridCol w:w="1522"/>
        <w:gridCol w:w="170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9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20"/>
              <w:jc w:val="left"/>
              <w:rPr>
                <w:sz w:val="17"/>
                <w:szCs w:val="17"/>
              </w:rPr>
            </w:pPr>
            <w:r>
              <w:rPr>
                <w:color w:val="000000"/>
                <w:spacing w:val="0"/>
                <w:w w:val="100"/>
                <w:position w:val="0"/>
                <w:sz w:val="17"/>
                <w:szCs w:val="17"/>
              </w:rPr>
              <w:t>摊余成本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以公允价值计量且 其变动计入其他综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以公允价值计量且 其变动计入当期损 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40"/>
              <w:jc w:val="left"/>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2,050,485,816.83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2,050,485,816.83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57,601,020.69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57,601,020.69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19,573,320.74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19,573,320.74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1,060,875,108.58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1,060,875,108.58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32,567,922.98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32,567,922.98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2,468,499.49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2,468,499.49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30,927,390.00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40,336,959.16</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3,203,998,368.57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59,910,279.90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3,294,836,038.47</w:t>
            </w:r>
          </w:p>
        </w:tc>
      </w:tr>
    </w:tbl>
    <w:p>
      <w:pPr>
        <w:widowControl w:val="0"/>
        <w:spacing w:after="379" w:line="1" w:lineRule="exact"/>
      </w:pPr>
    </w:p>
    <w:p>
      <w:pPr>
        <w:pStyle w:val="Style28"/>
        <w:keepNext w:val="0"/>
        <w:keepLines w:val="0"/>
        <w:widowControl w:val="0"/>
        <w:numPr>
          <w:ilvl w:val="0"/>
          <w:numId w:val="67"/>
        </w:numPr>
        <w:shd w:val="clear" w:color="auto" w:fill="auto"/>
        <w:bidi w:val="0"/>
        <w:spacing w:before="0" w:after="80" w:line="240" w:lineRule="auto"/>
        <w:ind w:left="0" w:right="0" w:firstLine="0"/>
        <w:jc w:val="left"/>
      </w:pPr>
      <w:bookmarkStart w:id="1498" w:name="bookmark1498"/>
      <w:bookmarkEnd w:id="1498"/>
      <w:r>
        <w:rPr>
          <w:color w:val="000000"/>
          <w:spacing w:val="0"/>
          <w:w w:val="100"/>
          <w:position w:val="0"/>
        </w:rPr>
        <w:t>金融负债:</w:t>
      </w:r>
    </w:p>
    <w:p>
      <w:pPr>
        <w:pStyle w:val="Style38"/>
        <w:keepNext w:val="0"/>
        <w:keepLines w:val="0"/>
        <w:widowControl w:val="0"/>
        <w:shd w:val="clear" w:color="auto" w:fill="auto"/>
        <w:bidi w:val="0"/>
        <w:spacing w:before="0" w:after="0" w:line="240" w:lineRule="auto"/>
        <w:ind w:left="8851" w:right="0" w:firstLine="0"/>
        <w:jc w:val="left"/>
        <w:rPr>
          <w:sz w:val="17"/>
          <w:szCs w:val="17"/>
        </w:rPr>
      </w:pPr>
      <w:r>
        <w:rPr>
          <w:b w:val="0"/>
          <w:bCs w:val="0"/>
          <w:color w:val="000000"/>
          <w:spacing w:val="0"/>
          <w:w w:val="100"/>
          <w:position w:val="0"/>
          <w:sz w:val="17"/>
          <w:szCs w:val="17"/>
        </w:rPr>
        <w:t>单位： 元</w:t>
      </w:r>
    </w:p>
    <w:tbl>
      <w:tblPr>
        <w:tblOverlap w:val="never"/>
        <w:jc w:val="center"/>
        <w:tblLayout w:type="fixed"/>
      </w:tblPr>
      <w:tblGrid>
        <w:gridCol w:w="4723"/>
        <w:gridCol w:w="4954"/>
      </w:tblGrid>
      <w:tr>
        <w:trPr>
          <w:trHeight w:val="36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60"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摊余成本</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574,218,435.05</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756,173,164.29</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312,383.33</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44,484,116.76</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104,394,035.53</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1,479,582,134.96</w:t>
            </w:r>
          </w:p>
        </w:tc>
      </w:tr>
    </w:tbl>
    <w:p>
      <w:pPr>
        <w:widowControl w:val="0"/>
        <w:spacing w:after="239" w:line="1" w:lineRule="exact"/>
      </w:pP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本公司的主要金融工具除衍生工具外，包括货币资金、其他权益工具投资、其他非流动金融资产、银行借款等。这些金融工 具的主要目的在于为本公司的运营融资。本公司具有多种因经营而直接产生的其他金融资产和负债，如应收票据及应收账款、 应付账款、其他应收款和其他应付款等。</w:t>
      </w:r>
    </w:p>
    <w:p>
      <w:pPr>
        <w:pStyle w:val="Style2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本公司的金融工具导致的主要风险是信用风险和流动性风险。本公司对此的风险管理政策概述如下：</w:t>
      </w:r>
    </w:p>
    <w:p>
      <w:pPr>
        <w:pStyle w:val="Style35"/>
        <w:keepNext w:val="0"/>
        <w:keepLines w:val="0"/>
        <w:widowControl w:val="0"/>
        <w:numPr>
          <w:ilvl w:val="0"/>
          <w:numId w:val="69"/>
        </w:numPr>
        <w:shd w:val="clear" w:color="auto" w:fill="auto"/>
        <w:tabs>
          <w:tab w:pos="303" w:val="left"/>
        </w:tabs>
        <w:bidi w:val="0"/>
        <w:spacing w:before="0" w:after="0" w:line="315" w:lineRule="exact"/>
        <w:ind w:left="0" w:right="0" w:firstLine="0"/>
        <w:jc w:val="both"/>
        <w:rPr>
          <w:sz w:val="20"/>
          <w:szCs w:val="20"/>
        </w:rPr>
      </w:pPr>
      <w:bookmarkStart w:id="1499" w:name="bookmark1499"/>
      <w:bookmarkEnd w:id="1499"/>
      <w:r>
        <w:rPr>
          <w:b/>
          <w:bCs/>
          <w:color w:val="000000"/>
          <w:spacing w:val="0"/>
          <w:w w:val="100"/>
          <w:position w:val="0"/>
          <w:sz w:val="20"/>
          <w:szCs w:val="20"/>
        </w:rPr>
        <w:t>信用风险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本公司仅与经认可的、信誉良好的第三方进行交易。按照本公司的政策，需对所有要求采用信用方式进行交易的客户进行 信用审核。另外，本公司对应收账款及其他应收款余额进行持续监控，以确保本公司不致面临重大坏账风险。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本公司其他金融资产包括货币资金、其他权益工具投资和其他非流动金融资产等，这些金融资产的信用风险源自交易对手违 约，最大风险敞口等于这些工具的账面金额。</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由于本公司仅与经认可的且信誉良好的第三方进行交易，所以无需担保物。由于本公司的应收账款客户群广泛地分散于不同 的部门和行业中，因此在本公司内部不存在重大信用风险集中。本公司对应收账款余额未持有任何担保物或其他信用增级。 于</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日，本公司金融资产中无尚未逾期但已发生减值的金额，不存在已逾期已减值但未计提减值准备的重大金融 资产。</w:t>
      </w:r>
    </w:p>
    <w:p>
      <w:pPr>
        <w:pStyle w:val="Style28"/>
        <w:keepNext w:val="0"/>
        <w:keepLines w:val="0"/>
        <w:widowControl w:val="0"/>
        <w:shd w:val="clear" w:color="auto" w:fill="auto"/>
        <w:bidi w:val="0"/>
        <w:spacing w:before="0" w:after="80" w:line="315" w:lineRule="exact"/>
        <w:ind w:left="0" w:right="0" w:firstLine="0"/>
        <w:jc w:val="both"/>
      </w:pPr>
      <w:r>
        <w:rPr>
          <w:color w:val="000000"/>
          <w:spacing w:val="0"/>
          <w:w w:val="100"/>
          <w:position w:val="0"/>
        </w:rPr>
        <w:t>本公司的主要客户为大型国有企业，跨国企业、上市公司等，该等客户具有较好的信誉，同时公司根据结算周期、付款条款、 客户财务状况、行业状况等，合理预计信用损失。因此，本公司认为该等客户并无重大信用风险。由于本公司的客户广泛， 因此没有重大的信用集中风险。</w:t>
      </w:r>
    </w:p>
    <w:p>
      <w:pPr>
        <w:pStyle w:val="Style35"/>
        <w:keepNext w:val="0"/>
        <w:keepLines w:val="0"/>
        <w:widowControl w:val="0"/>
        <w:numPr>
          <w:ilvl w:val="0"/>
          <w:numId w:val="69"/>
        </w:numPr>
        <w:shd w:val="clear" w:color="auto" w:fill="auto"/>
        <w:tabs>
          <w:tab w:pos="317" w:val="left"/>
        </w:tabs>
        <w:bidi w:val="0"/>
        <w:spacing w:before="0" w:after="0" w:line="329" w:lineRule="auto"/>
        <w:ind w:left="0" w:right="0" w:firstLine="0"/>
        <w:jc w:val="both"/>
        <w:rPr>
          <w:sz w:val="20"/>
          <w:szCs w:val="20"/>
        </w:rPr>
      </w:pPr>
      <w:bookmarkStart w:id="1500" w:name="bookmark1500"/>
      <w:bookmarkEnd w:id="1500"/>
      <w:r>
        <w:rPr>
          <w:b/>
          <w:bCs/>
          <w:color w:val="000000"/>
          <w:spacing w:val="0"/>
          <w:w w:val="100"/>
          <w:position w:val="0"/>
          <w:sz w:val="20"/>
          <w:szCs w:val="20"/>
        </w:rPr>
        <w:t>市场风险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金融工具的市场风险，是指金融工具的公允价值或未来现金流量因市场价格变动而发生波动的风险，包括利率风险、汇率风 险和其他价格风险。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sz w:val="22"/>
          <w:szCs w:val="22"/>
        </w:rPr>
        <w:t>）</w:t>
      </w:r>
      <w:r>
        <w:rPr>
          <w:color w:val="000000"/>
          <w:spacing w:val="0"/>
          <w:w w:val="100"/>
          <w:position w:val="0"/>
        </w:rPr>
        <w:t>利率风险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利率风险，是指金融工具的公允价值或未来现金流量因市场利率变动而发生波动的风险。</w:t>
      </w:r>
    </w:p>
    <w:p>
      <w:pPr>
        <w:pStyle w:val="Style28"/>
        <w:keepNext w:val="0"/>
        <w:keepLines w:val="0"/>
        <w:widowControl w:val="0"/>
        <w:shd w:val="clear" w:color="auto" w:fill="auto"/>
        <w:bidi w:val="0"/>
        <w:spacing w:before="0" w:after="80" w:line="315" w:lineRule="exact"/>
        <w:ind w:left="0" w:right="0" w:firstLine="0"/>
        <w:jc w:val="both"/>
      </w:pPr>
      <w:r>
        <w:rPr>
          <w:color w:val="000000"/>
          <w:spacing w:val="0"/>
          <w:w w:val="100"/>
          <w:position w:val="0"/>
        </w:rPr>
        <w:t>本公司持有的计息金融工具如下：</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736"/>
        <w:gridCol w:w="3533"/>
        <w:gridCol w:w="3408"/>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574,218,435.05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604,500,000.00</w:t>
            </w:r>
          </w:p>
        </w:tc>
      </w:tr>
    </w:tbl>
    <w:p>
      <w:pPr>
        <w:widowControl w:val="0"/>
        <w:spacing w:after="239" w:line="1" w:lineRule="exact"/>
      </w:pPr>
    </w:p>
    <w:p>
      <w:pPr>
        <w:pStyle w:val="Style28"/>
        <w:keepNext w:val="0"/>
        <w:keepLines w:val="0"/>
        <w:widowControl w:val="0"/>
        <w:shd w:val="clear" w:color="auto" w:fill="auto"/>
        <w:bidi w:val="0"/>
        <w:spacing w:before="0" w:after="0" w:line="313" w:lineRule="exact"/>
        <w:ind w:left="0" w:right="0" w:firstLine="0"/>
        <w:jc w:val="both"/>
      </w:pPr>
      <w:r>
        <w:rPr>
          <w:rFonts w:ascii="Arial" w:eastAsia="Arial" w:hAnsi="Arial" w:cs="Arial"/>
          <w:color w:val="000000"/>
          <w:spacing w:val="0"/>
          <w:w w:val="100"/>
          <w:position w:val="0"/>
          <w:sz w:val="18"/>
          <w:szCs w:val="18"/>
        </w:rPr>
        <w:t>（2）</w:t>
      </w:r>
      <w:r>
        <w:rPr>
          <w:color w:val="000000"/>
          <w:spacing w:val="0"/>
          <w:w w:val="100"/>
          <w:position w:val="0"/>
        </w:rPr>
        <w:t>汇率风险</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汇率风险，是指金融工具的公允价值或未来现金流量因外汇汇率变动而发生波动的风险。本公司面临的汇率风险主要来源于 境外公司业务不断扩展，人民币汇率的变动将在一定程度上影响公司的盈利能力（综合收益总额）。一方面公司业务在国际 市场中主要以美元和日元计价，在合同价格不变的情况下，人民币升值将造成公司利润（综合收益）空间收窄。本公司尽可 能将外币收入与外币支出相匹配以降低汇率风险。</w:t>
      </w:r>
    </w:p>
    <w:p>
      <w:pPr>
        <w:pStyle w:val="Style28"/>
        <w:keepNext w:val="0"/>
        <w:keepLines w:val="0"/>
        <w:widowControl w:val="0"/>
        <w:shd w:val="clear" w:color="auto" w:fill="auto"/>
        <w:bidi w:val="0"/>
        <w:spacing w:before="0" w:after="80" w:line="313" w:lineRule="exact"/>
        <w:ind w:left="0" w:right="0" w:firstLine="0"/>
        <w:jc w:val="both"/>
      </w:pPr>
      <w:r>
        <w:rPr>
          <w:color w:val="000000"/>
          <w:spacing w:val="0"/>
          <w:w w:val="100"/>
          <w:position w:val="0"/>
        </w:rPr>
        <w:t>本公司面临的汇率风险主要来源于以美元、新台币计价的货币资金、应收账款，外币货币资金、应收账款折算成人民币的金 额列示如下：</w:t>
      </w:r>
    </w:p>
    <w:p>
      <w:pPr>
        <w:pStyle w:val="Style38"/>
        <w:keepNext w:val="0"/>
        <w:keepLines w:val="0"/>
        <w:widowControl w:val="0"/>
        <w:shd w:val="clear" w:color="auto" w:fill="auto"/>
        <w:bidi w:val="0"/>
        <w:spacing w:before="0" w:after="0" w:line="240" w:lineRule="auto"/>
        <w:ind w:left="8837" w:right="0" w:firstLine="0"/>
        <w:jc w:val="left"/>
        <w:rPr>
          <w:sz w:val="17"/>
          <w:szCs w:val="17"/>
        </w:rPr>
      </w:pPr>
      <w:r>
        <w:rPr>
          <w:b w:val="0"/>
          <w:bCs w:val="0"/>
          <w:color w:val="000000"/>
          <w:spacing w:val="0"/>
          <w:w w:val="100"/>
          <w:position w:val="0"/>
          <w:sz w:val="17"/>
          <w:szCs w:val="17"/>
        </w:rPr>
        <w:t>单位： 元</w:t>
      </w:r>
    </w:p>
    <w:tbl>
      <w:tblPr>
        <w:tblOverlap w:val="never"/>
        <w:jc w:val="center"/>
        <w:tblLayout w:type="fixed"/>
      </w:tblPr>
      <w:tblGrid>
        <w:gridCol w:w="2736"/>
        <w:gridCol w:w="3533"/>
        <w:gridCol w:w="340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346,774,234.38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343,108,428.56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174,712,422.75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271,869,929.54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734,873.08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11,489,989.49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798,152.22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228,875.72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3,893,954.51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527,118,246.95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626,697,223.31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31,209,072.67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37,144,714.13</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日元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48,713,198.65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45,370,425.57</w:t>
            </w:r>
          </w:p>
        </w:tc>
      </w:tr>
    </w:tbl>
    <w:p>
      <w:pPr>
        <w:widowControl w:val="0"/>
        <w:spacing w:line="1" w:lineRule="exact"/>
      </w:pPr>
      <w:r>
        <w:br w:type="page"/>
      </w:r>
    </w:p>
    <w:tbl>
      <w:tblPr>
        <w:tblOverlap w:val="never"/>
        <w:jc w:val="center"/>
        <w:tblLayout w:type="fixed"/>
      </w:tblPr>
      <w:tblGrid>
        <w:gridCol w:w="2736"/>
        <w:gridCol w:w="3533"/>
        <w:gridCol w:w="3408"/>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6,650,559.15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8,363,329.55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4,742,483.13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164,418.58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292,362.32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455,624.93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92,063,300.85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91,042,887.83</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619,181,547.80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717,740,111.14</w:t>
            </w:r>
          </w:p>
        </w:tc>
      </w:tr>
    </w:tbl>
    <w:p>
      <w:pPr>
        <w:widowControl w:val="0"/>
        <w:spacing w:after="259" w:line="1" w:lineRule="exact"/>
      </w:pPr>
    </w:p>
    <w:p>
      <w:pPr>
        <w:pStyle w:val="Style28"/>
        <w:keepNext w:val="0"/>
        <w:keepLines w:val="0"/>
        <w:widowControl w:val="0"/>
        <w:numPr>
          <w:ilvl w:val="0"/>
          <w:numId w:val="67"/>
        </w:numPr>
        <w:shd w:val="clear" w:color="auto" w:fill="auto"/>
        <w:bidi w:val="0"/>
        <w:spacing w:before="0" w:after="0" w:line="312" w:lineRule="exact"/>
        <w:ind w:left="0" w:right="0" w:firstLine="0"/>
        <w:jc w:val="both"/>
      </w:pPr>
      <w:bookmarkStart w:id="1501" w:name="bookmark1501"/>
      <w:bookmarkEnd w:id="1501"/>
      <w:r>
        <w:rPr>
          <w:color w:val="000000"/>
          <w:spacing w:val="0"/>
          <w:w w:val="100"/>
          <w:position w:val="0"/>
        </w:rPr>
        <w:t>其他价格风险</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本公司主要持有保本浮动收益的结构性存款和其他公司的权益投资，管理层认为这些投资活动面临的市场价格风险是可以接 受的。</w:t>
      </w:r>
    </w:p>
    <w:p>
      <w:pPr>
        <w:pStyle w:val="Style28"/>
        <w:keepNext w:val="0"/>
        <w:keepLines w:val="0"/>
        <w:widowControl w:val="0"/>
        <w:shd w:val="clear" w:color="auto" w:fill="auto"/>
        <w:bidi w:val="0"/>
        <w:spacing w:before="0" w:after="80" w:line="312" w:lineRule="exact"/>
        <w:ind w:left="0" w:right="0" w:firstLine="0"/>
        <w:jc w:val="both"/>
      </w:pPr>
      <w:r>
        <w:rPr>
          <w:color w:val="000000"/>
          <w:spacing w:val="0"/>
          <w:w w:val="100"/>
          <w:position w:val="0"/>
        </w:rPr>
        <w:t>本公司持有的保本浮动收益的结构性存款和其他公司权益投资列示如下：</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5270"/>
        <w:gridCol w:w="2107"/>
        <w:gridCol w:w="2299"/>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19,573,320.74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23,436,180.00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47,383,638.36</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90,837,669.90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70,819,818.36</w:t>
            </w:r>
          </w:p>
        </w:tc>
      </w:tr>
    </w:tbl>
    <w:p>
      <w:pPr>
        <w:widowControl w:val="0"/>
        <w:spacing w:after="259" w:line="1" w:lineRule="exact"/>
      </w:pPr>
    </w:p>
    <w:p>
      <w:pPr>
        <w:pStyle w:val="Style35"/>
        <w:keepNext w:val="0"/>
        <w:keepLines w:val="0"/>
        <w:widowControl w:val="0"/>
        <w:numPr>
          <w:ilvl w:val="0"/>
          <w:numId w:val="69"/>
        </w:numPr>
        <w:shd w:val="clear" w:color="auto" w:fill="auto"/>
        <w:bidi w:val="0"/>
        <w:spacing w:before="0" w:after="0" w:line="315" w:lineRule="exact"/>
        <w:ind w:left="0" w:right="0" w:firstLine="0"/>
        <w:jc w:val="both"/>
        <w:rPr>
          <w:sz w:val="20"/>
          <w:szCs w:val="20"/>
        </w:rPr>
      </w:pPr>
      <w:bookmarkStart w:id="1502" w:name="bookmark1502"/>
      <w:bookmarkEnd w:id="1502"/>
      <w:r>
        <w:rPr>
          <w:b/>
          <w:bCs/>
          <w:color w:val="000000"/>
          <w:spacing w:val="0"/>
          <w:w w:val="100"/>
          <w:position w:val="0"/>
          <w:sz w:val="20"/>
          <w:szCs w:val="20"/>
        </w:rPr>
        <w:t>流动性风险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流动性风险，是指企业在履行以交付现金或其他金融资产的方式结算的义务时发生资金短缺的风险。</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本公司的目标是运用银行借款、增发股本等多种融资手段以保持融资的持续性与灵活性的平衡。</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管理流动风险时，本公司保持管理层认为充分的现金及现金等价物并对其进行监控，以满足本公司经营需要，并降低现金流 量波动的影响。</w:t>
      </w:r>
    </w:p>
    <w:p>
      <w:pPr>
        <w:pStyle w:val="Style28"/>
        <w:keepNext w:val="0"/>
        <w:keepLines w:val="0"/>
        <w:widowControl w:val="0"/>
        <w:shd w:val="clear" w:color="auto" w:fill="auto"/>
        <w:bidi w:val="0"/>
        <w:spacing w:before="0" w:after="300" w:line="315" w:lineRule="exact"/>
        <w:ind w:left="0" w:right="0" w:firstLine="0"/>
        <w:jc w:val="both"/>
      </w:pPr>
      <w:r>
        <w:rPr>
          <w:color w:val="000000"/>
          <w:spacing w:val="0"/>
          <w:w w:val="100"/>
          <w:position w:val="0"/>
        </w:rPr>
        <w:t>本公司的政策是确保拥有充足的现金以偿还到期债务。流动性风险由本公司的财务部门集中控制。财务部门通过监控现金余 额、可随时变现的有价证券以及对未来</w:t>
      </w:r>
      <w:r>
        <w:rPr>
          <w:rFonts w:ascii="Arial" w:eastAsia="Arial" w:hAnsi="Arial" w:cs="Arial"/>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 债务。</w:t>
      </w:r>
    </w:p>
    <w:p>
      <w:pPr>
        <w:pStyle w:val="Style28"/>
        <w:keepNext w:val="0"/>
        <w:keepLines w:val="0"/>
        <w:widowControl w:val="0"/>
        <w:shd w:val="clear" w:color="auto" w:fill="auto"/>
        <w:bidi w:val="0"/>
        <w:spacing w:before="0" w:after="400" w:line="315" w:lineRule="exact"/>
        <w:ind w:left="0" w:right="0" w:firstLine="0"/>
        <w:jc w:val="both"/>
      </w:pPr>
      <w:r>
        <w:rPr>
          <w:color w:val="000000"/>
          <w:spacing w:val="0"/>
          <w:w w:val="100"/>
          <w:position w:val="0"/>
        </w:rPr>
        <w:t>本公司各项金融负债以未折现的合同现金流量按到期日列示如下：</w:t>
      </w:r>
    </w:p>
    <w:p>
      <w:pPr>
        <w:pStyle w:val="Style38"/>
        <w:keepNext w:val="0"/>
        <w:keepLines w:val="0"/>
        <w:widowControl w:val="0"/>
        <w:shd w:val="clear" w:color="auto" w:fill="auto"/>
        <w:bidi w:val="0"/>
        <w:spacing w:before="0" w:after="0" w:line="240" w:lineRule="auto"/>
        <w:ind w:left="8837" w:right="0" w:firstLine="0"/>
        <w:jc w:val="left"/>
        <w:rPr>
          <w:sz w:val="17"/>
          <w:szCs w:val="17"/>
        </w:rPr>
      </w:pPr>
      <w:r>
        <w:rPr>
          <w:b w:val="0"/>
          <w:bCs w:val="0"/>
          <w:color w:val="000000"/>
          <w:spacing w:val="0"/>
          <w:w w:val="100"/>
          <w:position w:val="0"/>
          <w:sz w:val="17"/>
          <w:szCs w:val="17"/>
        </w:rPr>
        <w:t>单位： 元</w:t>
      </w:r>
    </w:p>
    <w:tbl>
      <w:tblPr>
        <w:tblOverlap w:val="never"/>
        <w:jc w:val="center"/>
        <w:tblLayout w:type="fixed"/>
      </w:tblPr>
      <w:tblGrid>
        <w:gridCol w:w="1723"/>
        <w:gridCol w:w="2194"/>
        <w:gridCol w:w="1901"/>
        <w:gridCol w:w="1661"/>
        <w:gridCol w:w="2198"/>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80"/>
              <w:jc w:val="left"/>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8"/>
                <w:szCs w:val="18"/>
              </w:rPr>
              <w:t>0</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574,218,435.05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574,218,435.05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756,173,164.29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756,173,164.29</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44,484,116.76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44,484,116.76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63,319,771.53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41,074,264.00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104,394,035.53</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682,022,323.34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41,074,264.00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756,173,164.29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1,479,269,751.63</w:t>
            </w:r>
          </w:p>
        </w:tc>
      </w:tr>
    </w:tbl>
    <w:p>
      <w:pPr>
        <w:widowControl w:val="0"/>
        <w:spacing w:after="339" w:line="1" w:lineRule="exact"/>
      </w:pPr>
    </w:p>
    <w:p>
      <w:pPr>
        <w:pStyle w:val="Style28"/>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其中：</w:t>
      </w:r>
      <w:r>
        <w:rPr>
          <w:rFonts w:ascii="Arial" w:eastAsia="Arial" w:hAnsi="Arial" w:cs="Arial"/>
          <w:color w:val="000000"/>
          <w:spacing w:val="0"/>
          <w:w w:val="100"/>
          <w:position w:val="0"/>
          <w:sz w:val="18"/>
          <w:szCs w:val="18"/>
        </w:rPr>
        <w:t>1</w:t>
      </w:r>
      <w:r>
        <w:rPr>
          <w:color w:val="000000"/>
          <w:spacing w:val="0"/>
          <w:w w:val="100"/>
          <w:position w:val="0"/>
        </w:rPr>
        <w:t>年以内的其他应付款</w:t>
      </w:r>
      <w:r>
        <w:rPr>
          <w:rFonts w:ascii="Arial" w:eastAsia="Arial" w:hAnsi="Arial" w:cs="Arial"/>
          <w:color w:val="000000"/>
          <w:spacing w:val="0"/>
          <w:w w:val="100"/>
          <w:position w:val="0"/>
          <w:sz w:val="18"/>
          <w:szCs w:val="18"/>
        </w:rPr>
        <w:t xml:space="preserve">7,443. </w:t>
      </w:r>
      <w:r>
        <w:rPr>
          <w:rFonts w:ascii="Arial" w:eastAsia="Arial" w:hAnsi="Arial" w:cs="Arial"/>
          <w:color w:val="000000"/>
          <w:spacing w:val="0"/>
          <w:w w:val="100"/>
          <w:position w:val="0"/>
          <w:sz w:val="18"/>
          <w:szCs w:val="18"/>
        </w:rPr>
        <w:t>94</w:t>
      </w:r>
      <w:r>
        <w:rPr>
          <w:color w:val="000000"/>
          <w:spacing w:val="0"/>
          <w:w w:val="100"/>
          <w:position w:val="0"/>
        </w:rPr>
        <w:t>万元系限制性股票回购义务应付款。</w:t>
      </w:r>
      <w:r>
        <w:br w:type="page"/>
      </w:r>
    </w:p>
    <w:p>
      <w:pPr>
        <w:pStyle w:val="Style26"/>
        <w:keepNext/>
        <w:keepLines/>
        <w:widowControl w:val="0"/>
        <w:shd w:val="clear" w:color="auto" w:fill="auto"/>
        <w:bidi w:val="0"/>
        <w:spacing w:before="0" w:after="360" w:line="240" w:lineRule="auto"/>
        <w:ind w:left="0" w:right="0" w:firstLine="0"/>
        <w:jc w:val="left"/>
      </w:pPr>
      <w:bookmarkStart w:id="1503" w:name="bookmark1503"/>
      <w:bookmarkStart w:id="1504" w:name="bookmark1504"/>
      <w:bookmarkStart w:id="1505" w:name="bookmark1505"/>
      <w:r>
        <w:rPr>
          <w:color w:val="000000"/>
          <w:spacing w:val="0"/>
          <w:w w:val="100"/>
          <w:position w:val="0"/>
        </w:rPr>
        <w:t>十^一、公允价值的披露</w:t>
      </w:r>
      <w:bookmarkEnd w:id="1503"/>
      <w:bookmarkEnd w:id="1504"/>
      <w:bookmarkEnd w:id="1505"/>
    </w:p>
    <w:p>
      <w:pPr>
        <w:pStyle w:val="Style32"/>
        <w:keepNext/>
        <w:keepLines/>
        <w:widowControl w:val="0"/>
        <w:shd w:val="clear" w:color="auto" w:fill="auto"/>
        <w:bidi w:val="0"/>
        <w:spacing w:before="0" w:after="360" w:line="240" w:lineRule="auto"/>
        <w:ind w:left="0" w:right="0" w:firstLine="0"/>
        <w:jc w:val="left"/>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06"/>
      <w:bookmarkEnd w:id="1507"/>
      <w:bookmarkEnd w:id="1508"/>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第一层次公允价值计</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19,573,320.74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19,573,320.74</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19,573,320.74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19,573,320.74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30,927,390.00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（六）其他非流动金融资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40,336,959.16</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40,336,959.16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40,336,959.16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19,573,320.74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71,264,349.16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90,837,669.90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2</w:t>
      </w:r>
      <w:r>
        <w:rPr>
          <w:color w:val="000000"/>
          <w:spacing w:val="0"/>
          <w:w w:val="100"/>
          <w:position w:val="0"/>
        </w:rPr>
        <w:t>、持续和非持续第二层次公允价值计量项目，采用的估值技术和重要参数的定性及定量信息</w:t>
      </w:r>
      <w:bookmarkEnd w:id="1509"/>
      <w:bookmarkEnd w:id="1510"/>
      <w:bookmarkEnd w:id="1511"/>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本公司持有的交易性金融资产为理财产品其公允价值根据合同挂钩标的观察值及约定的资产负债表日的预期收益率确定。</w:t>
      </w:r>
    </w:p>
    <w:p>
      <w:pPr>
        <w:pStyle w:val="Style32"/>
        <w:keepNext/>
        <w:keepLines/>
        <w:widowControl w:val="0"/>
        <w:shd w:val="clear" w:color="auto" w:fill="auto"/>
        <w:bidi w:val="0"/>
        <w:spacing w:before="0" w:after="36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3</w:t>
      </w:r>
      <w:bookmarkEnd w:id="1514"/>
      <w:r>
        <w:rPr>
          <w:color w:val="000000"/>
          <w:spacing w:val="0"/>
          <w:w w:val="100"/>
          <w:position w:val="0"/>
        </w:rPr>
        <w:t>、持续和非持续第三层次公允价值计量项目，采用的估值技术和重要参数的定性及定量信息</w:t>
      </w:r>
      <w:bookmarkEnd w:id="1512"/>
      <w:bookmarkEnd w:id="1513"/>
      <w:bookmarkEnd w:id="1515"/>
    </w:p>
    <w:p>
      <w:pPr>
        <w:pStyle w:val="Style38"/>
        <w:keepNext w:val="0"/>
        <w:keepLines w:val="0"/>
        <w:widowControl w:val="0"/>
        <w:shd w:val="clear" w:color="auto" w:fill="auto"/>
        <w:bidi w:val="0"/>
        <w:spacing w:before="0" w:after="0" w:line="240" w:lineRule="auto"/>
        <w:ind w:left="7867"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728"/>
        <w:gridCol w:w="1738"/>
        <w:gridCol w:w="2453"/>
        <w:gridCol w:w="2102"/>
        <w:gridCol w:w="1656"/>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20"/>
              <w:jc w:val="left"/>
              <w:rPr>
                <w:sz w:val="17"/>
                <w:szCs w:val="17"/>
              </w:rPr>
            </w:pPr>
            <w:r>
              <w:rPr>
                <w:color w:val="000000"/>
                <w:spacing w:val="0"/>
                <w:w w:val="100"/>
                <w:position w:val="0"/>
                <w:sz w:val="17"/>
                <w:szCs w:val="17"/>
              </w:rPr>
              <w:t>期末公允价值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估值技术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不可观察输入值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范围区间（加权平均 值）</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30,927,390.00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公允价值的最佳估计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市盈率等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40,336,959.16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71,264,349.16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317" w:lineRule="exact"/>
        <w:ind w:left="0" w:right="0" w:firstLine="0"/>
        <w:jc w:val="left"/>
        <w:rPr>
          <w:sz w:val="17"/>
          <w:szCs w:val="17"/>
        </w:rPr>
      </w:pPr>
      <w:r>
        <w:rPr>
          <w:b w:val="0"/>
          <w:bCs w:val="0"/>
          <w:color w:val="000000"/>
          <w:spacing w:val="0"/>
          <w:w w:val="100"/>
          <w:position w:val="0"/>
          <w:sz w:val="17"/>
          <w:szCs w:val="17"/>
        </w:rPr>
        <w:t>注：公司持有的第三层次公允价值计量的其他权益工具及其他非流动金融资产系本公司持有的非上市公司的股权投资，本公 司参考评估师出具的评估报告评估结果确定其公允价值。</w:t>
      </w:r>
    </w:p>
    <w:p>
      <w:pPr>
        <w:pStyle w:val="Style32"/>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color w:val="000000"/>
          <w:spacing w:val="0"/>
          <w:w w:val="100"/>
          <w:position w:val="0"/>
        </w:rPr>
        <w:t>、其他</w:t>
      </w:r>
      <w:bookmarkEnd w:id="1516"/>
      <w:bookmarkEnd w:id="1517"/>
      <w:bookmarkEnd w:id="1519"/>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公允价值计量所使用的输入值划分为三个层次：</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第一层次输入值是在计量日能够取得的相同资产或负债在活跃市场上未经调整的报价。</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第二层次输入值是除第一层次输入值外相关资产或负债直接或间接可观察的输入值。</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第三层次输入值是相关资产或负债的不可观察输入值。</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公允价值计量结果所属的层次，由对公允价值计量整体而言具有重要意义的输入值所属的最低层次决定。</w:t>
      </w:r>
    </w:p>
    <w:p>
      <w:pPr>
        <w:pStyle w:val="Style26"/>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r>
        <w:rPr>
          <w:color w:val="000000"/>
          <w:spacing w:val="0"/>
          <w:w w:val="100"/>
          <w:position w:val="0"/>
        </w:rPr>
        <w:t>十二、关联方及关联交易</w:t>
      </w:r>
      <w:bookmarkEnd w:id="1520"/>
      <w:bookmarkEnd w:id="1521"/>
      <w:bookmarkEnd w:id="1522"/>
    </w:p>
    <w:p>
      <w:pPr>
        <w:pStyle w:val="Style32"/>
        <w:keepNext/>
        <w:keepLines/>
        <w:widowControl w:val="0"/>
        <w:shd w:val="clear" w:color="auto" w:fill="auto"/>
        <w:bidi w:val="0"/>
        <w:spacing w:before="0" w:after="320" w:line="240" w:lineRule="auto"/>
        <w:ind w:left="0" w:right="0" w:firstLine="0"/>
        <w:jc w:val="left"/>
      </w:pPr>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23"/>
      <w:bookmarkEnd w:id="1524"/>
      <w:bookmarkEnd w:id="1525"/>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母公司对本企业的 表决权比例</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480" w:line="240" w:lineRule="auto"/>
        <w:ind w:left="0" w:right="0" w:firstLine="0"/>
        <w:jc w:val="left"/>
      </w:pPr>
      <w:r>
        <w:rPr>
          <w:color w:val="000000"/>
          <w:spacing w:val="0"/>
          <w:w w:val="100"/>
          <w:position w:val="0"/>
        </w:rPr>
        <w:t>本截至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日，本公司无母公司。</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本企业最终控制方是范建震和陈迪清先生。</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color w:val="000000"/>
          <w:spacing w:val="0"/>
          <w:w w:val="100"/>
          <w:position w:val="0"/>
        </w:rPr>
        <w:t>、</w:t>
        <w:tab/>
        <w:t>本企业的子公司情况</w:t>
      </w:r>
      <w:bookmarkEnd w:id="1526"/>
      <w:bookmarkEnd w:id="1527"/>
      <w:bookmarkEnd w:id="152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378" w:val="left"/>
        </w:tabs>
        <w:bidi w:val="0"/>
        <w:spacing w:before="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color w:val="000000"/>
          <w:spacing w:val="0"/>
          <w:w w:val="100"/>
          <w:position w:val="0"/>
        </w:rPr>
        <w:t>、</w:t>
        <w:tab/>
        <w:t>本企业合营和联营企业情况</w:t>
      </w:r>
      <w:bookmarkEnd w:id="1530"/>
      <w:bookmarkEnd w:id="1531"/>
      <w:bookmarkEnd w:id="153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汉得知云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受同一实际控制人控制的联营企业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甄实建筑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2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color w:val="000000"/>
          <w:spacing w:val="0"/>
          <w:w w:val="100"/>
          <w:position w:val="0"/>
        </w:rPr>
        <w:t>、其他关联方情况</w:t>
      </w:r>
      <w:bookmarkEnd w:id="1534"/>
      <w:bookmarkEnd w:id="1535"/>
      <w:bookmarkEnd w:id="153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北京百度网讯科技有限公司（以下简称''百度网讯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以上股份的股东</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r>
        <w:br w:type="page"/>
      </w:r>
    </w:p>
    <w:p>
      <w:pPr>
        <w:pStyle w:val="Style32"/>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color w:val="000000"/>
          <w:spacing w:val="0"/>
          <w:w w:val="100"/>
          <w:position w:val="0"/>
        </w:rPr>
        <w:t>、关联交易情况</w:t>
      </w:r>
      <w:bookmarkEnd w:id="1538"/>
      <w:bookmarkEnd w:id="1539"/>
      <w:bookmarkEnd w:id="1541"/>
    </w:p>
    <w:p>
      <w:pPr>
        <w:pStyle w:val="Style41"/>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42"/>
      <w:bookmarkEnd w:id="1543"/>
      <w:bookmarkEnd w:id="154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4,586,142.77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5,801,802.77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13,130,093.64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75,444,296.80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3,592,681.55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4,913,829.86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1,390,529.66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192,085.49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147,547.16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257,070.30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5,239,977.78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562,670.98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4,890,720.13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云产品服务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693,690.40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1,040,011.10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软件采购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320,309.72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5" w:right="0" w:firstLine="0"/>
        <w:jc w:val="left"/>
        <w:rPr>
          <w:sz w:val="17"/>
          <w:szCs w:val="17"/>
        </w:rPr>
      </w:pPr>
      <w:r>
        <w:rPr>
          <w:b w:val="0"/>
          <w:bCs w:val="0"/>
          <w:color w:val="000000"/>
          <w:spacing w:val="0"/>
          <w:w w:val="100"/>
          <w:position w:val="0"/>
          <w:sz w:val="17"/>
          <w:szCs w:val="17"/>
        </w:rPr>
        <w:t>出售商品</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提供劳务情况表</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3,009,437.08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254,716.98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2,277,725.56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12,767,487.11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3,021,592.92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2,607,267.95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232,735.85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140,382.07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48,396,148.74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32,286,792.44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16,548,672.57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汉得知云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121,084.90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汉得知云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2,712,734.26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756,318.96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921,433.72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7,686,618.82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653,584.79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甄实建筑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2,293,445.56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5,964,750.77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甄实建筑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客户支持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335,949.05</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购销商品、提供和接受劳务的关联交易说明</w:t>
      </w:r>
      <w:r>
        <w:br w:type="page"/>
      </w:r>
    </w:p>
    <w:p>
      <w:pPr>
        <w:pStyle w:val="Style41"/>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45"/>
      <w:bookmarkEnd w:id="1546"/>
      <w:bookmarkEnd w:id="154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甄实建筑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178,209.55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357,820.85</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本公司作为承租方:</w:t>
      </w:r>
    </w:p>
    <w:p>
      <w:pPr>
        <w:widowControl w:val="0"/>
        <w:spacing w:after="13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上期确认的租赁费</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41"/>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548"/>
      <w:bookmarkEnd w:id="1549"/>
      <w:bookmarkEnd w:id="1551"/>
    </w:p>
    <w:p>
      <w:pPr>
        <w:pStyle w:val="Style3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汉得知云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904,179.46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收回 </w:t>
            </w:r>
            <w:r>
              <w:rPr>
                <w:rFonts w:ascii="Times New Roman" w:eastAsia="Times New Roman" w:hAnsi="Times New Roman" w:cs="Times New Roman"/>
                <w:color w:val="000000"/>
                <w:spacing w:val="0"/>
                <w:w w:val="100"/>
                <w:position w:val="0"/>
                <w:sz w:val="18"/>
                <w:szCs w:val="18"/>
              </w:rPr>
              <w:t xml:space="preserve">991,992.82 </w:t>
            </w:r>
            <w:r>
              <w:rPr>
                <w:color w:val="000000"/>
                <w:spacing w:val="0"/>
                <w:w w:val="100"/>
                <w:position w:val="0"/>
                <w:sz w:val="17"/>
                <w:szCs w:val="17"/>
              </w:rPr>
              <w:t>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3,735,803.32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收回 </w:t>
            </w:r>
            <w:r>
              <w:rPr>
                <w:rFonts w:ascii="Times New Roman" w:eastAsia="Times New Roman" w:hAnsi="Times New Roman" w:cs="Times New Roman"/>
                <w:color w:val="000000"/>
                <w:spacing w:val="0"/>
                <w:w w:val="100"/>
                <w:position w:val="0"/>
                <w:sz w:val="18"/>
                <w:szCs w:val="18"/>
              </w:rPr>
              <w:t xml:space="preserve">7,352,946.07 </w:t>
            </w:r>
            <w:r>
              <w:rPr>
                <w:color w:val="000000"/>
                <w:spacing w:val="0"/>
                <w:w w:val="100"/>
                <w:position w:val="0"/>
                <w:sz w:val="17"/>
                <w:szCs w:val="17"/>
              </w:rPr>
              <w:t>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8,692,149.44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收回 </w:t>
            </w:r>
            <w:r>
              <w:rPr>
                <w:rFonts w:ascii="Times New Roman" w:eastAsia="Times New Roman" w:hAnsi="Times New Roman" w:cs="Times New Roman"/>
                <w:color w:val="000000"/>
                <w:spacing w:val="0"/>
                <w:w w:val="100"/>
                <w:position w:val="0"/>
                <w:sz w:val="18"/>
                <w:szCs w:val="18"/>
              </w:rPr>
              <w:t xml:space="preserve">9,339,182.44 </w:t>
            </w:r>
            <w:r>
              <w:rPr>
                <w:color w:val="000000"/>
                <w:spacing w:val="0"/>
                <w:w w:val="100"/>
                <w:position w:val="0"/>
                <w:sz w:val="17"/>
                <w:szCs w:val="17"/>
              </w:rPr>
              <w:t>元</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甄实建筑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156,570.81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收回 </w:t>
            </w:r>
            <w:r>
              <w:rPr>
                <w:rFonts w:ascii="Times New Roman" w:eastAsia="Times New Roman" w:hAnsi="Times New Roman" w:cs="Times New Roman"/>
                <w:color w:val="000000"/>
                <w:spacing w:val="0"/>
                <w:w w:val="100"/>
                <w:position w:val="0"/>
                <w:sz w:val="18"/>
                <w:szCs w:val="18"/>
              </w:rPr>
              <w:t xml:space="preserve">153,154.89 </w:t>
            </w:r>
            <w:r>
              <w:rPr>
                <w:color w:val="000000"/>
                <w:spacing w:val="0"/>
                <w:w w:val="100"/>
                <w:position w:val="0"/>
                <w:sz w:val="17"/>
                <w:szCs w:val="17"/>
              </w:rPr>
              <w:t>元</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4</w:t>
      </w:r>
      <w:r>
        <w:rPr>
          <w:color w:val="000000"/>
          <w:spacing w:val="0"/>
          <w:w w:val="100"/>
          <w:position w:val="0"/>
        </w:rPr>
        <w:t>）关联方资产转让、债务重组情况</w:t>
      </w:r>
      <w:bookmarkEnd w:id="1552"/>
      <w:bookmarkEnd w:id="1553"/>
      <w:bookmarkEnd w:id="155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固定资产出售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143,795.29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w:t>
      </w:r>
      <w:bookmarkEnd w:id="1558"/>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556"/>
      <w:bookmarkEnd w:id="1557"/>
      <w:bookmarkEnd w:id="155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2,192,400.00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6</w:t>
      </w:r>
      <w:bookmarkEnd w:id="1562"/>
      <w:r>
        <w:rPr>
          <w:color w:val="000000"/>
          <w:spacing w:val="0"/>
          <w:w w:val="100"/>
          <w:position w:val="0"/>
        </w:rPr>
        <w:t>、关联方应收应付款项</w:t>
      </w:r>
      <w:bookmarkEnd w:id="1560"/>
      <w:bookmarkEnd w:id="1561"/>
      <w:bookmarkEnd w:id="1563"/>
    </w:p>
    <w:p>
      <w:pPr>
        <w:pStyle w:val="Style41"/>
        <w:keepNext/>
        <w:keepLines/>
        <w:widowControl w:val="0"/>
        <w:shd w:val="clear" w:color="auto" w:fill="auto"/>
        <w:bidi w:val="0"/>
        <w:spacing w:before="0" w:line="240" w:lineRule="auto"/>
        <w:ind w:left="0" w:right="0" w:firstLine="0"/>
        <w:jc w:val="both"/>
      </w:pPr>
      <w:bookmarkStart w:id="1564" w:name="bookmark1564"/>
      <w:bookmarkStart w:id="1565" w:name="bookmark1565"/>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64"/>
      <w:bookmarkEnd w:id="1565"/>
      <w:bookmarkEnd w:id="1566"/>
    </w:p>
    <w:p>
      <w:pPr>
        <w:pStyle w:val="Style28"/>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百度网讯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8,519,553.08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425,977.65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9,406,075.53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470,303.78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32,748,135.12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1,637,406.76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汉得知云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8,790,269.15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7,259,270.14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8,759,664.04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3,028,100.28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2,368,010.23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348,550.42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4,442,185.16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222,109.26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甄实建筑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6,853,688.10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2,332,870.52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6,528,741.81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326,437.09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286,658.76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938,132.76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46,906.64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汉得知云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306,506.56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3,923,649.31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196,182.47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甄实建筑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556,786.58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百度网讯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241,360.00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67"/>
      <w:bookmarkEnd w:id="1568"/>
      <w:bookmarkEnd w:id="156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31,348,540.47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49,788,346.04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711,615.36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3,082,581.08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汉得知云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3,841,807.15</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r>
        <w:rPr>
          <w:color w:val="000000"/>
          <w:spacing w:val="0"/>
          <w:w w:val="100"/>
          <w:position w:val="0"/>
        </w:rPr>
        <w:t>十三、股份支付</w:t>
      </w:r>
      <w:bookmarkEnd w:id="1570"/>
      <w:bookmarkEnd w:id="1571"/>
      <w:bookmarkEnd w:id="1572"/>
    </w:p>
    <w:p>
      <w:pPr>
        <w:pStyle w:val="Style32"/>
        <w:keepNext/>
        <w:keepLines/>
        <w:widowControl w:val="0"/>
        <w:shd w:val="clear" w:color="auto" w:fill="auto"/>
        <w:bidi w:val="0"/>
        <w:spacing w:before="0" w:after="320" w:line="240" w:lineRule="auto"/>
        <w:ind w:left="0" w:right="0" w:firstLine="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73"/>
      <w:bookmarkEnd w:id="1574"/>
      <w:bookmarkEnd w:id="1575"/>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公司本期回购的限制性股票总额：</w:t>
      </w:r>
      <w:r>
        <w:rPr>
          <w:rFonts w:ascii="Times New Roman" w:eastAsia="Times New Roman" w:hAnsi="Times New Roman" w:cs="Times New Roman"/>
          <w:color w:val="000000"/>
          <w:spacing w:val="0"/>
          <w:w w:val="100"/>
          <w:position w:val="0"/>
          <w:sz w:val="18"/>
          <w:szCs w:val="18"/>
        </w:rPr>
        <w:t>11,733,400</w:t>
      </w:r>
      <w:r>
        <w:rPr>
          <w:color w:val="000000"/>
          <w:spacing w:val="0"/>
          <w:w w:val="100"/>
          <w:position w:val="0"/>
        </w:rPr>
        <w:t>股。</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公司本期注销的回购股票总额：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公司期末发行在外的限制性股票行权价格的范围和合同剩余期限:</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年度股权激励</w:t>
      </w:r>
    </w:p>
    <w:tbl>
      <w:tblPr>
        <w:tblOverlap w:val="never"/>
        <w:jc w:val="center"/>
        <w:tblLayout w:type="fixed"/>
      </w:tblPr>
      <w:tblGrid>
        <w:gridCol w:w="1656"/>
        <w:gridCol w:w="2491"/>
        <w:gridCol w:w="2496"/>
        <w:gridCol w:w="303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限制性股票数量（股）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授予价格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合同（解锁）剩余期限</w:t>
            </w: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第三期解禁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5,606,000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w:t>
            </w:r>
          </w:p>
        </w:tc>
      </w:tr>
    </w:tbl>
    <w:p>
      <w:pPr>
        <w:widowControl w:val="0"/>
        <w:spacing w:after="37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2018</w:t>
      </w:r>
      <w:r>
        <w:rPr>
          <w:b w:val="0"/>
          <w:bCs w:val="0"/>
          <w:color w:val="000000"/>
          <w:spacing w:val="0"/>
          <w:w w:val="100"/>
          <w:position w:val="0"/>
          <w:sz w:val="17"/>
          <w:szCs w:val="17"/>
        </w:rPr>
        <w:t>年度股权激励</w:t>
      </w:r>
    </w:p>
    <w:tbl>
      <w:tblPr>
        <w:tblOverlap w:val="never"/>
        <w:jc w:val="center"/>
        <w:tblLayout w:type="fixed"/>
      </w:tblPr>
      <w:tblGrid>
        <w:gridCol w:w="1661"/>
        <w:gridCol w:w="2491"/>
        <w:gridCol w:w="2482"/>
        <w:gridCol w:w="3043"/>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限制性股票数量（股）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授予价格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合同（解锁）剩余期限</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第二期解禁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3,359,400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个月</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第三期解禁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4,479,200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个月</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7,838,600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1.2017</w:t>
      </w:r>
      <w:r>
        <w:rPr>
          <w:b/>
          <w:bCs/>
          <w:color w:val="000000"/>
          <w:spacing w:val="0"/>
          <w:w w:val="100"/>
          <w:position w:val="0"/>
          <w:sz w:val="20"/>
          <w:szCs w:val="20"/>
        </w:rPr>
        <w:t>年度股权激励</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经本公司股东大会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日审议批准,本公司以定向发行的方式向</w:t>
      </w:r>
      <w:r>
        <w:rPr>
          <w:rFonts w:ascii="Times New Roman" w:eastAsia="Times New Roman" w:hAnsi="Times New Roman" w:cs="Times New Roman"/>
          <w:color w:val="000000"/>
          <w:spacing w:val="0"/>
          <w:w w:val="100"/>
          <w:position w:val="0"/>
          <w:sz w:val="18"/>
          <w:szCs w:val="18"/>
        </w:rPr>
        <w:t>565</w:t>
      </w:r>
      <w:r>
        <w:rPr>
          <w:color w:val="000000"/>
          <w:spacing w:val="0"/>
          <w:w w:val="100"/>
          <w:position w:val="0"/>
        </w:rPr>
        <w:t>名激励对象授予限制性人民币普通股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19,085,000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元），授予价格</w:t>
      </w:r>
      <w:r>
        <w:rPr>
          <w:rFonts w:ascii="Times New Roman" w:eastAsia="Times New Roman" w:hAnsi="Times New Roman" w:cs="Times New Roman"/>
          <w:color w:val="000000"/>
          <w:spacing w:val="0"/>
          <w:w w:val="100"/>
          <w:position w:val="0"/>
          <w:sz w:val="18"/>
          <w:szCs w:val="18"/>
        </w:rPr>
        <w:t>5.92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sz w:val="18"/>
          <w:szCs w:val="18"/>
        </w:rPr>
        <w:t>112,983,200.00</w:t>
      </w:r>
      <w:r>
        <w:rPr>
          <w:color w:val="000000"/>
          <w:spacing w:val="0"/>
          <w:w w:val="100"/>
          <w:position w:val="0"/>
        </w:rPr>
        <w:t>元，其中，记入股本</w:t>
      </w:r>
      <w:r>
        <w:rPr>
          <w:rFonts w:ascii="Times New Roman" w:eastAsia="Times New Roman" w:hAnsi="Times New Roman" w:cs="Times New Roman"/>
          <w:color w:val="000000"/>
          <w:spacing w:val="0"/>
          <w:w w:val="100"/>
          <w:position w:val="0"/>
          <w:sz w:val="18"/>
          <w:szCs w:val="18"/>
        </w:rPr>
        <w:t>19,085,000.00</w:t>
      </w:r>
      <w:r>
        <w:rPr>
          <w:color w:val="000000"/>
          <w:spacing w:val="0"/>
          <w:w w:val="100"/>
          <w:position w:val="0"/>
        </w:rPr>
        <w:t>元， 记入资本公积（股本溢价）</w:t>
      </w:r>
      <w:r>
        <w:rPr>
          <w:rFonts w:ascii="Times New Roman" w:eastAsia="Times New Roman" w:hAnsi="Times New Roman" w:cs="Times New Roman"/>
          <w:color w:val="000000"/>
          <w:spacing w:val="0"/>
          <w:w w:val="100"/>
          <w:position w:val="0"/>
          <w:sz w:val="18"/>
          <w:szCs w:val="18"/>
        </w:rPr>
        <w:t>93,898,200.00</w:t>
      </w:r>
      <w:r>
        <w:rPr>
          <w:color w:val="000000"/>
          <w:spacing w:val="0"/>
          <w:w w:val="100"/>
          <w:position w:val="0"/>
        </w:rPr>
        <w:t>元，同时记入库存股</w:t>
      </w:r>
      <w:r>
        <w:rPr>
          <w:rFonts w:ascii="Times New Roman" w:eastAsia="Times New Roman" w:hAnsi="Times New Roman" w:cs="Times New Roman"/>
          <w:color w:val="000000"/>
          <w:spacing w:val="0"/>
          <w:w w:val="100"/>
          <w:position w:val="0"/>
          <w:sz w:val="18"/>
          <w:szCs w:val="18"/>
        </w:rPr>
        <w:t>112,983,200.00</w:t>
      </w:r>
      <w:r>
        <w:rPr>
          <w:color w:val="000000"/>
          <w:spacing w:val="0"/>
          <w:w w:val="100"/>
          <w:position w:val="0"/>
        </w:rPr>
        <w:t>元，记入其他应付款</w:t>
      </w:r>
      <w:r>
        <w:rPr>
          <w:rFonts w:ascii="Times New Roman" w:eastAsia="Times New Roman" w:hAnsi="Times New Roman" w:cs="Times New Roman"/>
          <w:color w:val="000000"/>
          <w:spacing w:val="0"/>
          <w:w w:val="100"/>
          <w:position w:val="0"/>
          <w:sz w:val="18"/>
          <w:szCs w:val="18"/>
        </w:rPr>
        <w:t>112,983,200.00</w:t>
      </w:r>
      <w:r>
        <w:rPr>
          <w:color w:val="000000"/>
          <w:spacing w:val="0"/>
          <w:w w:val="100"/>
          <w:position w:val="0"/>
        </w:rPr>
        <w:t>元。</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sz w:val="18"/>
          <w:szCs w:val="18"/>
        </w:rPr>
        <w:t>830,000</w:t>
      </w:r>
      <w:r>
        <w:rPr>
          <w:color w:val="000000"/>
          <w:spacing w:val="0"/>
          <w:w w:val="100"/>
          <w:position w:val="0"/>
        </w:rPr>
        <w:t>股已授予的限制性股票，共计出资</w:t>
      </w:r>
      <w:r>
        <w:rPr>
          <w:rFonts w:ascii="Times New Roman" w:eastAsia="Times New Roman" w:hAnsi="Times New Roman" w:cs="Times New Roman"/>
          <w:color w:val="000000"/>
          <w:spacing w:val="0"/>
          <w:w w:val="100"/>
          <w:position w:val="0"/>
          <w:sz w:val="18"/>
          <w:szCs w:val="18"/>
        </w:rPr>
        <w:t>4,913,600.00</w:t>
      </w:r>
      <w:r>
        <w:rPr>
          <w:color w:val="000000"/>
          <w:spacing w:val="0"/>
          <w:w w:val="100"/>
          <w:position w:val="0"/>
        </w:rPr>
        <w:t>元，冲减其他应付款。 本期共计注销以前年度回购的库存股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月，公司按照股权激励计划的规定解锁第一期限制性股票，共</w:t>
      </w:r>
      <w:r>
        <w:rPr>
          <w:rFonts w:ascii="Times New Roman" w:eastAsia="Times New Roman" w:hAnsi="Times New Roman" w:cs="Times New Roman"/>
          <w:color w:val="000000"/>
          <w:spacing w:val="0"/>
          <w:w w:val="100"/>
          <w:position w:val="0"/>
          <w:sz w:val="18"/>
          <w:szCs w:val="18"/>
        </w:rPr>
        <w:t>5,269,500</w:t>
      </w:r>
      <w:r>
        <w:rPr>
          <w:color w:val="000000"/>
          <w:spacing w:val="0"/>
          <w:w w:val="100"/>
          <w:position w:val="0"/>
        </w:rPr>
        <w:t>股</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sz w:val="18"/>
          <w:szCs w:val="18"/>
        </w:rPr>
        <w:t>1,435,500</w:t>
      </w:r>
      <w:r>
        <w:rPr>
          <w:color w:val="000000"/>
          <w:spacing w:val="0"/>
          <w:w w:val="100"/>
          <w:position w:val="0"/>
        </w:rPr>
        <w:t>股已授予的限制性股票，共计出资</w:t>
      </w:r>
      <w:r>
        <w:rPr>
          <w:rFonts w:ascii="Times New Roman" w:eastAsia="Times New Roman" w:hAnsi="Times New Roman" w:cs="Times New Roman"/>
          <w:color w:val="000000"/>
          <w:spacing w:val="0"/>
          <w:w w:val="100"/>
          <w:position w:val="0"/>
          <w:sz w:val="18"/>
          <w:szCs w:val="18"/>
        </w:rPr>
        <w:t>8,498,160.00</w:t>
      </w:r>
      <w:r>
        <w:rPr>
          <w:color w:val="000000"/>
          <w:spacing w:val="0"/>
          <w:w w:val="100"/>
          <w:position w:val="0"/>
        </w:rPr>
        <w:t>元，冲减其他应付 款。共计注销以前年度回购的库存股</w:t>
      </w:r>
      <w:r>
        <w:rPr>
          <w:rFonts w:ascii="Times New Roman" w:eastAsia="Times New Roman" w:hAnsi="Times New Roman" w:cs="Times New Roman"/>
          <w:color w:val="000000"/>
          <w:spacing w:val="0"/>
          <w:w w:val="100"/>
          <w:position w:val="0"/>
          <w:sz w:val="18"/>
          <w:szCs w:val="18"/>
        </w:rPr>
        <w:t>1,520,000</w:t>
      </w:r>
      <w:r>
        <w:rPr>
          <w:color w:val="000000"/>
          <w:spacing w:val="0"/>
          <w:w w:val="100"/>
          <w:position w:val="0"/>
        </w:rPr>
        <w:t>股。</w:t>
      </w:r>
    </w:p>
    <w:p>
      <w:pPr>
        <w:pStyle w:val="Style28"/>
        <w:keepNext w:val="0"/>
        <w:keepLines w:val="0"/>
        <w:widowControl w:val="0"/>
        <w:shd w:val="clear" w:color="auto" w:fill="auto"/>
        <w:bidi w:val="0"/>
        <w:spacing w:before="0" w:after="44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sz w:val="18"/>
          <w:szCs w:val="18"/>
        </w:rPr>
        <w:t>5,914,000.00</w:t>
      </w:r>
      <w:r>
        <w:rPr>
          <w:color w:val="000000"/>
          <w:spacing w:val="0"/>
          <w:w w:val="100"/>
          <w:position w:val="0"/>
        </w:rPr>
        <w:t>股已授予的限制性股票，共计出资</w:t>
      </w:r>
      <w:r>
        <w:rPr>
          <w:rFonts w:ascii="Times New Roman" w:eastAsia="Times New Roman" w:hAnsi="Times New Roman" w:cs="Times New Roman"/>
          <w:color w:val="000000"/>
          <w:spacing w:val="0"/>
          <w:w w:val="100"/>
          <w:position w:val="0"/>
          <w:sz w:val="18"/>
          <w:szCs w:val="18"/>
        </w:rPr>
        <w:t>35,010,880.00</w:t>
      </w:r>
      <w:r>
        <w:rPr>
          <w:color w:val="000000"/>
          <w:spacing w:val="0"/>
          <w:w w:val="100"/>
          <w:position w:val="0"/>
        </w:rPr>
        <w:t>元，冲减其他 应付款。本期共计注销以前年度回购的库存股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2.2018</w:t>
      </w:r>
      <w:r>
        <w:rPr>
          <w:b/>
          <w:bCs/>
          <w:color w:val="000000"/>
          <w:spacing w:val="0"/>
          <w:w w:val="100"/>
          <w:position w:val="0"/>
          <w:sz w:val="20"/>
          <w:szCs w:val="20"/>
        </w:rPr>
        <w:t>年度股权激励</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日召开的第三届董事会第三十六次（临时）会议审议批准，本公司以定向发行的方式向</w:t>
      </w:r>
      <w:r>
        <w:rPr>
          <w:rFonts w:ascii="Times New Roman" w:eastAsia="Times New Roman" w:hAnsi="Times New Roman" w:cs="Times New Roman"/>
          <w:color w:val="000000"/>
          <w:spacing w:val="0"/>
          <w:w w:val="100"/>
          <w:position w:val="0"/>
          <w:sz w:val="18"/>
          <w:szCs w:val="18"/>
        </w:rPr>
        <w:t>504</w:t>
      </w:r>
      <w:r>
        <w:rPr>
          <w:color w:val="000000"/>
          <w:spacing w:val="0"/>
          <w:w w:val="100"/>
          <w:position w:val="0"/>
        </w:rPr>
        <w:t>名激励 对象授予限制性人民币普通股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14,588,000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元），授予价格</w:t>
      </w:r>
      <w:r>
        <w:rPr>
          <w:rFonts w:ascii="Times New Roman" w:eastAsia="Times New Roman" w:hAnsi="Times New Roman" w:cs="Times New Roman"/>
          <w:color w:val="000000"/>
          <w:spacing w:val="0"/>
          <w:w w:val="100"/>
          <w:position w:val="0"/>
          <w:sz w:val="18"/>
          <w:szCs w:val="18"/>
        </w:rPr>
        <w:t>5.24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sz w:val="18"/>
          <w:szCs w:val="18"/>
        </w:rPr>
        <w:t xml:space="preserve">76,441,120.00 </w:t>
      </w:r>
      <w:r>
        <w:rPr>
          <w:color w:val="000000"/>
          <w:spacing w:val="0"/>
          <w:w w:val="100"/>
          <w:position w:val="0"/>
        </w:rPr>
        <w:t>元，其中，记入股本</w:t>
      </w:r>
      <w:r>
        <w:rPr>
          <w:rFonts w:ascii="Times New Roman" w:eastAsia="Times New Roman" w:hAnsi="Times New Roman" w:cs="Times New Roman"/>
          <w:color w:val="000000"/>
          <w:spacing w:val="0"/>
          <w:w w:val="100"/>
          <w:position w:val="0"/>
          <w:sz w:val="18"/>
          <w:szCs w:val="18"/>
        </w:rPr>
        <w:t>14,588,000</w:t>
      </w:r>
      <w:r>
        <w:rPr>
          <w:color w:val="000000"/>
          <w:spacing w:val="0"/>
          <w:w w:val="100"/>
          <w:position w:val="0"/>
        </w:rPr>
        <w:t>元，记入资本公积（股本溢价</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61,853,120.00</w:t>
      </w:r>
      <w:r>
        <w:rPr>
          <w:color w:val="000000"/>
          <w:spacing w:val="0"/>
          <w:w w:val="100"/>
          <w:position w:val="0"/>
        </w:rPr>
        <w:t>元，同时记入库存股</w:t>
      </w:r>
      <w:r>
        <w:rPr>
          <w:rFonts w:ascii="Times New Roman" w:eastAsia="Times New Roman" w:hAnsi="Times New Roman" w:cs="Times New Roman"/>
          <w:color w:val="000000"/>
          <w:spacing w:val="0"/>
          <w:w w:val="100"/>
          <w:position w:val="0"/>
          <w:sz w:val="18"/>
          <w:szCs w:val="18"/>
        </w:rPr>
        <w:t>76,441,120.00</w:t>
      </w:r>
      <w:r>
        <w:rPr>
          <w:color w:val="000000"/>
          <w:spacing w:val="0"/>
          <w:w w:val="100"/>
          <w:position w:val="0"/>
        </w:rPr>
        <w:t>元，记入 其他应付款</w:t>
      </w:r>
      <w:r>
        <w:rPr>
          <w:rFonts w:ascii="Times New Roman" w:eastAsia="Times New Roman" w:hAnsi="Times New Roman" w:cs="Times New Roman"/>
          <w:color w:val="000000"/>
          <w:spacing w:val="0"/>
          <w:w w:val="100"/>
          <w:position w:val="0"/>
          <w:sz w:val="18"/>
          <w:szCs w:val="18"/>
        </w:rPr>
        <w:t>76,441,120.00</w:t>
      </w:r>
      <w:r>
        <w:rPr>
          <w:color w:val="000000"/>
          <w:spacing w:val="0"/>
          <w:w w:val="100"/>
          <w:position w:val="0"/>
        </w:rPr>
        <w:t>元。</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sz w:val="18"/>
          <w:szCs w:val="18"/>
        </w:rPr>
        <w:t>1,020,000</w:t>
      </w:r>
      <w:r>
        <w:rPr>
          <w:color w:val="000000"/>
          <w:spacing w:val="0"/>
          <w:w w:val="100"/>
          <w:position w:val="0"/>
        </w:rPr>
        <w:t>股已授予的限制性股票，共计出资</w:t>
      </w:r>
      <w:r>
        <w:rPr>
          <w:rFonts w:ascii="Times New Roman" w:eastAsia="Times New Roman" w:hAnsi="Times New Roman" w:cs="Times New Roman"/>
          <w:color w:val="000000"/>
          <w:spacing w:val="0"/>
          <w:w w:val="100"/>
          <w:position w:val="0"/>
          <w:sz w:val="18"/>
          <w:szCs w:val="18"/>
        </w:rPr>
        <w:t>4,873,200.00</w:t>
      </w:r>
      <w:r>
        <w:rPr>
          <w:color w:val="000000"/>
          <w:spacing w:val="0"/>
          <w:w w:val="100"/>
          <w:position w:val="0"/>
        </w:rPr>
        <w:t>元，冲减其他应付 款。共计注销以前年度回购的库存股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p>
      <w:pPr>
        <w:pStyle w:val="Style28"/>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sz w:val="18"/>
          <w:szCs w:val="18"/>
        </w:rPr>
        <w:t>5,819,400</w:t>
      </w:r>
      <w:r>
        <w:rPr>
          <w:color w:val="000000"/>
          <w:spacing w:val="0"/>
          <w:w w:val="100"/>
          <w:position w:val="0"/>
        </w:rPr>
        <w:t>股已授予的限制性股票，共计出资</w:t>
      </w:r>
      <w:r>
        <w:rPr>
          <w:rFonts w:ascii="Times New Roman" w:eastAsia="Times New Roman" w:hAnsi="Times New Roman" w:cs="Times New Roman"/>
          <w:color w:val="000000"/>
          <w:spacing w:val="0"/>
          <w:w w:val="100"/>
          <w:position w:val="0"/>
          <w:sz w:val="18"/>
          <w:szCs w:val="18"/>
        </w:rPr>
        <w:t>30,493,656.00</w:t>
      </w:r>
      <w:r>
        <w:rPr>
          <w:color w:val="000000"/>
          <w:spacing w:val="0"/>
          <w:w w:val="100"/>
          <w:position w:val="0"/>
        </w:rPr>
        <w:t>元，冲减其他应付 款。本期共计注销以前年度回购的库存股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p>
      <w:pPr>
        <w:pStyle w:val="Style32"/>
        <w:keepNext/>
        <w:keepLines/>
        <w:widowControl w:val="0"/>
        <w:shd w:val="clear" w:color="auto" w:fill="auto"/>
        <w:bidi w:val="0"/>
        <w:spacing w:before="0" w:after="2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bookmarkEnd w:id="1578"/>
      <w:r>
        <w:rPr>
          <w:color w:val="000000"/>
          <w:spacing w:val="0"/>
          <w:w w:val="100"/>
          <w:position w:val="0"/>
        </w:rPr>
        <w:t>、以权益结算的股份支付情况</w:t>
      </w:r>
      <w:bookmarkEnd w:id="1576"/>
      <w:bookmarkEnd w:id="1577"/>
      <w:bookmarkEnd w:id="1579"/>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年度股权激励</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以授予日的市场价格（</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日收盘价</w:t>
            </w:r>
            <w:r>
              <w:rPr>
                <w:rFonts w:ascii="Times New Roman" w:eastAsia="Times New Roman" w:hAnsi="Times New Roman" w:cs="Times New Roman"/>
                <w:color w:val="000000"/>
                <w:spacing w:val="0"/>
                <w:w w:val="100"/>
                <w:position w:val="0"/>
                <w:sz w:val="18"/>
                <w:szCs w:val="18"/>
              </w:rPr>
              <w:t>12.02</w:t>
            </w:r>
            <w:r>
              <w:rPr>
                <w:color w:val="000000"/>
                <w:spacing w:val="0"/>
                <w:w w:val="100"/>
                <w:position w:val="0"/>
                <w:sz w:val="17"/>
                <w:szCs w:val="17"/>
              </w:rPr>
              <w:t>元） 为基础，考虑由限售期间股价波动导致的限制性股票的收 益风险，在市场价格的基础上扣减参照</w:t>
            </w:r>
            <w:r>
              <w:rPr>
                <w:rFonts w:ascii="Times New Roman" w:eastAsia="Times New Roman" w:hAnsi="Times New Roman" w:cs="Times New Roman"/>
                <w:color w:val="000000"/>
                <w:spacing w:val="0"/>
                <w:w w:val="100"/>
                <w:position w:val="0"/>
                <w:sz w:val="18"/>
                <w:szCs w:val="18"/>
              </w:rPr>
              <w:t>BS</w:t>
            </w:r>
            <w:r>
              <w:rPr>
                <w:color w:val="000000"/>
                <w:spacing w:val="0"/>
                <w:w w:val="100"/>
                <w:position w:val="0"/>
                <w:sz w:val="17"/>
                <w:szCs w:val="17"/>
              </w:rPr>
              <w:t>模型计算得出</w:t>
            </w:r>
          </w:p>
        </w:tc>
      </w:tr>
    </w:tbl>
    <w:p>
      <w:pPr>
        <w:widowControl w:val="0"/>
        <w:spacing w:line="1" w:lineRule="exact"/>
      </w:pPr>
      <w:r>
        <w:br w:type="page"/>
      </w:r>
    </w:p>
    <w:tbl>
      <w:tblPr>
        <w:tblOverlap w:val="never"/>
        <w:jc w:val="center"/>
        <w:tblLayout w:type="fixed"/>
      </w:tblPr>
      <w:tblGrid>
        <w:gridCol w:w="4992"/>
        <w:gridCol w:w="4594"/>
      </w:tblGrid>
      <w:tr>
        <w:trPr>
          <w:trHeight w:val="65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的流通性折扣后得到授予日限制性股票的公允价值。银信 资产评估有限公司对上述本公司授予的限制性股票公允价 值作了评估，在授予日起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 后解锁的限制性股票的公允价值分别为每股</w:t>
            </w:r>
            <w:r>
              <w:rPr>
                <w:rFonts w:ascii="Times New Roman" w:eastAsia="Times New Roman" w:hAnsi="Times New Roman" w:cs="Times New Roman"/>
                <w:color w:val="000000"/>
                <w:spacing w:val="0"/>
                <w:w w:val="100"/>
                <w:position w:val="0"/>
                <w:sz w:val="18"/>
                <w:szCs w:val="18"/>
              </w:rPr>
              <w:t>9.99</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8.84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6.42</w:t>
            </w:r>
            <w:r>
              <w:rPr>
                <w:color w:val="000000"/>
                <w:spacing w:val="0"/>
                <w:w w:val="100"/>
                <w:position w:val="0"/>
                <w:sz w:val="17"/>
                <w:szCs w:val="17"/>
              </w:rPr>
              <w:t>元，并出具银信财报字（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127</w:t>
            </w:r>
            <w:r>
              <w:rPr>
                <w:color w:val="000000"/>
                <w:spacing w:val="0"/>
                <w:w w:val="100"/>
                <w:position w:val="0"/>
                <w:sz w:val="17"/>
                <w:szCs w:val="17"/>
              </w:rPr>
              <w:t>号评估报 告。</w:t>
            </w:r>
          </w:p>
          <w:p>
            <w:pPr>
              <w:pStyle w:val="Style22"/>
              <w:keepNext w:val="0"/>
              <w:keepLines w:val="0"/>
              <w:widowControl w:val="0"/>
              <w:shd w:val="clear" w:color="auto" w:fill="auto"/>
              <w:bidi w:val="0"/>
              <w:spacing w:before="0" w:after="140" w:line="312" w:lineRule="exact"/>
              <w:ind w:left="0" w:right="0" w:firstLine="0"/>
              <w:jc w:val="both"/>
              <w:rPr>
                <w:sz w:val="17"/>
                <w:szCs w:val="17"/>
              </w:rPr>
            </w:pPr>
            <w:r>
              <w:rPr>
                <w:color w:val="000000"/>
                <w:spacing w:val="0"/>
                <w:w w:val="100"/>
                <w:position w:val="0"/>
                <w:sz w:val="17"/>
                <w:szCs w:val="17"/>
              </w:rPr>
              <w:t>授予日限制性股票的公允价值扣除授予价格（</w:t>
            </w:r>
            <w:r>
              <w:rPr>
                <w:rFonts w:ascii="Times New Roman" w:eastAsia="Times New Roman" w:hAnsi="Times New Roman" w:cs="Times New Roman"/>
                <w:color w:val="000000"/>
                <w:spacing w:val="0"/>
                <w:w w:val="100"/>
                <w:position w:val="0"/>
                <w:sz w:val="18"/>
                <w:szCs w:val="18"/>
              </w:rPr>
              <w:t>5.92</w:t>
            </w:r>
            <w:r>
              <w:rPr>
                <w:color w:val="000000"/>
                <w:spacing w:val="0"/>
                <w:w w:val="100"/>
                <w:position w:val="0"/>
                <w:sz w:val="17"/>
                <w:szCs w:val="17"/>
              </w:rPr>
              <w:t>元）即 授予日权益工具公允价值总额。</w:t>
            </w:r>
          </w:p>
          <w:p>
            <w:pPr>
              <w:pStyle w:val="Style2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年度股权激励</w:t>
            </w:r>
          </w:p>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以授予日的市场价格为基础，考虑限制性股票的转让在可 行权（解锁）日后仍受到限制，在市场价格的基础上扣减 参照</w:t>
            </w:r>
            <w:r>
              <w:rPr>
                <w:rFonts w:ascii="Times New Roman" w:eastAsia="Times New Roman" w:hAnsi="Times New Roman" w:cs="Times New Roman"/>
                <w:color w:val="000000"/>
                <w:spacing w:val="0"/>
                <w:w w:val="100"/>
                <w:position w:val="0"/>
                <w:sz w:val="18"/>
                <w:szCs w:val="18"/>
              </w:rPr>
              <w:t>BS</w:t>
            </w:r>
            <w:r>
              <w:rPr>
                <w:color w:val="000000"/>
                <w:spacing w:val="0"/>
                <w:w w:val="100"/>
                <w:position w:val="0"/>
                <w:sz w:val="17"/>
                <w:szCs w:val="17"/>
              </w:rPr>
              <w:t>模型计算得出的流通性折扣后得到授予日限制性 股票的公允价值。银信资产评估有限公司对上述本公司授 予的限制性股票公允价值作了评估，在授予日起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 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个月后解锁的限制性股票的公允价值分 别为每股</w:t>
            </w:r>
            <w:r>
              <w:rPr>
                <w:rFonts w:ascii="Times New Roman" w:eastAsia="Times New Roman" w:hAnsi="Times New Roman" w:cs="Times New Roman"/>
                <w:color w:val="000000"/>
                <w:spacing w:val="0"/>
                <w:w w:val="100"/>
                <w:position w:val="0"/>
                <w:sz w:val="18"/>
                <w:szCs w:val="18"/>
              </w:rPr>
              <w:t>9.30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9.12</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7"/>
                <w:szCs w:val="17"/>
              </w:rPr>
              <w:t>元，并出具银信财报字</w:t>
            </w:r>
          </w:p>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132</w:t>
            </w:r>
            <w:r>
              <w:rPr>
                <w:color w:val="000000"/>
                <w:spacing w:val="0"/>
                <w:w w:val="100"/>
                <w:position w:val="0"/>
                <w:sz w:val="17"/>
                <w:szCs w:val="17"/>
              </w:rPr>
              <w:t>号评估报告。</w:t>
            </w:r>
          </w:p>
          <w:p>
            <w:pPr>
              <w:pStyle w:val="Style22"/>
              <w:keepNext w:val="0"/>
              <w:keepLines w:val="0"/>
              <w:widowControl w:val="0"/>
              <w:shd w:val="clear" w:color="auto" w:fill="auto"/>
              <w:bidi w:val="0"/>
              <w:spacing w:before="0" w:after="80" w:line="312" w:lineRule="exact"/>
              <w:ind w:left="0" w:right="0" w:firstLine="0"/>
              <w:jc w:val="both"/>
              <w:rPr>
                <w:sz w:val="17"/>
                <w:szCs w:val="17"/>
              </w:rPr>
            </w:pPr>
            <w:r>
              <w:rPr>
                <w:color w:val="000000"/>
                <w:spacing w:val="0"/>
                <w:w w:val="100"/>
                <w:position w:val="0"/>
                <w:sz w:val="17"/>
                <w:szCs w:val="17"/>
              </w:rPr>
              <w:t>授予日限制性股票的公允价值扣除授予价格（</w:t>
            </w:r>
            <w:r>
              <w:rPr>
                <w:rFonts w:ascii="Times New Roman" w:eastAsia="Times New Roman" w:hAnsi="Times New Roman" w:cs="Times New Roman"/>
                <w:color w:val="000000"/>
                <w:spacing w:val="0"/>
                <w:w w:val="100"/>
                <w:position w:val="0"/>
                <w:sz w:val="18"/>
                <w:szCs w:val="18"/>
              </w:rPr>
              <w:t>5.24</w:t>
            </w:r>
            <w:r>
              <w:rPr>
                <w:color w:val="000000"/>
                <w:spacing w:val="0"/>
                <w:w w:val="100"/>
                <w:position w:val="0"/>
                <w:sz w:val="17"/>
                <w:szCs w:val="17"/>
              </w:rPr>
              <w:t>元）即 授予日权益工具公允价值总额。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116,989,394.26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-4,741,056.97</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479" w:line="1" w:lineRule="exact"/>
      </w:pP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年度股权激励</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授予日权益工具单位公允价值乘以限制性股票数量即授予日权益工具公允价值总额。具体如下:</w:t>
      </w:r>
    </w:p>
    <w:p>
      <w:pPr>
        <w:pStyle w:val="Style38"/>
        <w:keepNext w:val="0"/>
        <w:keepLines w:val="0"/>
        <w:widowControl w:val="0"/>
        <w:shd w:val="clear" w:color="auto" w:fill="auto"/>
        <w:bidi w:val="0"/>
        <w:spacing w:before="0" w:after="0" w:line="240" w:lineRule="auto"/>
        <w:ind w:left="8472"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5635"/>
        <w:gridCol w:w="404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rPr>
                <w:sz w:val="17"/>
                <w:szCs w:val="17"/>
              </w:rPr>
            </w:pPr>
            <w:r>
              <w:rPr>
                <w:color w:val="000000"/>
                <w:spacing w:val="0"/>
                <w:w w:val="100"/>
                <w:position w:val="0"/>
                <w:sz w:val="17"/>
                <w:szCs w:val="17"/>
              </w:rPr>
              <w:t>类别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第一期（授予日起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个月后解锁）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23,302,785.00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第二期（授予日起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个月后解锁）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16,718,460.00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第三期（授予日起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个月后解锁）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3,817,000.00</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43,838,245.00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年度股权激励</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授予日权益工具单位公允价值乘以限制性股票数量即授予日权益工具公允价值总额。具体如下:</w:t>
      </w:r>
    </w:p>
    <w:p>
      <w:pPr>
        <w:pStyle w:val="Style38"/>
        <w:keepNext w:val="0"/>
        <w:keepLines w:val="0"/>
        <w:widowControl w:val="0"/>
        <w:shd w:val="clear" w:color="auto" w:fill="auto"/>
        <w:bidi w:val="0"/>
        <w:spacing w:before="0" w:after="0" w:line="240" w:lineRule="auto"/>
        <w:ind w:left="8472"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5635"/>
        <w:gridCol w:w="404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rPr>
                <w:sz w:val="17"/>
                <w:szCs w:val="17"/>
              </w:rPr>
            </w:pPr>
            <w:r>
              <w:rPr>
                <w:color w:val="000000"/>
                <w:spacing w:val="0"/>
                <w:w w:val="100"/>
                <w:position w:val="0"/>
                <w:sz w:val="17"/>
                <w:szCs w:val="17"/>
              </w:rPr>
              <w:t>类别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第一期（授予日起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个月后解锁）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17,780,452.09</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第二期（授予日起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个月后解锁）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17,000,090.70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第三期（授予日起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个月后解锁）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21,956,508.89</w:t>
            </w: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56,737,051.68</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both"/>
      </w:pPr>
      <w:bookmarkStart w:id="1580" w:name="bookmark1580"/>
      <w:bookmarkStart w:id="1581" w:name="bookmark1581"/>
      <w:bookmarkStart w:id="1582" w:name="bookmark1582"/>
      <w:r>
        <w:rPr>
          <w:color w:val="000000"/>
          <w:spacing w:val="0"/>
          <w:w w:val="100"/>
          <w:position w:val="0"/>
        </w:rPr>
        <w:t>十四、承诺及或有事项</w:t>
      </w:r>
      <w:bookmarkEnd w:id="1580"/>
      <w:bookmarkEnd w:id="1581"/>
      <w:bookmarkEnd w:id="1582"/>
    </w:p>
    <w:p>
      <w:pPr>
        <w:pStyle w:val="Style32"/>
        <w:keepNext/>
        <w:keepLines/>
        <w:widowControl w:val="0"/>
        <w:shd w:val="clear" w:color="auto" w:fill="auto"/>
        <w:bidi w:val="0"/>
        <w:spacing w:before="0" w:line="240" w:lineRule="auto"/>
        <w:ind w:left="0" w:right="0" w:firstLine="0"/>
        <w:jc w:val="both"/>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83"/>
      <w:bookmarkEnd w:id="1584"/>
      <w:bookmarkEnd w:id="1585"/>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资产负债表日存在的重要承诺</w:t>
      </w:r>
    </w:p>
    <w:p>
      <w:pPr>
        <w:pStyle w:val="Style35"/>
        <w:keepNext w:val="0"/>
        <w:keepLines w:val="0"/>
        <w:widowControl w:val="0"/>
        <w:shd w:val="clear" w:color="auto" w:fill="auto"/>
        <w:bidi w:val="0"/>
        <w:spacing w:before="0" w:after="60" w:line="240" w:lineRule="auto"/>
        <w:ind w:left="0" w:right="0" w:firstLine="0"/>
        <w:jc w:val="both"/>
        <w:rPr>
          <w:sz w:val="20"/>
          <w:szCs w:val="20"/>
        </w:rPr>
      </w:pPr>
      <w:r>
        <w:rPr>
          <w:b/>
          <w:bCs/>
          <w:color w:val="000000"/>
          <w:spacing w:val="0"/>
          <w:w w:val="100"/>
          <w:position w:val="0"/>
          <w:sz w:val="20"/>
          <w:szCs w:val="20"/>
        </w:rPr>
        <w:t>截至</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日，公司已签订尚未到期的保函如下:</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117"/>
        <w:gridCol w:w="1406"/>
        <w:gridCol w:w="2280"/>
        <w:gridCol w:w="2107"/>
        <w:gridCol w:w="176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保函号码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保函种类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保函开立日期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保函到期日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保函余额</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Z705200310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Z705200507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148,700.00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Z705200508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Z705200509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185,750.00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Z705200602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399,150.00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Z705200802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Z705200806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87,500.00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Z705201002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Z705201003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241,164.00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Z705201004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119,440.00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Z705201005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210,280.00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Z705201111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189,500.00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Z705201101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188,120.00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Z705201207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798,300.00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Z705201208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Z705201214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175,600.00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Z705201215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106,000.00</w:t>
            </w:r>
          </w:p>
        </w:tc>
      </w:tr>
      <w:tr>
        <w:trPr>
          <w:trHeight w:val="3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4,236,504.00</w:t>
            </w:r>
          </w:p>
        </w:tc>
      </w:tr>
    </w:tbl>
    <w:p>
      <w:pPr>
        <w:widowControl w:val="0"/>
        <w:spacing w:after="279" w:line="1" w:lineRule="exact"/>
      </w:pPr>
    </w:p>
    <w:p>
      <w:pPr>
        <w:pStyle w:val="Style32"/>
        <w:keepNext/>
        <w:keepLines/>
        <w:widowControl w:val="0"/>
        <w:shd w:val="clear" w:color="auto" w:fill="auto"/>
        <w:bidi w:val="0"/>
        <w:spacing w:before="0" w:after="280" w:line="312" w:lineRule="exact"/>
        <w:ind w:left="0" w:right="0" w:firstLine="0"/>
        <w:jc w:val="both"/>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86"/>
      <w:bookmarkEnd w:id="1587"/>
      <w:bookmarkEnd w:id="1588"/>
    </w:p>
    <w:p>
      <w:pPr>
        <w:pStyle w:val="Style41"/>
        <w:keepNext/>
        <w:keepLines/>
        <w:widowControl w:val="0"/>
        <w:shd w:val="clear" w:color="auto" w:fill="auto"/>
        <w:bidi w:val="0"/>
        <w:spacing w:before="0" w:after="280" w:line="312" w:lineRule="exact"/>
        <w:ind w:left="0" w:right="0" w:firstLine="0"/>
        <w:jc w:val="both"/>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89"/>
      <w:bookmarkEnd w:id="1590"/>
      <w:bookmarkEnd w:id="1591"/>
    </w:p>
    <w:p>
      <w:pPr>
        <w:pStyle w:val="Style41"/>
        <w:keepNext/>
        <w:keepLines/>
        <w:widowControl w:val="0"/>
        <w:shd w:val="clear" w:color="auto" w:fill="auto"/>
        <w:bidi w:val="0"/>
        <w:spacing w:before="0" w:after="0" w:line="312" w:lineRule="exact"/>
        <w:ind w:left="0" w:right="0" w:firstLine="0"/>
        <w:jc w:val="both"/>
      </w:pPr>
      <w:bookmarkStart w:id="1589" w:name="bookmark1589"/>
      <w:bookmarkStart w:id="1590" w:name="bookmark1590"/>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89"/>
      <w:bookmarkEnd w:id="1590"/>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日委托上海金茂凯德事务所潘金涛律师就中融民信资本管理有限公司所拖欠的服务费向北京市 朝阳区人民法院提起诉讼，请求中融民信资本管理有限公司支付拖欠的《咨询实施服务合同》已实施部分的服务费用及办理 本案的相关费用。北京市朝阳区人民法院于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日作出判决，判决中融民信资本管理有限公司向公司支付拖欠服 务费及办理本案的相关费用。为将上述款项执行到位，我司于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日委托上海金茂凯德事务所潘金涛律师就该 案已生效判决向北京市朝阳区人民法院申请强制执行，至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日北京市朝阳区人民法院出具《执行裁定书》，本 案被告因无财产可供执行，故裁定终结本次执行程序。截止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日，公司尚未收到标的金额款项。本期账面应 收该项目款项</w:t>
      </w:r>
      <w:r>
        <w:rPr>
          <w:rFonts w:ascii="Times New Roman" w:eastAsia="Times New Roman" w:hAnsi="Times New Roman" w:cs="Times New Roman"/>
          <w:color w:val="000000"/>
          <w:spacing w:val="0"/>
          <w:w w:val="100"/>
          <w:position w:val="0"/>
          <w:sz w:val="18"/>
          <w:szCs w:val="18"/>
        </w:rPr>
        <w:t>1,788,979.70</w:t>
      </w:r>
      <w:r>
        <w:rPr>
          <w:color w:val="000000"/>
          <w:spacing w:val="0"/>
          <w:w w:val="100"/>
          <w:position w:val="0"/>
        </w:rPr>
        <w:t>元，已全额计提坏账准备。</w:t>
      </w:r>
    </w:p>
    <w:p>
      <w:pPr>
        <w:pStyle w:val="Style28"/>
        <w:keepNext w:val="0"/>
        <w:keepLines w:val="0"/>
        <w:widowControl w:val="0"/>
        <w:shd w:val="clear" w:color="auto" w:fill="auto"/>
        <w:bidi w:val="0"/>
        <w:spacing w:before="0" w:after="0" w:line="312" w:lineRule="exact"/>
        <w:ind w:left="0" w:right="0" w:firstLine="0"/>
        <w:jc w:val="both"/>
      </w:pPr>
      <w:bookmarkStart w:id="1592" w:name="bookmark1592"/>
      <w:r>
        <w:rPr>
          <w:color w:val="000000"/>
          <w:spacing w:val="0"/>
          <w:w w:val="100"/>
          <w:position w:val="0"/>
        </w:rPr>
        <w:t>（</w:t>
      </w:r>
      <w:bookmarkEnd w:id="15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案件一：本公司于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日委托上海博和律师事务所孙剑明律师、杨汋律师就北京有明云软件股份有限公司 所拖欠的服务费向上海国际经济贸易仲裁委员会提起仲裁，请求北京有明云软件股份有限公司支付拖欠的《咨询实施服务合 同（运维）》约定的服务费用。案件二：本公司于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日委托上海博和律师事务所孙剑明律师、杨汋律师就北京 有明云软件股份有限公司所拖欠的服务费向上海国际经济贸易仲裁委员会提起仲裁，请求北京有明云软件股份有限公司支付 拖欠的《咨询实施服务合同（实施）》约定的服务费用。上海国际经济贸易仲裁委员会于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日受理上述两个案件, 由于上述两个案件原被告一致，且两份合同具有牵连关系，故上海国际经济贸易仲裁委员会仲裁庭于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日进行 了合并审理。本公司于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日与北京有明云软件股份有限公司就上述两个案件达成两份和解协议，且上海国际经 济贸易仲裁委员会于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日出具两份《裁决书》，具体为：北京有明云软件股份有限公司就《咨询实施服务合同</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（运维）》向本公司支付服务费，并于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日之前支付完毕。北京有明云软件股份有限公司就《咨询实施服务合 同（实施）》向本公司支付服务费，并于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日之前支付完毕。为将上述款项执行到位，我司于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日委托北京市两高律师事务所胡长华律师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万佳律师就上海国际经济贸易仲裁委员会出具的两份生效《裁决书》向北京市 第二中级人民法院申请强制执行，北京市第二中级人民法院于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月出具《执行裁定书》。截止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公司收到标的执行款项</w:t>
      </w:r>
      <w:r>
        <w:rPr>
          <w:rFonts w:ascii="Times New Roman" w:eastAsia="Times New Roman" w:hAnsi="Times New Roman" w:cs="Times New Roman"/>
          <w:color w:val="000000"/>
          <w:spacing w:val="0"/>
          <w:w w:val="100"/>
          <w:position w:val="0"/>
          <w:sz w:val="18"/>
          <w:szCs w:val="18"/>
        </w:rPr>
        <w:t>418,301.97</w:t>
      </w:r>
      <w:r>
        <w:rPr>
          <w:color w:val="000000"/>
          <w:spacing w:val="0"/>
          <w:w w:val="100"/>
          <w:position w:val="0"/>
        </w:rPr>
        <w:t>元。期末账面应收该项目款项</w:t>
      </w:r>
      <w:r>
        <w:rPr>
          <w:rFonts w:ascii="Times New Roman" w:eastAsia="Times New Roman" w:hAnsi="Times New Roman" w:cs="Times New Roman"/>
          <w:color w:val="000000"/>
          <w:spacing w:val="0"/>
          <w:w w:val="100"/>
          <w:position w:val="0"/>
          <w:sz w:val="18"/>
          <w:szCs w:val="18"/>
        </w:rPr>
        <w:t>7,988,326.97</w:t>
      </w:r>
      <w:r>
        <w:rPr>
          <w:color w:val="000000"/>
          <w:spacing w:val="0"/>
          <w:w w:val="100"/>
          <w:position w:val="0"/>
        </w:rPr>
        <w:t>元，已计提坏账</w:t>
      </w:r>
      <w:r>
        <w:rPr>
          <w:rFonts w:ascii="Times New Roman" w:eastAsia="Times New Roman" w:hAnsi="Times New Roman" w:cs="Times New Roman"/>
          <w:color w:val="000000"/>
          <w:spacing w:val="0"/>
          <w:w w:val="100"/>
          <w:position w:val="0"/>
          <w:sz w:val="18"/>
          <w:szCs w:val="18"/>
        </w:rPr>
        <w:t>4,792,996.18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公司已收到部分执行款</w:t>
      </w:r>
      <w:r>
        <w:rPr>
          <w:rFonts w:ascii="Times New Roman" w:eastAsia="Times New Roman" w:hAnsi="Times New Roman" w:cs="Times New Roman"/>
          <w:color w:val="000000"/>
          <w:spacing w:val="0"/>
          <w:w w:val="100"/>
          <w:position w:val="0"/>
          <w:sz w:val="18"/>
          <w:szCs w:val="18"/>
        </w:rPr>
        <w:t>3,205,569.28</w:t>
      </w:r>
      <w:r>
        <w:rPr>
          <w:color w:val="000000"/>
          <w:spacing w:val="0"/>
          <w:w w:val="100"/>
          <w:position w:val="0"/>
        </w:rPr>
        <w:t>元。</w:t>
      </w:r>
    </w:p>
    <w:p>
      <w:pPr>
        <w:pStyle w:val="Style28"/>
        <w:keepNext w:val="0"/>
        <w:keepLines w:val="0"/>
        <w:widowControl w:val="0"/>
        <w:shd w:val="clear" w:color="auto" w:fill="auto"/>
        <w:tabs>
          <w:tab w:pos="486" w:val="left"/>
        </w:tabs>
        <w:bidi w:val="0"/>
        <w:spacing w:before="0" w:after="380" w:line="311" w:lineRule="exact"/>
        <w:ind w:left="0" w:right="0" w:firstLine="0"/>
        <w:jc w:val="both"/>
      </w:pPr>
      <w:bookmarkStart w:id="1593" w:name="bookmark1593"/>
      <w:r>
        <w:rPr>
          <w:color w:val="000000"/>
          <w:spacing w:val="0"/>
          <w:w w:val="100"/>
          <w:position w:val="0"/>
        </w:rPr>
        <w:t>（</w:t>
      </w:r>
      <w:bookmarkEnd w:id="15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月委托上海博和律师事务所孙剑明律师、杨汋律师就中安信科技有限公司所拖欠服务费用向河北省 廊坊市安次区人民法院提起诉讼，请求中安信科技有限公司支付拖欠的《咨询实施服务合同》约定的服务费用及相应违约金。 河北省廊坊市安次区人民法院于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日开庭审理本案。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日河北省廊坊市安次区法院出具《民事判 决书》，判决中安信科技有限公司向我司支付拖欠服务费，并判决中安信承担自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日至实际清偿之日起的利息； 另判决中安信承担本案全部诉讼费用。判决生效后，中安信科技有限公司未履行给付义务，我司已向廊坊市安次区人民法院 申请强制执行。截止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日，公司尚未收到标的金额款项，目前该案正处于强制执行阶段。公司本期账面应收 该项目款项</w:t>
      </w:r>
      <w:r>
        <w:rPr>
          <w:rFonts w:ascii="Times New Roman" w:eastAsia="Times New Roman" w:hAnsi="Times New Roman" w:cs="Times New Roman"/>
          <w:color w:val="000000"/>
          <w:spacing w:val="0"/>
          <w:w w:val="100"/>
          <w:position w:val="0"/>
          <w:sz w:val="18"/>
          <w:szCs w:val="18"/>
        </w:rPr>
        <w:t>1,188,800.00</w:t>
      </w:r>
      <w:r>
        <w:rPr>
          <w:color w:val="000000"/>
          <w:spacing w:val="0"/>
          <w:w w:val="100"/>
          <w:position w:val="0"/>
        </w:rPr>
        <w:t>元，已全额计提坏账准备。</w:t>
      </w:r>
    </w:p>
    <w:p>
      <w:pPr>
        <w:pStyle w:val="Style28"/>
        <w:keepNext w:val="0"/>
        <w:keepLines w:val="0"/>
        <w:widowControl w:val="0"/>
        <w:shd w:val="clear" w:color="auto" w:fill="auto"/>
        <w:tabs>
          <w:tab w:pos="481" w:val="left"/>
        </w:tabs>
        <w:bidi w:val="0"/>
        <w:spacing w:before="0" w:after="380" w:line="313" w:lineRule="exact"/>
        <w:ind w:left="0" w:right="0" w:firstLine="0"/>
        <w:jc w:val="both"/>
      </w:pPr>
      <w:bookmarkStart w:id="1594" w:name="bookmark1594"/>
      <w:r>
        <w:rPr>
          <w:color w:val="000000"/>
          <w:spacing w:val="0"/>
          <w:w w:val="100"/>
          <w:position w:val="0"/>
        </w:rPr>
        <w:t>（</w:t>
      </w:r>
      <w:bookmarkEnd w:id="159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日委托上海博和律师事务所孙剑明律师、杨汋律师就金瓜子科技发展（北京）有限公司（原 名：瓜子技术开发（北京）有限公司）所拖欠的服务费向上海市青浦区人民法院提起诉讼，请求金瓜子科技发展（北京）有 限公司支付拖欠的《咨询实施服务合同》约定的服务费用、违约金及承担本案诉讼费用。由于本案为计算机软件合同纠纷， 涉知识产权案件由知识产权法院集中管辖，故本案被上海市青浦区人民法院移交至上海知识产权法院。该案于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日在上海知识产权法院立案，此后经过多次开庭审理，截止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日，上述诉讼尚在审理中。公司本期账面 应收该项目款项</w:t>
      </w:r>
      <w:r>
        <w:rPr>
          <w:rFonts w:ascii="Times New Roman" w:eastAsia="Times New Roman" w:hAnsi="Times New Roman" w:cs="Times New Roman"/>
          <w:color w:val="000000"/>
          <w:spacing w:val="0"/>
          <w:w w:val="100"/>
          <w:position w:val="0"/>
          <w:sz w:val="18"/>
          <w:szCs w:val="18"/>
        </w:rPr>
        <w:t>1,893,680.00</w:t>
      </w:r>
      <w:r>
        <w:rPr>
          <w:color w:val="000000"/>
          <w:spacing w:val="0"/>
          <w:w w:val="100"/>
          <w:position w:val="0"/>
        </w:rPr>
        <w:t>元，已全额计提坏账准备。</w:t>
      </w:r>
    </w:p>
    <w:p>
      <w:pPr>
        <w:pStyle w:val="Style28"/>
        <w:keepNext w:val="0"/>
        <w:keepLines w:val="0"/>
        <w:widowControl w:val="0"/>
        <w:shd w:val="clear" w:color="auto" w:fill="auto"/>
        <w:tabs>
          <w:tab w:pos="486" w:val="left"/>
        </w:tabs>
        <w:bidi w:val="0"/>
        <w:spacing w:before="0" w:after="380" w:line="316" w:lineRule="exact"/>
        <w:ind w:left="0" w:right="0" w:firstLine="0"/>
        <w:jc w:val="both"/>
      </w:pPr>
      <w:bookmarkStart w:id="1595" w:name="bookmark1595"/>
      <w:r>
        <w:rPr>
          <w:color w:val="000000"/>
          <w:spacing w:val="0"/>
          <w:w w:val="100"/>
          <w:position w:val="0"/>
        </w:rPr>
        <w:t>（</w:t>
      </w:r>
      <w:bookmarkEnd w:id="159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月委托上海博和律师事务所孙剑明律师、杨汋律师就江苏贝特创意家具科技股份有限公司所拖欠 的服务费向上海国际经济贸易仲裁委员会申请仲裁，请求江苏贝特创意家具科技股份有限公司支付拖欠的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实施和汉 得</w:t>
      </w:r>
      <w:r>
        <w:rPr>
          <w:rFonts w:ascii="Times New Roman" w:eastAsia="Times New Roman" w:hAnsi="Times New Roman" w:cs="Times New Roman"/>
          <w:color w:val="000000"/>
          <w:spacing w:val="0"/>
          <w:w w:val="100"/>
          <w:position w:val="0"/>
          <w:sz w:val="18"/>
          <w:szCs w:val="18"/>
        </w:rPr>
        <w:t>HVPC</w:t>
      </w:r>
      <w:r>
        <w:rPr>
          <w:color w:val="000000"/>
          <w:spacing w:val="0"/>
          <w:w w:val="100"/>
          <w:position w:val="0"/>
        </w:rPr>
        <w:t>软件销售、实施项目合同》约定的服务费用、违约金及仲裁受理费。上海国际经济贸易仲裁委员会受理案件后， 仲裁庭组织双方多次开庭，截止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日，该案尚处于仲裁审理阶段。公司本期账面应收该项目款项</w:t>
      </w:r>
      <w:r>
        <w:rPr>
          <w:rFonts w:ascii="Times New Roman" w:eastAsia="Times New Roman" w:hAnsi="Times New Roman" w:cs="Times New Roman"/>
          <w:color w:val="000000"/>
          <w:spacing w:val="0"/>
          <w:w w:val="100"/>
          <w:position w:val="0"/>
          <w:sz w:val="18"/>
          <w:szCs w:val="18"/>
        </w:rPr>
        <w:t xml:space="preserve">875,000.00 </w:t>
      </w:r>
      <w:r>
        <w:rPr>
          <w:color w:val="000000"/>
          <w:spacing w:val="0"/>
          <w:w w:val="100"/>
          <w:position w:val="0"/>
        </w:rPr>
        <w:t>元，已全额计提坏账准备。</w:t>
      </w:r>
    </w:p>
    <w:p>
      <w:pPr>
        <w:pStyle w:val="Style28"/>
        <w:keepNext w:val="0"/>
        <w:keepLines w:val="0"/>
        <w:widowControl w:val="0"/>
        <w:shd w:val="clear" w:color="auto" w:fill="auto"/>
        <w:bidi w:val="0"/>
        <w:spacing w:before="0" w:after="380" w:line="314" w:lineRule="exact"/>
        <w:ind w:left="0" w:right="0" w:firstLine="0"/>
        <w:jc w:val="both"/>
      </w:pPr>
      <w:bookmarkStart w:id="1596" w:name="bookmark1596"/>
      <w:r>
        <w:rPr>
          <w:color w:val="000000"/>
          <w:spacing w:val="0"/>
          <w:w w:val="100"/>
          <w:position w:val="0"/>
        </w:rPr>
        <w:t>（</w:t>
      </w:r>
      <w:bookmarkEnd w:id="1596"/>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日委托上海博和律师事务所孙剑明律师、于学良律师、杨汋律师就久泰能源（准格尔）有限 公司所拖欠的服务费人民币</w:t>
      </w:r>
      <w:r>
        <w:rPr>
          <w:rFonts w:ascii="Times New Roman" w:eastAsia="Times New Roman" w:hAnsi="Times New Roman" w:cs="Times New Roman"/>
          <w:color w:val="000000"/>
          <w:spacing w:val="0"/>
          <w:w w:val="100"/>
          <w:position w:val="0"/>
          <w:sz w:val="18"/>
          <w:szCs w:val="18"/>
        </w:rPr>
        <w:t>10,881,296.10</w:t>
      </w:r>
      <w:r>
        <w:rPr>
          <w:color w:val="000000"/>
          <w:spacing w:val="0"/>
          <w:w w:val="100"/>
          <w:position w:val="0"/>
        </w:rPr>
        <w:t>元向鄂尔多斯市准格尔旗人民法院提起诉讼，请求久泰能源（准格尔）有限公司 支付拖欠的设备款</w:t>
      </w:r>
      <w:r>
        <w:rPr>
          <w:rFonts w:ascii="Times New Roman" w:eastAsia="Times New Roman" w:hAnsi="Times New Roman" w:cs="Times New Roman"/>
          <w:color w:val="000000"/>
          <w:spacing w:val="0"/>
          <w:w w:val="100"/>
          <w:position w:val="0"/>
          <w:sz w:val="18"/>
          <w:szCs w:val="18"/>
        </w:rPr>
        <w:t>10,881,296.10</w:t>
      </w:r>
      <w:r>
        <w:rPr>
          <w:color w:val="000000"/>
          <w:spacing w:val="0"/>
          <w:w w:val="100"/>
          <w:position w:val="0"/>
        </w:rPr>
        <w:t>元、律师费</w:t>
      </w:r>
      <w:r>
        <w:rPr>
          <w:rFonts w:ascii="Times New Roman" w:eastAsia="Times New Roman" w:hAnsi="Times New Roman" w:cs="Times New Roman"/>
          <w:color w:val="000000"/>
          <w:spacing w:val="0"/>
          <w:w w:val="100"/>
          <w:position w:val="0"/>
          <w:sz w:val="18"/>
          <w:szCs w:val="18"/>
        </w:rPr>
        <w:t>540,000.00</w:t>
      </w:r>
      <w:r>
        <w:rPr>
          <w:color w:val="000000"/>
          <w:spacing w:val="0"/>
          <w:w w:val="100"/>
          <w:position w:val="0"/>
        </w:rPr>
        <w:t>元及案件受理费</w:t>
      </w:r>
      <w:r>
        <w:rPr>
          <w:rFonts w:ascii="Times New Roman" w:eastAsia="Times New Roman" w:hAnsi="Times New Roman" w:cs="Times New Roman"/>
          <w:color w:val="000000"/>
          <w:spacing w:val="0"/>
          <w:w w:val="100"/>
          <w:position w:val="0"/>
          <w:sz w:val="18"/>
          <w:szCs w:val="18"/>
        </w:rPr>
        <w:t>45,164.00</w:t>
      </w:r>
      <w:r>
        <w:rPr>
          <w:color w:val="000000"/>
          <w:spacing w:val="0"/>
          <w:w w:val="100"/>
          <w:position w:val="0"/>
        </w:rPr>
        <w:t>元。一审判决后，久泰能源（准格尔）有 限公司不服提起上诉，鄂尔多斯市中级人民法院已经受理，截止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日，上述诉讼尚在审理中，公司尚未确认 与该合同相关资产。</w:t>
      </w:r>
    </w:p>
    <w:p>
      <w:pPr>
        <w:pStyle w:val="Style28"/>
        <w:keepNext w:val="0"/>
        <w:keepLines w:val="0"/>
        <w:widowControl w:val="0"/>
        <w:shd w:val="clear" w:color="auto" w:fill="auto"/>
        <w:tabs>
          <w:tab w:pos="481" w:val="left"/>
        </w:tabs>
        <w:bidi w:val="0"/>
        <w:spacing w:before="0" w:after="0" w:line="313" w:lineRule="exact"/>
        <w:ind w:left="0" w:right="0" w:firstLine="0"/>
        <w:jc w:val="both"/>
      </w:pPr>
      <w:bookmarkStart w:id="1597" w:name="bookmark1597"/>
      <w:r>
        <w:rPr>
          <w:color w:val="000000"/>
          <w:spacing w:val="0"/>
          <w:w w:val="100"/>
          <w:position w:val="0"/>
        </w:rPr>
        <w:t>（</w:t>
      </w:r>
      <w:bookmarkEnd w:id="159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日委托上海博和律师事务所孙剑明律师、于学良律师就江西远东电池有限公司（原名：远东 福斯特新能源有限公司）所拖欠的服务费及违约金，向宜春市袁州区人民法院提起诉讼，请求江西远东电池有限公司支付拖 欠的实施服务费、违约金及相关的案件受理费用。宜春市袁州区人民法院于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日作出民事判决，判决江西远东 电池有限公司向公司支付拖欠服务费、逾期付款违约金及案件受理费。民事判决书生效后，江西远东电池有限公司拒绝履行 判决书约定义务，我司已向宜春市袁州区人民法院申请强制执行。截止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日，公司尚未收到标的金额款项，</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目前该案正处于强制执行阶段，尚未执行完毕。公司本期账面应收该项目款项</w:t>
      </w:r>
      <w:r>
        <w:rPr>
          <w:rFonts w:ascii="Times New Roman" w:eastAsia="Times New Roman" w:hAnsi="Times New Roman" w:cs="Times New Roman"/>
          <w:color w:val="000000"/>
          <w:spacing w:val="0"/>
          <w:w w:val="100"/>
          <w:position w:val="0"/>
          <w:sz w:val="18"/>
          <w:szCs w:val="18"/>
        </w:rPr>
        <w:t>2,790,999.80</w:t>
      </w:r>
      <w:r>
        <w:rPr>
          <w:color w:val="000000"/>
          <w:spacing w:val="0"/>
          <w:w w:val="100"/>
          <w:position w:val="0"/>
        </w:rPr>
        <w:t>元，已全额计提坏账准备。</w:t>
      </w:r>
    </w:p>
    <w:p>
      <w:pPr>
        <w:pStyle w:val="Style28"/>
        <w:keepNext w:val="0"/>
        <w:keepLines w:val="0"/>
        <w:widowControl w:val="0"/>
        <w:shd w:val="clear" w:color="auto" w:fill="auto"/>
        <w:tabs>
          <w:tab w:pos="481" w:val="left"/>
        </w:tabs>
        <w:bidi w:val="0"/>
        <w:spacing w:before="0" w:after="380" w:line="317" w:lineRule="exact"/>
        <w:ind w:left="0" w:right="0" w:firstLine="0"/>
        <w:jc w:val="both"/>
      </w:pPr>
      <w:bookmarkStart w:id="1598" w:name="bookmark1598"/>
      <w:r>
        <w:rPr>
          <w:color w:val="000000"/>
          <w:spacing w:val="0"/>
          <w:w w:val="100"/>
          <w:position w:val="0"/>
        </w:rPr>
        <w:t>（</w:t>
      </w:r>
      <w:bookmarkEnd w:id="1598"/>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日委托上海博和律师事务所孙剑明律师、杨汋律师就江苏鱼跃医疗设备股份有限公司所拖欠 的实施服务费向丹阳市人民法院提起诉讼，请求江苏鱼跃医疗设备股份有限公司支付拖欠的实施服务费用、违约金及案件受 理费。截止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日，上述诉讼尚在审理中。公司本期账面应收该项目款项</w:t>
      </w:r>
      <w:r>
        <w:rPr>
          <w:rFonts w:ascii="Times New Roman" w:eastAsia="Times New Roman" w:hAnsi="Times New Roman" w:cs="Times New Roman"/>
          <w:color w:val="000000"/>
          <w:spacing w:val="0"/>
          <w:w w:val="100"/>
          <w:position w:val="0"/>
          <w:sz w:val="18"/>
          <w:szCs w:val="18"/>
        </w:rPr>
        <w:t>3,432,000.04</w:t>
      </w:r>
      <w:r>
        <w:rPr>
          <w:color w:val="000000"/>
          <w:spacing w:val="0"/>
          <w:w w:val="100"/>
          <w:position w:val="0"/>
        </w:rPr>
        <w:t>元，已全额计提坏账准 备。</w:t>
      </w:r>
    </w:p>
    <w:p>
      <w:pPr>
        <w:pStyle w:val="Style28"/>
        <w:keepNext w:val="0"/>
        <w:keepLines w:val="0"/>
        <w:widowControl w:val="0"/>
        <w:shd w:val="clear" w:color="auto" w:fill="auto"/>
        <w:tabs>
          <w:tab w:pos="481" w:val="left"/>
        </w:tabs>
        <w:bidi w:val="0"/>
        <w:spacing w:before="0" w:after="380" w:line="311" w:lineRule="exact"/>
        <w:ind w:left="0" w:right="0" w:firstLine="0"/>
        <w:jc w:val="both"/>
      </w:pPr>
      <w:bookmarkStart w:id="1599" w:name="bookmark1599"/>
      <w:r>
        <w:rPr>
          <w:color w:val="000000"/>
          <w:spacing w:val="0"/>
          <w:w w:val="100"/>
          <w:position w:val="0"/>
        </w:rPr>
        <w:t>（</w:t>
      </w:r>
      <w:bookmarkEnd w:id="1599"/>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日委托上海博和律师事务所孙剑明律师、杨汋律师就德淮半导体有限公司所拖欠的服务费向 淮安市淮阴区人民法院提起诉讼，请求德淮半导体有限公司支付拖欠的服务费用、违约金及案件受理费。淮安市淮阴区人民 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日作出判决，判决德淮半导体有限公司支付拖欠的服务费用、违约金及案件受理费。判决生效后，德 淮半导体有限公司主动派人联络我司，协商分期付款事宜。截止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日，上述案件处于双方沟通环节中。公司 本期账面应收该项目款项</w:t>
      </w:r>
      <w:r>
        <w:rPr>
          <w:rFonts w:ascii="Times New Roman" w:eastAsia="Times New Roman" w:hAnsi="Times New Roman" w:cs="Times New Roman"/>
          <w:color w:val="000000"/>
          <w:spacing w:val="0"/>
          <w:w w:val="100"/>
          <w:position w:val="0"/>
          <w:sz w:val="18"/>
          <w:szCs w:val="18"/>
        </w:rPr>
        <w:t>3,110,693.56</w:t>
      </w:r>
      <w:r>
        <w:rPr>
          <w:color w:val="000000"/>
          <w:spacing w:val="0"/>
          <w:w w:val="100"/>
          <w:position w:val="0"/>
        </w:rPr>
        <w:t>元，已计提坏账</w:t>
      </w:r>
      <w:r>
        <w:rPr>
          <w:rFonts w:ascii="Times New Roman" w:eastAsia="Times New Roman" w:hAnsi="Times New Roman" w:cs="Times New Roman"/>
          <w:color w:val="000000"/>
          <w:spacing w:val="0"/>
          <w:w w:val="100"/>
          <w:position w:val="0"/>
          <w:sz w:val="18"/>
          <w:szCs w:val="18"/>
        </w:rPr>
        <w:t>1,866,416.14</w:t>
      </w:r>
      <w:r>
        <w:rPr>
          <w:color w:val="000000"/>
          <w:spacing w:val="0"/>
          <w:w w:val="100"/>
          <w:position w:val="0"/>
        </w:rPr>
        <w:t>元。</w:t>
      </w:r>
    </w:p>
    <w:p>
      <w:pPr>
        <w:pStyle w:val="Style28"/>
        <w:keepNext w:val="0"/>
        <w:keepLines w:val="0"/>
        <w:widowControl w:val="0"/>
        <w:shd w:val="clear" w:color="auto" w:fill="auto"/>
        <w:tabs>
          <w:tab w:pos="582" w:val="left"/>
        </w:tabs>
        <w:bidi w:val="0"/>
        <w:spacing w:before="0" w:after="380" w:line="312" w:lineRule="exact"/>
        <w:ind w:left="0" w:right="0" w:firstLine="0"/>
        <w:jc w:val="both"/>
      </w:pPr>
      <w:bookmarkStart w:id="1600" w:name="bookmark1600"/>
      <w:r>
        <w:rPr>
          <w:color w:val="000000"/>
          <w:spacing w:val="0"/>
          <w:w w:val="100"/>
          <w:position w:val="0"/>
        </w:rPr>
        <w:t>（</w:t>
      </w:r>
      <w:bookmarkEnd w:id="1600"/>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日，陕西医药控股集团派昂医药有限责任公司（简称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派昂医药’’）以合同纠纷为由，向西安市灞桥区 人民法院提起诉讼，请求人民法院依法判令被告汉得公司立即返还原告已支付的服务费</w:t>
      </w:r>
      <w:r>
        <w:rPr>
          <w:rFonts w:ascii="Times New Roman" w:eastAsia="Times New Roman" w:hAnsi="Times New Roman" w:cs="Times New Roman"/>
          <w:color w:val="000000"/>
          <w:spacing w:val="0"/>
          <w:w w:val="100"/>
          <w:position w:val="0"/>
          <w:sz w:val="18"/>
          <w:szCs w:val="18"/>
        </w:rPr>
        <w:t>2,241,563.00</w:t>
      </w:r>
      <w:r>
        <w:rPr>
          <w:color w:val="000000"/>
          <w:spacing w:val="0"/>
          <w:w w:val="100"/>
          <w:position w:val="0"/>
        </w:rPr>
        <w:t>元，并支付资金占用期 间给原告造成的利息损失</w:t>
      </w:r>
      <w:r>
        <w:rPr>
          <w:rFonts w:ascii="Times New Roman" w:eastAsia="Times New Roman" w:hAnsi="Times New Roman" w:cs="Times New Roman"/>
          <w:color w:val="000000"/>
          <w:spacing w:val="0"/>
          <w:w w:val="100"/>
          <w:position w:val="0"/>
          <w:sz w:val="18"/>
          <w:szCs w:val="18"/>
        </w:rPr>
        <w:t>203,590.00</w:t>
      </w:r>
      <w:r>
        <w:rPr>
          <w:color w:val="000000"/>
          <w:spacing w:val="0"/>
          <w:w w:val="100"/>
          <w:position w:val="0"/>
        </w:rPr>
        <w:t>元及实际返还款项之日的利息损失;被告中数通公司在</w:t>
      </w:r>
      <w:r>
        <w:rPr>
          <w:rFonts w:ascii="Times New Roman" w:eastAsia="Times New Roman" w:hAnsi="Times New Roman" w:cs="Times New Roman"/>
          <w:color w:val="000000"/>
          <w:spacing w:val="0"/>
          <w:w w:val="100"/>
          <w:position w:val="0"/>
          <w:sz w:val="18"/>
          <w:szCs w:val="18"/>
        </w:rPr>
        <w:t>805,052.91</w:t>
      </w:r>
      <w:r>
        <w:rPr>
          <w:color w:val="000000"/>
          <w:spacing w:val="0"/>
          <w:w w:val="100"/>
          <w:position w:val="0"/>
        </w:rPr>
        <w:t>元范围内与被告汉得 公司承担连带义务。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日，派昂医药向西安市灞桥区人民法院提交《变更诉讼请求申请书》，请求人民法院依 法判令被告汉得公司立即返还原告已支付的服务费</w:t>
      </w:r>
      <w:r>
        <w:rPr>
          <w:rFonts w:ascii="Times New Roman" w:eastAsia="Times New Roman" w:hAnsi="Times New Roman" w:cs="Times New Roman"/>
          <w:color w:val="000000"/>
          <w:spacing w:val="0"/>
          <w:w w:val="100"/>
          <w:position w:val="0"/>
          <w:sz w:val="18"/>
          <w:szCs w:val="18"/>
        </w:rPr>
        <w:t>2,241,563.00</w:t>
      </w:r>
      <w:r>
        <w:rPr>
          <w:color w:val="000000"/>
          <w:spacing w:val="0"/>
          <w:w w:val="100"/>
          <w:position w:val="0"/>
        </w:rPr>
        <w:t>元，并支付申请人违约金</w:t>
      </w:r>
      <w:r>
        <w:rPr>
          <w:rFonts w:ascii="Times New Roman" w:eastAsia="Times New Roman" w:hAnsi="Times New Roman" w:cs="Times New Roman"/>
          <w:color w:val="000000"/>
          <w:spacing w:val="0"/>
          <w:w w:val="100"/>
          <w:position w:val="0"/>
          <w:sz w:val="18"/>
          <w:szCs w:val="18"/>
        </w:rPr>
        <w:t>1,084,917.46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日暂计算至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日，共</w:t>
      </w:r>
      <w:r>
        <w:rPr>
          <w:rFonts w:ascii="Times New Roman" w:eastAsia="Times New Roman" w:hAnsi="Times New Roman" w:cs="Times New Roman"/>
          <w:color w:val="000000"/>
          <w:spacing w:val="0"/>
          <w:w w:val="100"/>
          <w:position w:val="0"/>
          <w:sz w:val="18"/>
          <w:szCs w:val="18"/>
        </w:rPr>
        <w:t>242</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；被告中数通公司在</w:t>
      </w:r>
      <w:r>
        <w:rPr>
          <w:rFonts w:ascii="Times New Roman" w:eastAsia="Times New Roman" w:hAnsi="Times New Roman" w:cs="Times New Roman"/>
          <w:color w:val="000000"/>
          <w:spacing w:val="0"/>
          <w:w w:val="100"/>
          <w:position w:val="0"/>
          <w:sz w:val="18"/>
          <w:szCs w:val="18"/>
        </w:rPr>
        <w:t>805,052.91</w:t>
      </w:r>
      <w:r>
        <w:rPr>
          <w:color w:val="000000"/>
          <w:spacing w:val="0"/>
          <w:w w:val="100"/>
          <w:position w:val="0"/>
        </w:rPr>
        <w:t>元范围内与被告汉得公司承担连带给付义务。上 述案件已分别于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日两次在西安市灞桥区人民法院开庭审理。第一次庭审后，派昂医药向 灞桥区人民法院申请财产保全，申请冻结汉得公司银行存款</w:t>
      </w:r>
      <w:r>
        <w:rPr>
          <w:rFonts w:ascii="Times New Roman" w:eastAsia="Times New Roman" w:hAnsi="Times New Roman" w:cs="Times New Roman"/>
          <w:color w:val="000000"/>
          <w:spacing w:val="0"/>
          <w:w w:val="100"/>
          <w:position w:val="0"/>
          <w:sz w:val="18"/>
          <w:szCs w:val="18"/>
        </w:rPr>
        <w:t>2,445,153.00</w:t>
      </w:r>
      <w:r>
        <w:rPr>
          <w:color w:val="000000"/>
          <w:spacing w:val="0"/>
          <w:w w:val="100"/>
          <w:position w:val="0"/>
        </w:rPr>
        <w:t xml:space="preserve">元或其他等值财产，冻结中数通公司银行存款 </w:t>
      </w:r>
      <w:r>
        <w:rPr>
          <w:rFonts w:ascii="Times New Roman" w:eastAsia="Times New Roman" w:hAnsi="Times New Roman" w:cs="Times New Roman"/>
          <w:color w:val="000000"/>
          <w:spacing w:val="0"/>
          <w:w w:val="100"/>
          <w:position w:val="0"/>
          <w:sz w:val="18"/>
          <w:szCs w:val="18"/>
        </w:rPr>
        <w:t>805,052.91</w:t>
      </w:r>
      <w:r>
        <w:rPr>
          <w:color w:val="000000"/>
          <w:spacing w:val="0"/>
          <w:w w:val="100"/>
          <w:position w:val="0"/>
        </w:rPr>
        <w:t>元或其他等值财产。后经汉得公司提供等额保证金，西安市灞桥区人民法院已裁定解除对汉得公司账户的等额查 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日，西安市灞桥区人民法院作出（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）陕</w:t>
      </w:r>
      <w:r>
        <w:rPr>
          <w:rFonts w:ascii="Times New Roman" w:eastAsia="Times New Roman" w:hAnsi="Times New Roman" w:cs="Times New Roman"/>
          <w:color w:val="000000"/>
          <w:spacing w:val="0"/>
          <w:w w:val="100"/>
          <w:position w:val="0"/>
          <w:sz w:val="18"/>
          <w:szCs w:val="18"/>
        </w:rPr>
        <w:t>0111</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4185</w:t>
      </w:r>
      <w:r>
        <w:rPr>
          <w:color w:val="000000"/>
          <w:spacing w:val="0"/>
          <w:w w:val="100"/>
          <w:position w:val="0"/>
        </w:rPr>
        <w:t>号《民事裁定书》，裁定本案移送西安市中 级人民法院知识产权法庭处理。截止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日，汉得公司已向法院缴纳保证金</w:t>
      </w:r>
      <w:r>
        <w:rPr>
          <w:rFonts w:ascii="Times New Roman" w:eastAsia="Times New Roman" w:hAnsi="Times New Roman" w:cs="Times New Roman"/>
          <w:color w:val="000000"/>
          <w:spacing w:val="0"/>
          <w:w w:val="100"/>
          <w:position w:val="0"/>
          <w:sz w:val="18"/>
          <w:szCs w:val="18"/>
        </w:rPr>
        <w:t>2,445,153.00</w:t>
      </w:r>
      <w:r>
        <w:rPr>
          <w:color w:val="000000"/>
          <w:spacing w:val="0"/>
          <w:w w:val="100"/>
          <w:position w:val="0"/>
        </w:rPr>
        <w:t>元，具体包括服务收 款</w:t>
      </w:r>
      <w:r>
        <w:rPr>
          <w:rFonts w:ascii="Times New Roman" w:eastAsia="Times New Roman" w:hAnsi="Times New Roman" w:cs="Times New Roman"/>
          <w:color w:val="000000"/>
          <w:spacing w:val="0"/>
          <w:w w:val="100"/>
          <w:position w:val="0"/>
          <w:sz w:val="18"/>
          <w:szCs w:val="18"/>
        </w:rPr>
        <w:t>1,436,510.09</w:t>
      </w:r>
      <w:r>
        <w:rPr>
          <w:color w:val="000000"/>
          <w:spacing w:val="0"/>
          <w:w w:val="100"/>
          <w:position w:val="0"/>
        </w:rPr>
        <w:t>元，资金占用期间给原告造成的利息损失</w:t>
      </w:r>
      <w:r>
        <w:rPr>
          <w:rFonts w:ascii="Times New Roman" w:eastAsia="Times New Roman" w:hAnsi="Times New Roman" w:cs="Times New Roman"/>
          <w:color w:val="000000"/>
          <w:spacing w:val="0"/>
          <w:w w:val="100"/>
          <w:position w:val="0"/>
          <w:sz w:val="18"/>
          <w:szCs w:val="18"/>
        </w:rPr>
        <w:t>203,590.00</w:t>
      </w:r>
      <w:r>
        <w:rPr>
          <w:color w:val="000000"/>
          <w:spacing w:val="0"/>
          <w:w w:val="100"/>
          <w:position w:val="0"/>
        </w:rPr>
        <w:t>元，中数通的</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软件款</w:t>
      </w:r>
      <w:r>
        <w:rPr>
          <w:rFonts w:ascii="Times New Roman" w:eastAsia="Times New Roman" w:hAnsi="Times New Roman" w:cs="Times New Roman"/>
          <w:color w:val="000000"/>
          <w:spacing w:val="0"/>
          <w:w w:val="100"/>
          <w:position w:val="0"/>
          <w:sz w:val="18"/>
          <w:szCs w:val="18"/>
        </w:rPr>
        <w:t>805,052.91</w:t>
      </w:r>
      <w:r>
        <w:rPr>
          <w:color w:val="000000"/>
          <w:spacing w:val="0"/>
          <w:w w:val="100"/>
          <w:position w:val="0"/>
        </w:rPr>
        <w:t>元。公司最终是 否需要向派昂医药赔偿及赔偿范围，以法院生效裁判为准。本期无法预计该诉讼事项对本期利润或期后利润的最终影响。截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日，公司账面应收该项目款项</w:t>
      </w:r>
      <w:r>
        <w:rPr>
          <w:rFonts w:ascii="Times New Roman" w:eastAsia="Times New Roman" w:hAnsi="Times New Roman" w:cs="Times New Roman"/>
          <w:color w:val="000000"/>
          <w:spacing w:val="0"/>
          <w:w w:val="100"/>
          <w:position w:val="0"/>
          <w:sz w:val="18"/>
          <w:szCs w:val="18"/>
        </w:rPr>
        <w:t>1,983,489.81</w:t>
      </w:r>
      <w:r>
        <w:rPr>
          <w:color w:val="000000"/>
          <w:spacing w:val="0"/>
          <w:w w:val="100"/>
          <w:position w:val="0"/>
        </w:rPr>
        <w:t>元，已计提坏账</w:t>
      </w:r>
      <w:r>
        <w:rPr>
          <w:rFonts w:ascii="Times New Roman" w:eastAsia="Times New Roman" w:hAnsi="Times New Roman" w:cs="Times New Roman"/>
          <w:color w:val="000000"/>
          <w:spacing w:val="0"/>
          <w:w w:val="100"/>
          <w:position w:val="0"/>
          <w:sz w:val="18"/>
          <w:szCs w:val="18"/>
        </w:rPr>
        <w:t>1,190,093.89</w:t>
      </w:r>
      <w:r>
        <w:rPr>
          <w:color w:val="000000"/>
          <w:spacing w:val="0"/>
          <w:w w:val="100"/>
          <w:position w:val="0"/>
        </w:rPr>
        <w:t xml:space="preserve">元，其他应收法院诉讼保证金 </w:t>
      </w:r>
      <w:r>
        <w:rPr>
          <w:rFonts w:ascii="Times New Roman" w:eastAsia="Times New Roman" w:hAnsi="Times New Roman" w:cs="Times New Roman"/>
          <w:color w:val="000000"/>
          <w:spacing w:val="0"/>
          <w:w w:val="100"/>
          <w:position w:val="0"/>
          <w:sz w:val="18"/>
          <w:szCs w:val="18"/>
        </w:rPr>
        <w:t xml:space="preserve">2,445,153.00 </w:t>
      </w:r>
      <w:r>
        <w:rPr>
          <w:color w:val="000000"/>
          <w:spacing w:val="0"/>
          <w:w w:val="100"/>
          <w:position w:val="0"/>
        </w:rPr>
        <w:t xml:space="preserve">元，已计提坏账 </w:t>
      </w:r>
      <w:r>
        <w:rPr>
          <w:rFonts w:ascii="Times New Roman" w:eastAsia="Times New Roman" w:hAnsi="Times New Roman" w:cs="Times New Roman"/>
          <w:color w:val="000000"/>
          <w:spacing w:val="0"/>
          <w:w w:val="100"/>
          <w:position w:val="0"/>
          <w:sz w:val="18"/>
          <w:szCs w:val="18"/>
        </w:rPr>
        <w:t xml:space="preserve">122,257.65 </w:t>
      </w:r>
      <w:r>
        <w:rPr>
          <w:color w:val="000000"/>
          <w:spacing w:val="0"/>
          <w:w w:val="100"/>
          <w:position w:val="0"/>
        </w:rPr>
        <w:t>元。</w:t>
      </w:r>
    </w:p>
    <w:p>
      <w:pPr>
        <w:pStyle w:val="Style28"/>
        <w:keepNext w:val="0"/>
        <w:keepLines w:val="0"/>
        <w:widowControl w:val="0"/>
        <w:shd w:val="clear" w:color="auto" w:fill="auto"/>
        <w:bidi w:val="0"/>
        <w:spacing w:before="0" w:after="380" w:line="326" w:lineRule="exact"/>
        <w:ind w:left="0" w:right="0" w:firstLine="0"/>
        <w:jc w:val="both"/>
      </w:pPr>
      <w:bookmarkStart w:id="1601" w:name="bookmark1601"/>
      <w:r>
        <w:rPr>
          <w:color w:val="000000"/>
          <w:spacing w:val="0"/>
          <w:w w:val="100"/>
          <w:position w:val="0"/>
        </w:rPr>
        <w:t>（</w:t>
      </w:r>
      <w:bookmarkEnd w:id="1601"/>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日，本公司就总额为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万元的票据追索权纠纷向人民法院提起诉讼，并于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月收到</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万元标的金额款项。</w:t>
      </w:r>
    </w:p>
    <w:p>
      <w:pPr>
        <w:pStyle w:val="Style26"/>
        <w:keepNext/>
        <w:keepLines/>
        <w:widowControl w:val="0"/>
        <w:shd w:val="clear" w:color="auto" w:fill="auto"/>
        <w:bidi w:val="0"/>
        <w:spacing w:before="0" w:line="240" w:lineRule="auto"/>
        <w:ind w:left="0" w:right="0" w:firstLine="0"/>
        <w:jc w:val="both"/>
      </w:pPr>
      <w:bookmarkStart w:id="1602" w:name="bookmark1602"/>
      <w:bookmarkStart w:id="1603" w:name="bookmark1603"/>
      <w:bookmarkStart w:id="1604" w:name="bookmark1604"/>
      <w:r>
        <w:rPr>
          <w:color w:val="000000"/>
          <w:spacing w:val="0"/>
          <w:w w:val="100"/>
          <w:position w:val="0"/>
        </w:rPr>
        <w:t>十五、资产负债表日后事项</w:t>
      </w:r>
      <w:bookmarkEnd w:id="1602"/>
      <w:bookmarkEnd w:id="1603"/>
      <w:bookmarkEnd w:id="1604"/>
    </w:p>
    <w:p>
      <w:pPr>
        <w:pStyle w:val="Style32"/>
        <w:keepNext/>
        <w:keepLines/>
        <w:widowControl w:val="0"/>
        <w:shd w:val="clear" w:color="auto" w:fill="auto"/>
        <w:bidi w:val="0"/>
        <w:spacing w:before="0" w:after="240" w:line="240" w:lineRule="auto"/>
        <w:ind w:left="0" w:right="0" w:firstLine="0"/>
        <w:jc w:val="both"/>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05"/>
      <w:bookmarkEnd w:id="1606"/>
      <w:bookmarkEnd w:id="1607"/>
    </w:p>
    <w:p>
      <w:pPr>
        <w:pStyle w:val="Style28"/>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26,310,507.63</w:t>
            </w:r>
          </w:p>
        </w:tc>
      </w:tr>
    </w:tbl>
    <w:p>
      <w:pPr>
        <w:pStyle w:val="Style32"/>
        <w:keepNext/>
        <w:keepLines/>
        <w:widowControl w:val="0"/>
        <w:shd w:val="clear" w:color="auto" w:fill="auto"/>
        <w:bidi w:val="0"/>
        <w:spacing w:before="0" w:after="300" w:line="315" w:lineRule="exact"/>
        <w:ind w:left="0" w:right="0" w:firstLine="0"/>
        <w:jc w:val="both"/>
      </w:pPr>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608"/>
      <w:bookmarkEnd w:id="1609"/>
      <w:bookmarkEnd w:id="1610"/>
    </w:p>
    <w:p>
      <w:pPr>
        <w:pStyle w:val="Style32"/>
        <w:keepNext/>
        <w:keepLines/>
        <w:widowControl w:val="0"/>
        <w:shd w:val="clear" w:color="auto" w:fill="auto"/>
        <w:tabs>
          <w:tab w:pos="343" w:val="left"/>
        </w:tabs>
        <w:bidi w:val="0"/>
        <w:spacing w:before="0" w:after="0" w:line="315" w:lineRule="exact"/>
        <w:ind w:left="0" w:right="0" w:firstLine="0"/>
        <w:jc w:val="both"/>
      </w:pPr>
      <w:bookmarkStart w:id="1608" w:name="bookmark1608"/>
      <w:bookmarkStart w:id="1609" w:name="bookmark1609"/>
      <w:bookmarkStart w:id="1611" w:name="bookmark1611"/>
      <w:r>
        <w:rPr>
          <w:rFonts w:ascii="Times New Roman" w:eastAsia="Times New Roman" w:hAnsi="Times New Roman" w:cs="Times New Roman"/>
          <w:color w:val="000000"/>
          <w:spacing w:val="0"/>
          <w:w w:val="100"/>
          <w:position w:val="0"/>
        </w:rPr>
        <w:t>1</w:t>
      </w:r>
      <w:bookmarkEnd w:id="1611"/>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w:t>
      </w:r>
      <w:bookmarkEnd w:id="1608"/>
      <w:bookmarkEnd w:id="1609"/>
    </w:p>
    <w:p>
      <w:pPr>
        <w:pStyle w:val="Style28"/>
        <w:keepNext w:val="0"/>
        <w:keepLines w:val="0"/>
        <w:widowControl w:val="0"/>
        <w:shd w:val="clear" w:color="auto" w:fill="auto"/>
        <w:bidi w:val="0"/>
        <w:spacing w:before="0" w:after="520" w:line="315"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日，公司召开第四届董事会第十八次（临时）会议审议通过了《上海汉得信息技术股份有限公司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年股票期权激励计划（草案）》及摘要、《上海汉得信息技术股份有限公司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年股票期权激励计划实施考核办法》（以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《考核办法》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）以及《关于提请股东大会授权董事会办理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年股票期权激励计划相关事宜的议案》（以下简称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 权议案》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的相关要求，公司董事会实施并完成了期权的授予工作，向激励对象定向发行</w:t>
      </w:r>
      <w:r>
        <w:rPr>
          <w:rFonts w:ascii="Times New Roman" w:eastAsia="Times New Roman" w:hAnsi="Times New Roman" w:cs="Times New Roman"/>
          <w:color w:val="000000"/>
          <w:spacing w:val="0"/>
          <w:w w:val="100"/>
          <w:position w:val="0"/>
          <w:sz w:val="18"/>
          <w:szCs w:val="18"/>
        </w:rPr>
        <w:t>5,120</w:t>
      </w:r>
      <w:r>
        <w:rPr>
          <w:color w:val="000000"/>
          <w:spacing w:val="0"/>
          <w:w w:val="100"/>
          <w:position w:val="0"/>
        </w:rPr>
        <w:t>万股期权。</w:t>
      </w:r>
    </w:p>
    <w:p>
      <w:pPr>
        <w:pStyle w:val="Style35"/>
        <w:keepNext w:val="0"/>
        <w:keepLines w:val="0"/>
        <w:widowControl w:val="0"/>
        <w:shd w:val="clear" w:color="auto" w:fill="auto"/>
        <w:tabs>
          <w:tab w:pos="343" w:val="left"/>
        </w:tabs>
        <w:bidi w:val="0"/>
        <w:spacing w:before="0" w:after="140" w:line="315" w:lineRule="exact"/>
        <w:ind w:left="0" w:right="0" w:firstLine="0"/>
        <w:jc w:val="both"/>
        <w:rPr>
          <w:sz w:val="20"/>
          <w:szCs w:val="20"/>
        </w:rPr>
      </w:pPr>
      <w:bookmarkStart w:id="1612" w:name="bookmark1612"/>
      <w:r>
        <w:rPr>
          <w:rFonts w:ascii="Times New Roman" w:eastAsia="Times New Roman" w:hAnsi="Times New Roman" w:cs="Times New Roman"/>
          <w:b/>
          <w:bCs/>
          <w:color w:val="000000"/>
          <w:spacing w:val="0"/>
          <w:w w:val="100"/>
          <w:position w:val="0"/>
          <w:sz w:val="20"/>
          <w:szCs w:val="20"/>
        </w:rPr>
        <w:t>2</w:t>
      </w:r>
      <w:bookmarkEnd w:id="1612"/>
      <w:r>
        <w:rPr>
          <w:b/>
          <w:bCs/>
          <w:color w:val="000000"/>
          <w:spacing w:val="0"/>
          <w:w w:val="100"/>
          <w:position w:val="0"/>
          <w:sz w:val="24"/>
          <w:szCs w:val="24"/>
        </w:rPr>
        <w:t>、</w:t>
        <w:tab/>
      </w:r>
      <w:r>
        <w:rPr>
          <w:b/>
          <w:bCs/>
          <w:color w:val="000000"/>
          <w:spacing w:val="0"/>
          <w:w w:val="100"/>
          <w:position w:val="0"/>
          <w:sz w:val="20"/>
          <w:szCs w:val="20"/>
        </w:rPr>
        <w:t>股东表决权委托到期暨权益变动</w:t>
      </w:r>
    </w:p>
    <w:p>
      <w:pPr>
        <w:pStyle w:val="Style28"/>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日收到公司实际控制人陈迪清、范建震先生通知，其与公司股东北京百度网讯科技有限公司（以下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）签署的《表决权授权委托书》已到期结束，陈迪清、范建震先生委托给百度行使的表决权恢复。范建震和陈迪 清所持有的公司股份</w:t>
      </w:r>
      <w:r>
        <w:rPr>
          <w:rFonts w:ascii="Times New Roman" w:eastAsia="Times New Roman" w:hAnsi="Times New Roman" w:cs="Times New Roman"/>
          <w:color w:val="000000"/>
          <w:spacing w:val="0"/>
          <w:w w:val="100"/>
          <w:position w:val="0"/>
          <w:sz w:val="18"/>
          <w:szCs w:val="18"/>
        </w:rPr>
        <w:t>22,189,565</w:t>
      </w:r>
      <w:r>
        <w:rPr>
          <w:color w:val="000000"/>
          <w:spacing w:val="0"/>
          <w:w w:val="100"/>
          <w:position w:val="0"/>
        </w:rPr>
        <w:t>股（合计</w:t>
      </w:r>
      <w:r>
        <w:rPr>
          <w:rFonts w:ascii="Times New Roman" w:eastAsia="Times New Roman" w:hAnsi="Times New Roman" w:cs="Times New Roman"/>
          <w:color w:val="000000"/>
          <w:spacing w:val="0"/>
          <w:w w:val="100"/>
          <w:position w:val="0"/>
          <w:sz w:val="18"/>
          <w:szCs w:val="18"/>
        </w:rPr>
        <w:t>44,379,130</w:t>
      </w:r>
      <w:r>
        <w:rPr>
          <w:color w:val="000000"/>
          <w:spacing w:val="0"/>
          <w:w w:val="100"/>
          <w:position w:val="0"/>
        </w:rPr>
        <w:t>股，占公司当时股本总额的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）所对应的表决权委托到期后， 陈迪清先生、范建震先生仍为一致行动人，合计持有公司股份以及合计可行使表决权的股份</w:t>
      </w:r>
      <w:r>
        <w:rPr>
          <w:rFonts w:ascii="Times New Roman" w:eastAsia="Times New Roman" w:hAnsi="Times New Roman" w:cs="Times New Roman"/>
          <w:color w:val="000000"/>
          <w:spacing w:val="0"/>
          <w:w w:val="100"/>
          <w:position w:val="0"/>
          <w:sz w:val="18"/>
          <w:szCs w:val="18"/>
        </w:rPr>
        <w:t>139,966,448</w:t>
      </w:r>
      <w:r>
        <w:rPr>
          <w:color w:val="000000"/>
          <w:spacing w:val="0"/>
          <w:w w:val="100"/>
          <w:position w:val="0"/>
        </w:rPr>
        <w:t>股，占公司目前总 股本（剔除公司回购专用账户中的股份数量）</w:t>
      </w:r>
      <w:r>
        <w:rPr>
          <w:rFonts w:ascii="Times New Roman" w:eastAsia="Times New Roman" w:hAnsi="Times New Roman" w:cs="Times New Roman"/>
          <w:color w:val="000000"/>
          <w:spacing w:val="0"/>
          <w:w w:val="100"/>
          <w:position w:val="0"/>
          <w:sz w:val="18"/>
          <w:szCs w:val="18"/>
        </w:rPr>
        <w:t>15.96%</w:t>
      </w:r>
      <w:r>
        <w:rPr>
          <w:color w:val="000000"/>
          <w:spacing w:val="0"/>
          <w:w w:val="100"/>
          <w:position w:val="0"/>
        </w:rPr>
        <w:t>，仍为公司第一大股东；公司董事会共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席，包括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名非独立董事 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名独立董事，百度可提名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名非独立董事，因此百度不能够决定公司董事会半数以上成员的选任；同时，陈迪清先生 担任公司董事长，参与公司实际经营管理，其与公司核心管理层对公司的经营决策具有决定性的影响。因此本次表决权委托 到期后，公司实际控制人不会发生变更，仍为陈迪清、范建震先生。</w:t>
      </w:r>
    </w:p>
    <w:p>
      <w:pPr>
        <w:pStyle w:val="Style26"/>
        <w:keepNext/>
        <w:keepLines/>
        <w:widowControl w:val="0"/>
        <w:shd w:val="clear" w:color="auto" w:fill="auto"/>
        <w:bidi w:val="0"/>
        <w:spacing w:before="0" w:after="300" w:line="240" w:lineRule="auto"/>
        <w:ind w:left="0" w:right="0" w:firstLine="0"/>
        <w:jc w:val="both"/>
      </w:pPr>
      <w:bookmarkStart w:id="1613" w:name="bookmark1613"/>
      <w:bookmarkStart w:id="1614" w:name="bookmark1614"/>
      <w:bookmarkStart w:id="1615" w:name="bookmark1615"/>
      <w:r>
        <w:rPr>
          <w:color w:val="000000"/>
          <w:spacing w:val="0"/>
          <w:w w:val="100"/>
          <w:position w:val="0"/>
        </w:rPr>
        <w:t>十六、母公司财务报表主要项目注释</w:t>
      </w:r>
      <w:bookmarkEnd w:id="1613"/>
      <w:bookmarkEnd w:id="1614"/>
      <w:bookmarkEnd w:id="1615"/>
    </w:p>
    <w:p>
      <w:pPr>
        <w:pStyle w:val="Style32"/>
        <w:keepNext/>
        <w:keepLines/>
        <w:widowControl w:val="0"/>
        <w:shd w:val="clear" w:color="auto" w:fill="auto"/>
        <w:bidi w:val="0"/>
        <w:spacing w:before="0" w:after="300" w:line="315" w:lineRule="exact"/>
        <w:ind w:left="0" w:right="0" w:firstLine="0"/>
        <w:jc w:val="both"/>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16"/>
      <w:bookmarkEnd w:id="1617"/>
      <w:bookmarkEnd w:id="1618"/>
    </w:p>
    <w:p>
      <w:pPr>
        <w:pStyle w:val="Style41"/>
        <w:keepNext/>
        <w:keepLines/>
        <w:widowControl w:val="0"/>
        <w:shd w:val="clear" w:color="auto" w:fill="auto"/>
        <w:bidi w:val="0"/>
        <w:spacing w:before="0" w:after="360" w:line="315" w:lineRule="exact"/>
        <w:ind w:left="0" w:right="0" w:firstLine="0"/>
        <w:jc w:val="both"/>
      </w:pPr>
      <w:bookmarkStart w:id="1619" w:name="bookmark1619"/>
      <w:bookmarkStart w:id="1620" w:name="bookmark1620"/>
      <w:bookmarkStart w:id="1621" w:name="bookmark16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19"/>
      <w:bookmarkEnd w:id="1620"/>
      <w:bookmarkEnd w:id="16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20,878,5</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5,862,236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按单项计提坏账准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20,878,5</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5,862,236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1,535,49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474,571,</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1,060,925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1,489,288</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372,533,4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1,116,755,4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按组合计提坏账准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1,535,49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474,571,</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1,060,925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1,489,288</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372,533,4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1,116,755,4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1,066,787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1,489,288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1,116,755,4</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北京有明云软件股份有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7,988,326.97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4,792,996.18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江苏鱼跃医疗设备股份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3,432,000.04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3,432,000.04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德淮半导体有限公司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3,110,693.56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1,866,416.14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远东福斯特新能源有限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2,790,999.80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2,790,999.80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诉讼中</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陕西医药控股集团派昂 医药有限责任公司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1,983,489.81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1,190,093.89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包商银行股份有限公司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1,573,080.02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943,848.01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破产重组</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20,878,590.20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15,016,354.06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按组合计提坏账准备:</w:t>
      </w:r>
    </w:p>
    <w:p>
      <w:pPr>
        <w:widowControl w:val="0"/>
        <w:spacing w:after="13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273,183,225.46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434,604,385.59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71,108,678.55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827,709,536.29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403,462,755.04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1,535,497,147.34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474,571,433.59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12" w:lineRule="exact"/>
        <w:ind w:left="0" w:right="0" w:firstLine="0"/>
        <w:jc w:val="left"/>
      </w:pPr>
      <w:bookmarkStart w:id="1622" w:name="bookmark1622"/>
      <w:r>
        <w:rPr>
          <w:color w:val="000000"/>
          <w:spacing w:val="0"/>
          <w:w w:val="100"/>
          <w:position w:val="0"/>
        </w:rPr>
        <w:t>（</w:t>
      </w:r>
      <w:bookmarkEnd w:id="16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对于划分为组合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的应收账款单独进行减值测试。如有客观证据表明其发生了减值的，根据其未来现金流量现值低于 其账面价值的差额，确认减值损失，计提坏账准备。如经测试未发现减值的，则不计提坏账准备。</w:t>
      </w:r>
    </w:p>
    <w:p>
      <w:pPr>
        <w:pStyle w:val="Style28"/>
        <w:keepNext w:val="0"/>
        <w:keepLines w:val="0"/>
        <w:widowControl w:val="0"/>
        <w:shd w:val="clear" w:color="auto" w:fill="auto"/>
        <w:tabs>
          <w:tab w:pos="445" w:val="left"/>
        </w:tabs>
        <w:bidi w:val="0"/>
        <w:spacing w:before="0" w:after="100" w:line="312" w:lineRule="exact"/>
        <w:ind w:left="0" w:right="0" w:firstLine="0"/>
        <w:jc w:val="left"/>
      </w:pPr>
      <w:bookmarkStart w:id="1623" w:name="bookmark1623"/>
      <w:r>
        <w:rPr>
          <w:color w:val="000000"/>
          <w:spacing w:val="0"/>
          <w:w w:val="100"/>
          <w:position w:val="0"/>
        </w:rPr>
        <w:t>（</w:t>
      </w:r>
      <w:bookmarkEnd w:id="16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对于划分为组合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和组合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的应收账款，本公司将该类款项按类似信用风险特征（账龄）进行组合，并基于所有合理</w:t>
      </w:r>
      <w:r>
        <w:br w:type="page"/>
      </w:r>
    </w:p>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且有依据的信息，包括前瞻性信息，对该类款项预期信用损失的计提比例进行估计如下:</w:t>
      </w:r>
    </w:p>
    <w:tbl>
      <w:tblPr>
        <w:tblOverlap w:val="never"/>
        <w:jc w:val="center"/>
        <w:tblLayout w:type="fixed"/>
      </w:tblPr>
      <w:tblGrid>
        <w:gridCol w:w="3763"/>
        <w:gridCol w:w="2866"/>
        <w:gridCol w:w="3048"/>
      </w:tblGrid>
      <w:tr>
        <w:trPr>
          <w:trHeight w:val="67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按组合计提坏账准备:</w:t>
      </w:r>
    </w:p>
    <w:p>
      <w:pPr>
        <w:widowControl w:val="0"/>
        <w:spacing w:after="119" w:line="1" w:lineRule="exact"/>
      </w:pP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790,284,208.44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790,284,208.44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289,078,626.91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196,596,046.10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280,416,856.09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107,574,642.18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59,674,220.60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113,167,993.31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1,556,375,737.54</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24"/>
      <w:bookmarkEnd w:id="1625"/>
      <w:bookmarkEnd w:id="162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、按单项计提坏 账准备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15,016,354.06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15,016,354.06</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、按组合计提坏</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账准备</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372,533,431.95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102,038,001.64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474,571,433.59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372,533,431.95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117,054,355.70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489,587,787.65</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其中本期坏账准备收回或转回金额重要的:</w:t>
      </w:r>
    </w:p>
    <w:p>
      <w:pPr>
        <w:widowControl w:val="0"/>
        <w:spacing w:after="11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627"/>
      <w:bookmarkEnd w:id="1628"/>
      <w:bookmarkEnd w:id="163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占应收账款期末余额合计数</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162,233,373.41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汉得新加坡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76,893,712.07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中移动信息技术有限公司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58,083,630.65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1,742,508.92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29,737,964.98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1,486,898.25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润联软件系统（深圳）有限公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20,397,347.70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611,920.43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347,346,028.81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tabs>
          <w:tab w:pos="493" w:val="left"/>
        </w:tabs>
        <w:bidi w:val="0"/>
        <w:spacing w:before="0" w:after="34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4</w:t>
      </w:r>
      <w:r>
        <w:rPr>
          <w:color w:val="000000"/>
          <w:spacing w:val="0"/>
          <w:w w:val="100"/>
          <w:position w:val="0"/>
        </w:rPr>
        <w:t>）</w:t>
        <w:tab/>
        <w:t>因金融资产转移而终止确认的应收账款</w:t>
      </w:r>
      <w:bookmarkEnd w:id="1631"/>
      <w:bookmarkEnd w:id="1632"/>
      <w:bookmarkEnd w:id="1634"/>
    </w:p>
    <w:p>
      <w:pPr>
        <w:pStyle w:val="Style41"/>
        <w:keepNext/>
        <w:keepLines/>
        <w:widowControl w:val="0"/>
        <w:shd w:val="clear" w:color="auto" w:fill="auto"/>
        <w:tabs>
          <w:tab w:pos="493" w:val="left"/>
        </w:tabs>
        <w:bidi w:val="0"/>
        <w:spacing w:before="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635"/>
      <w:bookmarkEnd w:id="1636"/>
      <w:bookmarkEnd w:id="163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应收账款按账龄披露</w:t>
      </w:r>
    </w:p>
    <w:p>
      <w:pPr>
        <w:pStyle w:val="Style28"/>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p>
    <w:tbl>
      <w:tblPr>
        <w:tblOverlap w:val="never"/>
        <w:jc w:val="center"/>
        <w:tblLayout w:type="fixed"/>
      </w:tblPr>
      <w:tblGrid>
        <w:gridCol w:w="3715"/>
        <w:gridCol w:w="2976"/>
        <w:gridCol w:w="3010"/>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790,284,208.44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1,423,045,371.57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289,078,626.91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335,363,637.15</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196,596,046.10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131,126,980.34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107,574,642.18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63,213,853.75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59,674,220.60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53,846,957.55</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113,167,993.31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68,479,001.50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1,556,375,737.54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2,075,075,801.86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489,587,787.65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408,087,586.81</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1,066,787,949.89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1,666,988,215.05</w:t>
            </w:r>
          </w:p>
        </w:tc>
      </w:tr>
    </w:tbl>
    <w:p>
      <w:pPr>
        <w:spacing w:lineRule="exact" w:line="1"/>
        <w:rPr>
          <w:sz w:val="2"/>
          <w:szCs w:val="2"/>
        </w:rPr>
      </w:pP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因上述应收款项发生的个别特殊事项，公司考虑合理且有依据的信息，包括前瞻性信息，以单项的预期信用损失进行估计。</w:t>
      </w:r>
    </w:p>
    <w:p>
      <w:pPr>
        <w:pStyle w:val="Style32"/>
        <w:keepNext/>
        <w:keepLines/>
        <w:widowControl w:val="0"/>
        <w:shd w:val="clear" w:color="auto" w:fill="auto"/>
        <w:bidi w:val="0"/>
        <w:spacing w:before="0" w:after="360" w:line="240" w:lineRule="auto"/>
        <w:ind w:left="0" w:right="0" w:firstLine="0"/>
        <w:jc w:val="left"/>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639"/>
      <w:bookmarkEnd w:id="1640"/>
      <w:bookmarkEnd w:id="1641"/>
    </w:p>
    <w:p>
      <w:pPr>
        <w:pStyle w:val="Style32"/>
        <w:keepNext/>
        <w:keepLines/>
        <w:widowControl w:val="0"/>
        <w:shd w:val="clear" w:color="auto" w:fill="auto"/>
        <w:bidi w:val="0"/>
        <w:spacing w:before="0" w:after="80" w:line="240" w:lineRule="auto"/>
        <w:ind w:left="0" w:right="0" w:firstLine="0"/>
        <w:jc w:val="left"/>
      </w:pPr>
      <w:bookmarkStart w:id="1639" w:name="bookmark1639"/>
      <w:bookmarkStart w:id="1640" w:name="bookmark164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639"/>
      <w:bookmarkEnd w:id="1640"/>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739"/>
        <w:gridCol w:w="1661"/>
        <w:gridCol w:w="1363"/>
        <w:gridCol w:w="1632"/>
        <w:gridCol w:w="1517"/>
        <w:gridCol w:w="1310"/>
        <w:gridCol w:w="1454"/>
      </w:tblGrid>
      <w:tr>
        <w:trPr>
          <w:trHeight w:val="36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账面净值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账面净值</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应收票</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7,815,864.40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1,446,199.04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6,369,665.36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11,205,357.40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1,609,462.11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9,595,895.29</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应收票</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据组合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41,877,323.44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41,877,323.44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50,861,993.09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50,861,993.09</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49,693,187.84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1,446,199.04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48,246,988.80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62,067,350.49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1,609,462.11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60,457,888.38</w:t>
            </w:r>
          </w:p>
        </w:tc>
      </w:tr>
    </w:tbl>
    <w:p>
      <w:pPr>
        <w:widowControl w:val="0"/>
        <w:spacing w:after="639" w:line="1" w:lineRule="exact"/>
      </w:pPr>
    </w:p>
    <w:p>
      <w:pPr>
        <w:pStyle w:val="Style35"/>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期末公司无已质押的应收票据</w:t>
      </w:r>
    </w:p>
    <w:p>
      <w:pPr>
        <w:pStyle w:val="Style35"/>
        <w:keepNext w:val="0"/>
        <w:keepLines w:val="0"/>
        <w:widowControl w:val="0"/>
        <w:numPr>
          <w:ilvl w:val="0"/>
          <w:numId w:val="71"/>
        </w:numPr>
        <w:shd w:val="clear" w:color="auto" w:fill="auto"/>
        <w:bidi w:val="0"/>
        <w:spacing w:before="0" w:after="80" w:line="240" w:lineRule="auto"/>
        <w:ind w:left="0" w:right="0" w:firstLine="0"/>
        <w:jc w:val="left"/>
        <w:rPr>
          <w:sz w:val="20"/>
          <w:szCs w:val="20"/>
        </w:rPr>
      </w:pPr>
      <w:bookmarkStart w:id="1642" w:name="bookmark1642"/>
      <w:bookmarkEnd w:id="1642"/>
      <w:r>
        <w:rPr>
          <w:b/>
          <w:bCs/>
          <w:color w:val="000000"/>
          <w:spacing w:val="0"/>
          <w:w w:val="100"/>
          <w:position w:val="0"/>
          <w:sz w:val="20"/>
          <w:szCs w:val="20"/>
        </w:rPr>
        <w:t>期末公司已背书或贴现且在资产负债表日尚未到期的应收票据</w:t>
      </w:r>
    </w:p>
    <w:p>
      <w:pPr>
        <w:pStyle w:val="Style38"/>
        <w:keepNext w:val="0"/>
        <w:keepLines w:val="0"/>
        <w:widowControl w:val="0"/>
        <w:shd w:val="clear" w:color="auto" w:fill="auto"/>
        <w:bidi w:val="0"/>
        <w:spacing w:before="0" w:after="0" w:line="240" w:lineRule="auto"/>
        <w:ind w:left="8923"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3710"/>
        <w:gridCol w:w="2981"/>
        <w:gridCol w:w="2986"/>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1,774,350.00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val="0"/>
        <w:keepLines w:val="0"/>
        <w:widowControl w:val="0"/>
        <w:numPr>
          <w:ilvl w:val="0"/>
          <w:numId w:val="71"/>
        </w:numPr>
        <w:shd w:val="clear" w:color="auto" w:fill="auto"/>
        <w:bidi w:val="0"/>
        <w:spacing w:before="0" w:after="80" w:line="240" w:lineRule="auto"/>
        <w:ind w:left="0" w:right="0" w:firstLine="0"/>
        <w:jc w:val="left"/>
        <w:rPr>
          <w:sz w:val="20"/>
          <w:szCs w:val="20"/>
        </w:rPr>
      </w:pPr>
      <w:bookmarkStart w:id="1643" w:name="bookmark1643"/>
      <w:bookmarkEnd w:id="1643"/>
      <w:r>
        <w:rPr>
          <w:b/>
          <w:bCs/>
          <w:color w:val="000000"/>
          <w:spacing w:val="0"/>
          <w:w w:val="100"/>
          <w:position w:val="0"/>
          <w:sz w:val="20"/>
          <w:szCs w:val="20"/>
        </w:rPr>
        <w:t>期末公司因出票人未履约而将其转为应收账款的票据</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672"/>
        <w:gridCol w:w="6005"/>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bl>
    <w:p>
      <w:pPr>
        <w:widowControl w:val="0"/>
        <w:spacing w:after="359" w:line="1" w:lineRule="exact"/>
      </w:pPr>
    </w:p>
    <w:p>
      <w:pPr>
        <w:pStyle w:val="Style35"/>
        <w:keepNext w:val="0"/>
        <w:keepLines w:val="0"/>
        <w:widowControl w:val="0"/>
        <w:numPr>
          <w:ilvl w:val="0"/>
          <w:numId w:val="71"/>
        </w:numPr>
        <w:shd w:val="clear" w:color="auto" w:fill="auto"/>
        <w:bidi w:val="0"/>
        <w:spacing w:before="0" w:after="80" w:line="240" w:lineRule="auto"/>
        <w:ind w:left="0" w:right="0" w:firstLine="0"/>
        <w:jc w:val="left"/>
        <w:rPr>
          <w:sz w:val="20"/>
          <w:szCs w:val="20"/>
        </w:rPr>
      </w:pPr>
      <w:bookmarkStart w:id="1644" w:name="bookmark1644"/>
      <w:bookmarkEnd w:id="1644"/>
      <w:r>
        <w:rPr>
          <w:b/>
          <w:bCs/>
          <w:color w:val="000000"/>
          <w:spacing w:val="0"/>
          <w:w w:val="100"/>
          <w:position w:val="0"/>
          <w:sz w:val="20"/>
          <w:szCs w:val="20"/>
        </w:rPr>
        <w:t>本期计提、转回或收回的坏账准备情况</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123"/>
        <w:gridCol w:w="1656"/>
        <w:gridCol w:w="1646"/>
        <w:gridCol w:w="1483"/>
        <w:gridCol w:w="1272"/>
        <w:gridCol w:w="845"/>
        <w:gridCol w:w="1651"/>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8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上年年末余额</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60"/>
              <w:jc w:val="left"/>
              <w:rPr>
                <w:sz w:val="17"/>
                <w:szCs w:val="17"/>
              </w:rPr>
            </w:pPr>
            <w:r>
              <w:rPr>
                <w:color w:val="000000"/>
                <w:spacing w:val="0"/>
                <w:w w:val="100"/>
                <w:position w:val="0"/>
                <w:sz w:val="17"/>
                <w:szCs w:val="17"/>
              </w:rPr>
              <w:t>年初余额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60"/>
              <w:jc w:val="left"/>
              <w:rPr>
                <w:sz w:val="17"/>
                <w:szCs w:val="17"/>
              </w:rPr>
            </w:pPr>
            <w:r>
              <w:rPr>
                <w:color w:val="000000"/>
                <w:spacing w:val="0"/>
                <w:w w:val="100"/>
                <w:position w:val="0"/>
                <w:sz w:val="17"/>
                <w:szCs w:val="17"/>
              </w:rPr>
              <w:t>期末余额</w:t>
            </w:r>
          </w:p>
        </w:tc>
      </w:tr>
      <w:tr>
        <w:trPr>
          <w:trHeight w:val="66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转销或核 销</w:t>
            </w:r>
          </w:p>
        </w:tc>
        <w:tc>
          <w:tcPr>
            <w:vMerge/>
            <w:tcBorders>
              <w:left w:val="single" w:sz="4"/>
              <w:right w:val="single" w:sz="4"/>
            </w:tcBorders>
            <w:shd w:val="clear" w:color="auto" w:fill="FFFFFF"/>
            <w:vAlign w:val="top"/>
          </w:tcPr>
          <w:p>
            <w:pP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应收票据组合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1,609,462.11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1,609,462.11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-163,263.07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1,446,199.04</w:t>
            </w: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3</w:t>
      </w:r>
      <w:bookmarkEnd w:id="1647"/>
      <w:r>
        <w:rPr>
          <w:color w:val="000000"/>
          <w:spacing w:val="0"/>
          <w:w w:val="100"/>
          <w:position w:val="0"/>
        </w:rPr>
        <w:t>、其他应收款</w:t>
      </w:r>
      <w:bookmarkEnd w:id="1645"/>
      <w:bookmarkEnd w:id="1646"/>
      <w:bookmarkEnd w:id="164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725,652,146.30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666,204,474.17</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725,652,146.30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666,204,474.17</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649" w:name="bookmark1649"/>
      <w:bookmarkStart w:id="1650" w:name="bookmark1650"/>
      <w:bookmarkStart w:id="1651" w:name="bookmark16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49"/>
      <w:bookmarkEnd w:id="1650"/>
      <w:bookmarkEnd w:id="1651"/>
    </w:p>
    <w:p>
      <w:pPr>
        <w:pStyle w:val="Style82"/>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52"/>
      <w:bookmarkEnd w:id="1653"/>
      <w:bookmarkEnd w:id="165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724,094,092.82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649,008,228.36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其他企业往来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3,978,146.39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3,334,684.13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46,868,966.99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45,608,232.21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2,005,606.18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1,988,994.43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776,946,812.38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699,940,139.13</w:t>
            </w:r>
          </w:p>
        </w:tc>
      </w:tr>
    </w:tbl>
    <w:p>
      <w:pPr>
        <w:widowControl w:val="0"/>
        <w:spacing w:after="339" w:line="1" w:lineRule="exact"/>
      </w:pPr>
    </w:p>
    <w:p>
      <w:pPr>
        <w:pStyle w:val="Style82"/>
        <w:keepNext/>
        <w:keepLines/>
        <w:widowControl w:val="0"/>
        <w:shd w:val="clear" w:color="auto" w:fill="auto"/>
        <w:bidi w:val="0"/>
        <w:spacing w:before="0" w:line="240" w:lineRule="auto"/>
        <w:ind w:left="0" w:right="0" w:firstLine="0"/>
        <w:jc w:val="both"/>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55"/>
      <w:bookmarkEnd w:id="1656"/>
      <w:bookmarkEnd w:id="165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25,981,023.15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7,754,641.81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33,735,664.96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935,245.71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16,623,755.41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17,559,001.12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26,916,268.86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24,378,397.22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51,294,666.08</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其他应收款项账面余额变动如下：</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971"/>
        <w:gridCol w:w="1714"/>
        <w:gridCol w:w="1579"/>
        <w:gridCol w:w="1709"/>
        <w:gridCol w:w="1704"/>
      </w:tblGrid>
      <w:tr>
        <w:trPr>
          <w:trHeight w:val="36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合计</w:t>
            </w:r>
          </w:p>
        </w:tc>
      </w:tr>
      <w:tr>
        <w:trPr>
          <w:trHeight w:val="98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 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 减值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 值</w:t>
            </w:r>
            <w:r>
              <w:rPr>
                <w:color w:val="000000"/>
                <w:spacing w:val="0"/>
                <w:w w:val="100"/>
                <w:position w:val="0"/>
                <w:sz w:val="18"/>
                <w:szCs w:val="18"/>
              </w:rPr>
              <w:t>）</w:t>
            </w: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687,633,486.82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12,306,652.31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699,940,139.13</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转回第二阶段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1714"/>
        <w:gridCol w:w="1579"/>
        <w:gridCol w:w="1709"/>
        <w:gridCol w:w="1704"/>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本期新增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44,410,061.99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32,596,611.26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77,006,673.25</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本期终止确认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732,043,548.81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12,306,652.31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776,946,812.38</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按账龄披露</w:t>
      </w:r>
    </w:p>
    <w:p>
      <w:pPr>
        <w:widowControl w:val="0"/>
        <w:spacing w:after="13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373,364,518.23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373,364,518.23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368,385,749.75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5,483,010.06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29,713,534.34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14,508,946.08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4,255,479.69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10,949,108.57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776,946,812.38</w:t>
            </w:r>
          </w:p>
        </w:tc>
      </w:tr>
    </w:tbl>
    <w:p>
      <w:pPr>
        <w:widowControl w:val="0"/>
        <w:spacing w:after="319" w:line="1" w:lineRule="exact"/>
      </w:pPr>
    </w:p>
    <w:p>
      <w:pPr>
        <w:pStyle w:val="Style82"/>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3</w:t>
      </w:r>
      <w:bookmarkEnd w:id="1660"/>
      <w:r>
        <w:rPr>
          <w:color w:val="000000"/>
          <w:spacing w:val="0"/>
          <w:w w:val="100"/>
          <w:position w:val="0"/>
        </w:rPr>
        <w:t>）本期计提、收回或转回的坏账准备情况</w:t>
      </w:r>
      <w:bookmarkEnd w:id="1658"/>
      <w:bookmarkEnd w:id="1659"/>
      <w:bookmarkEnd w:id="166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、按单项计提坏账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122,257.65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33,735,664.9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17,436,743.47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51,172,408.43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33,735,664.9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17,559,001.12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51,294,666.08</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其中本期坏账准备转回或收回金额重要的: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82"/>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4</w:t>
      </w:r>
      <w:bookmarkEnd w:id="1664"/>
      <w:r>
        <w:rPr>
          <w:color w:val="000000"/>
          <w:spacing w:val="0"/>
          <w:w w:val="100"/>
          <w:position w:val="0"/>
        </w:rPr>
        <w:t>）按欠款方归集的期末余额前五名的其他应收款情况</w:t>
      </w:r>
      <w:bookmarkEnd w:id="1662"/>
      <w:bookmarkEnd w:id="1663"/>
      <w:bookmarkEnd w:id="1665"/>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375,370,602.88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122,295,563.64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得逸信息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74,781,723.80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66,046,904.74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汉得欧俊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36,329,500.04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674,824,295.10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2"/>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5</w:t>
      </w:r>
      <w:bookmarkEnd w:id="1668"/>
      <w:r>
        <w:rPr>
          <w:color w:val="000000"/>
          <w:spacing w:val="0"/>
          <w:w w:val="100"/>
          <w:position w:val="0"/>
        </w:rPr>
        <w:t>）转移其他应收款且继续涉入形成的资产、负债金额</w:t>
      </w:r>
      <w:bookmarkEnd w:id="1666"/>
      <w:bookmarkEnd w:id="1667"/>
      <w:bookmarkEnd w:id="166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40" w:line="240" w:lineRule="auto"/>
        <w:ind w:left="0" w:right="0" w:firstLine="0"/>
        <w:jc w:val="left"/>
      </w:pPr>
      <w:r>
        <w:rPr>
          <w:color w:val="000000"/>
          <w:spacing w:val="0"/>
          <w:w w:val="100"/>
          <w:position w:val="0"/>
        </w:rPr>
        <w:t>按账龄披露</w:t>
      </w:r>
    </w:p>
    <w:p>
      <w:pPr>
        <w:pStyle w:val="Style38"/>
        <w:keepNext w:val="0"/>
        <w:keepLines w:val="0"/>
        <w:widowControl w:val="0"/>
        <w:shd w:val="clear" w:color="auto" w:fill="auto"/>
        <w:bidi w:val="0"/>
        <w:spacing w:before="0" w:after="0" w:line="240" w:lineRule="auto"/>
        <w:ind w:left="5"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4267"/>
        <w:gridCol w:w="2702"/>
        <w:gridCol w:w="2707"/>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373,364,518.23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653,988,100.92</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368,385,749.75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13,727,838.66</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5,483,010.06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15,930,541.08</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29,713,534.34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16,293,658.47</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776,946,812.38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699,940,139.13</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51,294,666.08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33,735,664.96</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725,652,146.30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666,204,474.17</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按坏账计提方法分类披露</w:t>
      </w:r>
    </w:p>
    <w:p>
      <w:pPr>
        <w:widowControl w:val="0"/>
        <w:spacing w:after="37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5"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859"/>
        <w:gridCol w:w="1142"/>
        <w:gridCol w:w="533"/>
        <w:gridCol w:w="1056"/>
        <w:gridCol w:w="528"/>
        <w:gridCol w:w="1147"/>
        <w:gridCol w:w="1142"/>
        <w:gridCol w:w="533"/>
        <w:gridCol w:w="1051"/>
        <w:gridCol w:w="533"/>
        <w:gridCol w:w="1152"/>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0"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9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righ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right w:val="single" w:sz="4"/>
            </w:tcBorders>
            <w:shd w:val="clear" w:color="auto" w:fill="FFFFFF"/>
            <w:vAlign w:val="top"/>
          </w:tcPr>
          <w:p>
            <w:pPr/>
          </w:p>
        </w:tc>
      </w:tr>
      <w:tr>
        <w:trPr>
          <w:trHeight w:val="9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按单项计 提坏账准 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3,938,808.70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3,816,551.05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按组合计 提坏账准 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773,008,003.68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51,172,408.43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721,835,595.25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699,940,139.13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33,735,664.96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666,204,474.17</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776,946,812.38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51,294,666.08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725,652,146.30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699,940,139.13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33,735,664.96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666,204,474.17</w:t>
            </w:r>
          </w:p>
        </w:tc>
      </w:tr>
    </w:tbl>
    <w:p>
      <w:pPr>
        <w:pStyle w:val="Style3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w:t>
      </w:r>
    </w:p>
    <w:p>
      <w:pPr>
        <w:widowControl w:val="0"/>
        <w:spacing w:after="139" w:line="1" w:lineRule="exact"/>
      </w:pP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31"/>
        <w:gridCol w:w="2035"/>
        <w:gridCol w:w="2035"/>
        <w:gridCol w:w="2035"/>
        <w:gridCol w:w="2040"/>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思爱普（中国）有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1,493,655.70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期后全额收款</w:t>
            </w:r>
          </w:p>
        </w:tc>
      </w:tr>
      <w:tr>
        <w:trPr>
          <w:trHeight w:val="9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陕西医药控股集团 派昂医药有限责任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2,445,153.00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诉讼保证金，预计可以收 回</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3,938,808.70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122,257.65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因上述应收款项发生的个别特殊事项，公司考虑合理且有依据的信息，包括前瞻性信息，以单项的预期信用损失进行估计。</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组合计提项目：</w:t>
      </w:r>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501"/>
        <w:gridCol w:w="2405"/>
        <w:gridCol w:w="2400"/>
        <w:gridCol w:w="2371"/>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723,672,247.94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24,378,397.22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49,335,755.74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26,794,011.21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773,008,003.68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51,172,408.43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按组合计提坏账的确认标准及说明：</w:t>
      </w:r>
    </w:p>
    <w:p>
      <w:pPr>
        <w:pStyle w:val="Style28"/>
        <w:keepNext w:val="0"/>
        <w:keepLines w:val="0"/>
        <w:widowControl w:val="0"/>
        <w:shd w:val="clear" w:color="auto" w:fill="auto"/>
        <w:tabs>
          <w:tab w:pos="536" w:val="left"/>
        </w:tabs>
        <w:bidi w:val="0"/>
        <w:spacing w:before="0" w:after="0" w:line="317" w:lineRule="exact"/>
        <w:ind w:left="0" w:right="0" w:firstLine="0"/>
        <w:jc w:val="left"/>
      </w:pPr>
      <w:bookmarkStart w:id="1670" w:name="bookmark1670"/>
      <w:r>
        <w:rPr>
          <w:color w:val="000000"/>
          <w:spacing w:val="0"/>
          <w:w w:val="100"/>
          <w:position w:val="0"/>
        </w:rPr>
        <w:t>（</w:t>
      </w:r>
      <w:bookmarkEnd w:id="16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对于划分为组合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的其他应收款单独进行减值测试。如有客观证据表明其发生了减值的，根据其未来现金流量现值低 于其账面价值的差额，确认减值损失，计提坏账准备。如经测试未发现减值的，则不计提坏账准备。</w:t>
      </w:r>
    </w:p>
    <w:p>
      <w:pPr>
        <w:pStyle w:val="Style28"/>
        <w:keepNext w:val="0"/>
        <w:keepLines w:val="0"/>
        <w:widowControl w:val="0"/>
        <w:shd w:val="clear" w:color="auto" w:fill="auto"/>
        <w:bidi w:val="0"/>
        <w:spacing w:before="0" w:after="100" w:line="317" w:lineRule="exact"/>
        <w:ind w:left="0" w:right="0" w:firstLine="0"/>
        <w:jc w:val="left"/>
      </w:pPr>
      <w:bookmarkStart w:id="1671" w:name="bookmark1671"/>
      <w:r>
        <w:rPr>
          <w:color w:val="000000"/>
          <w:spacing w:val="0"/>
          <w:w w:val="100"/>
          <w:position w:val="0"/>
        </w:rPr>
        <w:t>（</w:t>
      </w:r>
      <w:bookmarkEnd w:id="16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对于划分为组合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的其他应收款，本公司将该类款项按类似信用风险特征（账龄）进行组合，并基于所有合理且有依 据的信息，包括前瞻性信息，对该类款项预期信用损失的计提比例进行估计如下：</w:t>
      </w:r>
    </w:p>
    <w:tbl>
      <w:tblPr>
        <w:tblOverlap w:val="never"/>
        <w:jc w:val="center"/>
        <w:tblLayout w:type="fixed"/>
      </w:tblPr>
      <w:tblGrid>
        <w:gridCol w:w="4680"/>
        <w:gridCol w:w="4997"/>
      </w:tblGrid>
      <w:tr>
        <w:trPr>
          <w:trHeight w:val="67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color w:val="000000"/>
          <w:spacing w:val="0"/>
          <w:w w:val="100"/>
          <w:position w:val="0"/>
        </w:rPr>
        <w:t>、长期股权投资</w:t>
      </w:r>
      <w:bookmarkEnd w:id="1672"/>
      <w:bookmarkEnd w:id="1673"/>
      <w:bookmarkEnd w:id="1675"/>
    </w:p>
    <w:p>
      <w:pPr>
        <w:pStyle w:val="Style3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513,687,443.78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513,687,443.78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503,842,986.90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503,842,986.90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143,792,272.15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143,792,272.15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56,975,913.08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56,975,913.08</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657,479,715.93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657,479,715.93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560,818,899.98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560,818,899.98</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76"/>
      <w:bookmarkEnd w:id="1677"/>
      <w:bookmarkEnd w:id="1678"/>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夏尔软件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61,873,283.21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61,873,283.21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汉得新加坡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43,532,695.00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43,532,695.00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随身科技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1,739,206.68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1,739,206.68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汉得欧俊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汉得微扬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扬州达美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55,282,500.01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55,282,500.01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67,615,300.00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67,615,300.00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甄领信息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甄一科技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8,844,456.88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8,844,456.88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503,842,986.9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9,844,456.88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513,687,443.78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79"/>
      <w:bookmarkEnd w:id="1680"/>
      <w:bookmarkEnd w:id="1681"/>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汉得知云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甄汇科技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14,773,63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67,451,57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59,531,47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甄实建筑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甄云科技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42,202,27</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-41,725,7</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79,689,19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83,160,50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56,975,91</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3,412,500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-68,985,7</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147,140,7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143,792,2</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72.15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56,975,91</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3,412,500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-68,985,7</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147,140,7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143,792,2</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73"/>
        </w:numPr>
        <w:shd w:val="clear" w:color="auto" w:fill="auto"/>
        <w:bidi w:val="0"/>
        <w:spacing w:before="0" w:line="240" w:lineRule="auto"/>
        <w:ind w:left="0" w:right="0" w:firstLine="140"/>
        <w:jc w:val="left"/>
      </w:pPr>
      <w:bookmarkStart w:id="1682" w:name="bookmark1682"/>
      <w:bookmarkStart w:id="1683" w:name="bookmark1683"/>
      <w:bookmarkStart w:id="1684" w:name="bookmark1684"/>
      <w:bookmarkStart w:id="1685" w:name="bookmark1685"/>
      <w:bookmarkEnd w:id="1684"/>
      <w:r>
        <w:rPr>
          <w:color w:val="000000"/>
          <w:spacing w:val="0"/>
          <w:w w:val="100"/>
          <w:position w:val="0"/>
        </w:rPr>
        <w:t>其他说明</w:t>
      </w:r>
      <w:bookmarkEnd w:id="1682"/>
      <w:bookmarkEnd w:id="1683"/>
      <w:bookmarkEnd w:id="1685"/>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对子公司投资说明：</w:t>
      </w:r>
    </w:p>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追加投资系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本期增加</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注：权益法下确认的投资损益中，本期投资损益影响额为</w:t>
      </w:r>
      <w:r>
        <w:rPr>
          <w:rFonts w:ascii="Times New Roman" w:eastAsia="Times New Roman" w:hAnsi="Times New Roman" w:cs="Times New Roman"/>
          <w:color w:val="000000"/>
          <w:spacing w:val="0"/>
          <w:w w:val="100"/>
          <w:position w:val="0"/>
          <w:sz w:val="18"/>
          <w:szCs w:val="18"/>
        </w:rPr>
        <w:t>-63,736,911.94</w:t>
      </w:r>
      <w:r>
        <w:rPr>
          <w:color w:val="000000"/>
          <w:spacing w:val="0"/>
          <w:w w:val="100"/>
          <w:position w:val="0"/>
          <w:sz w:val="17"/>
          <w:szCs w:val="17"/>
        </w:rPr>
        <w:t>元，因政策变更导致的投资损益影响额为</w:t>
      </w:r>
      <w:r>
        <w:rPr>
          <w:rFonts w:ascii="Times New Roman" w:eastAsia="Times New Roman" w:hAnsi="Times New Roman" w:cs="Times New Roman"/>
          <w:color w:val="000000"/>
          <w:spacing w:val="0"/>
          <w:w w:val="100"/>
          <w:position w:val="0"/>
          <w:sz w:val="18"/>
          <w:szCs w:val="18"/>
        </w:rPr>
        <w:t>-5,248,831.93</w:t>
      </w:r>
    </w:p>
    <w:p>
      <w:pPr>
        <w:pStyle w:val="Style28"/>
        <w:keepNext w:val="0"/>
        <w:keepLines w:val="0"/>
        <w:widowControl w:val="0"/>
        <w:shd w:val="clear" w:color="auto" w:fill="auto"/>
        <w:bidi w:val="0"/>
        <w:spacing w:before="0" w:after="7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2"/>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5</w:t>
      </w:r>
      <w:bookmarkEnd w:id="1688"/>
      <w:r>
        <w:rPr>
          <w:color w:val="000000"/>
          <w:spacing w:val="0"/>
          <w:w w:val="100"/>
          <w:position w:val="0"/>
        </w:rPr>
        <w:t>、营业收入和营业成本</w:t>
      </w:r>
      <w:bookmarkEnd w:id="1686"/>
      <w:bookmarkEnd w:id="1687"/>
      <w:bookmarkEnd w:id="1689"/>
    </w:p>
    <w:p>
      <w:pPr>
        <w:pStyle w:val="Style3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2,252,317,345.22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1,523,660,838.90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2,525,929,717.47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1,804,174,436.03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14,042,576.56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8,120,440.89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2,266,359,921.78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1,523,660,838.90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2,534,050,158.36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1,804,174,436.03</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12.27</w:t>
      </w:r>
      <w:r>
        <w:rPr>
          <w:color w:val="000000"/>
          <w:spacing w:val="0"/>
          <w:w w:val="100"/>
          <w:position w:val="0"/>
        </w:rPr>
        <w:t>亿元。</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6</w:t>
      </w:r>
      <w:bookmarkEnd w:id="1692"/>
      <w:r>
        <w:rPr>
          <w:color w:val="000000"/>
          <w:spacing w:val="0"/>
          <w:w w:val="100"/>
          <w:position w:val="0"/>
        </w:rPr>
        <w:t>、投资收益</w:t>
      </w:r>
      <w:bookmarkEnd w:id="1690"/>
      <w:bookmarkEnd w:id="1691"/>
      <w:bookmarkEnd w:id="169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-63,736,911.94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-30,393,442.20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持有以公允价值计量且其变动计入当期损 益的金融资产期间取得的投资收益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597,558.76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-63,139,353.18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-30,393,442.20</w:t>
            </w:r>
          </w:p>
        </w:tc>
      </w:tr>
    </w:tbl>
    <w:p>
      <w:pPr>
        <w:spacing w:lineRule="exact" w:line="1"/>
        <w:rPr>
          <w:sz w:val="2"/>
          <w:szCs w:val="2"/>
        </w:rPr>
      </w:pPr>
      <w:r>
        <w:br w:type="page"/>
      </w:r>
    </w:p>
    <w:p>
      <w:pPr>
        <w:pStyle w:val="Style26"/>
        <w:keepNext/>
        <w:keepLines/>
        <w:widowControl w:val="0"/>
        <w:shd w:val="clear" w:color="auto" w:fill="auto"/>
        <w:bidi w:val="0"/>
        <w:spacing w:before="0" w:after="360" w:line="240" w:lineRule="auto"/>
        <w:ind w:left="0" w:right="0" w:firstLine="0"/>
        <w:jc w:val="both"/>
      </w:pPr>
      <w:bookmarkStart w:id="1694" w:name="bookmark1694"/>
      <w:bookmarkStart w:id="1695" w:name="bookmark1695"/>
      <w:bookmarkStart w:id="1696" w:name="bookmark1696"/>
      <w:r>
        <w:rPr>
          <w:color w:val="000000"/>
          <w:spacing w:val="0"/>
          <w:w w:val="100"/>
          <w:position w:val="0"/>
        </w:rPr>
        <w:t>十七、补充资料</w:t>
      </w:r>
      <w:bookmarkEnd w:id="1694"/>
      <w:bookmarkEnd w:id="1695"/>
      <w:bookmarkEnd w:id="1696"/>
    </w:p>
    <w:p>
      <w:pPr>
        <w:pStyle w:val="Style32"/>
        <w:keepNext/>
        <w:keepLines/>
        <w:widowControl w:val="0"/>
        <w:shd w:val="clear" w:color="auto" w:fill="auto"/>
        <w:bidi w:val="0"/>
        <w:spacing w:before="0" w:after="360" w:line="240" w:lineRule="auto"/>
        <w:ind w:left="0" w:right="0" w:firstLine="0"/>
        <w:jc w:val="both"/>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97"/>
      <w:bookmarkEnd w:id="1698"/>
      <w:bookmarkEnd w:id="1699"/>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38,374,170.88</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-7,604,190.00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-979,506.18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6,268,915.26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1,010,776.15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22,781,894.95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both"/>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00"/>
      <w:bookmarkEnd w:id="1701"/>
      <w:bookmarkEnd w:id="1702"/>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pStyle w:val="Style14"/>
        <w:keepNext/>
        <w:keepLines/>
        <w:widowControl w:val="0"/>
        <w:shd w:val="clear" w:color="auto" w:fill="auto"/>
        <w:bidi w:val="0"/>
        <w:spacing w:before="0" w:after="500" w:line="240" w:lineRule="auto"/>
        <w:ind w:left="0" w:right="0" w:firstLine="0"/>
        <w:jc w:val="center"/>
      </w:pPr>
      <w:bookmarkStart w:id="1703" w:name="bookmark1703"/>
      <w:bookmarkStart w:id="1704" w:name="bookmark1704"/>
      <w:bookmarkStart w:id="1705" w:name="bookmark1705"/>
      <w:r>
        <w:rPr>
          <w:color w:val="000000"/>
          <w:spacing w:val="0"/>
          <w:w w:val="100"/>
          <w:position w:val="0"/>
        </w:rPr>
        <w:t>第十三节备查文件目录</w:t>
      </w:r>
      <w:bookmarkEnd w:id="1703"/>
      <w:bookmarkEnd w:id="1704"/>
      <w:bookmarkEnd w:id="1705"/>
    </w:p>
    <w:p>
      <w:pPr>
        <w:pStyle w:val="Style35"/>
        <w:keepNext w:val="0"/>
        <w:keepLines w:val="0"/>
        <w:widowControl w:val="0"/>
        <w:shd w:val="clear" w:color="auto" w:fill="auto"/>
        <w:tabs>
          <w:tab w:pos="517" w:val="left"/>
        </w:tabs>
        <w:bidi w:val="0"/>
        <w:spacing w:before="0" w:after="0" w:line="317" w:lineRule="exact"/>
        <w:ind w:left="0" w:right="0" w:firstLine="0"/>
        <w:jc w:val="both"/>
      </w:pPr>
      <w:bookmarkStart w:id="1706" w:name="bookmark1706"/>
      <w:bookmarkStart w:id="1707" w:name="bookmark1707"/>
      <w:r>
        <w:rPr>
          <w:color w:val="000000"/>
          <w:spacing w:val="0"/>
          <w:w w:val="100"/>
          <w:position w:val="0"/>
        </w:rPr>
        <w:t>一</w:t>
      </w:r>
      <w:bookmarkEnd w:id="1707"/>
      <w:r>
        <w:rPr>
          <w:color w:val="000000"/>
          <w:spacing w:val="0"/>
          <w:w w:val="100"/>
          <w:position w:val="0"/>
        </w:rPr>
        <w:t>、</w:t>
        <w:tab/>
        <w:t>载有法定代表人陈迪清先生、主管会计工作负责人、会计机构负责人沈雁冰先生签名并 盖章的财务报告文本；</w:t>
      </w:r>
      <w:bookmarkEnd w:id="1706"/>
    </w:p>
    <w:p>
      <w:pPr>
        <w:pStyle w:val="Style35"/>
        <w:keepNext w:val="0"/>
        <w:keepLines w:val="0"/>
        <w:widowControl w:val="0"/>
        <w:shd w:val="clear" w:color="auto" w:fill="auto"/>
        <w:tabs>
          <w:tab w:pos="512" w:val="left"/>
        </w:tabs>
        <w:bidi w:val="0"/>
        <w:spacing w:before="0" w:after="0" w:line="343" w:lineRule="exact"/>
        <w:ind w:left="0" w:right="0" w:firstLine="0"/>
        <w:jc w:val="both"/>
      </w:pPr>
      <w:bookmarkStart w:id="1708" w:name="bookmark1708"/>
      <w:r>
        <w:rPr>
          <w:color w:val="000000"/>
          <w:spacing w:val="0"/>
          <w:w w:val="100"/>
          <w:position w:val="0"/>
        </w:rPr>
        <w:t>二</w:t>
      </w:r>
      <w:bookmarkEnd w:id="1708"/>
      <w:r>
        <w:rPr>
          <w:color w:val="000000"/>
          <w:spacing w:val="0"/>
          <w:w w:val="100"/>
          <w:position w:val="0"/>
        </w:rPr>
        <w:t>、</w:t>
        <w:tab/>
        <w:t>载有会计师事务所盖章、注册会计师签名并盖章的审计报告原件；</w:t>
      </w:r>
    </w:p>
    <w:p>
      <w:pPr>
        <w:pStyle w:val="Style35"/>
        <w:keepNext w:val="0"/>
        <w:keepLines w:val="0"/>
        <w:widowControl w:val="0"/>
        <w:shd w:val="clear" w:color="auto" w:fill="auto"/>
        <w:tabs>
          <w:tab w:pos="512" w:val="left"/>
        </w:tabs>
        <w:bidi w:val="0"/>
        <w:spacing w:before="0" w:after="0" w:line="343" w:lineRule="exact"/>
        <w:ind w:left="0" w:right="0" w:firstLine="0"/>
        <w:jc w:val="both"/>
      </w:pPr>
      <w:bookmarkStart w:id="1709" w:name="bookmark1709"/>
      <w:r>
        <w:rPr>
          <w:color w:val="000000"/>
          <w:spacing w:val="0"/>
          <w:w w:val="100"/>
          <w:position w:val="0"/>
        </w:rPr>
        <w:t>三</w:t>
      </w:r>
      <w:bookmarkEnd w:id="1709"/>
      <w:r>
        <w:rPr>
          <w:color w:val="000000"/>
          <w:spacing w:val="0"/>
          <w:w w:val="100"/>
          <w:position w:val="0"/>
        </w:rPr>
        <w:t>、</w:t>
        <w:tab/>
        <w:t>报告期内在中国证监会指定网站上公开披露过的所有公司文件的正本及公告的原稿；</w:t>
      </w:r>
    </w:p>
    <w:p>
      <w:pPr>
        <w:pStyle w:val="Style35"/>
        <w:keepNext w:val="0"/>
        <w:keepLines w:val="0"/>
        <w:widowControl w:val="0"/>
        <w:shd w:val="clear" w:color="auto" w:fill="auto"/>
        <w:tabs>
          <w:tab w:pos="512" w:val="left"/>
        </w:tabs>
        <w:bidi w:val="0"/>
        <w:spacing w:before="0" w:after="0" w:line="343" w:lineRule="exact"/>
        <w:ind w:left="0" w:right="0" w:firstLine="0"/>
        <w:jc w:val="both"/>
      </w:pPr>
      <w:bookmarkStart w:id="1710" w:name="bookmark1710"/>
      <w:r>
        <w:rPr>
          <w:color w:val="000000"/>
          <w:spacing w:val="0"/>
          <w:w w:val="100"/>
          <w:position w:val="0"/>
        </w:rPr>
        <w:t>四</w:t>
      </w:r>
      <w:bookmarkEnd w:id="1710"/>
      <w:r>
        <w:rPr>
          <w:color w:val="000000"/>
          <w:spacing w:val="0"/>
          <w:w w:val="100"/>
          <w:position w:val="0"/>
        </w:rPr>
        <w:t>、</w:t>
        <w:tab/>
        <w:t>经公司法定代表人陈迪清先生签名的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年年度报告原件；</w:t>
      </w:r>
    </w:p>
    <w:p>
      <w:pPr>
        <w:pStyle w:val="Style35"/>
        <w:keepNext w:val="0"/>
        <w:keepLines w:val="0"/>
        <w:widowControl w:val="0"/>
        <w:shd w:val="clear" w:color="auto" w:fill="auto"/>
        <w:tabs>
          <w:tab w:pos="512" w:val="left"/>
        </w:tabs>
        <w:bidi w:val="0"/>
        <w:spacing w:before="0" w:after="360" w:line="343" w:lineRule="exact"/>
        <w:ind w:left="0" w:right="0" w:firstLine="0"/>
        <w:jc w:val="both"/>
      </w:pPr>
      <w:bookmarkStart w:id="1711" w:name="bookmark1711"/>
      <w:r>
        <w:rPr>
          <w:color w:val="000000"/>
          <w:spacing w:val="0"/>
          <w:w w:val="100"/>
          <w:position w:val="0"/>
        </w:rPr>
        <w:t>五</w:t>
      </w:r>
      <w:bookmarkEnd w:id="1711"/>
      <w:r>
        <w:rPr>
          <w:color w:val="000000"/>
          <w:spacing w:val="0"/>
          <w:w w:val="100"/>
          <w:position w:val="0"/>
        </w:rPr>
        <w:t>、</w:t>
        <w:tab/>
        <w:t>其他有关资料。</w:t>
      </w:r>
    </w:p>
    <w:p>
      <w:pPr>
        <w:pStyle w:val="Style35"/>
        <w:keepNext w:val="0"/>
        <w:keepLines w:val="0"/>
        <w:widowControl w:val="0"/>
        <w:shd w:val="clear" w:color="auto" w:fill="auto"/>
        <w:bidi w:val="0"/>
        <w:spacing w:before="0" w:after="180" w:line="343" w:lineRule="exact"/>
        <w:ind w:left="6240" w:right="0" w:firstLine="0"/>
        <w:jc w:val="right"/>
      </w:pPr>
      <w:r>
        <w:rPr>
          <w:color w:val="000000"/>
          <w:spacing w:val="0"/>
          <w:w w:val="100"/>
          <w:position w:val="0"/>
        </w:rPr>
        <w:t>上海汉得信息技术股份有限公司 法定代表人：陈迪清 二</w:t>
      </w:r>
      <w:r>
        <w:rPr>
          <w:color w:val="000000"/>
          <w:spacing w:val="0"/>
          <w:w w:val="100"/>
          <w:position w:val="0"/>
          <w:sz w:val="24"/>
          <w:szCs w:val="24"/>
        </w:rPr>
        <w:t>O</w:t>
      </w:r>
      <w:r>
        <w:rPr>
          <w:color w:val="000000"/>
          <w:spacing w:val="0"/>
          <w:w w:val="100"/>
          <w:position w:val="0"/>
        </w:rPr>
        <w:t>二一年四月二十三日</w:t>
      </w:r>
    </w:p>
    <w:sectPr>
      <w:footnotePr>
        <w:pos w:val="pageBottom"/>
        <w:numFmt w:val="decimal"/>
        <w:numRestart w:val="continuous"/>
      </w:footnotePr>
      <w:pgSz w:w="11900" w:h="16840"/>
      <w:pgMar w:top="1287" w:right="1048" w:bottom="1407" w:left="103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6750050</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40000000000003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4177665</wp:posOffset>
              </wp:positionH>
              <wp:positionV relativeFrom="page">
                <wp:posOffset>561340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8.94999999999999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0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22"/>
      <w:szCs w:val="22"/>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2"/>
      <w:szCs w:val="22"/>
      <w:u w:val="none"/>
      <w:shd w:val="clear" w:color="auto" w:fill="auto"/>
    </w:rPr>
  </w:style>
  <w:style w:type="character" w:customStyle="1" w:styleId="CharStyle39">
    <w:name w:val="表格标题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83">
    <w:name w:val="标题 #5_"/>
    <w:basedOn w:val="DefaultParagraphFont"/>
    <w:link w:val="Style82"/>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4)"/>
    <w:basedOn w:val="Normal"/>
    <w:link w:val="CharStyle3"/>
    <w:pPr>
      <w:widowControl w:val="0"/>
      <w:shd w:val="clear" w:color="auto" w:fill="auto"/>
      <w:spacing w:before="710" w:after="10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3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290" w:after="37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6">
    <w:name w:val="标题 #2"/>
    <w:basedOn w:val="Normal"/>
    <w:link w:val="CharStyle27"/>
    <w:pPr>
      <w:widowControl w:val="0"/>
      <w:shd w:val="clear" w:color="auto" w:fill="auto"/>
      <w:spacing w:after="38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8">
    <w:name w:val="正文文本 (2)"/>
    <w:basedOn w:val="Normal"/>
    <w:link w:val="CharStyle2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8">
    <w:name w:val="表格标题"/>
    <w:basedOn w:val="Normal"/>
    <w:link w:val="CharStyle39"/>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2">
    <w:name w:val="标题 #5"/>
    <w:basedOn w:val="Normal"/>
    <w:link w:val="CharStyle83"/>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上海汉得信息技术股份有限公司2020年年度报告全文</dc:title>
  <dc:subject/>
  <dc:creator>上海汉得信息技术股份有限公司</dc:creator>
  <cp:keywords/>
</cp:coreProperties>
</file>